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1.xml" ContentType="application/vnd.openxmlformats-officedocument.drawingml.chartshap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1.xml" ContentType="application/vnd.openxmlformats-officedocument.themeOverride+xml"/>
  <Override PartName="/word/drawings/drawing3.xml" ContentType="application/vnd.openxmlformats-officedocument.drawingml.chartshapes+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2.xml" ContentType="application/vnd.openxmlformats-officedocument.themeOverride+xml"/>
  <Override PartName="/word/drawings/drawing4.xml" ContentType="application/vnd.openxmlformats-officedocument.drawingml.chartshapes+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4.xml" ContentType="application/vnd.openxmlformats-officedocument.themeOverride+xml"/>
  <Override PartName="/word/drawings/drawing5.xml" ContentType="application/vnd.openxmlformats-officedocument.drawingml.chartshapes+xml"/>
  <Override PartName="/word/charts/chart15.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13.xml" ContentType="application/vnd.ms-office.chartstyle+xml"/>
  <Override PartName="/word/charts/colors13.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62A52" w14:textId="77777777" w:rsidR="006E2847" w:rsidRDefault="006E2847" w:rsidP="006E2847">
      <w:pPr>
        <w:jc w:val="center"/>
        <w:rPr>
          <w:rFonts w:ascii="Arial Narrow" w:hAnsi="Arial Narrow"/>
          <w:b/>
        </w:rPr>
      </w:pPr>
      <w:bookmarkStart w:id="0" w:name="_GoBack"/>
      <w:bookmarkEnd w:id="0"/>
      <w:r w:rsidRPr="00EC659B">
        <w:rPr>
          <w:rFonts w:ascii="Arial Narrow" w:hAnsi="Arial Narrow"/>
          <w:noProof/>
          <w:lang w:eastAsia="sk-SK"/>
        </w:rPr>
        <w:drawing>
          <wp:anchor distT="0" distB="0" distL="114300" distR="114300" simplePos="0" relativeHeight="251670528" behindDoc="0" locked="0" layoutInCell="1" allowOverlap="1" wp14:anchorId="25CC07BE" wp14:editId="1F51DDB7">
            <wp:simplePos x="0" y="0"/>
            <wp:positionH relativeFrom="margin">
              <wp:align>center</wp:align>
            </wp:positionH>
            <wp:positionV relativeFrom="paragraph">
              <wp:posOffset>10795</wp:posOffset>
            </wp:positionV>
            <wp:extent cx="1072055" cy="1279319"/>
            <wp:effectExtent l="0" t="0" r="0" b="0"/>
            <wp:wrapNone/>
            <wp:docPr id="29" name="Obrázok 29" descr="Popis: štátny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Popis: štátny znak"/>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2055" cy="12793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12646D" w14:textId="77777777" w:rsidR="006E2847" w:rsidRDefault="006E2847" w:rsidP="006E2847">
      <w:pPr>
        <w:jc w:val="both"/>
        <w:rPr>
          <w:rFonts w:ascii="Arial Narrow" w:hAnsi="Arial Narrow"/>
          <w:b/>
        </w:rPr>
      </w:pPr>
    </w:p>
    <w:p w14:paraId="17A3A53B" w14:textId="77777777" w:rsidR="006E2847" w:rsidRDefault="006E2847" w:rsidP="006E2847">
      <w:pPr>
        <w:jc w:val="center"/>
        <w:rPr>
          <w:rFonts w:ascii="Arial Narrow" w:hAnsi="Arial Narrow"/>
          <w:b/>
        </w:rPr>
      </w:pPr>
    </w:p>
    <w:p w14:paraId="7C06972E" w14:textId="77777777" w:rsidR="006E2847" w:rsidRPr="00EC659B" w:rsidRDefault="006E2847" w:rsidP="006E2847">
      <w:pPr>
        <w:jc w:val="both"/>
        <w:rPr>
          <w:rFonts w:ascii="Arial Narrow" w:hAnsi="Arial Narrow"/>
          <w:b/>
        </w:rPr>
      </w:pPr>
    </w:p>
    <w:p w14:paraId="23E2BC3E" w14:textId="77777777" w:rsidR="006E2847" w:rsidRPr="00EC659B" w:rsidRDefault="006E2847" w:rsidP="006E2847">
      <w:pPr>
        <w:jc w:val="both"/>
        <w:rPr>
          <w:rFonts w:ascii="Arial Narrow" w:hAnsi="Arial Narrow"/>
          <w:b/>
        </w:rPr>
      </w:pPr>
    </w:p>
    <w:p w14:paraId="4C5C6C2B" w14:textId="77777777" w:rsidR="006E2847" w:rsidRDefault="006E2847" w:rsidP="006E2847">
      <w:pPr>
        <w:spacing w:line="300" w:lineRule="auto"/>
        <w:jc w:val="center"/>
        <w:rPr>
          <w:rFonts w:ascii="Arial Narrow" w:hAnsi="Arial Narrow" w:cs="Arial Narrow"/>
          <w:b/>
          <w:bCs/>
          <w:sz w:val="56"/>
          <w:szCs w:val="56"/>
        </w:rPr>
      </w:pPr>
    </w:p>
    <w:p w14:paraId="10AE78B4" w14:textId="77777777" w:rsidR="006E2847" w:rsidRDefault="006E2847" w:rsidP="006E2847">
      <w:pPr>
        <w:spacing w:line="300" w:lineRule="auto"/>
        <w:jc w:val="center"/>
        <w:rPr>
          <w:rFonts w:ascii="Arial Narrow" w:hAnsi="Arial Narrow" w:cs="Arial Narrow"/>
          <w:b/>
          <w:bCs/>
          <w:sz w:val="56"/>
          <w:szCs w:val="56"/>
        </w:rPr>
      </w:pPr>
    </w:p>
    <w:p w14:paraId="10594505" w14:textId="77777777" w:rsidR="006E2847" w:rsidRDefault="006E2847" w:rsidP="006E2847">
      <w:pPr>
        <w:spacing w:line="300" w:lineRule="auto"/>
        <w:jc w:val="center"/>
        <w:rPr>
          <w:rFonts w:ascii="Arial Narrow" w:hAnsi="Arial Narrow" w:cs="Arial Narrow"/>
          <w:b/>
          <w:bCs/>
          <w:sz w:val="56"/>
          <w:szCs w:val="56"/>
        </w:rPr>
      </w:pPr>
    </w:p>
    <w:p w14:paraId="4BB98A10" w14:textId="40CC2EBC" w:rsidR="006E2847" w:rsidRDefault="006E2847" w:rsidP="006E2847">
      <w:pPr>
        <w:spacing w:line="300" w:lineRule="auto"/>
        <w:jc w:val="center"/>
        <w:rPr>
          <w:rFonts w:ascii="Arial Narrow" w:hAnsi="Arial Narrow" w:cs="Arial Narrow"/>
          <w:b/>
          <w:bCs/>
          <w:sz w:val="56"/>
          <w:szCs w:val="56"/>
        </w:rPr>
      </w:pPr>
      <w:bookmarkStart w:id="1" w:name="_Hlk179271036"/>
      <w:r>
        <w:rPr>
          <w:rFonts w:ascii="Arial Narrow" w:hAnsi="Arial Narrow" w:cs="Arial Narrow"/>
          <w:b/>
          <w:bCs/>
          <w:sz w:val="56"/>
          <w:szCs w:val="56"/>
        </w:rPr>
        <w:t>Národný strednodobý fiškáln</w:t>
      </w:r>
      <w:r w:rsidR="001049F1">
        <w:rPr>
          <w:rFonts w:ascii="Arial Narrow" w:hAnsi="Arial Narrow" w:cs="Arial Narrow"/>
          <w:b/>
          <w:bCs/>
          <w:sz w:val="56"/>
          <w:szCs w:val="56"/>
        </w:rPr>
        <w:t>o-</w:t>
      </w:r>
      <w:r>
        <w:rPr>
          <w:rFonts w:ascii="Arial Narrow" w:hAnsi="Arial Narrow" w:cs="Arial Narrow"/>
          <w:b/>
          <w:bCs/>
          <w:sz w:val="56"/>
          <w:szCs w:val="56"/>
        </w:rPr>
        <w:t>štrukturálny plán Slovenskej republiky na roky 2025-</w:t>
      </w:r>
      <w:bookmarkEnd w:id="1"/>
      <w:r>
        <w:rPr>
          <w:rFonts w:ascii="Arial Narrow" w:hAnsi="Arial Narrow" w:cs="Arial Narrow"/>
          <w:b/>
          <w:bCs/>
          <w:sz w:val="56"/>
          <w:szCs w:val="56"/>
        </w:rPr>
        <w:t>2028</w:t>
      </w:r>
    </w:p>
    <w:p w14:paraId="27F258F6" w14:textId="77777777" w:rsidR="006E2847" w:rsidRPr="00EC659B" w:rsidRDefault="006E2847" w:rsidP="006E2847">
      <w:pPr>
        <w:spacing w:line="300" w:lineRule="auto"/>
        <w:rPr>
          <w:rFonts w:ascii="Arial Narrow" w:hAnsi="Arial Narrow"/>
          <w:b/>
          <w:highlight w:val="yellow"/>
        </w:rPr>
      </w:pPr>
    </w:p>
    <w:p w14:paraId="174BA458" w14:textId="77777777" w:rsidR="006E2847" w:rsidRPr="00EC659B" w:rsidRDefault="006E2847" w:rsidP="006E2847">
      <w:pPr>
        <w:jc w:val="both"/>
        <w:rPr>
          <w:rFonts w:ascii="Arial Narrow" w:hAnsi="Arial Narrow"/>
          <w:b/>
          <w:highlight w:val="yellow"/>
        </w:rPr>
      </w:pPr>
    </w:p>
    <w:p w14:paraId="4BEC88AD" w14:textId="77777777" w:rsidR="006E2847" w:rsidRPr="00EC659B" w:rsidRDefault="006E2847" w:rsidP="006E2847">
      <w:pPr>
        <w:jc w:val="both"/>
        <w:rPr>
          <w:rFonts w:ascii="Arial Narrow" w:hAnsi="Arial Narrow"/>
          <w:b/>
          <w:highlight w:val="yellow"/>
        </w:rPr>
      </w:pPr>
    </w:p>
    <w:p w14:paraId="4C444457" w14:textId="77777777" w:rsidR="006E2847" w:rsidRPr="00EC659B" w:rsidRDefault="006E2847" w:rsidP="006E2847">
      <w:pPr>
        <w:jc w:val="both"/>
        <w:rPr>
          <w:rFonts w:ascii="Arial Narrow" w:hAnsi="Arial Narrow"/>
          <w:b/>
          <w:highlight w:val="yellow"/>
        </w:rPr>
      </w:pPr>
    </w:p>
    <w:p w14:paraId="71FEA23B" w14:textId="77777777" w:rsidR="006E2847" w:rsidRPr="00EC659B" w:rsidRDefault="006E2847" w:rsidP="006E2847">
      <w:pPr>
        <w:jc w:val="both"/>
        <w:rPr>
          <w:rFonts w:ascii="Arial Narrow" w:hAnsi="Arial Narrow"/>
          <w:b/>
          <w:highlight w:val="yellow"/>
        </w:rPr>
      </w:pPr>
    </w:p>
    <w:p w14:paraId="50A2AF76" w14:textId="77777777" w:rsidR="006E2847" w:rsidRPr="00EC659B" w:rsidRDefault="006E2847" w:rsidP="006E2847">
      <w:pPr>
        <w:jc w:val="both"/>
        <w:rPr>
          <w:rFonts w:ascii="Arial Narrow" w:hAnsi="Arial Narrow"/>
          <w:b/>
          <w:highlight w:val="yellow"/>
        </w:rPr>
      </w:pPr>
    </w:p>
    <w:p w14:paraId="0C322FCA" w14:textId="77777777" w:rsidR="006E2847" w:rsidRPr="00EC659B" w:rsidRDefault="006E2847" w:rsidP="006E2847">
      <w:pPr>
        <w:jc w:val="both"/>
        <w:rPr>
          <w:rFonts w:ascii="Arial Narrow" w:hAnsi="Arial Narrow"/>
          <w:b/>
          <w:highlight w:val="yellow"/>
        </w:rPr>
      </w:pPr>
    </w:p>
    <w:p w14:paraId="7C601DC3" w14:textId="77777777" w:rsidR="006E2847" w:rsidRPr="00EC659B" w:rsidRDefault="006E2847" w:rsidP="006E2847">
      <w:pPr>
        <w:jc w:val="both"/>
        <w:rPr>
          <w:rFonts w:ascii="Arial Narrow" w:hAnsi="Arial Narrow"/>
          <w:b/>
          <w:highlight w:val="yellow"/>
        </w:rPr>
      </w:pPr>
    </w:p>
    <w:p w14:paraId="0E62C9B0" w14:textId="77777777" w:rsidR="006E2847" w:rsidRPr="00EC659B" w:rsidRDefault="006E2847" w:rsidP="006E2847">
      <w:pPr>
        <w:jc w:val="both"/>
        <w:rPr>
          <w:rFonts w:ascii="Arial Narrow" w:hAnsi="Arial Narrow"/>
          <w:b/>
          <w:highlight w:val="yellow"/>
        </w:rPr>
      </w:pPr>
    </w:p>
    <w:p w14:paraId="7EE0248C" w14:textId="77777777" w:rsidR="006E2847" w:rsidRPr="00EC659B" w:rsidRDefault="006E2847" w:rsidP="006E2847">
      <w:pPr>
        <w:jc w:val="both"/>
        <w:rPr>
          <w:rFonts w:ascii="Arial Narrow" w:hAnsi="Arial Narrow"/>
          <w:b/>
          <w:highlight w:val="yellow"/>
        </w:rPr>
      </w:pPr>
      <w:r w:rsidRPr="00EC659B">
        <w:rPr>
          <w:rFonts w:ascii="Arial Narrow" w:hAnsi="Arial Narrow"/>
          <w:b/>
          <w:noProof/>
          <w:sz w:val="20"/>
          <w:szCs w:val="20"/>
          <w:highlight w:val="yellow"/>
          <w:lang w:eastAsia="sk-SK"/>
        </w:rPr>
        <mc:AlternateContent>
          <mc:Choice Requires="wps">
            <w:drawing>
              <wp:anchor distT="0" distB="0" distL="114300" distR="114300" simplePos="0" relativeHeight="251668480" behindDoc="0" locked="1" layoutInCell="1" allowOverlap="1" wp14:anchorId="22B37938" wp14:editId="5A3E149C">
                <wp:simplePos x="0" y="0"/>
                <wp:positionH relativeFrom="margin">
                  <wp:align>center</wp:align>
                </wp:positionH>
                <wp:positionV relativeFrom="margin">
                  <wp:posOffset>8381365</wp:posOffset>
                </wp:positionV>
                <wp:extent cx="1409065" cy="333375"/>
                <wp:effectExtent l="0" t="0" r="0" b="0"/>
                <wp:wrapSquare wrapText="bothSides"/>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333375"/>
                        </a:xfrm>
                        <a:prstGeom prst="rect">
                          <a:avLst/>
                        </a:prstGeom>
                        <a:noFill/>
                        <a:ln w="9525">
                          <a:noFill/>
                          <a:miter lim="800000"/>
                          <a:headEnd/>
                          <a:tailEnd/>
                        </a:ln>
                      </wps:spPr>
                      <wps:txbx>
                        <w:txbxContent>
                          <w:p w14:paraId="27BAF0BC" w14:textId="7CE484EF" w:rsidR="006D5279" w:rsidRPr="003A2B26" w:rsidRDefault="006D5279" w:rsidP="006E2847">
                            <w:pPr>
                              <w:jc w:val="center"/>
                              <w:rPr>
                                <w:rFonts w:ascii="Arial Narrow" w:hAnsi="Arial Narrow" w:cstheme="minorHAnsi"/>
                                <w:sz w:val="32"/>
                              </w:rPr>
                            </w:pPr>
                            <w:r>
                              <w:rPr>
                                <w:rFonts w:ascii="Arial Narrow" w:hAnsi="Arial Narrow" w:cstheme="minorHAnsi"/>
                                <w:sz w:val="32"/>
                              </w:rPr>
                              <w:t>október 2024</w:t>
                            </w:r>
                          </w:p>
                          <w:p w14:paraId="49B22175" w14:textId="77777777" w:rsidR="006D5279" w:rsidRPr="001E0231" w:rsidRDefault="006D5279" w:rsidP="006E2847">
                            <w:pPr>
                              <w:jc w:val="center"/>
                              <w:rPr>
                                <w:rFonts w:cstheme="minorHAnsi"/>
                                <w:sz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2B37938" id="_x0000_t202" coordsize="21600,21600" o:spt="202" path="m,l,21600r21600,l21600,xe">
                <v:stroke joinstyle="miter"/>
                <v:path gradientshapeok="t" o:connecttype="rect"/>
              </v:shapetype>
              <v:shape id="Text Box 2" o:spid="_x0000_s1026" type="#_x0000_t202" style="position:absolute;left:0;text-align:left;margin-left:0;margin-top:659.95pt;width:110.95pt;height:26.2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" filled="f" stroked="f">
                <v:textbox>
                  <w:txbxContent>
                    <w:p w14:paraId="27BAF0BC" w14:textId="7CE484EF" w:rsidR="006D5279" w:rsidRPr="003A2B26" w:rsidRDefault="006D5279" w:rsidP="006E2847">
                      <w:pPr>
                        <w:jc w:val="center"/>
                        <w:rPr>
                          <w:rFonts w:ascii="Arial Narrow" w:hAnsi="Arial Narrow" w:cstheme="minorHAnsi"/>
                          <w:sz w:val="32"/>
                        </w:rPr>
                      </w:pPr>
                      <w:r>
                        <w:rPr>
                          <w:rFonts w:ascii="Arial Narrow" w:hAnsi="Arial Narrow" w:cstheme="minorHAnsi"/>
                          <w:sz w:val="32"/>
                        </w:rPr>
                        <w:t>október 2024</w:t>
                      </w:r>
                    </w:p>
                    <w:p w14:paraId="49B22175" w14:textId="77777777" w:rsidR="006D5279" w:rsidRPr="001E0231" w:rsidRDefault="006D5279" w:rsidP="006E2847">
                      <w:pPr>
                        <w:jc w:val="center"/>
                        <w:rPr>
                          <w:rFonts w:cstheme="minorHAnsi"/>
                          <w:sz w:val="32"/>
                        </w:rPr>
                      </w:pPr>
                    </w:p>
                  </w:txbxContent>
                </v:textbox>
                <w10:wrap type="square" anchorx="margin" anchory="margin"/>
                <w10:anchorlock/>
              </v:shape>
            </w:pict>
          </mc:Fallback>
        </mc:AlternateContent>
      </w:r>
    </w:p>
    <w:p w14:paraId="77E7173A" w14:textId="77777777" w:rsidR="006E2847" w:rsidRPr="00EC659B" w:rsidRDefault="006E2847" w:rsidP="006E2847">
      <w:pPr>
        <w:jc w:val="both"/>
        <w:rPr>
          <w:rFonts w:ascii="Arial Narrow" w:hAnsi="Arial Narrow"/>
          <w:b/>
          <w:highlight w:val="yellow"/>
        </w:rPr>
      </w:pPr>
      <w:r w:rsidRPr="00EC659B">
        <w:rPr>
          <w:rFonts w:ascii="Arial Narrow" w:hAnsi="Arial Narrow"/>
          <w:b/>
          <w:noProof/>
          <w:highlight w:val="yellow"/>
          <w:lang w:eastAsia="sk-SK"/>
        </w:rPr>
        <mc:AlternateContent>
          <mc:Choice Requires="wps">
            <w:drawing>
              <wp:anchor distT="0" distB="0" distL="114300" distR="114300" simplePos="0" relativeHeight="251669504" behindDoc="1" locked="0" layoutInCell="0" allowOverlap="1" wp14:anchorId="1AA99883" wp14:editId="774CAC62">
                <wp:simplePos x="0" y="0"/>
                <wp:positionH relativeFrom="margin">
                  <wp:posOffset>2163445</wp:posOffset>
                </wp:positionH>
                <wp:positionV relativeFrom="margin">
                  <wp:posOffset>8408670</wp:posOffset>
                </wp:positionV>
                <wp:extent cx="59055" cy="294640"/>
                <wp:effectExtent l="0" t="0" r="0" b="0"/>
                <wp:wrapSquare wrapText="bothSides"/>
                <wp:docPr id="1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 cy="294640"/>
                        </a:xfrm>
                        <a:prstGeom prst="rect">
                          <a:avLst/>
                        </a:prstGeom>
                        <a:solidFill>
                          <a:srgbClr val="37AB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ect w14:anchorId="0B0127AA" id="Rectangle 2" o:spid="_x0000_s1026" style="position:absolute;margin-left:170.35pt;margin-top:662.1pt;width:4.65pt;height:23.2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" o:allowincell="f" fillcolor="#37abe1" stroked="f">
                <v:path arrowok="t"/>
                <w10:wrap type="square" anchorx="margin" anchory="margin"/>
              </v:rect>
            </w:pict>
          </mc:Fallback>
        </mc:AlternateContent>
      </w:r>
    </w:p>
    <w:p w14:paraId="7772FC63" w14:textId="77777777" w:rsidR="006E2847" w:rsidRPr="00EC659B" w:rsidRDefault="006E2847" w:rsidP="006E2847">
      <w:pPr>
        <w:rPr>
          <w:rFonts w:ascii="Arial Narrow" w:hAnsi="Arial Narrow"/>
          <w:b/>
          <w:highlight w:val="yellow"/>
        </w:rPr>
      </w:pPr>
      <w:r w:rsidRPr="00EC659B">
        <w:rPr>
          <w:rFonts w:ascii="Arial Narrow" w:hAnsi="Arial Narrow"/>
          <w:b/>
          <w:highlight w:val="yellow"/>
        </w:rPr>
        <w:br w:type="page"/>
      </w:r>
    </w:p>
    <w:p w14:paraId="70BCEF65" w14:textId="77777777" w:rsidR="00760ED2" w:rsidRDefault="00760ED2" w:rsidP="002A0289">
      <w:pPr>
        <w:pStyle w:val="Nadpis1"/>
        <w:tabs>
          <w:tab w:val="num" w:pos="360"/>
        </w:tabs>
        <w:spacing w:after="240"/>
        <w:rPr>
          <w:rFonts w:cs="Arial Narrow"/>
          <w:color w:val="2C9ADC"/>
          <w:szCs w:val="28"/>
        </w:rPr>
        <w:sectPr w:rsidR="00760ED2" w:rsidSect="00C1228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pPr>
    </w:p>
    <w:p w14:paraId="6E61BBF2" w14:textId="7E0F4DA5" w:rsidR="002A0289" w:rsidRPr="002A0289" w:rsidRDefault="002A0289" w:rsidP="002A0289">
      <w:pPr>
        <w:pStyle w:val="Nadpis1"/>
        <w:tabs>
          <w:tab w:val="num" w:pos="360"/>
        </w:tabs>
        <w:spacing w:after="240"/>
        <w:rPr>
          <w:rFonts w:cs="Arial Narrow"/>
          <w:color w:val="2C9ADC"/>
          <w:szCs w:val="28"/>
        </w:rPr>
      </w:pPr>
      <w:bookmarkStart w:id="2" w:name="_Toc179814981"/>
      <w:r w:rsidRPr="002A0289">
        <w:rPr>
          <w:rFonts w:cs="Arial Narrow"/>
          <w:color w:val="2C9ADC"/>
          <w:szCs w:val="28"/>
        </w:rPr>
        <w:lastRenderedPageBreak/>
        <w:t>Zhrnutie</w:t>
      </w:r>
      <w:bookmarkEnd w:id="2"/>
    </w:p>
    <w:p w14:paraId="36742076" w14:textId="4E6F9963" w:rsidR="002A0289" w:rsidRPr="00975DCB" w:rsidRDefault="002A0289" w:rsidP="002A0289">
      <w:pPr>
        <w:jc w:val="both"/>
        <w:rPr>
          <w:rFonts w:ascii="Arial Narrow" w:hAnsi="Arial Narrow"/>
        </w:rPr>
      </w:pPr>
      <w:r w:rsidRPr="00975DCB">
        <w:rPr>
          <w:rFonts w:ascii="Arial Narrow" w:hAnsi="Arial Narrow"/>
          <w:b/>
          <w:bCs/>
          <w:lang w:eastAsia="sk-SK"/>
        </w:rPr>
        <w:t xml:space="preserve">V kontexte nedávnej reformy európskych </w:t>
      </w:r>
      <w:r>
        <w:rPr>
          <w:rFonts w:ascii="Arial Narrow" w:hAnsi="Arial Narrow"/>
          <w:b/>
          <w:bCs/>
          <w:lang w:eastAsia="sk-SK"/>
        </w:rPr>
        <w:t>rozpočtových</w:t>
      </w:r>
      <w:r w:rsidRPr="00975DCB">
        <w:rPr>
          <w:rFonts w:ascii="Arial Narrow" w:hAnsi="Arial Narrow"/>
          <w:b/>
          <w:bCs/>
          <w:lang w:eastAsia="sk-SK"/>
        </w:rPr>
        <w:t xml:space="preserve"> pravidiel</w:t>
      </w:r>
      <w:r>
        <w:rPr>
          <w:rFonts w:ascii="Arial Narrow" w:hAnsi="Arial Narrow"/>
          <w:b/>
          <w:bCs/>
          <w:lang w:eastAsia="sk-SK"/>
        </w:rPr>
        <w:t xml:space="preserve"> predstavuje </w:t>
      </w:r>
      <w:r w:rsidRPr="00975DCB">
        <w:rPr>
          <w:rFonts w:ascii="Arial Narrow" w:hAnsi="Arial Narrow"/>
          <w:b/>
          <w:bCs/>
          <w:lang w:eastAsia="sk-SK"/>
        </w:rPr>
        <w:t xml:space="preserve">vláda </w:t>
      </w:r>
      <w:r>
        <w:rPr>
          <w:rFonts w:ascii="Arial Narrow" w:hAnsi="Arial Narrow"/>
          <w:b/>
          <w:bCs/>
          <w:lang w:eastAsia="sk-SK"/>
        </w:rPr>
        <w:t>svoj</w:t>
      </w:r>
      <w:r w:rsidRPr="00975DCB">
        <w:rPr>
          <w:rFonts w:ascii="Arial Narrow" w:hAnsi="Arial Narrow"/>
          <w:b/>
          <w:bCs/>
          <w:lang w:eastAsia="sk-SK"/>
        </w:rPr>
        <w:t xml:space="preserve"> </w:t>
      </w:r>
      <w:r w:rsidR="00C52A90">
        <w:rPr>
          <w:rFonts w:ascii="Arial Narrow" w:hAnsi="Arial Narrow"/>
          <w:b/>
          <w:bCs/>
          <w:lang w:eastAsia="sk-SK"/>
        </w:rPr>
        <w:t>N</w:t>
      </w:r>
      <w:r w:rsidR="00C52A90" w:rsidRPr="000D2A34">
        <w:rPr>
          <w:rFonts w:ascii="Arial Narrow" w:hAnsi="Arial Narrow"/>
          <w:b/>
          <w:bCs/>
          <w:lang w:eastAsia="sk-SK"/>
        </w:rPr>
        <w:t xml:space="preserve">árodný </w:t>
      </w:r>
      <w:r w:rsidR="000D2A34" w:rsidRPr="000D2A34">
        <w:rPr>
          <w:rFonts w:ascii="Arial Narrow" w:hAnsi="Arial Narrow"/>
          <w:b/>
          <w:bCs/>
          <w:lang w:eastAsia="sk-SK"/>
        </w:rPr>
        <w:t>strednodobý fiškálno-štrukturálny plán</w:t>
      </w:r>
      <w:r w:rsidR="00910C04">
        <w:rPr>
          <w:rStyle w:val="Odkaznapoznmkupodiarou"/>
          <w:rFonts w:ascii="Arial Narrow" w:hAnsi="Arial Narrow"/>
          <w:b/>
          <w:bCs/>
          <w:lang w:eastAsia="sk-SK"/>
        </w:rPr>
        <w:footnoteReference w:id="1"/>
      </w:r>
      <w:r w:rsidRPr="00975DCB">
        <w:rPr>
          <w:rFonts w:ascii="Arial Narrow" w:hAnsi="Arial Narrow"/>
          <w:b/>
          <w:bCs/>
          <w:lang w:eastAsia="sk-SK"/>
        </w:rPr>
        <w:t xml:space="preserve">, </w:t>
      </w:r>
      <w:r>
        <w:rPr>
          <w:rFonts w:ascii="Arial Narrow" w:hAnsi="Arial Narrow"/>
          <w:b/>
          <w:bCs/>
          <w:lang w:eastAsia="sk-SK"/>
        </w:rPr>
        <w:t>ktorým</w:t>
      </w:r>
      <w:r w:rsidRPr="00975DCB">
        <w:rPr>
          <w:rFonts w:ascii="Arial Narrow" w:hAnsi="Arial Narrow"/>
          <w:b/>
          <w:bCs/>
          <w:lang w:eastAsia="sk-SK"/>
        </w:rPr>
        <w:t xml:space="preserve"> </w:t>
      </w:r>
      <w:r>
        <w:rPr>
          <w:rFonts w:ascii="Arial Narrow" w:hAnsi="Arial Narrow"/>
          <w:b/>
          <w:bCs/>
          <w:lang w:eastAsia="sk-SK"/>
        </w:rPr>
        <w:t xml:space="preserve">záväzne </w:t>
      </w:r>
      <w:r w:rsidRPr="00975DCB">
        <w:rPr>
          <w:rFonts w:ascii="Arial Narrow" w:hAnsi="Arial Narrow"/>
          <w:b/>
          <w:bCs/>
          <w:lang w:eastAsia="sk-SK"/>
        </w:rPr>
        <w:t xml:space="preserve">stanovuje </w:t>
      </w:r>
      <w:r w:rsidR="00F674FB">
        <w:rPr>
          <w:rFonts w:ascii="Arial Narrow" w:hAnsi="Arial Narrow"/>
          <w:b/>
          <w:bCs/>
          <w:lang w:eastAsia="sk-SK"/>
        </w:rPr>
        <w:t xml:space="preserve">trajektóriu povoleného </w:t>
      </w:r>
      <w:r>
        <w:rPr>
          <w:rFonts w:ascii="Arial Narrow" w:hAnsi="Arial Narrow"/>
          <w:b/>
          <w:bCs/>
          <w:lang w:eastAsia="sk-SK"/>
        </w:rPr>
        <w:t>rast</w:t>
      </w:r>
      <w:r w:rsidR="00F674FB">
        <w:rPr>
          <w:rFonts w:ascii="Arial Narrow" w:hAnsi="Arial Narrow"/>
          <w:b/>
          <w:bCs/>
          <w:lang w:eastAsia="sk-SK"/>
        </w:rPr>
        <w:t>u čistých</w:t>
      </w:r>
      <w:r w:rsidRPr="00975DCB">
        <w:rPr>
          <w:rFonts w:ascii="Arial Narrow" w:hAnsi="Arial Narrow"/>
          <w:b/>
          <w:bCs/>
          <w:lang w:eastAsia="sk-SK"/>
        </w:rPr>
        <w:t xml:space="preserve"> verejných výdavkov</w:t>
      </w:r>
      <w:r>
        <w:rPr>
          <w:rFonts w:ascii="Arial Narrow" w:hAnsi="Arial Narrow"/>
          <w:b/>
          <w:bCs/>
          <w:lang w:eastAsia="sk-SK"/>
        </w:rPr>
        <w:t xml:space="preserve"> </w:t>
      </w:r>
      <w:r w:rsidRPr="00975DCB">
        <w:rPr>
          <w:rFonts w:ascii="Arial Narrow" w:hAnsi="Arial Narrow"/>
          <w:b/>
          <w:bCs/>
          <w:lang w:eastAsia="sk-SK"/>
        </w:rPr>
        <w:t>a</w:t>
      </w:r>
      <w:r w:rsidR="00A551E6">
        <w:rPr>
          <w:rFonts w:ascii="Arial Narrow" w:hAnsi="Arial Narrow"/>
          <w:b/>
          <w:bCs/>
          <w:lang w:eastAsia="sk-SK"/>
        </w:rPr>
        <w:t xml:space="preserve"> </w:t>
      </w:r>
      <w:r w:rsidRPr="00975DCB">
        <w:rPr>
          <w:rFonts w:ascii="Arial Narrow" w:hAnsi="Arial Narrow"/>
          <w:b/>
          <w:bCs/>
          <w:lang w:eastAsia="sk-SK"/>
        </w:rPr>
        <w:t xml:space="preserve">reformné </w:t>
      </w:r>
      <w:r w:rsidR="00A551E6">
        <w:rPr>
          <w:rFonts w:ascii="Arial Narrow" w:hAnsi="Arial Narrow"/>
          <w:b/>
          <w:bCs/>
          <w:lang w:eastAsia="sk-SK"/>
        </w:rPr>
        <w:t xml:space="preserve">a investičné </w:t>
      </w:r>
      <w:r w:rsidRPr="00975DCB">
        <w:rPr>
          <w:rFonts w:ascii="Arial Narrow" w:hAnsi="Arial Narrow"/>
          <w:b/>
          <w:bCs/>
          <w:lang w:eastAsia="sk-SK"/>
        </w:rPr>
        <w:t xml:space="preserve">priority na </w:t>
      </w:r>
      <w:r>
        <w:rPr>
          <w:rFonts w:ascii="Arial Narrow" w:hAnsi="Arial Narrow"/>
          <w:b/>
          <w:bCs/>
          <w:lang w:eastAsia="sk-SK"/>
        </w:rPr>
        <w:t>ďalšie</w:t>
      </w:r>
      <w:r w:rsidRPr="00975DCB">
        <w:rPr>
          <w:rFonts w:ascii="Arial Narrow" w:hAnsi="Arial Narrow"/>
          <w:b/>
          <w:bCs/>
          <w:lang w:eastAsia="sk-SK"/>
        </w:rPr>
        <w:t xml:space="preserve"> </w:t>
      </w:r>
      <w:r>
        <w:rPr>
          <w:rFonts w:ascii="Arial Narrow" w:hAnsi="Arial Narrow"/>
          <w:b/>
          <w:bCs/>
          <w:lang w:eastAsia="sk-SK"/>
        </w:rPr>
        <w:t>štyri</w:t>
      </w:r>
      <w:r w:rsidRPr="00975DCB">
        <w:rPr>
          <w:rFonts w:ascii="Arial Narrow" w:hAnsi="Arial Narrow"/>
          <w:b/>
          <w:bCs/>
          <w:lang w:eastAsia="sk-SK"/>
        </w:rPr>
        <w:t xml:space="preserve"> roky. </w:t>
      </w:r>
      <w:r w:rsidRPr="00975DCB">
        <w:rPr>
          <w:rFonts w:ascii="Arial Narrow" w:hAnsi="Arial Narrow"/>
        </w:rPr>
        <w:t>Nové</w:t>
      </w:r>
      <w:r w:rsidR="000E1AB3">
        <w:rPr>
          <w:rFonts w:ascii="Arial Narrow" w:hAnsi="Arial Narrow"/>
        </w:rPr>
        <w:t xml:space="preserve"> európske</w:t>
      </w:r>
      <w:r w:rsidRPr="00975DCB">
        <w:rPr>
          <w:rFonts w:ascii="Arial Narrow" w:hAnsi="Arial Narrow"/>
        </w:rPr>
        <w:t xml:space="preserve"> pravidlá majú </w:t>
      </w:r>
      <w:r>
        <w:rPr>
          <w:rFonts w:ascii="Arial Narrow" w:hAnsi="Arial Narrow"/>
        </w:rPr>
        <w:t xml:space="preserve">za </w:t>
      </w:r>
      <w:r w:rsidRPr="00975DCB">
        <w:rPr>
          <w:rFonts w:ascii="Arial Narrow" w:hAnsi="Arial Narrow"/>
        </w:rPr>
        <w:t xml:space="preserve">cieľ nastaviť také tempo konsolidácie pre najbližšie roky, aby sa dlh a deficit </w:t>
      </w:r>
      <w:r>
        <w:rPr>
          <w:rFonts w:ascii="Arial Narrow" w:hAnsi="Arial Narrow"/>
        </w:rPr>
        <w:t xml:space="preserve">hospodárenia </w:t>
      </w:r>
      <w:r w:rsidRPr="00975DCB">
        <w:rPr>
          <w:rFonts w:ascii="Arial Narrow" w:hAnsi="Arial Narrow"/>
        </w:rPr>
        <w:t>udržali pod hranicami 60</w:t>
      </w:r>
      <w:r w:rsidR="00A551E6">
        <w:rPr>
          <w:rFonts w:ascii="Arial Narrow" w:hAnsi="Arial Narrow"/>
        </w:rPr>
        <w:t xml:space="preserve"> </w:t>
      </w:r>
      <w:r>
        <w:rPr>
          <w:rFonts w:ascii="Arial Narrow" w:hAnsi="Arial Narrow"/>
        </w:rPr>
        <w:t>%</w:t>
      </w:r>
      <w:r w:rsidR="00076F11">
        <w:rPr>
          <w:rFonts w:ascii="Arial Narrow" w:hAnsi="Arial Narrow"/>
        </w:rPr>
        <w:t>,</w:t>
      </w:r>
      <w:r w:rsidRPr="00975DCB">
        <w:rPr>
          <w:rFonts w:ascii="Arial Narrow" w:hAnsi="Arial Narrow"/>
        </w:rPr>
        <w:t xml:space="preserve"> resp. 3</w:t>
      </w:r>
      <w:r>
        <w:rPr>
          <w:rFonts w:ascii="Arial Narrow" w:hAnsi="Arial Narrow"/>
        </w:rPr>
        <w:t xml:space="preserve"> </w:t>
      </w:r>
      <w:r w:rsidRPr="00975DCB">
        <w:rPr>
          <w:rFonts w:ascii="Arial Narrow" w:hAnsi="Arial Narrow"/>
        </w:rPr>
        <w:t>%</w:t>
      </w:r>
      <w:r>
        <w:rPr>
          <w:rFonts w:ascii="Arial Narrow" w:hAnsi="Arial Narrow"/>
        </w:rPr>
        <w:t xml:space="preserve"> HDP</w:t>
      </w:r>
      <w:r w:rsidRPr="00975DCB">
        <w:rPr>
          <w:rFonts w:ascii="Arial Narrow" w:hAnsi="Arial Narrow"/>
        </w:rPr>
        <w:t xml:space="preserve"> aj </w:t>
      </w:r>
      <w:r w:rsidR="00D07A7F">
        <w:rPr>
          <w:rFonts w:ascii="Arial Narrow" w:hAnsi="Arial Narrow"/>
        </w:rPr>
        <w:t>desať rokov po horizonte strednodobého plánu.</w:t>
      </w:r>
      <w:r w:rsidRPr="00975DCB">
        <w:rPr>
          <w:rFonts w:ascii="Arial Narrow" w:hAnsi="Arial Narrow"/>
        </w:rPr>
        <w:t xml:space="preserve"> V dôsledku toho musí Slovensko, </w:t>
      </w:r>
      <w:r>
        <w:rPr>
          <w:rFonts w:ascii="Arial Narrow" w:hAnsi="Arial Narrow"/>
        </w:rPr>
        <w:t xml:space="preserve">ako </w:t>
      </w:r>
      <w:r w:rsidRPr="00975DCB">
        <w:rPr>
          <w:rFonts w:ascii="Arial Narrow" w:hAnsi="Arial Narrow"/>
        </w:rPr>
        <w:t xml:space="preserve">krajina výrazne čeliaca </w:t>
      </w:r>
      <w:r>
        <w:rPr>
          <w:rFonts w:ascii="Arial Narrow" w:hAnsi="Arial Narrow"/>
        </w:rPr>
        <w:t>demografickému tlaku</w:t>
      </w:r>
      <w:r w:rsidRPr="00975DCB">
        <w:rPr>
          <w:rFonts w:ascii="Arial Narrow" w:hAnsi="Arial Narrow"/>
        </w:rPr>
        <w:t xml:space="preserve"> populácie, už do niekoľkých rokov dosiahnuť </w:t>
      </w:r>
      <w:r>
        <w:rPr>
          <w:rFonts w:ascii="Arial Narrow" w:hAnsi="Arial Narrow"/>
        </w:rPr>
        <w:t xml:space="preserve">rozpočtovú </w:t>
      </w:r>
      <w:r w:rsidRPr="00975DCB">
        <w:rPr>
          <w:rFonts w:ascii="Arial Narrow" w:hAnsi="Arial Narrow"/>
        </w:rPr>
        <w:t xml:space="preserve">pozíciu </w:t>
      </w:r>
      <w:r w:rsidRPr="00CF072B">
        <w:rPr>
          <w:rFonts w:ascii="Arial Narrow" w:hAnsi="Arial Narrow"/>
        </w:rPr>
        <w:t xml:space="preserve">blízko vyrovnaného </w:t>
      </w:r>
      <w:r w:rsidR="00CF072B">
        <w:rPr>
          <w:rFonts w:ascii="Arial Narrow" w:hAnsi="Arial Narrow"/>
        </w:rPr>
        <w:t>hospodárenia</w:t>
      </w:r>
      <w:r>
        <w:rPr>
          <w:rFonts w:ascii="Arial Narrow" w:hAnsi="Arial Narrow"/>
        </w:rPr>
        <w:t>.</w:t>
      </w:r>
      <w:r w:rsidRPr="00975DCB">
        <w:rPr>
          <w:rFonts w:ascii="Arial Narrow" w:hAnsi="Arial Narrow"/>
        </w:rPr>
        <w:t xml:space="preserve"> </w:t>
      </w:r>
      <w:r>
        <w:rPr>
          <w:rFonts w:ascii="Arial Narrow" w:hAnsi="Arial Narrow"/>
        </w:rPr>
        <w:t>Tým</w:t>
      </w:r>
      <w:r w:rsidRPr="00975DCB">
        <w:rPr>
          <w:rFonts w:ascii="Arial Narrow" w:hAnsi="Arial Narrow"/>
        </w:rPr>
        <w:t xml:space="preserve"> sa vytvor</w:t>
      </w:r>
      <w:r>
        <w:rPr>
          <w:rFonts w:ascii="Arial Narrow" w:hAnsi="Arial Narrow"/>
        </w:rPr>
        <w:t>í</w:t>
      </w:r>
      <w:r w:rsidRPr="00975DCB">
        <w:rPr>
          <w:rFonts w:ascii="Arial Narrow" w:hAnsi="Arial Narrow"/>
        </w:rPr>
        <w:t xml:space="preserve"> priestor na absorbovanie budúcich nákladov</w:t>
      </w:r>
      <w:r>
        <w:rPr>
          <w:rFonts w:ascii="Arial Narrow" w:hAnsi="Arial Narrow"/>
        </w:rPr>
        <w:t xml:space="preserve"> starnutia populácie, </w:t>
      </w:r>
      <w:r w:rsidRPr="00975DCB">
        <w:rPr>
          <w:rFonts w:ascii="Arial Narrow" w:hAnsi="Arial Narrow"/>
        </w:rPr>
        <w:t>a</w:t>
      </w:r>
      <w:r>
        <w:rPr>
          <w:rFonts w:ascii="Arial Narrow" w:hAnsi="Arial Narrow"/>
        </w:rPr>
        <w:t>by</w:t>
      </w:r>
      <w:r w:rsidRPr="00975DCB">
        <w:rPr>
          <w:rFonts w:ascii="Arial Narrow" w:hAnsi="Arial Narrow"/>
        </w:rPr>
        <w:t xml:space="preserve"> dlh ani deficit stanovené referenčné úrovne</w:t>
      </w:r>
      <w:r>
        <w:rPr>
          <w:rFonts w:ascii="Arial Narrow" w:hAnsi="Arial Narrow"/>
        </w:rPr>
        <w:t xml:space="preserve"> následne </w:t>
      </w:r>
      <w:r w:rsidRPr="00975DCB">
        <w:rPr>
          <w:rFonts w:ascii="Arial Narrow" w:hAnsi="Arial Narrow"/>
        </w:rPr>
        <w:t xml:space="preserve">nepresiahol. S cieľom zjednodušiť </w:t>
      </w:r>
      <w:r w:rsidR="001049F1">
        <w:rPr>
          <w:rFonts w:ascii="Arial Narrow" w:hAnsi="Arial Narrow"/>
        </w:rPr>
        <w:t xml:space="preserve">európske rozpočtové </w:t>
      </w:r>
      <w:r w:rsidRPr="00975DCB">
        <w:rPr>
          <w:rFonts w:ascii="Arial Narrow" w:hAnsi="Arial Narrow"/>
        </w:rPr>
        <w:t>pravidlá a posilniť ich proti-cyklickosť sa zavádza</w:t>
      </w:r>
      <w:r>
        <w:rPr>
          <w:rFonts w:ascii="Arial Narrow" w:hAnsi="Arial Narrow"/>
        </w:rPr>
        <w:t>jú</w:t>
      </w:r>
      <w:r w:rsidRPr="00975DCB">
        <w:rPr>
          <w:rFonts w:ascii="Arial Narrow" w:hAnsi="Arial Narrow"/>
        </w:rPr>
        <w:t xml:space="preserve"> </w:t>
      </w:r>
      <w:r>
        <w:rPr>
          <w:rFonts w:ascii="Arial Narrow" w:hAnsi="Arial Narrow"/>
        </w:rPr>
        <w:t xml:space="preserve">na dosiahnutie týchto cieľov každoročné limity na </w:t>
      </w:r>
      <w:r w:rsidRPr="00975DCB">
        <w:rPr>
          <w:rFonts w:ascii="Arial Narrow" w:hAnsi="Arial Narrow"/>
        </w:rPr>
        <w:t>rast čistých výdavkov</w:t>
      </w:r>
      <w:r>
        <w:rPr>
          <w:rFonts w:ascii="Arial Narrow" w:hAnsi="Arial Narrow"/>
        </w:rPr>
        <w:t xml:space="preserve">, ako </w:t>
      </w:r>
      <w:r w:rsidRPr="00975DCB">
        <w:rPr>
          <w:rFonts w:ascii="Arial Narrow" w:hAnsi="Arial Narrow"/>
        </w:rPr>
        <w:t>jediný záväzný operatívny nástroj</w:t>
      </w:r>
      <w:r>
        <w:rPr>
          <w:rFonts w:ascii="Arial Narrow" w:hAnsi="Arial Narrow"/>
        </w:rPr>
        <w:t>, ktorého plnenie sa následne bude vy</w:t>
      </w:r>
      <w:r w:rsidR="00822399">
        <w:rPr>
          <w:rFonts w:ascii="Arial Narrow" w:hAnsi="Arial Narrow"/>
        </w:rPr>
        <w:t>žad</w:t>
      </w:r>
      <w:r>
        <w:rPr>
          <w:rFonts w:ascii="Arial Narrow" w:hAnsi="Arial Narrow"/>
        </w:rPr>
        <w:t>ovať</w:t>
      </w:r>
      <w:r w:rsidRPr="00975DCB">
        <w:rPr>
          <w:rFonts w:ascii="Arial Narrow" w:hAnsi="Arial Narrow"/>
        </w:rPr>
        <w:t xml:space="preserve">. </w:t>
      </w:r>
    </w:p>
    <w:p w14:paraId="200E17ED" w14:textId="4600F726" w:rsidR="002A0289" w:rsidRPr="00E349A2" w:rsidRDefault="002A0289" w:rsidP="002A0289">
      <w:pPr>
        <w:jc w:val="both"/>
        <w:rPr>
          <w:rFonts w:ascii="Arial Narrow" w:hAnsi="Arial Narrow"/>
        </w:rPr>
      </w:pPr>
      <w:r w:rsidRPr="00975DCB">
        <w:rPr>
          <w:rFonts w:ascii="Arial Narrow" w:hAnsi="Arial Narrow"/>
          <w:b/>
          <w:bCs/>
        </w:rPr>
        <w:t xml:space="preserve">Vláda </w:t>
      </w:r>
      <w:r>
        <w:rPr>
          <w:rFonts w:ascii="Arial Narrow" w:hAnsi="Arial Narrow"/>
          <w:b/>
          <w:bCs/>
        </w:rPr>
        <w:t>v</w:t>
      </w:r>
      <w:r w:rsidR="007D2D1D">
        <w:rPr>
          <w:rFonts w:ascii="Arial Narrow" w:hAnsi="Arial Narrow"/>
          <w:b/>
          <w:bCs/>
        </w:rPr>
        <w:t xml:space="preserve"> strednodobom </w:t>
      </w:r>
      <w:r>
        <w:rPr>
          <w:rFonts w:ascii="Arial Narrow" w:hAnsi="Arial Narrow"/>
          <w:b/>
          <w:bCs/>
        </w:rPr>
        <w:t xml:space="preserve">pláne </w:t>
      </w:r>
      <w:r w:rsidRPr="00975DCB">
        <w:rPr>
          <w:rFonts w:ascii="Arial Narrow" w:hAnsi="Arial Narrow"/>
          <w:b/>
          <w:bCs/>
        </w:rPr>
        <w:t xml:space="preserve">stanovuje </w:t>
      </w:r>
      <w:r>
        <w:rPr>
          <w:rFonts w:ascii="Arial Narrow" w:hAnsi="Arial Narrow"/>
          <w:b/>
          <w:bCs/>
        </w:rPr>
        <w:t>do roku 2028 maximálny</w:t>
      </w:r>
      <w:r w:rsidRPr="00975DCB">
        <w:rPr>
          <w:rFonts w:ascii="Arial Narrow" w:hAnsi="Arial Narrow"/>
          <w:b/>
          <w:bCs/>
        </w:rPr>
        <w:t xml:space="preserve"> rast čistých výdavkov, ktor</w:t>
      </w:r>
      <w:r>
        <w:rPr>
          <w:rFonts w:ascii="Arial Narrow" w:hAnsi="Arial Narrow"/>
          <w:b/>
          <w:bCs/>
        </w:rPr>
        <w:t>ý má viesť k postupnému poklesu deficitu približne o 1 % HDP ročne a</w:t>
      </w:r>
      <w:r w:rsidR="00BD010C">
        <w:rPr>
          <w:rFonts w:ascii="Arial Narrow" w:hAnsi="Arial Narrow"/>
          <w:b/>
          <w:bCs/>
        </w:rPr>
        <w:t xml:space="preserve"> k </w:t>
      </w:r>
      <w:r w:rsidRPr="00975DCB">
        <w:rPr>
          <w:rFonts w:ascii="Arial Narrow" w:hAnsi="Arial Narrow"/>
          <w:b/>
          <w:bCs/>
        </w:rPr>
        <w:t>stabilizáci</w:t>
      </w:r>
      <w:r>
        <w:rPr>
          <w:rFonts w:ascii="Arial Narrow" w:hAnsi="Arial Narrow"/>
          <w:b/>
          <w:bCs/>
        </w:rPr>
        <w:t>i</w:t>
      </w:r>
      <w:r w:rsidRPr="00975DCB">
        <w:rPr>
          <w:rFonts w:ascii="Arial Narrow" w:hAnsi="Arial Narrow"/>
          <w:b/>
          <w:bCs/>
        </w:rPr>
        <w:t xml:space="preserve"> </w:t>
      </w:r>
      <w:r>
        <w:rPr>
          <w:rFonts w:ascii="Arial Narrow" w:hAnsi="Arial Narrow"/>
          <w:b/>
          <w:bCs/>
        </w:rPr>
        <w:t xml:space="preserve">vývoja </w:t>
      </w:r>
      <w:r w:rsidRPr="00975DCB">
        <w:rPr>
          <w:rFonts w:ascii="Arial Narrow" w:hAnsi="Arial Narrow"/>
          <w:b/>
          <w:bCs/>
        </w:rPr>
        <w:t>verejného dlhu</w:t>
      </w:r>
      <w:r>
        <w:rPr>
          <w:rFonts w:ascii="Arial Narrow" w:hAnsi="Arial Narrow"/>
          <w:b/>
          <w:bCs/>
        </w:rPr>
        <w:t>.</w:t>
      </w:r>
      <w:r w:rsidRPr="00975DCB">
        <w:rPr>
          <w:rFonts w:ascii="Arial Narrow" w:hAnsi="Arial Narrow"/>
          <w:b/>
          <w:bCs/>
        </w:rPr>
        <w:t xml:space="preserve"> </w:t>
      </w:r>
      <w:r w:rsidRPr="001613CD">
        <w:rPr>
          <w:rFonts w:ascii="Arial Narrow" w:hAnsi="Arial Narrow"/>
        </w:rPr>
        <w:t xml:space="preserve">Vláda sa rozhodla </w:t>
      </w:r>
      <w:r>
        <w:rPr>
          <w:rFonts w:ascii="Arial Narrow" w:hAnsi="Arial Narrow"/>
        </w:rPr>
        <w:t>prijať 4-ročný konsolidačný plán v kontexte svojho cieľa stabilizovať dlh</w:t>
      </w:r>
      <w:r w:rsidR="004214F6">
        <w:rPr>
          <w:rFonts w:ascii="Arial Narrow" w:hAnsi="Arial Narrow"/>
        </w:rPr>
        <w:t xml:space="preserve"> už</w:t>
      </w:r>
      <w:r>
        <w:rPr>
          <w:rFonts w:ascii="Arial Narrow" w:hAnsi="Arial Narrow"/>
        </w:rPr>
        <w:t xml:space="preserve"> do konca volebného obdobia. </w:t>
      </w:r>
      <w:r w:rsidRPr="00975DCB">
        <w:rPr>
          <w:rFonts w:ascii="Arial Narrow" w:hAnsi="Arial Narrow"/>
        </w:rPr>
        <w:t xml:space="preserve">Do roku 2028 strednodobý plán </w:t>
      </w:r>
      <w:r>
        <w:rPr>
          <w:rFonts w:ascii="Arial Narrow" w:hAnsi="Arial Narrow"/>
        </w:rPr>
        <w:t xml:space="preserve">cieli </w:t>
      </w:r>
      <w:r w:rsidRPr="00975DCB">
        <w:rPr>
          <w:rFonts w:ascii="Arial Narrow" w:hAnsi="Arial Narrow"/>
        </w:rPr>
        <w:t xml:space="preserve">celkový pokles deficitu </w:t>
      </w:r>
      <w:r w:rsidR="00186BC1">
        <w:rPr>
          <w:rFonts w:ascii="Arial Narrow" w:hAnsi="Arial Narrow"/>
        </w:rPr>
        <w:t>k</w:t>
      </w:r>
      <w:r w:rsidRPr="00975DCB">
        <w:rPr>
          <w:rFonts w:ascii="Arial Narrow" w:hAnsi="Arial Narrow"/>
        </w:rPr>
        <w:t xml:space="preserve"> 2 % HDP, </w:t>
      </w:r>
      <w:r>
        <w:rPr>
          <w:rFonts w:ascii="Arial Narrow" w:hAnsi="Arial Narrow"/>
        </w:rPr>
        <w:t>kedy</w:t>
      </w:r>
      <w:r w:rsidRPr="00975DCB">
        <w:rPr>
          <w:rFonts w:ascii="Arial Narrow" w:hAnsi="Arial Narrow"/>
        </w:rPr>
        <w:t xml:space="preserve"> by už mal dlh v pomere k HDP </w:t>
      </w:r>
      <w:r>
        <w:rPr>
          <w:rFonts w:ascii="Arial Narrow" w:hAnsi="Arial Narrow"/>
        </w:rPr>
        <w:t>začať</w:t>
      </w:r>
      <w:r w:rsidRPr="00975DCB">
        <w:rPr>
          <w:rFonts w:ascii="Arial Narrow" w:hAnsi="Arial Narrow"/>
        </w:rPr>
        <w:t xml:space="preserve"> medziročne klesať.</w:t>
      </w:r>
      <w:r w:rsidR="00F53C49">
        <w:rPr>
          <w:rFonts w:ascii="Arial Narrow" w:hAnsi="Arial Narrow"/>
        </w:rPr>
        <w:t xml:space="preserve"> Maximálny rast čistých výdavkov do roku 2028 je na úrovni 8,1</w:t>
      </w:r>
      <w:r w:rsidR="00D07A7F">
        <w:rPr>
          <w:rFonts w:ascii="Arial Narrow" w:hAnsi="Arial Narrow"/>
        </w:rPr>
        <w:t> </w:t>
      </w:r>
      <w:r w:rsidR="00F53C49">
        <w:rPr>
          <w:rFonts w:ascii="Arial Narrow" w:hAnsi="Arial Narrow"/>
        </w:rPr>
        <w:t>%</w:t>
      </w:r>
      <w:r w:rsidRPr="00975DCB">
        <w:rPr>
          <w:rFonts w:ascii="Arial Narrow" w:hAnsi="Arial Narrow"/>
        </w:rPr>
        <w:t xml:space="preserve"> </w:t>
      </w:r>
      <w:r w:rsidRPr="00672433">
        <w:rPr>
          <w:rFonts w:ascii="Arial Narrow" w:hAnsi="Arial Narrow"/>
        </w:rPr>
        <w:t>V nasledujúcich rokoch bud</w:t>
      </w:r>
      <w:r w:rsidR="000E1AB3">
        <w:rPr>
          <w:rFonts w:ascii="Arial Narrow" w:hAnsi="Arial Narrow"/>
        </w:rPr>
        <w:t>ú</w:t>
      </w:r>
      <w:r w:rsidRPr="00672433">
        <w:rPr>
          <w:rFonts w:ascii="Arial Narrow" w:hAnsi="Arial Narrow"/>
        </w:rPr>
        <w:t xml:space="preserve"> v jednotlivých návrho</w:t>
      </w:r>
      <w:r>
        <w:rPr>
          <w:rFonts w:ascii="Arial Narrow" w:hAnsi="Arial Narrow"/>
        </w:rPr>
        <w:t>ch</w:t>
      </w:r>
      <w:r w:rsidRPr="00672433">
        <w:rPr>
          <w:rFonts w:ascii="Arial Narrow" w:hAnsi="Arial Narrow"/>
        </w:rPr>
        <w:t xml:space="preserve"> rozpočt</w:t>
      </w:r>
      <w:r>
        <w:rPr>
          <w:rFonts w:ascii="Arial Narrow" w:hAnsi="Arial Narrow"/>
        </w:rPr>
        <w:t>u</w:t>
      </w:r>
      <w:r w:rsidRPr="00672433">
        <w:rPr>
          <w:rFonts w:ascii="Arial Narrow" w:hAnsi="Arial Narrow"/>
        </w:rPr>
        <w:t xml:space="preserve"> špecifikova</w:t>
      </w:r>
      <w:r w:rsidR="000E1AB3">
        <w:rPr>
          <w:rFonts w:ascii="Arial Narrow" w:hAnsi="Arial Narrow"/>
        </w:rPr>
        <w:t>né</w:t>
      </w:r>
      <w:r w:rsidRPr="00672433">
        <w:rPr>
          <w:rFonts w:ascii="Arial Narrow" w:hAnsi="Arial Narrow"/>
        </w:rPr>
        <w:t xml:space="preserve"> opatrenia</w:t>
      </w:r>
      <w:r w:rsidR="000E1AB3">
        <w:rPr>
          <w:rFonts w:ascii="Arial Narrow" w:hAnsi="Arial Narrow"/>
        </w:rPr>
        <w:t xml:space="preserve"> na naplnenie týchto cieľov.</w:t>
      </w:r>
    </w:p>
    <w:tbl>
      <w:tblPr>
        <w:tblpPr w:leftFromText="141" w:rightFromText="141" w:vertAnchor="text" w:horzAnchor="margin" w:tblpY="61"/>
        <w:tblOverlap w:val="never"/>
        <w:tblW w:w="5116"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4650"/>
        <w:gridCol w:w="146"/>
        <w:gridCol w:w="4486"/>
      </w:tblGrid>
      <w:tr w:rsidR="002A0289" w:rsidRPr="00C1586F" w14:paraId="1AA7EAD1" w14:textId="77777777" w:rsidTr="002E433C">
        <w:trPr>
          <w:trHeight w:val="339"/>
        </w:trPr>
        <w:tc>
          <w:tcPr>
            <w:tcW w:w="2520" w:type="pct"/>
            <w:tcBorders>
              <w:top w:val="nil"/>
              <w:left w:val="nil"/>
              <w:bottom w:val="single" w:sz="4" w:space="0" w:color="auto"/>
              <w:right w:val="nil"/>
            </w:tcBorders>
            <w:shd w:val="clear" w:color="auto" w:fill="auto"/>
          </w:tcPr>
          <w:p w14:paraId="57B89665" w14:textId="28DA53B3" w:rsidR="002A0289" w:rsidRPr="002E433C" w:rsidRDefault="004214F6" w:rsidP="00616580">
            <w:pPr>
              <w:widowControl w:val="0"/>
              <w:spacing w:before="40" w:after="40"/>
              <w:jc w:val="both"/>
              <w:rPr>
                <w:rFonts w:ascii="Arial Narrow" w:eastAsia="NeueHaasGroteskText W02" w:hAnsi="Arial Narrow" w:cs="Arial"/>
                <w:b/>
                <w:bCs/>
                <w:color w:val="2C9ADC"/>
                <w:sz w:val="20"/>
                <w:szCs w:val="20"/>
                <w:u w:color="2C9ADC"/>
              </w:rPr>
            </w:pPr>
            <w:r w:rsidRPr="00F6360F">
              <w:rPr>
                <w:rFonts w:ascii="Arial Narrow" w:eastAsia="NeueHaasGroteskText W02" w:hAnsi="Arial Narrow" w:cs="Arial"/>
                <w:b/>
                <w:bCs/>
                <w:color w:val="2C9ADC"/>
                <w:sz w:val="20"/>
                <w:szCs w:val="20"/>
                <w:u w:color="2C9ADC"/>
              </w:rPr>
              <w:t>Plánovaný deficit hospodárenia verejnej správy</w:t>
            </w:r>
            <w:r w:rsidR="002E433C">
              <w:rPr>
                <w:rFonts w:ascii="Arial Narrow" w:eastAsia="NeueHaasGroteskText W02" w:hAnsi="Arial Narrow" w:cs="Arial"/>
                <w:b/>
                <w:bCs/>
                <w:color w:val="2C9ADC"/>
                <w:sz w:val="20"/>
                <w:szCs w:val="20"/>
                <w:u w:color="2C9ADC"/>
              </w:rPr>
              <w:t xml:space="preserve"> </w:t>
            </w:r>
            <w:r w:rsidR="002A0289" w:rsidRPr="00F6360F">
              <w:rPr>
                <w:rFonts w:ascii="Arial Narrow" w:eastAsia="NeueHaasGroteskText W02" w:hAnsi="Arial Narrow" w:cs="Arial"/>
                <w:b/>
                <w:bCs/>
                <w:color w:val="2C9ADC"/>
                <w:sz w:val="20"/>
                <w:szCs w:val="20"/>
                <w:u w:color="2C9ADC"/>
              </w:rPr>
              <w:t>(% HDP)</w:t>
            </w:r>
          </w:p>
        </w:tc>
        <w:tc>
          <w:tcPr>
            <w:tcW w:w="79" w:type="pct"/>
            <w:tcBorders>
              <w:top w:val="nil"/>
              <w:left w:val="nil"/>
              <w:bottom w:val="nil"/>
              <w:right w:val="nil"/>
            </w:tcBorders>
            <w:shd w:val="clear" w:color="auto" w:fill="auto"/>
          </w:tcPr>
          <w:p w14:paraId="5F6E7C7A" w14:textId="77777777" w:rsidR="002A0289" w:rsidRPr="00C1586F" w:rsidRDefault="002A0289" w:rsidP="00616580">
            <w:pPr>
              <w:widowControl w:val="0"/>
              <w:spacing w:before="60" w:after="60"/>
              <w:rPr>
                <w:rFonts w:ascii="Arial Narrow" w:hAnsi="Arial Narrow" w:cs="Arial"/>
                <w:b/>
                <w:color w:val="2C9ADC"/>
                <w:sz w:val="20"/>
                <w:szCs w:val="20"/>
                <w:highlight w:val="yellow"/>
              </w:rPr>
            </w:pPr>
          </w:p>
        </w:tc>
        <w:tc>
          <w:tcPr>
            <w:tcW w:w="2402" w:type="pct"/>
            <w:tcBorders>
              <w:top w:val="nil"/>
              <w:left w:val="nil"/>
              <w:bottom w:val="single" w:sz="4" w:space="0" w:color="auto"/>
              <w:right w:val="nil"/>
            </w:tcBorders>
            <w:shd w:val="clear" w:color="auto" w:fill="auto"/>
          </w:tcPr>
          <w:p w14:paraId="2CAA41B8" w14:textId="12998788" w:rsidR="002A0289" w:rsidRPr="00C1586F" w:rsidRDefault="002A0289" w:rsidP="00616580">
            <w:pPr>
              <w:widowControl w:val="0"/>
              <w:spacing w:before="40" w:after="40"/>
              <w:jc w:val="both"/>
              <w:rPr>
                <w:rFonts w:ascii="Arial Narrow" w:hAnsi="Arial Narrow"/>
                <w:b/>
                <w:color w:val="2C9ADC"/>
                <w:sz w:val="20"/>
                <w:szCs w:val="20"/>
                <w:highlight w:val="yellow"/>
              </w:rPr>
            </w:pPr>
            <w:r w:rsidRPr="0066028D">
              <w:rPr>
                <w:rFonts w:ascii="Arial Narrow" w:eastAsia="NeueHaasGroteskText W02" w:hAnsi="Arial Narrow" w:cs="Arial"/>
                <w:b/>
                <w:bCs/>
                <w:color w:val="2C9ADC"/>
                <w:sz w:val="20"/>
                <w:szCs w:val="20"/>
                <w:u w:color="2C9ADC"/>
              </w:rPr>
              <w:t>Prognóza hrubého dlhu (</w:t>
            </w:r>
            <w:r w:rsidRPr="001613CD">
              <w:rPr>
                <w:rFonts w:ascii="Arial Narrow" w:eastAsia="NeueHaasGroteskText W02" w:hAnsi="Arial Narrow" w:cs="Arial"/>
                <w:b/>
                <w:bCs/>
                <w:color w:val="2C9ADC"/>
                <w:sz w:val="20"/>
                <w:szCs w:val="20"/>
                <w:u w:color="2C9ADC"/>
              </w:rPr>
              <w:t>% HDP)</w:t>
            </w:r>
          </w:p>
        </w:tc>
      </w:tr>
      <w:tr w:rsidR="002A0289" w:rsidRPr="00C1586F" w14:paraId="49EF038B" w14:textId="77777777" w:rsidTr="002E433C">
        <w:trPr>
          <w:trHeight w:val="866"/>
        </w:trPr>
        <w:tc>
          <w:tcPr>
            <w:tcW w:w="2520" w:type="pct"/>
            <w:tcBorders>
              <w:top w:val="single" w:sz="4" w:space="0" w:color="auto"/>
              <w:left w:val="nil"/>
              <w:bottom w:val="single" w:sz="4" w:space="0" w:color="auto"/>
              <w:right w:val="nil"/>
            </w:tcBorders>
            <w:vAlign w:val="center"/>
          </w:tcPr>
          <w:p w14:paraId="36E80587" w14:textId="62195DC8" w:rsidR="002A0289" w:rsidRPr="00C1586F" w:rsidRDefault="009B4584" w:rsidP="00616580">
            <w:pPr>
              <w:widowControl w:val="0"/>
              <w:spacing w:before="40" w:after="40"/>
              <w:jc w:val="center"/>
              <w:rPr>
                <w:rFonts w:ascii="Arial Narrow" w:hAnsi="Arial Narrow" w:cs="Arial"/>
                <w:sz w:val="20"/>
                <w:szCs w:val="20"/>
                <w:highlight w:val="yellow"/>
              </w:rPr>
            </w:pPr>
            <w:r>
              <w:rPr>
                <w:noProof/>
                <w:lang w:eastAsia="sk-SK"/>
              </w:rPr>
              <mc:AlternateContent>
                <mc:Choice Requires="wps">
                  <w:drawing>
                    <wp:anchor distT="0" distB="0" distL="114300" distR="114300" simplePos="0" relativeHeight="251680768" behindDoc="0" locked="0" layoutInCell="1" allowOverlap="1" wp14:anchorId="4F2DD834" wp14:editId="07A364AF">
                      <wp:simplePos x="0" y="0"/>
                      <wp:positionH relativeFrom="column">
                        <wp:posOffset>1715770</wp:posOffset>
                      </wp:positionH>
                      <wp:positionV relativeFrom="paragraph">
                        <wp:posOffset>961390</wp:posOffset>
                      </wp:positionV>
                      <wp:extent cx="1084580" cy="280035"/>
                      <wp:effectExtent l="0" t="0" r="0" b="5715"/>
                      <wp:wrapNone/>
                      <wp:docPr id="1144506213" name="Textové pole 1"/>
                      <wp:cNvGraphicFramePr/>
                      <a:graphic xmlns:a="http://schemas.openxmlformats.org/drawingml/2006/main">
                        <a:graphicData uri="http://schemas.microsoft.com/office/word/2010/wordprocessingShape">
                          <wps:wsp>
                            <wps:cNvSpPr txBox="1"/>
                            <wps:spPr>
                              <a:xfrm>
                                <a:off x="0" y="0"/>
                                <a:ext cx="1084580" cy="280035"/>
                              </a:xfrm>
                              <a:prstGeom prst="rect">
                                <a:avLst/>
                              </a:prstGeom>
                              <a:noFill/>
                              <a:ln w="6350">
                                <a:noFill/>
                              </a:ln>
                            </wps:spPr>
                            <wps:txbx>
                              <w:txbxContent>
                                <w:p w14:paraId="3C43B40A" w14:textId="42491596" w:rsidR="006D5279" w:rsidRPr="00EC0FB5" w:rsidRDefault="006D5279">
                                  <w:pPr>
                                    <w:rPr>
                                      <w:rFonts w:ascii="Arial Narrow" w:hAnsi="Arial Narrow"/>
                                      <w:color w:val="FF0000"/>
                                      <w:sz w:val="14"/>
                                      <w:szCs w:val="14"/>
                                    </w:rPr>
                                  </w:pPr>
                                  <w:r w:rsidRPr="00EC0FB5">
                                    <w:rPr>
                                      <w:rFonts w:ascii="Arial Narrow" w:hAnsi="Arial Narrow"/>
                                      <w:color w:val="FF0000"/>
                                      <w:sz w:val="14"/>
                                      <w:szCs w:val="14"/>
                                    </w:rPr>
                                    <w:t>referenčná úroveň deficitu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F2DD834" id="Textové pole 1" o:spid="_x0000_s1027" type="#_x0000_t202" style="position:absolute;left:0;text-align:left;margin-left:135.1pt;margin-top:75.7pt;width:85.4pt;height:22.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" filled="f" stroked="f" strokeweight=".5pt">
                      <v:textbox>
                        <w:txbxContent>
                          <w:p w14:paraId="3C43B40A" w14:textId="42491596" w:rsidR="006D5279" w:rsidRPr="00EC0FB5" w:rsidRDefault="006D5279">
                            <w:pPr>
                              <w:rPr>
                                <w:rFonts w:ascii="Arial Narrow" w:hAnsi="Arial Narrow"/>
                                <w:color w:val="FF0000"/>
                                <w:sz w:val="14"/>
                                <w:szCs w:val="14"/>
                              </w:rPr>
                            </w:pPr>
                            <w:r w:rsidRPr="00EC0FB5">
                              <w:rPr>
                                <w:rFonts w:ascii="Arial Narrow" w:hAnsi="Arial Narrow"/>
                                <w:color w:val="FF0000"/>
                                <w:sz w:val="14"/>
                                <w:szCs w:val="14"/>
                              </w:rPr>
                              <w:t>referenčná úroveň deficitu</w:t>
                            </w:r>
                          </w:p>
                        </w:txbxContent>
                      </v:textbox>
                    </v:shape>
                  </w:pict>
                </mc:Fallback>
              </mc:AlternateContent>
            </w:r>
            <w:r w:rsidR="001C311F">
              <w:rPr>
                <w:noProof/>
                <w:lang w:eastAsia="sk-SK"/>
              </w:rPr>
              <mc:AlternateContent>
                <mc:Choice Requires="wps">
                  <w:drawing>
                    <wp:anchor distT="0" distB="0" distL="114300" distR="114300" simplePos="0" relativeHeight="251679744" behindDoc="0" locked="0" layoutInCell="1" allowOverlap="1" wp14:anchorId="44C69878" wp14:editId="5A5DDE9C">
                      <wp:simplePos x="0" y="0"/>
                      <wp:positionH relativeFrom="column">
                        <wp:posOffset>284480</wp:posOffset>
                      </wp:positionH>
                      <wp:positionV relativeFrom="paragraph">
                        <wp:posOffset>1131570</wp:posOffset>
                      </wp:positionV>
                      <wp:extent cx="2413635" cy="0"/>
                      <wp:effectExtent l="0" t="0" r="0" b="0"/>
                      <wp:wrapNone/>
                      <wp:docPr id="1341098815" name="Rovná spojnica 1"/>
                      <wp:cNvGraphicFramePr/>
                      <a:graphic xmlns:a="http://schemas.openxmlformats.org/drawingml/2006/main">
                        <a:graphicData uri="http://schemas.microsoft.com/office/word/2010/wordprocessingShape">
                          <wps:wsp>
                            <wps:cNvCnPr/>
                            <wps:spPr>
                              <a:xfrm>
                                <a:off x="0" y="0"/>
                                <a:ext cx="2413635" cy="0"/>
                              </a:xfrm>
                              <a:prstGeom prst="line">
                                <a:avLst/>
                              </a:prstGeom>
                              <a:ln w="1270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line w14:anchorId="12B26FFD" id="Rovná spojnica 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pt,89.1pt" to="212.45pt,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" strokecolor="red" strokeweight="1pt">
                      <v:stroke dashstyle="3 1" joinstyle="miter"/>
                    </v:line>
                  </w:pict>
                </mc:Fallback>
              </mc:AlternateContent>
            </w:r>
            <w:r w:rsidR="002A0289">
              <w:rPr>
                <w:noProof/>
                <w:lang w:eastAsia="sk-SK"/>
              </w:rPr>
              <mc:AlternateContent>
                <mc:Choice Requires="wps">
                  <w:drawing>
                    <wp:anchor distT="0" distB="0" distL="114300" distR="114300" simplePos="0" relativeHeight="251673600" behindDoc="0" locked="0" layoutInCell="1" allowOverlap="1" wp14:anchorId="4C6C2684" wp14:editId="74D556BD">
                      <wp:simplePos x="0" y="0"/>
                      <wp:positionH relativeFrom="column">
                        <wp:posOffset>234315</wp:posOffset>
                      </wp:positionH>
                      <wp:positionV relativeFrom="paragraph">
                        <wp:posOffset>461645</wp:posOffset>
                      </wp:positionV>
                      <wp:extent cx="422910" cy="1377950"/>
                      <wp:effectExtent l="0" t="0" r="0" b="0"/>
                      <wp:wrapNone/>
                      <wp:docPr id="3" name="Obdĺžnik 3"/>
                      <wp:cNvGraphicFramePr/>
                      <a:graphic xmlns:a="http://schemas.openxmlformats.org/drawingml/2006/main">
                        <a:graphicData uri="http://schemas.microsoft.com/office/word/2010/wordprocessingShape">
                          <wps:wsp>
                            <wps:cNvSpPr/>
                            <wps:spPr>
                              <a:xfrm>
                                <a:off x="0" y="0"/>
                                <a:ext cx="422910" cy="1377950"/>
                              </a:xfrm>
                              <a:prstGeom prst="rect">
                                <a:avLst/>
                              </a:prstGeom>
                              <a:solidFill>
                                <a:schemeClr val="bg1">
                                  <a:lumMod val="95000"/>
                                  <a:alpha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ect w14:anchorId="28904A19" id="Obdĺžnik 3" o:spid="_x0000_s1026" style="position:absolute;margin-left:18.45pt;margin-top:36.35pt;width:33.3pt;height:10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" fillcolor="#f2f2f2 [3052]" stroked="f" strokeweight="1pt">
                      <v:fill opacity="16448f"/>
                    </v:rect>
                  </w:pict>
                </mc:Fallback>
              </mc:AlternateContent>
            </w:r>
            <w:r w:rsidR="002A0289">
              <w:rPr>
                <w:noProof/>
                <w:lang w:eastAsia="sk-SK"/>
              </w:rPr>
              <mc:AlternateContent>
                <mc:Choice Requires="wps">
                  <w:drawing>
                    <wp:anchor distT="0" distB="0" distL="114300" distR="114300" simplePos="0" relativeHeight="251672576" behindDoc="0" locked="0" layoutInCell="1" allowOverlap="1" wp14:anchorId="02AF7BBB" wp14:editId="7B1E144A">
                      <wp:simplePos x="0" y="0"/>
                      <wp:positionH relativeFrom="column">
                        <wp:posOffset>2248535</wp:posOffset>
                      </wp:positionH>
                      <wp:positionV relativeFrom="paragraph">
                        <wp:posOffset>462280</wp:posOffset>
                      </wp:positionV>
                      <wp:extent cx="422910" cy="1377950"/>
                      <wp:effectExtent l="0" t="0" r="0" b="0"/>
                      <wp:wrapNone/>
                      <wp:docPr id="4" name="Obdĺžnik 4"/>
                      <wp:cNvGraphicFramePr/>
                      <a:graphic xmlns:a="http://schemas.openxmlformats.org/drawingml/2006/main">
                        <a:graphicData uri="http://schemas.microsoft.com/office/word/2010/wordprocessingShape">
                          <wps:wsp>
                            <wps:cNvSpPr/>
                            <wps:spPr>
                              <a:xfrm>
                                <a:off x="0" y="0"/>
                                <a:ext cx="422910" cy="1377950"/>
                              </a:xfrm>
                              <a:prstGeom prst="rect">
                                <a:avLst/>
                              </a:prstGeom>
                              <a:solidFill>
                                <a:schemeClr val="bg1">
                                  <a:lumMod val="95000"/>
                                  <a:alpha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ect w14:anchorId="50A8177E" id="Obdĺžnik 4" o:spid="_x0000_s1026" style="position:absolute;margin-left:177.05pt;margin-top:36.4pt;width:33.3pt;height:10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" fillcolor="#f2f2f2 [3052]" stroked="f" strokeweight="1pt">
                      <v:fill opacity="16448f"/>
                    </v:rect>
                  </w:pict>
                </mc:Fallback>
              </mc:AlternateContent>
            </w:r>
            <w:r w:rsidR="002A0289">
              <w:rPr>
                <w:noProof/>
                <w:lang w:eastAsia="sk-SK"/>
              </w:rPr>
              <w:drawing>
                <wp:inline distT="0" distB="0" distL="0" distR="0" wp14:anchorId="71D4E2C0" wp14:editId="6C1F6C63">
                  <wp:extent cx="2764790" cy="2165350"/>
                  <wp:effectExtent l="0" t="0" r="0" b="0"/>
                  <wp:docPr id="13" name="Graf 13">
                    <a:extLst xmlns:a="http://schemas.openxmlformats.org/drawingml/2006/main">
                      <a:ext uri="{FF2B5EF4-FFF2-40B4-BE49-F238E27FC236}">
                        <a16:creationId xmlns:a16="http://schemas.microsoft.com/office/drawing/2014/main" id="{ABA973AC-784C-4E44-97BE-38AEABD194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79" w:type="pct"/>
            <w:tcBorders>
              <w:top w:val="nil"/>
              <w:left w:val="nil"/>
              <w:bottom w:val="single" w:sz="4" w:space="0" w:color="auto"/>
              <w:right w:val="nil"/>
            </w:tcBorders>
            <w:vAlign w:val="center"/>
          </w:tcPr>
          <w:p w14:paraId="7E28EF52" w14:textId="5C91D807" w:rsidR="002A0289" w:rsidRPr="00C1586F" w:rsidRDefault="002A0289" w:rsidP="00616580">
            <w:pPr>
              <w:widowControl w:val="0"/>
              <w:spacing w:before="40" w:after="40"/>
              <w:jc w:val="center"/>
              <w:rPr>
                <w:rFonts w:ascii="Arial Narrow" w:hAnsi="Arial Narrow" w:cs="Arial"/>
                <w:b/>
                <w:sz w:val="20"/>
                <w:szCs w:val="20"/>
                <w:highlight w:val="yellow"/>
              </w:rPr>
            </w:pPr>
          </w:p>
        </w:tc>
        <w:tc>
          <w:tcPr>
            <w:tcW w:w="2402" w:type="pct"/>
            <w:tcBorders>
              <w:top w:val="single" w:sz="4" w:space="0" w:color="auto"/>
              <w:left w:val="nil"/>
              <w:bottom w:val="single" w:sz="4" w:space="0" w:color="auto"/>
              <w:right w:val="nil"/>
            </w:tcBorders>
            <w:vAlign w:val="bottom"/>
          </w:tcPr>
          <w:p w14:paraId="0372107B" w14:textId="4362FCB9" w:rsidR="002A0289" w:rsidRPr="00C1586F" w:rsidRDefault="001C311F" w:rsidP="00616580">
            <w:pPr>
              <w:widowControl w:val="0"/>
              <w:spacing w:before="40" w:after="40"/>
              <w:rPr>
                <w:rFonts w:ascii="Arial Narrow" w:hAnsi="Arial Narrow" w:cs="Arial"/>
                <w:sz w:val="20"/>
                <w:szCs w:val="20"/>
                <w:highlight w:val="yellow"/>
              </w:rPr>
            </w:pPr>
            <w:r>
              <w:rPr>
                <w:noProof/>
                <w:lang w:eastAsia="sk-SK"/>
              </w:rPr>
              <mc:AlternateContent>
                <mc:Choice Requires="wps">
                  <w:drawing>
                    <wp:anchor distT="0" distB="0" distL="114300" distR="114300" simplePos="0" relativeHeight="251667455" behindDoc="0" locked="0" layoutInCell="1" allowOverlap="1" wp14:anchorId="48D8BB68" wp14:editId="178753FE">
                      <wp:simplePos x="0" y="0"/>
                      <wp:positionH relativeFrom="column">
                        <wp:posOffset>228600</wp:posOffset>
                      </wp:positionH>
                      <wp:positionV relativeFrom="paragraph">
                        <wp:posOffset>676275</wp:posOffset>
                      </wp:positionV>
                      <wp:extent cx="2413635" cy="0"/>
                      <wp:effectExtent l="0" t="0" r="0" b="0"/>
                      <wp:wrapNone/>
                      <wp:docPr id="786808609" name="Rovná spojnica 1"/>
                      <wp:cNvGraphicFramePr/>
                      <a:graphic xmlns:a="http://schemas.openxmlformats.org/drawingml/2006/main">
                        <a:graphicData uri="http://schemas.microsoft.com/office/word/2010/wordprocessingShape">
                          <wps:wsp>
                            <wps:cNvCnPr/>
                            <wps:spPr>
                              <a:xfrm>
                                <a:off x="0" y="0"/>
                                <a:ext cx="2413635" cy="0"/>
                              </a:xfrm>
                              <a:prstGeom prst="line">
                                <a:avLst/>
                              </a:prstGeom>
                              <a:ln w="1270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line w14:anchorId="2E7BF713" id="Rovná spojnica 1" o:spid="_x0000_s1026" style="position:absolute;z-index:251667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53.25pt" to="208.05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" strokecolor="red" strokeweight="1pt">
                      <v:stroke dashstyle="3 1" joinstyle="miter"/>
                    </v:line>
                  </w:pict>
                </mc:Fallback>
              </mc:AlternateContent>
            </w:r>
            <w:r w:rsidR="002A0289">
              <w:rPr>
                <w:noProof/>
                <w:lang w:eastAsia="sk-SK"/>
              </w:rPr>
              <w:drawing>
                <wp:inline distT="0" distB="0" distL="0" distR="0" wp14:anchorId="51C171AC" wp14:editId="07EF9857">
                  <wp:extent cx="2759710" cy="2146300"/>
                  <wp:effectExtent l="0" t="0" r="0" b="0"/>
                  <wp:docPr id="17" name="Graf 17">
                    <a:extLst xmlns:a="http://schemas.openxmlformats.org/drawingml/2006/main">
                      <a:ext uri="{FF2B5EF4-FFF2-40B4-BE49-F238E27FC236}">
                        <a16:creationId xmlns:a16="http://schemas.microsoft.com/office/drawing/2014/main" id="{964F7CC3-7D23-4D85-AD01-11410F46A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2A0289" w:rsidRPr="005516F4" w14:paraId="349FEAB3" w14:textId="77777777" w:rsidTr="002E433C">
        <w:trPr>
          <w:trHeight w:val="108"/>
        </w:trPr>
        <w:tc>
          <w:tcPr>
            <w:tcW w:w="4998" w:type="pct"/>
            <w:gridSpan w:val="3"/>
            <w:tcBorders>
              <w:top w:val="single" w:sz="4" w:space="0" w:color="auto"/>
              <w:left w:val="nil"/>
              <w:bottom w:val="nil"/>
              <w:right w:val="nil"/>
            </w:tcBorders>
          </w:tcPr>
          <w:p w14:paraId="7167C28F" w14:textId="77777777" w:rsidR="002A0289" w:rsidRPr="005516F4" w:rsidRDefault="002A0289" w:rsidP="00616580">
            <w:pPr>
              <w:widowControl w:val="0"/>
              <w:spacing w:before="40" w:after="40"/>
              <w:jc w:val="right"/>
              <w:rPr>
                <w:rFonts w:ascii="Arial Narrow" w:hAnsi="Arial Narrow"/>
                <w:b/>
                <w:iCs/>
                <w:color w:val="000000"/>
              </w:rPr>
            </w:pPr>
            <w:r w:rsidRPr="005516F4">
              <w:rPr>
                <w:rFonts w:ascii="Arial Narrow" w:hAnsi="Arial Narrow"/>
                <w:i/>
                <w:sz w:val="16"/>
                <w:szCs w:val="16"/>
              </w:rPr>
              <w:t xml:space="preserve">Zdroj: </w:t>
            </w:r>
            <w:r>
              <w:rPr>
                <w:rFonts w:ascii="Arial Narrow" w:hAnsi="Arial Narrow"/>
                <w:i/>
                <w:sz w:val="16"/>
                <w:szCs w:val="16"/>
              </w:rPr>
              <w:t>EK</w:t>
            </w:r>
            <w:r w:rsidRPr="005516F4">
              <w:rPr>
                <w:rFonts w:ascii="Arial Narrow" w:hAnsi="Arial Narrow"/>
                <w:i/>
                <w:sz w:val="16"/>
                <w:szCs w:val="16"/>
              </w:rPr>
              <w:t>,  MF SR</w:t>
            </w:r>
          </w:p>
        </w:tc>
      </w:tr>
      <w:tr w:rsidR="007C40BC" w:rsidRPr="005516F4" w14:paraId="522359D4" w14:textId="77777777" w:rsidTr="002E433C">
        <w:trPr>
          <w:trHeight w:val="108"/>
        </w:trPr>
        <w:tc>
          <w:tcPr>
            <w:tcW w:w="4998" w:type="pct"/>
            <w:gridSpan w:val="3"/>
            <w:tcBorders>
              <w:top w:val="nil"/>
              <w:left w:val="nil"/>
              <w:bottom w:val="nil"/>
              <w:right w:val="nil"/>
            </w:tcBorders>
          </w:tcPr>
          <w:p w14:paraId="5D744FB9" w14:textId="77777777" w:rsidR="007C40BC" w:rsidRPr="005516F4" w:rsidRDefault="007C40BC" w:rsidP="00616580">
            <w:pPr>
              <w:widowControl w:val="0"/>
              <w:spacing w:before="40" w:after="40"/>
              <w:jc w:val="right"/>
              <w:rPr>
                <w:rFonts w:ascii="Arial Narrow" w:hAnsi="Arial Narrow"/>
                <w:i/>
                <w:sz w:val="16"/>
                <w:szCs w:val="16"/>
              </w:rPr>
            </w:pPr>
          </w:p>
        </w:tc>
      </w:tr>
    </w:tbl>
    <w:p w14:paraId="75FBAD84" w14:textId="2A5C572A" w:rsidR="002A0289" w:rsidRDefault="007C40BC" w:rsidP="002A0289">
      <w:pPr>
        <w:jc w:val="both"/>
        <w:rPr>
          <w:rFonts w:ascii="Arial Narrow" w:eastAsia="Times New Roman" w:hAnsi="Arial Narrow"/>
        </w:rPr>
      </w:pPr>
      <w:r w:rsidRPr="0031040E">
        <w:rPr>
          <w:rFonts w:ascii="Arial Narrow" w:eastAsia="Times New Roman" w:hAnsi="Arial Narrow"/>
          <w:b/>
          <w:bCs/>
        </w:rPr>
        <w:t xml:space="preserve">Už aktuálny </w:t>
      </w:r>
      <w:r w:rsidR="002A0289" w:rsidRPr="0031040E">
        <w:rPr>
          <w:rFonts w:ascii="Arial Narrow" w:eastAsia="Times New Roman" w:hAnsi="Arial Narrow"/>
          <w:b/>
          <w:bCs/>
        </w:rPr>
        <w:t>strednodob</w:t>
      </w:r>
      <w:r w:rsidR="007D2D1D" w:rsidRPr="0031040E">
        <w:rPr>
          <w:rFonts w:ascii="Arial Narrow" w:eastAsia="Times New Roman" w:hAnsi="Arial Narrow"/>
          <w:b/>
          <w:bCs/>
        </w:rPr>
        <w:t>ý</w:t>
      </w:r>
      <w:r w:rsidR="002A0289" w:rsidRPr="0031040E">
        <w:rPr>
          <w:rFonts w:ascii="Arial Narrow" w:eastAsia="Times New Roman" w:hAnsi="Arial Narrow"/>
          <w:b/>
          <w:bCs/>
        </w:rPr>
        <w:t xml:space="preserve"> plán </w:t>
      </w:r>
      <w:r w:rsidR="007D2D1D" w:rsidRPr="0031040E">
        <w:rPr>
          <w:rFonts w:ascii="Arial Narrow" w:eastAsia="Times New Roman" w:hAnsi="Arial Narrow"/>
          <w:b/>
          <w:bCs/>
        </w:rPr>
        <w:t>špecifikuje</w:t>
      </w:r>
      <w:r w:rsidR="002A0289" w:rsidRPr="0031040E">
        <w:rPr>
          <w:rFonts w:ascii="Arial Narrow" w:eastAsia="Times New Roman" w:hAnsi="Arial Narrow"/>
          <w:b/>
          <w:bCs/>
        </w:rPr>
        <w:t xml:space="preserve"> približne </w:t>
      </w:r>
      <w:r w:rsidR="007D2D1D" w:rsidRPr="0031040E">
        <w:rPr>
          <w:rFonts w:ascii="Arial Narrow" w:eastAsia="Times New Roman" w:hAnsi="Arial Narrow"/>
          <w:b/>
          <w:bCs/>
        </w:rPr>
        <w:t xml:space="preserve">tretinu </w:t>
      </w:r>
      <w:r w:rsidR="002A0289" w:rsidRPr="0031040E">
        <w:rPr>
          <w:rFonts w:ascii="Arial Narrow" w:eastAsia="Times New Roman" w:hAnsi="Arial Narrow"/>
          <w:b/>
          <w:bCs/>
        </w:rPr>
        <w:t>potrebn</w:t>
      </w:r>
      <w:r w:rsidR="000E1AB3" w:rsidRPr="0031040E">
        <w:rPr>
          <w:rFonts w:ascii="Arial Narrow" w:eastAsia="Times New Roman" w:hAnsi="Arial Narrow"/>
          <w:b/>
          <w:bCs/>
        </w:rPr>
        <w:t>ej konsolidácie</w:t>
      </w:r>
      <w:r w:rsidR="007D2D1D" w:rsidRPr="0031040E">
        <w:rPr>
          <w:rFonts w:ascii="Arial Narrow" w:eastAsia="Times New Roman" w:hAnsi="Arial Narrow"/>
          <w:b/>
          <w:bCs/>
        </w:rPr>
        <w:t xml:space="preserve"> zo svojho 4-ročného horizontu</w:t>
      </w:r>
      <w:r w:rsidR="002A0289" w:rsidRPr="0031040E">
        <w:rPr>
          <w:rFonts w:ascii="Arial Narrow" w:eastAsia="Times New Roman" w:hAnsi="Arial Narrow"/>
          <w:b/>
          <w:bCs/>
        </w:rPr>
        <w:t xml:space="preserve">. </w:t>
      </w:r>
      <w:r w:rsidR="002A0289" w:rsidRPr="0031040E">
        <w:rPr>
          <w:rFonts w:ascii="Arial Narrow" w:eastAsia="Times New Roman" w:hAnsi="Arial Narrow"/>
        </w:rPr>
        <w:t xml:space="preserve">Na naplnenie </w:t>
      </w:r>
      <w:r w:rsidR="000E1AB3" w:rsidRPr="0031040E">
        <w:rPr>
          <w:rFonts w:ascii="Arial Narrow" w:eastAsia="Times New Roman" w:hAnsi="Arial Narrow"/>
        </w:rPr>
        <w:t>celého strednodobého plánu</w:t>
      </w:r>
      <w:r w:rsidR="002A0289" w:rsidRPr="0031040E">
        <w:rPr>
          <w:rFonts w:ascii="Arial Narrow" w:eastAsia="Times New Roman" w:hAnsi="Arial Narrow"/>
        </w:rPr>
        <w:t xml:space="preserve"> je potrebné do roku 2028</w:t>
      </w:r>
      <w:r w:rsidR="002E4455" w:rsidRPr="0031040E">
        <w:rPr>
          <w:rFonts w:ascii="Arial Narrow" w:eastAsia="Times New Roman" w:hAnsi="Arial Narrow"/>
        </w:rPr>
        <w:t xml:space="preserve"> </w:t>
      </w:r>
      <w:r w:rsidR="002A0289" w:rsidRPr="0031040E">
        <w:rPr>
          <w:rFonts w:ascii="Arial Narrow" w:eastAsia="Times New Roman" w:hAnsi="Arial Narrow"/>
        </w:rPr>
        <w:t xml:space="preserve">prijať konsolidačné opatrenia v objeme 4,4 % HDP, teda 7 miliárd </w:t>
      </w:r>
      <w:r w:rsidR="00C46C2E" w:rsidRPr="0031040E">
        <w:rPr>
          <w:rFonts w:ascii="Arial Narrow" w:eastAsia="Times New Roman" w:hAnsi="Arial Narrow"/>
        </w:rPr>
        <w:t>eur</w:t>
      </w:r>
      <w:r w:rsidR="002A0289" w:rsidRPr="0031040E">
        <w:rPr>
          <w:rFonts w:ascii="Arial Narrow" w:eastAsia="Times New Roman" w:hAnsi="Arial Narrow"/>
        </w:rPr>
        <w:t>.</w:t>
      </w:r>
      <w:r w:rsidR="002A0289" w:rsidRPr="0031040E">
        <w:t xml:space="preserve"> </w:t>
      </w:r>
      <w:r w:rsidR="002A0289" w:rsidRPr="0031040E">
        <w:rPr>
          <w:rFonts w:ascii="Arial Narrow" w:eastAsia="Times New Roman" w:hAnsi="Arial Narrow"/>
        </w:rPr>
        <w:t xml:space="preserve">Vláda </w:t>
      </w:r>
      <w:r w:rsidR="00BD2066" w:rsidRPr="0031040E">
        <w:rPr>
          <w:rFonts w:ascii="Arial Narrow" w:eastAsia="Times New Roman" w:hAnsi="Arial Narrow"/>
        </w:rPr>
        <w:t xml:space="preserve">zatiaľ </w:t>
      </w:r>
      <w:r w:rsidR="002A0289" w:rsidRPr="0031040E">
        <w:rPr>
          <w:rFonts w:ascii="Arial Narrow" w:eastAsia="Times New Roman" w:hAnsi="Arial Narrow"/>
        </w:rPr>
        <w:t>pr</w:t>
      </w:r>
      <w:r w:rsidR="00BD2066" w:rsidRPr="0031040E">
        <w:rPr>
          <w:rFonts w:ascii="Arial Narrow" w:eastAsia="Times New Roman" w:hAnsi="Arial Narrow"/>
        </w:rPr>
        <w:t>ijala</w:t>
      </w:r>
      <w:r w:rsidR="000E1AB3" w:rsidRPr="0031040E">
        <w:rPr>
          <w:rFonts w:ascii="Arial Narrow" w:eastAsia="Times New Roman" w:hAnsi="Arial Narrow"/>
        </w:rPr>
        <w:t xml:space="preserve"> </w:t>
      </w:r>
      <w:r w:rsidR="002A0289" w:rsidRPr="00025B2F">
        <w:rPr>
          <w:rFonts w:ascii="Arial Narrow" w:eastAsia="Times New Roman" w:hAnsi="Arial Narrow"/>
        </w:rPr>
        <w:t xml:space="preserve">opatrenia </w:t>
      </w:r>
      <w:r w:rsidR="00594B38" w:rsidRPr="00025B2F">
        <w:rPr>
          <w:rFonts w:ascii="Arial Narrow" w:eastAsia="Times New Roman" w:hAnsi="Arial Narrow"/>
        </w:rPr>
        <w:t>v</w:t>
      </w:r>
      <w:r w:rsidR="00C01132">
        <w:rPr>
          <w:rFonts w:ascii="Arial Narrow" w:eastAsia="Times New Roman" w:hAnsi="Arial Narrow"/>
        </w:rPr>
        <w:t> čistom</w:t>
      </w:r>
      <w:r w:rsidR="00C01132" w:rsidRPr="00025B2F">
        <w:rPr>
          <w:rStyle w:val="Odkaznapoznmkupodiarou"/>
          <w:rFonts w:ascii="Arial Narrow" w:eastAsia="Times New Roman" w:hAnsi="Arial Narrow"/>
        </w:rPr>
        <w:footnoteReference w:id="2"/>
      </w:r>
      <w:r w:rsidR="00C01132">
        <w:rPr>
          <w:rFonts w:ascii="Arial Narrow" w:eastAsia="Times New Roman" w:hAnsi="Arial Narrow"/>
        </w:rPr>
        <w:t xml:space="preserve"> </w:t>
      </w:r>
      <w:r w:rsidR="00594B38" w:rsidRPr="00A56626">
        <w:rPr>
          <w:rFonts w:ascii="Arial Narrow" w:eastAsia="Times New Roman" w:hAnsi="Arial Narrow"/>
        </w:rPr>
        <w:t>objeme 1,</w:t>
      </w:r>
      <w:r w:rsidR="00937734">
        <w:rPr>
          <w:rFonts w:ascii="Arial Narrow" w:eastAsia="Times New Roman" w:hAnsi="Arial Narrow"/>
        </w:rPr>
        <w:t>4</w:t>
      </w:r>
      <w:r w:rsidR="00C36AA2" w:rsidRPr="00A56626">
        <w:rPr>
          <w:rFonts w:ascii="Arial Narrow" w:eastAsia="Times New Roman" w:hAnsi="Arial Narrow"/>
        </w:rPr>
        <w:t xml:space="preserve"> </w:t>
      </w:r>
      <w:r w:rsidR="00594B38" w:rsidRPr="00A56626">
        <w:rPr>
          <w:rFonts w:ascii="Arial Narrow" w:eastAsia="Times New Roman" w:hAnsi="Arial Narrow"/>
        </w:rPr>
        <w:t>% HDP na prvý</w:t>
      </w:r>
      <w:r w:rsidR="00594B38" w:rsidRPr="00025B2F">
        <w:rPr>
          <w:rFonts w:ascii="Arial Narrow" w:eastAsia="Times New Roman" w:hAnsi="Arial Narrow"/>
        </w:rPr>
        <w:t xml:space="preserve"> rok</w:t>
      </w:r>
      <w:r w:rsidR="00FC6157" w:rsidRPr="00025B2F">
        <w:rPr>
          <w:rFonts w:ascii="Arial Narrow" w:eastAsia="Times New Roman" w:hAnsi="Arial Narrow"/>
        </w:rPr>
        <w:t>.</w:t>
      </w:r>
      <w:r w:rsidR="002A0289" w:rsidRPr="0031040E">
        <w:rPr>
          <w:rFonts w:ascii="Arial Narrow" w:eastAsia="Times New Roman" w:hAnsi="Arial Narrow"/>
        </w:rPr>
        <w:t xml:space="preserve"> Ide najmä o</w:t>
      </w:r>
      <w:r w:rsidR="002E4455" w:rsidRPr="0031040E">
        <w:rPr>
          <w:rFonts w:ascii="Arial Narrow" w:eastAsia="Times New Roman" w:hAnsi="Arial Narrow"/>
        </w:rPr>
        <w:t> </w:t>
      </w:r>
      <w:r w:rsidR="007D2D1D" w:rsidRPr="0031040E">
        <w:rPr>
          <w:rFonts w:ascii="Arial Narrow" w:eastAsia="Times New Roman" w:hAnsi="Arial Narrow"/>
        </w:rPr>
        <w:t>reformu</w:t>
      </w:r>
      <w:r w:rsidR="002E4455" w:rsidRPr="0031040E">
        <w:rPr>
          <w:rFonts w:ascii="Arial Narrow" w:eastAsia="Times New Roman" w:hAnsi="Arial Narrow"/>
        </w:rPr>
        <w:t xml:space="preserve"> sadzieb</w:t>
      </w:r>
      <w:r w:rsidR="002A0289" w:rsidRPr="0031040E">
        <w:rPr>
          <w:rFonts w:ascii="Arial Narrow" w:eastAsia="Times New Roman" w:hAnsi="Arial Narrow"/>
        </w:rPr>
        <w:t xml:space="preserve"> DPH, </w:t>
      </w:r>
      <w:r w:rsidR="002E4455" w:rsidRPr="0031040E">
        <w:rPr>
          <w:rFonts w:ascii="Arial Narrow" w:eastAsia="Times New Roman" w:hAnsi="Arial Narrow"/>
        </w:rPr>
        <w:t>z</w:t>
      </w:r>
      <w:r w:rsidR="006E0566" w:rsidRPr="0031040E">
        <w:rPr>
          <w:rFonts w:ascii="Arial Narrow" w:eastAsia="Times New Roman" w:hAnsi="Arial Narrow"/>
        </w:rPr>
        <w:t>v</w:t>
      </w:r>
      <w:r w:rsidR="002E4455" w:rsidRPr="0031040E">
        <w:rPr>
          <w:rFonts w:ascii="Arial Narrow" w:eastAsia="Times New Roman" w:hAnsi="Arial Narrow"/>
        </w:rPr>
        <w:t>ý</w:t>
      </w:r>
      <w:r w:rsidR="006E0566" w:rsidRPr="0031040E">
        <w:rPr>
          <w:rFonts w:ascii="Arial Narrow" w:eastAsia="Times New Roman" w:hAnsi="Arial Narrow"/>
        </w:rPr>
        <w:t>š</w:t>
      </w:r>
      <w:r w:rsidR="002E4455" w:rsidRPr="0031040E">
        <w:rPr>
          <w:rFonts w:ascii="Arial Narrow" w:eastAsia="Times New Roman" w:hAnsi="Arial Narrow"/>
        </w:rPr>
        <w:t>enie korporátnej dane pre veľké podniky, zvýšenie sektorových daní v regulovaných odvetviach,</w:t>
      </w:r>
      <w:r w:rsidR="002A0289" w:rsidRPr="0031040E">
        <w:rPr>
          <w:rFonts w:ascii="Arial Narrow" w:eastAsia="Times New Roman" w:hAnsi="Arial Narrow"/>
        </w:rPr>
        <w:t xml:space="preserve"> či zacielenie sociálnych výdavkov na nízkopríjmových obyvateľov. </w:t>
      </w:r>
      <w:r w:rsidR="00C01132">
        <w:rPr>
          <w:rFonts w:ascii="Arial Narrow" w:eastAsia="Times New Roman" w:hAnsi="Arial Narrow"/>
        </w:rPr>
        <w:t xml:space="preserve">Väčší </w:t>
      </w:r>
      <w:r w:rsidR="00983D09">
        <w:rPr>
          <w:rFonts w:ascii="Arial Narrow" w:eastAsia="Times New Roman" w:hAnsi="Arial Narrow"/>
        </w:rPr>
        <w:t xml:space="preserve">objem </w:t>
      </w:r>
      <w:r w:rsidR="00C01132">
        <w:rPr>
          <w:rFonts w:ascii="Arial Narrow" w:eastAsia="Times New Roman" w:hAnsi="Arial Narrow"/>
        </w:rPr>
        <w:t>konsolidačný</w:t>
      </w:r>
      <w:r w:rsidR="00983D09">
        <w:rPr>
          <w:rFonts w:ascii="Arial Narrow" w:eastAsia="Times New Roman" w:hAnsi="Arial Narrow"/>
        </w:rPr>
        <w:t>ch</w:t>
      </w:r>
      <w:r w:rsidR="00C01132">
        <w:rPr>
          <w:rFonts w:ascii="Arial Narrow" w:eastAsia="Times New Roman" w:hAnsi="Arial Narrow"/>
        </w:rPr>
        <w:t xml:space="preserve"> </w:t>
      </w:r>
      <w:r w:rsidR="00983D09">
        <w:rPr>
          <w:rFonts w:ascii="Arial Narrow" w:eastAsia="Times New Roman" w:hAnsi="Arial Narrow"/>
        </w:rPr>
        <w:t>opatrení</w:t>
      </w:r>
      <w:r w:rsidR="00C01132">
        <w:rPr>
          <w:rFonts w:ascii="Arial Narrow" w:eastAsia="Times New Roman" w:hAnsi="Arial Narrow"/>
        </w:rPr>
        <w:t xml:space="preserve"> zároveň kryje niektoré nové výdavky najmä v sociálnej oblasti a tiež umožňuje vytvorenie rezervy na nepredvídaný vývoj. </w:t>
      </w:r>
      <w:r w:rsidR="002A0289" w:rsidRPr="0031040E">
        <w:rPr>
          <w:rFonts w:ascii="Arial Narrow" w:eastAsia="Times New Roman" w:hAnsi="Arial Narrow"/>
        </w:rPr>
        <w:t xml:space="preserve">Zvyšné </w:t>
      </w:r>
      <w:r w:rsidR="00C01132">
        <w:rPr>
          <w:rFonts w:ascii="Arial Narrow" w:eastAsia="Times New Roman" w:hAnsi="Arial Narrow"/>
        </w:rPr>
        <w:t xml:space="preserve">konsolidačné </w:t>
      </w:r>
      <w:r w:rsidR="002A0289" w:rsidRPr="0031040E">
        <w:rPr>
          <w:rFonts w:ascii="Arial Narrow" w:eastAsia="Times New Roman" w:hAnsi="Arial Narrow"/>
        </w:rPr>
        <w:t xml:space="preserve">opatrenia </w:t>
      </w:r>
      <w:r w:rsidR="002E4455" w:rsidRPr="0031040E">
        <w:rPr>
          <w:rFonts w:ascii="Arial Narrow" w:eastAsia="Times New Roman" w:hAnsi="Arial Narrow"/>
        </w:rPr>
        <w:t xml:space="preserve">na horizonte plánu pre roky 2026 až 2028 </w:t>
      </w:r>
      <w:r w:rsidR="002A0289" w:rsidRPr="0031040E">
        <w:rPr>
          <w:rFonts w:ascii="Arial Narrow" w:eastAsia="Times New Roman" w:hAnsi="Arial Narrow"/>
        </w:rPr>
        <w:t>budú postupne špecifikované v ďalších návrhoch rozpočt</w:t>
      </w:r>
      <w:r w:rsidR="006E0566" w:rsidRPr="0031040E">
        <w:rPr>
          <w:rFonts w:ascii="Arial Narrow" w:eastAsia="Times New Roman" w:hAnsi="Arial Narrow"/>
        </w:rPr>
        <w:t>ových plánov</w:t>
      </w:r>
      <w:r w:rsidR="002A0289" w:rsidRPr="0031040E">
        <w:rPr>
          <w:rFonts w:ascii="Arial Narrow" w:eastAsia="Times New Roman" w:hAnsi="Arial Narrow"/>
        </w:rPr>
        <w:t xml:space="preserve"> v nasledujúcich rokoch, aj v nadväznosti na aktualizáciu makro-ekonomického a rozpočtového vývoja.</w:t>
      </w:r>
    </w:p>
    <w:p w14:paraId="533C8EA6" w14:textId="1520C86A" w:rsidR="002A0289" w:rsidRPr="00175641" w:rsidRDefault="00C34313" w:rsidP="002A0289">
      <w:pPr>
        <w:jc w:val="both"/>
        <w:rPr>
          <w:rFonts w:ascii="Arial Narrow" w:eastAsia="Times New Roman" w:hAnsi="Arial Narrow"/>
        </w:rPr>
      </w:pPr>
      <w:r w:rsidRPr="003437F8">
        <w:rPr>
          <w:rFonts w:ascii="Arial Narrow" w:eastAsia="Times New Roman" w:hAnsi="Arial Narrow"/>
          <w:b/>
          <w:bCs/>
        </w:rPr>
        <w:t xml:space="preserve">V strednodobom pláne </w:t>
      </w:r>
      <w:r>
        <w:rPr>
          <w:rFonts w:ascii="Arial Narrow" w:eastAsia="Times New Roman" w:hAnsi="Arial Narrow"/>
          <w:b/>
          <w:bCs/>
        </w:rPr>
        <w:t xml:space="preserve">vláda predstavuje </w:t>
      </w:r>
      <w:r w:rsidR="00C004D6">
        <w:rPr>
          <w:rFonts w:ascii="Arial Narrow" w:eastAsia="Times New Roman" w:hAnsi="Arial Narrow"/>
          <w:b/>
          <w:bCs/>
        </w:rPr>
        <w:t xml:space="preserve">aj </w:t>
      </w:r>
      <w:r>
        <w:rPr>
          <w:rFonts w:ascii="Arial Narrow" w:eastAsia="Times New Roman" w:hAnsi="Arial Narrow"/>
          <w:b/>
          <w:bCs/>
        </w:rPr>
        <w:t xml:space="preserve">plánované a realizované </w:t>
      </w:r>
      <w:r w:rsidRPr="00672141">
        <w:rPr>
          <w:rFonts w:ascii="Arial Narrow" w:eastAsia="Times New Roman" w:hAnsi="Arial Narrow"/>
          <w:b/>
          <w:bCs/>
        </w:rPr>
        <w:t>reformy a investície naprieč kľúčovými štrukturálnymi oblasťam</w:t>
      </w:r>
      <w:r>
        <w:rPr>
          <w:rFonts w:ascii="Arial Narrow" w:eastAsia="Times New Roman" w:hAnsi="Arial Narrow"/>
          <w:b/>
          <w:bCs/>
        </w:rPr>
        <w:t xml:space="preserve">i, ktoré prispievajú k naplneniu spoločných priorít EÚ a špecifických </w:t>
      </w:r>
      <w:r>
        <w:rPr>
          <w:rFonts w:ascii="Arial Narrow" w:eastAsia="Times New Roman" w:hAnsi="Arial Narrow"/>
          <w:b/>
          <w:bCs/>
        </w:rPr>
        <w:lastRenderedPageBreak/>
        <w:t>odporúčaní pre Slovensko.</w:t>
      </w:r>
      <w:r w:rsidR="002A0289" w:rsidRPr="00175641">
        <w:rPr>
          <w:rFonts w:ascii="Arial Narrow" w:eastAsia="Times New Roman" w:hAnsi="Arial Narrow"/>
        </w:rPr>
        <w:t xml:space="preserve"> Opatrenia </w:t>
      </w:r>
      <w:r w:rsidRPr="00175641">
        <w:rPr>
          <w:rFonts w:ascii="Arial Narrow" w:eastAsia="Times New Roman" w:hAnsi="Arial Narrow"/>
        </w:rPr>
        <w:t xml:space="preserve">v oblasti spravodlivej zelenej transformácie sa </w:t>
      </w:r>
      <w:r>
        <w:rPr>
          <w:rFonts w:ascii="Arial Narrow" w:eastAsia="Times New Roman" w:hAnsi="Arial Narrow"/>
        </w:rPr>
        <w:t>sústreďujú</w:t>
      </w:r>
      <w:r w:rsidRPr="00175641">
        <w:rPr>
          <w:rFonts w:ascii="Arial Narrow" w:eastAsia="Times New Roman" w:hAnsi="Arial Narrow"/>
        </w:rPr>
        <w:t xml:space="preserve"> </w:t>
      </w:r>
      <w:r w:rsidR="002A0289" w:rsidRPr="00175641">
        <w:rPr>
          <w:rFonts w:ascii="Arial Narrow" w:eastAsia="Times New Roman" w:hAnsi="Arial Narrow"/>
        </w:rPr>
        <w:t xml:space="preserve">najmä na diverzifikáciu energetických zdrojov, zvýšenie energetickej bezpečnosti a zníženie závislosti na fosílnych palivách. </w:t>
      </w:r>
      <w:r w:rsidR="002A0289">
        <w:rPr>
          <w:rFonts w:ascii="Arial Narrow" w:eastAsia="Times New Roman" w:hAnsi="Arial Narrow"/>
        </w:rPr>
        <w:t>Ďalšie k</w:t>
      </w:r>
      <w:r w:rsidR="002A0289" w:rsidRPr="00175641">
        <w:rPr>
          <w:rFonts w:ascii="Arial Narrow" w:eastAsia="Times New Roman" w:hAnsi="Arial Narrow"/>
        </w:rPr>
        <w:t>ľúčové iniciatívy zahŕňajú investície do obnoviteľných zdrojov energie, modernizáci</w:t>
      </w:r>
      <w:r w:rsidR="002A0289">
        <w:rPr>
          <w:rFonts w:ascii="Arial Narrow" w:eastAsia="Times New Roman" w:hAnsi="Arial Narrow"/>
        </w:rPr>
        <w:t>e</w:t>
      </w:r>
      <w:r w:rsidR="002A0289" w:rsidRPr="00175641">
        <w:rPr>
          <w:rFonts w:ascii="Arial Narrow" w:eastAsia="Times New Roman" w:hAnsi="Arial Narrow"/>
        </w:rPr>
        <w:t xml:space="preserve"> nízkoemisnej železničnej infraštruktúry a udržateľnej dopravy</w:t>
      </w:r>
      <w:r w:rsidR="002A0289">
        <w:rPr>
          <w:rFonts w:ascii="Arial Narrow" w:eastAsia="Times New Roman" w:hAnsi="Arial Narrow"/>
        </w:rPr>
        <w:t>.</w:t>
      </w:r>
      <w:r w:rsidR="002A0289" w:rsidRPr="001613CD">
        <w:rPr>
          <w:rFonts w:ascii="Arial Narrow" w:eastAsia="Times New Roman" w:hAnsi="Arial Narrow"/>
          <w:color w:val="AEAAAA" w:themeColor="background2" w:themeShade="BF"/>
        </w:rPr>
        <w:t xml:space="preserve"> </w:t>
      </w:r>
      <w:r w:rsidR="002A0289" w:rsidRPr="001613CD">
        <w:rPr>
          <w:rFonts w:ascii="Arial Narrow" w:eastAsia="Times New Roman" w:hAnsi="Arial Narrow"/>
        </w:rPr>
        <w:t xml:space="preserve">Reformy </w:t>
      </w:r>
      <w:r w:rsidR="00EC0FB5">
        <w:rPr>
          <w:rFonts w:ascii="Arial Narrow" w:eastAsia="Times New Roman" w:hAnsi="Arial Narrow"/>
        </w:rPr>
        <w:t>cielia</w:t>
      </w:r>
      <w:r w:rsidR="002A0289" w:rsidRPr="001613CD">
        <w:rPr>
          <w:rFonts w:ascii="Arial Narrow" w:eastAsia="Times New Roman" w:hAnsi="Arial Narrow"/>
        </w:rPr>
        <w:t xml:space="preserve"> aj zlepšenie</w:t>
      </w:r>
      <w:r w:rsidR="002A0289" w:rsidRPr="00E94FB1">
        <w:rPr>
          <w:rFonts w:ascii="Arial Narrow" w:eastAsia="Times New Roman" w:hAnsi="Arial Narrow"/>
        </w:rPr>
        <w:t xml:space="preserve"> prístupu </w:t>
      </w:r>
      <w:r w:rsidR="002A0289">
        <w:rPr>
          <w:rFonts w:ascii="Arial Narrow" w:eastAsia="Times New Roman" w:hAnsi="Arial Narrow"/>
        </w:rPr>
        <w:t>k vzdelávaniu, podpory</w:t>
      </w:r>
      <w:r w:rsidR="002A0289" w:rsidRPr="00175641">
        <w:rPr>
          <w:rFonts w:ascii="Arial Narrow" w:eastAsia="Times New Roman" w:hAnsi="Arial Narrow"/>
        </w:rPr>
        <w:t xml:space="preserve"> </w:t>
      </w:r>
      <w:r w:rsidR="002A0289">
        <w:rPr>
          <w:rFonts w:ascii="Arial Narrow" w:eastAsia="Times New Roman" w:hAnsi="Arial Narrow"/>
        </w:rPr>
        <w:t>znevýhodnených skupín a riešenia</w:t>
      </w:r>
      <w:r w:rsidR="002A0289" w:rsidRPr="00175641">
        <w:rPr>
          <w:rFonts w:ascii="Arial Narrow" w:eastAsia="Times New Roman" w:hAnsi="Arial Narrow"/>
        </w:rPr>
        <w:t xml:space="preserve"> energetickej chudoby</w:t>
      </w:r>
      <w:r w:rsidR="002A0289">
        <w:rPr>
          <w:rFonts w:ascii="Arial Narrow" w:eastAsia="Times New Roman" w:hAnsi="Arial Narrow"/>
        </w:rPr>
        <w:t>.</w:t>
      </w:r>
      <w:r w:rsidR="002A0289" w:rsidRPr="00175641">
        <w:rPr>
          <w:rFonts w:ascii="Arial Narrow" w:eastAsia="Times New Roman" w:hAnsi="Arial Narrow"/>
        </w:rPr>
        <w:t xml:space="preserve"> V rámci prechodu na digitálnu spoločnosť sa prijímajú opatrenia na podporu inovácií,</w:t>
      </w:r>
      <w:r w:rsidR="002A0289">
        <w:rPr>
          <w:rFonts w:ascii="Arial Narrow" w:eastAsia="Times New Roman" w:hAnsi="Arial Narrow"/>
        </w:rPr>
        <w:t xml:space="preserve"> výskumu a vývoja</w:t>
      </w:r>
      <w:r w:rsidR="002A0289" w:rsidRPr="00E306F3">
        <w:rPr>
          <w:rFonts w:ascii="Arial Narrow" w:eastAsia="Times New Roman" w:hAnsi="Arial Narrow"/>
        </w:rPr>
        <w:t xml:space="preserve"> </w:t>
      </w:r>
      <w:r w:rsidR="002A0289">
        <w:rPr>
          <w:rFonts w:ascii="Arial Narrow" w:eastAsia="Times New Roman" w:hAnsi="Arial Narrow"/>
        </w:rPr>
        <w:t xml:space="preserve">či </w:t>
      </w:r>
      <w:r w:rsidR="002A0289" w:rsidRPr="00175641">
        <w:rPr>
          <w:rFonts w:ascii="Arial Narrow" w:eastAsia="Times New Roman" w:hAnsi="Arial Narrow"/>
        </w:rPr>
        <w:t>zlepšenie digitálnej</w:t>
      </w:r>
      <w:r w:rsidR="002A0289" w:rsidRPr="00E306F3">
        <w:rPr>
          <w:rFonts w:ascii="Arial Narrow" w:eastAsia="Times New Roman" w:hAnsi="Arial Narrow"/>
        </w:rPr>
        <w:t xml:space="preserve"> </w:t>
      </w:r>
      <w:r w:rsidR="002A0289" w:rsidRPr="00175641">
        <w:rPr>
          <w:rFonts w:ascii="Arial Narrow" w:eastAsia="Times New Roman" w:hAnsi="Arial Narrow"/>
        </w:rPr>
        <w:t>infraštruktúry</w:t>
      </w:r>
      <w:r w:rsidR="002A0289">
        <w:rPr>
          <w:rFonts w:ascii="Arial Narrow" w:eastAsia="Times New Roman" w:hAnsi="Arial Narrow"/>
        </w:rPr>
        <w:t>. Medzi prioritné oblasti patrí aj</w:t>
      </w:r>
      <w:r w:rsidR="002A0289" w:rsidRPr="00175641">
        <w:rPr>
          <w:rFonts w:ascii="Arial Narrow" w:eastAsia="Times New Roman" w:hAnsi="Arial Narrow"/>
        </w:rPr>
        <w:t xml:space="preserve"> modernizáci</w:t>
      </w:r>
      <w:r w:rsidR="002A0289">
        <w:rPr>
          <w:rFonts w:ascii="Arial Narrow" w:eastAsia="Times New Roman" w:hAnsi="Arial Narrow"/>
        </w:rPr>
        <w:t>a</w:t>
      </w:r>
      <w:r w:rsidR="002A0289" w:rsidRPr="00175641">
        <w:rPr>
          <w:rFonts w:ascii="Arial Narrow" w:eastAsia="Times New Roman" w:hAnsi="Arial Narrow"/>
        </w:rPr>
        <w:t xml:space="preserve"> administratívy </w:t>
      </w:r>
      <w:r w:rsidR="002A0289">
        <w:rPr>
          <w:rFonts w:ascii="Arial Narrow" w:eastAsia="Times New Roman" w:hAnsi="Arial Narrow"/>
        </w:rPr>
        <w:t>a verejnej správy</w:t>
      </w:r>
      <w:r w:rsidR="002A0289" w:rsidRPr="00175641">
        <w:rPr>
          <w:rFonts w:ascii="Arial Narrow" w:eastAsia="Times New Roman" w:hAnsi="Arial Narrow"/>
        </w:rPr>
        <w:t xml:space="preserve">. </w:t>
      </w:r>
      <w:r w:rsidR="002A0289">
        <w:rPr>
          <w:rFonts w:ascii="Arial Narrow" w:eastAsia="Times New Roman" w:hAnsi="Arial Narrow"/>
        </w:rPr>
        <w:t>Výrazný objem obranných investícií zlepší</w:t>
      </w:r>
      <w:r w:rsidR="002A0289" w:rsidRPr="00175641">
        <w:rPr>
          <w:rFonts w:ascii="Arial Narrow" w:eastAsia="Times New Roman" w:hAnsi="Arial Narrow"/>
        </w:rPr>
        <w:t xml:space="preserve"> pripravenosť ozbrojených síl</w:t>
      </w:r>
      <w:r w:rsidR="002A0289">
        <w:rPr>
          <w:rFonts w:ascii="Arial Narrow" w:eastAsia="Times New Roman" w:hAnsi="Arial Narrow"/>
        </w:rPr>
        <w:t>.</w:t>
      </w:r>
    </w:p>
    <w:p w14:paraId="55394D25" w14:textId="0CED7932" w:rsidR="002A0289" w:rsidRPr="00D538D4" w:rsidRDefault="000D2A34" w:rsidP="002A0289">
      <w:pPr>
        <w:spacing w:after="120" w:line="276" w:lineRule="auto"/>
        <w:jc w:val="both"/>
        <w:rPr>
          <w:rFonts w:ascii="Arial Narrow" w:hAnsi="Arial Narrow"/>
        </w:rPr>
      </w:pPr>
      <w:bookmarkStart w:id="3" w:name="_Hlk179271220"/>
      <w:r w:rsidRPr="00072111">
        <w:rPr>
          <w:rFonts w:ascii="Arial Narrow" w:hAnsi="Arial Narrow"/>
          <w:b/>
          <w:bCs/>
        </w:rPr>
        <w:t>Národný strednodobý fiškálno-štrukturálny plán</w:t>
      </w:r>
      <w:r w:rsidRPr="00072111" w:rsidDel="000D2A34">
        <w:rPr>
          <w:rFonts w:ascii="Arial Narrow" w:hAnsi="Arial Narrow"/>
          <w:b/>
          <w:bCs/>
        </w:rPr>
        <w:t xml:space="preserve"> </w:t>
      </w:r>
      <w:r w:rsidR="002A0289" w:rsidRPr="00072111">
        <w:rPr>
          <w:rFonts w:ascii="Arial Narrow" w:hAnsi="Arial Narrow"/>
          <w:b/>
          <w:bCs/>
        </w:rPr>
        <w:t>Slovensk</w:t>
      </w:r>
      <w:r w:rsidRPr="00072111">
        <w:rPr>
          <w:rFonts w:ascii="Arial Narrow" w:hAnsi="Arial Narrow"/>
          <w:b/>
          <w:bCs/>
        </w:rPr>
        <w:t>ej republiky</w:t>
      </w:r>
      <w:bookmarkEnd w:id="3"/>
      <w:r w:rsidRPr="00072111">
        <w:rPr>
          <w:rFonts w:ascii="Arial Narrow" w:hAnsi="Arial Narrow"/>
          <w:b/>
          <w:bCs/>
        </w:rPr>
        <w:t xml:space="preserve"> na roky 2025-2028</w:t>
      </w:r>
      <w:r w:rsidR="002A0289" w:rsidRPr="00072111">
        <w:rPr>
          <w:rFonts w:ascii="Arial Narrow" w:hAnsi="Arial Narrow"/>
          <w:b/>
          <w:bCs/>
        </w:rPr>
        <w:t xml:space="preserve"> </w:t>
      </w:r>
      <w:r w:rsidR="007C268F">
        <w:rPr>
          <w:rFonts w:ascii="Arial Narrow" w:hAnsi="Arial Narrow"/>
          <w:b/>
          <w:bCs/>
        </w:rPr>
        <w:t>bol</w:t>
      </w:r>
      <w:r w:rsidR="002A0289" w:rsidRPr="002D063B">
        <w:rPr>
          <w:rFonts w:ascii="Arial Narrow" w:hAnsi="Arial Narrow"/>
          <w:b/>
          <w:bCs/>
        </w:rPr>
        <w:t xml:space="preserve"> prerokovaný </w:t>
      </w:r>
      <w:r w:rsidR="00072111" w:rsidRPr="002D063B">
        <w:rPr>
          <w:rFonts w:ascii="Arial Narrow" w:hAnsi="Arial Narrow"/>
          <w:b/>
          <w:bCs/>
        </w:rPr>
        <w:t>aj</w:t>
      </w:r>
      <w:r w:rsidR="00072111" w:rsidRPr="00072111">
        <w:rPr>
          <w:rFonts w:ascii="Arial Narrow" w:hAnsi="Arial Narrow"/>
          <w:b/>
          <w:bCs/>
        </w:rPr>
        <w:t xml:space="preserve"> </w:t>
      </w:r>
      <w:r w:rsidR="002A0289" w:rsidRPr="00072111">
        <w:rPr>
          <w:rFonts w:ascii="Arial Narrow" w:hAnsi="Arial Narrow"/>
          <w:b/>
          <w:bCs/>
        </w:rPr>
        <w:t xml:space="preserve">na </w:t>
      </w:r>
      <w:r w:rsidR="00B526EF" w:rsidRPr="00072111">
        <w:rPr>
          <w:rFonts w:ascii="Arial Narrow" w:hAnsi="Arial Narrow"/>
          <w:b/>
          <w:bCs/>
        </w:rPr>
        <w:t>H</w:t>
      </w:r>
      <w:r w:rsidR="002A0289" w:rsidRPr="00072111">
        <w:rPr>
          <w:rFonts w:ascii="Arial Narrow" w:hAnsi="Arial Narrow"/>
          <w:b/>
          <w:bCs/>
        </w:rPr>
        <w:t>ospodárskej a sociálnej rade a je</w:t>
      </w:r>
      <w:r w:rsidR="002A0289" w:rsidRPr="00D538D4">
        <w:rPr>
          <w:rFonts w:ascii="Arial Narrow" w:hAnsi="Arial Narrow"/>
          <w:b/>
          <w:bCs/>
        </w:rPr>
        <w:t xml:space="preserve"> </w:t>
      </w:r>
      <w:r w:rsidR="00594B38">
        <w:rPr>
          <w:rFonts w:ascii="Arial Narrow" w:hAnsi="Arial Narrow"/>
          <w:b/>
          <w:bCs/>
        </w:rPr>
        <w:t>prezentovaný</w:t>
      </w:r>
      <w:r w:rsidR="00F53C49">
        <w:rPr>
          <w:rFonts w:ascii="Arial Narrow" w:hAnsi="Arial Narrow"/>
          <w:b/>
          <w:bCs/>
        </w:rPr>
        <w:t xml:space="preserve"> </w:t>
      </w:r>
      <w:r w:rsidR="002A0289" w:rsidRPr="00D538D4">
        <w:rPr>
          <w:rFonts w:ascii="Arial Narrow" w:hAnsi="Arial Narrow"/>
          <w:b/>
          <w:bCs/>
        </w:rPr>
        <w:t xml:space="preserve">na najnovších makroekonomických a daňových </w:t>
      </w:r>
      <w:r w:rsidR="002A0289" w:rsidRPr="003922D5">
        <w:rPr>
          <w:rFonts w:ascii="Arial Narrow" w:hAnsi="Arial Narrow"/>
          <w:b/>
          <w:bCs/>
        </w:rPr>
        <w:t>prognózach odobrených nezávislou fiškálnou inštitúciou</w:t>
      </w:r>
      <w:r w:rsidR="00BE580B">
        <w:rPr>
          <w:rStyle w:val="Odkaznapoznmkupodiarou"/>
          <w:rFonts w:ascii="Arial Narrow" w:hAnsi="Arial Narrow"/>
          <w:b/>
          <w:bCs/>
        </w:rPr>
        <w:footnoteReference w:id="3"/>
      </w:r>
      <w:r w:rsidR="002A0289" w:rsidRPr="003922D5">
        <w:rPr>
          <w:rFonts w:ascii="Arial Narrow" w:hAnsi="Arial Narrow"/>
        </w:rPr>
        <w:t>. Prvý</w:t>
      </w:r>
      <w:r w:rsidR="002A0289">
        <w:rPr>
          <w:rFonts w:ascii="Arial Narrow" w:hAnsi="Arial Narrow"/>
        </w:rPr>
        <w:t xml:space="preserve"> </w:t>
      </w:r>
      <w:r w:rsidRPr="000D2A34">
        <w:rPr>
          <w:rFonts w:ascii="Arial Narrow" w:hAnsi="Arial Narrow"/>
        </w:rPr>
        <w:t>Národný strednodobý fiškálno-štrukturálny plán Slovenskej republiky</w:t>
      </w:r>
      <w:r w:rsidRPr="000D2A34" w:rsidDel="000D2A34">
        <w:rPr>
          <w:rFonts w:ascii="Arial Narrow" w:hAnsi="Arial Narrow"/>
        </w:rPr>
        <w:t xml:space="preserve"> </w:t>
      </w:r>
      <w:r w:rsidR="002A0289">
        <w:rPr>
          <w:rFonts w:ascii="Arial Narrow" w:hAnsi="Arial Narrow"/>
        </w:rPr>
        <w:t>na roky 2025 až 2028 vychádza z makroekonomických a daňových prognóz zo septembra</w:t>
      </w:r>
      <w:r w:rsidR="003922D5">
        <w:rPr>
          <w:rFonts w:ascii="Arial Narrow" w:hAnsi="Arial Narrow"/>
        </w:rPr>
        <w:t xml:space="preserve"> a októbra</w:t>
      </w:r>
      <w:r w:rsidR="002A0289">
        <w:rPr>
          <w:rFonts w:ascii="Arial Narrow" w:hAnsi="Arial Narrow"/>
        </w:rPr>
        <w:t xml:space="preserve"> 2024, ktoré boli schválené </w:t>
      </w:r>
      <w:r w:rsidR="003922D5">
        <w:rPr>
          <w:rFonts w:ascii="Arial Narrow" w:hAnsi="Arial Narrow"/>
        </w:rPr>
        <w:t>V</w:t>
      </w:r>
      <w:r w:rsidR="002A0289">
        <w:rPr>
          <w:rFonts w:ascii="Arial Narrow" w:hAnsi="Arial Narrow"/>
        </w:rPr>
        <w:t xml:space="preserve">ýbormi pre makroekonomické a daňové prognózy. </w:t>
      </w:r>
      <w:r w:rsidR="003922D5">
        <w:rPr>
          <w:rFonts w:ascii="Arial Narrow" w:hAnsi="Arial Narrow"/>
        </w:rPr>
        <w:t>Členom oboch</w:t>
      </w:r>
      <w:r w:rsidR="002A0289">
        <w:rPr>
          <w:rFonts w:ascii="Arial Narrow" w:hAnsi="Arial Narrow"/>
        </w:rPr>
        <w:t xml:space="preserve"> výborov je aj nezávislá</w:t>
      </w:r>
      <w:r w:rsidR="003922D5">
        <w:rPr>
          <w:rFonts w:ascii="Arial Narrow" w:hAnsi="Arial Narrow"/>
        </w:rPr>
        <w:t xml:space="preserve"> fiškálna inštitúcia</w:t>
      </w:r>
      <w:r w:rsidR="002A0289">
        <w:rPr>
          <w:rFonts w:ascii="Arial Narrow" w:hAnsi="Arial Narrow"/>
        </w:rPr>
        <w:t xml:space="preserve"> Rada pre rozpočtovú zodpovednosť. </w:t>
      </w:r>
      <w:r w:rsidR="002A0289" w:rsidRPr="002D063B">
        <w:rPr>
          <w:rFonts w:ascii="Arial Narrow" w:hAnsi="Arial Narrow"/>
        </w:rPr>
        <w:t xml:space="preserve">Materiál </w:t>
      </w:r>
      <w:r w:rsidR="007C268F">
        <w:rPr>
          <w:rFonts w:ascii="Arial Narrow" w:hAnsi="Arial Narrow"/>
        </w:rPr>
        <w:t>bol</w:t>
      </w:r>
      <w:r w:rsidR="002A0289" w:rsidRPr="002D063B">
        <w:rPr>
          <w:rFonts w:ascii="Arial Narrow" w:hAnsi="Arial Narrow"/>
        </w:rPr>
        <w:t xml:space="preserve"> prerokovaný </w:t>
      </w:r>
      <w:r w:rsidR="00072111" w:rsidRPr="002D063B">
        <w:rPr>
          <w:rFonts w:ascii="Arial Narrow" w:hAnsi="Arial Narrow"/>
        </w:rPr>
        <w:t>aj</w:t>
      </w:r>
      <w:r w:rsidR="00072111" w:rsidRPr="00C84223">
        <w:rPr>
          <w:rFonts w:ascii="Arial Narrow" w:hAnsi="Arial Narrow"/>
        </w:rPr>
        <w:t xml:space="preserve"> </w:t>
      </w:r>
      <w:r w:rsidR="002A0289" w:rsidRPr="00072111">
        <w:rPr>
          <w:rFonts w:ascii="Arial Narrow" w:hAnsi="Arial Narrow"/>
        </w:rPr>
        <w:t xml:space="preserve">na </w:t>
      </w:r>
      <w:r w:rsidR="003922D5" w:rsidRPr="00072111">
        <w:rPr>
          <w:rFonts w:ascii="Arial Narrow" w:hAnsi="Arial Narrow"/>
        </w:rPr>
        <w:t>H</w:t>
      </w:r>
      <w:r w:rsidR="002A0289" w:rsidRPr="00072111">
        <w:rPr>
          <w:rFonts w:ascii="Arial Narrow" w:hAnsi="Arial Narrow"/>
        </w:rPr>
        <w:t>ospodárskej a sociálnej rade, ktorá zastrešuje vládu SR, Konfederáciu odborových zväzov (KOZ), Republikovú úniu zamestnávateľov (RÚZ), Asociáciu zamestnávateľských zväzov a združení (AZZZ) a Združenie miest a obcí Slovenska (ZMOS).</w:t>
      </w:r>
      <w:r w:rsidR="002A0289">
        <w:rPr>
          <w:rFonts w:ascii="Arial Narrow" w:hAnsi="Arial Narrow"/>
        </w:rPr>
        <w:t xml:space="preserve"> Po schválení vládou SR sa </w:t>
      </w:r>
      <w:r w:rsidRPr="000D2A34">
        <w:rPr>
          <w:rFonts w:ascii="Arial Narrow" w:hAnsi="Arial Narrow"/>
        </w:rPr>
        <w:t>Národný strednodobý fiškálno-štrukturálny plán Slovenskej republiky</w:t>
      </w:r>
      <w:r w:rsidRPr="000D2A34" w:rsidDel="000D2A34">
        <w:rPr>
          <w:rFonts w:ascii="Arial Narrow" w:hAnsi="Arial Narrow"/>
        </w:rPr>
        <w:t xml:space="preserve"> </w:t>
      </w:r>
      <w:r>
        <w:rPr>
          <w:rFonts w:ascii="Arial Narrow" w:hAnsi="Arial Narrow"/>
        </w:rPr>
        <w:t>na roky 2025</w:t>
      </w:r>
      <w:r w:rsidR="00C52A90">
        <w:rPr>
          <w:rFonts w:ascii="Arial Narrow" w:hAnsi="Arial Narrow"/>
        </w:rPr>
        <w:t>-</w:t>
      </w:r>
      <w:r>
        <w:rPr>
          <w:rFonts w:ascii="Arial Narrow" w:hAnsi="Arial Narrow"/>
        </w:rPr>
        <w:t>2028</w:t>
      </w:r>
      <w:r w:rsidR="002A0289">
        <w:rPr>
          <w:rFonts w:ascii="Arial Narrow" w:hAnsi="Arial Narrow"/>
        </w:rPr>
        <w:t xml:space="preserve"> prerokuje v Národnej rade Slovenskej republiky. Európska komisia by mala poskytnúť hodnotenie strednodobého </w:t>
      </w:r>
      <w:r w:rsidR="003922D5">
        <w:rPr>
          <w:rFonts w:ascii="Arial Narrow" w:hAnsi="Arial Narrow"/>
        </w:rPr>
        <w:t xml:space="preserve">rozpočtového </w:t>
      </w:r>
      <w:r w:rsidR="002A0289">
        <w:rPr>
          <w:rFonts w:ascii="Arial Narrow" w:hAnsi="Arial Narrow"/>
        </w:rPr>
        <w:t>plánu SR do 6 týždňov od jeho prijatia.</w:t>
      </w:r>
    </w:p>
    <w:p w14:paraId="1251724A" w14:textId="77777777" w:rsidR="002A0289" w:rsidRPr="009B72D8" w:rsidRDefault="002A0289" w:rsidP="002A0289">
      <w:pPr>
        <w:jc w:val="both"/>
        <w:rPr>
          <w:rFonts w:ascii="Arial Narrow" w:eastAsia="Times New Roman" w:hAnsi="Arial Narrow"/>
        </w:rPr>
      </w:pPr>
      <w:r>
        <w:rPr>
          <w:rFonts w:ascii="Arial Narrow" w:eastAsia="Times New Roman" w:hAnsi="Arial Narrow"/>
        </w:rPr>
        <w:t xml:space="preserve"> </w:t>
      </w:r>
    </w:p>
    <w:p w14:paraId="599A3F4C" w14:textId="1CC65279" w:rsidR="00BE24B0" w:rsidRDefault="00BE24B0">
      <w:pPr>
        <w:rPr>
          <w:rFonts w:ascii="Arial Narrow" w:eastAsia="Times New Roman" w:hAnsi="Arial Narrow"/>
          <w:b/>
          <w:bCs/>
        </w:rPr>
      </w:pPr>
      <w:r>
        <w:rPr>
          <w:rFonts w:ascii="Arial Narrow" w:eastAsia="Times New Roman" w:hAnsi="Arial Narrow"/>
          <w:b/>
          <w:bCs/>
        </w:rPr>
        <w:br w:type="page"/>
      </w:r>
    </w:p>
    <w:sdt>
      <w:sdtPr>
        <w:rPr>
          <w:rFonts w:ascii="Arial Narrow" w:eastAsiaTheme="minorHAnsi" w:hAnsi="Arial Narrow" w:cstheme="minorBidi"/>
          <w:color w:val="auto"/>
          <w:sz w:val="22"/>
          <w:szCs w:val="36"/>
          <w:highlight w:val="yellow"/>
          <w:lang w:eastAsia="en-US"/>
        </w:rPr>
        <w:id w:val="-1076056097"/>
        <w:docPartObj>
          <w:docPartGallery w:val="Table of Contents"/>
          <w:docPartUnique/>
        </w:docPartObj>
      </w:sdtPr>
      <w:sdtEndPr>
        <w:rPr>
          <w:b/>
          <w:bCs/>
          <w:color w:val="2C9ADC"/>
          <w:szCs w:val="22"/>
          <w:highlight w:val="none"/>
        </w:rPr>
      </w:sdtEndPr>
      <w:sdtContent>
        <w:p w14:paraId="3C59D287" w14:textId="5171622B" w:rsidR="00BE24B0" w:rsidRPr="00D37B74" w:rsidRDefault="00BE24B0" w:rsidP="00BE24B0">
          <w:pPr>
            <w:pStyle w:val="Hlavikaobsahu"/>
            <w:rPr>
              <w:rFonts w:ascii="Arial Narrow" w:eastAsia="Times New Roman" w:hAnsi="Arial Narrow" w:cs="Arial Narrow"/>
              <w:b/>
              <w:bCs/>
              <w:color w:val="2C9ADC"/>
              <w:sz w:val="28"/>
              <w:szCs w:val="28"/>
            </w:rPr>
          </w:pPr>
          <w:r w:rsidRPr="00D37B74">
            <w:rPr>
              <w:rFonts w:ascii="Arial Narrow" w:eastAsia="Times New Roman" w:hAnsi="Arial Narrow" w:cs="Arial Narrow"/>
              <w:b/>
              <w:bCs/>
              <w:color w:val="2C9ADC"/>
              <w:sz w:val="28"/>
              <w:szCs w:val="28"/>
            </w:rPr>
            <w:t>O</w:t>
          </w:r>
          <w:r w:rsidR="00D37B74">
            <w:rPr>
              <w:rFonts w:ascii="Arial Narrow" w:eastAsia="Times New Roman" w:hAnsi="Arial Narrow" w:cs="Arial Narrow"/>
              <w:b/>
              <w:bCs/>
              <w:color w:val="2C9ADC"/>
              <w:sz w:val="28"/>
              <w:szCs w:val="28"/>
            </w:rPr>
            <w:t>BSAH</w:t>
          </w:r>
        </w:p>
      </w:sdtContent>
    </w:sdt>
    <w:p w14:paraId="5CEE5331" w14:textId="77777777" w:rsidR="00BE24B0" w:rsidRPr="0073405B" w:rsidRDefault="00BE24B0" w:rsidP="00BE24B0">
      <w:pPr>
        <w:pStyle w:val="Obsah1"/>
        <w:rPr>
          <w:highlight w:val="yellow"/>
        </w:rPr>
      </w:pPr>
    </w:p>
    <w:p w14:paraId="35F352B9" w14:textId="7CC34378" w:rsidR="00F50708" w:rsidRDefault="00BE24B0">
      <w:pPr>
        <w:pStyle w:val="Obsah1"/>
        <w:rPr>
          <w:rFonts w:asciiTheme="minorHAnsi" w:eastAsiaTheme="minorEastAsia" w:hAnsiTheme="minorHAnsi" w:cstheme="minorBidi"/>
          <w:b w:val="0"/>
          <w:kern w:val="2"/>
          <w14:ligatures w14:val="standardContextual"/>
        </w:rPr>
      </w:pPr>
      <w:r w:rsidRPr="00FB6543">
        <w:rPr>
          <w:color w:val="2C9ADC"/>
          <w:szCs w:val="28"/>
          <w:highlight w:val="yellow"/>
        </w:rPr>
        <w:fldChar w:fldCharType="begin"/>
      </w:r>
      <w:r w:rsidRPr="00FB6543">
        <w:rPr>
          <w:color w:val="2C9ADC"/>
          <w:szCs w:val="28"/>
          <w:highlight w:val="yellow"/>
        </w:rPr>
        <w:instrText xml:space="preserve"> TOC \o "1-2" \h \z \u </w:instrText>
      </w:r>
      <w:r w:rsidRPr="00FB6543">
        <w:rPr>
          <w:color w:val="2C9ADC"/>
          <w:szCs w:val="28"/>
          <w:highlight w:val="yellow"/>
        </w:rPr>
        <w:fldChar w:fldCharType="separate"/>
      </w:r>
      <w:hyperlink w:anchor="_Toc179814981" w:history="1">
        <w:r w:rsidR="00F50708" w:rsidRPr="00EC4551">
          <w:rPr>
            <w:rStyle w:val="Hypertextovprepojenie"/>
          </w:rPr>
          <w:t>Zhrnutie</w:t>
        </w:r>
        <w:r w:rsidR="00F50708">
          <w:rPr>
            <w:webHidden/>
          </w:rPr>
          <w:tab/>
        </w:r>
        <w:r w:rsidR="00F50708">
          <w:rPr>
            <w:webHidden/>
          </w:rPr>
          <w:fldChar w:fldCharType="begin"/>
        </w:r>
        <w:r w:rsidR="00F50708">
          <w:rPr>
            <w:webHidden/>
          </w:rPr>
          <w:instrText xml:space="preserve"> PAGEREF _Toc179814981 \h </w:instrText>
        </w:r>
        <w:r w:rsidR="00F50708">
          <w:rPr>
            <w:webHidden/>
          </w:rPr>
        </w:r>
        <w:r w:rsidR="00F50708">
          <w:rPr>
            <w:webHidden/>
          </w:rPr>
          <w:fldChar w:fldCharType="separate"/>
        </w:r>
        <w:r w:rsidR="007A664D">
          <w:rPr>
            <w:webHidden/>
          </w:rPr>
          <w:t>2</w:t>
        </w:r>
        <w:r w:rsidR="00F50708">
          <w:rPr>
            <w:webHidden/>
          </w:rPr>
          <w:fldChar w:fldCharType="end"/>
        </w:r>
      </w:hyperlink>
    </w:p>
    <w:p w14:paraId="52B95195" w14:textId="611AF486" w:rsidR="00F50708" w:rsidRDefault="009144C9">
      <w:pPr>
        <w:pStyle w:val="Obsah1"/>
        <w:rPr>
          <w:rFonts w:asciiTheme="minorHAnsi" w:eastAsiaTheme="minorEastAsia" w:hAnsiTheme="minorHAnsi" w:cstheme="minorBidi"/>
          <w:b w:val="0"/>
          <w:kern w:val="2"/>
          <w14:ligatures w14:val="standardContextual"/>
        </w:rPr>
      </w:pPr>
      <w:hyperlink w:anchor="_Toc179814982" w:history="1">
        <w:r w:rsidR="00F50708" w:rsidRPr="00EC4551">
          <w:rPr>
            <w:rStyle w:val="Hypertextovprepojenie"/>
          </w:rPr>
          <w:t>1.</w:t>
        </w:r>
        <w:r w:rsidR="00F50708">
          <w:rPr>
            <w:rFonts w:asciiTheme="minorHAnsi" w:eastAsiaTheme="minorEastAsia" w:hAnsiTheme="minorHAnsi" w:cstheme="minorBidi"/>
            <w:b w:val="0"/>
            <w:kern w:val="2"/>
            <w14:ligatures w14:val="standardContextual"/>
          </w:rPr>
          <w:tab/>
        </w:r>
        <w:r w:rsidR="00F50708" w:rsidRPr="00EC4551">
          <w:rPr>
            <w:rStyle w:val="Hypertextovprepojenie"/>
          </w:rPr>
          <w:t>Reforma európskych fiškálnych pravidiel</w:t>
        </w:r>
        <w:r w:rsidR="00F50708">
          <w:rPr>
            <w:webHidden/>
          </w:rPr>
          <w:tab/>
        </w:r>
        <w:r w:rsidR="00F50708">
          <w:rPr>
            <w:webHidden/>
          </w:rPr>
          <w:fldChar w:fldCharType="begin"/>
        </w:r>
        <w:r w:rsidR="00F50708">
          <w:rPr>
            <w:webHidden/>
          </w:rPr>
          <w:instrText xml:space="preserve"> PAGEREF _Toc179814982 \h </w:instrText>
        </w:r>
        <w:r w:rsidR="00F50708">
          <w:rPr>
            <w:webHidden/>
          </w:rPr>
        </w:r>
        <w:r w:rsidR="00F50708">
          <w:rPr>
            <w:webHidden/>
          </w:rPr>
          <w:fldChar w:fldCharType="separate"/>
        </w:r>
        <w:r w:rsidR="007A664D">
          <w:rPr>
            <w:webHidden/>
          </w:rPr>
          <w:t>6</w:t>
        </w:r>
        <w:r w:rsidR="00F50708">
          <w:rPr>
            <w:webHidden/>
          </w:rPr>
          <w:fldChar w:fldCharType="end"/>
        </w:r>
      </w:hyperlink>
    </w:p>
    <w:p w14:paraId="2A7B9AD2" w14:textId="0C0BCF39" w:rsidR="00F50708" w:rsidRDefault="009144C9">
      <w:pPr>
        <w:pStyle w:val="Obsah1"/>
        <w:rPr>
          <w:rFonts w:asciiTheme="minorHAnsi" w:eastAsiaTheme="minorEastAsia" w:hAnsiTheme="minorHAnsi" w:cstheme="minorBidi"/>
          <w:b w:val="0"/>
          <w:kern w:val="2"/>
          <w14:ligatures w14:val="standardContextual"/>
        </w:rPr>
      </w:pPr>
      <w:hyperlink w:anchor="_Toc179814983" w:history="1">
        <w:r w:rsidR="00F50708" w:rsidRPr="00EC4551">
          <w:rPr>
            <w:rStyle w:val="Hypertextovprepojenie"/>
          </w:rPr>
          <w:t>2.</w:t>
        </w:r>
        <w:r w:rsidR="00F50708">
          <w:rPr>
            <w:rFonts w:asciiTheme="minorHAnsi" w:eastAsiaTheme="minorEastAsia" w:hAnsiTheme="minorHAnsi" w:cstheme="minorBidi"/>
            <w:b w:val="0"/>
            <w:kern w:val="2"/>
            <w14:ligatures w14:val="standardContextual"/>
          </w:rPr>
          <w:tab/>
        </w:r>
        <w:r w:rsidR="00F50708" w:rsidRPr="00EC4551">
          <w:rPr>
            <w:rStyle w:val="Hypertextovprepojenie"/>
          </w:rPr>
          <w:t>Makroekonomické prostredie</w:t>
        </w:r>
        <w:r w:rsidR="00F50708">
          <w:rPr>
            <w:webHidden/>
          </w:rPr>
          <w:tab/>
        </w:r>
        <w:r w:rsidR="00F50708">
          <w:rPr>
            <w:webHidden/>
          </w:rPr>
          <w:fldChar w:fldCharType="begin"/>
        </w:r>
        <w:r w:rsidR="00F50708">
          <w:rPr>
            <w:webHidden/>
          </w:rPr>
          <w:instrText xml:space="preserve"> PAGEREF _Toc179814983 \h </w:instrText>
        </w:r>
        <w:r w:rsidR="00F50708">
          <w:rPr>
            <w:webHidden/>
          </w:rPr>
        </w:r>
        <w:r w:rsidR="00F50708">
          <w:rPr>
            <w:webHidden/>
          </w:rPr>
          <w:fldChar w:fldCharType="separate"/>
        </w:r>
        <w:r w:rsidR="007A664D">
          <w:rPr>
            <w:webHidden/>
          </w:rPr>
          <w:t>8</w:t>
        </w:r>
        <w:r w:rsidR="00F50708">
          <w:rPr>
            <w:webHidden/>
          </w:rPr>
          <w:fldChar w:fldCharType="end"/>
        </w:r>
      </w:hyperlink>
    </w:p>
    <w:p w14:paraId="62EF2E06" w14:textId="35AADA2C" w:rsidR="00F50708" w:rsidRDefault="009144C9">
      <w:pPr>
        <w:pStyle w:val="Obsah1"/>
        <w:rPr>
          <w:rFonts w:asciiTheme="minorHAnsi" w:eastAsiaTheme="minorEastAsia" w:hAnsiTheme="minorHAnsi" w:cstheme="minorBidi"/>
          <w:b w:val="0"/>
          <w:kern w:val="2"/>
          <w14:ligatures w14:val="standardContextual"/>
        </w:rPr>
      </w:pPr>
      <w:hyperlink w:anchor="_Toc179814984" w:history="1">
        <w:r w:rsidR="00F50708" w:rsidRPr="00EC4551">
          <w:rPr>
            <w:rStyle w:val="Hypertextovprepojenie"/>
          </w:rPr>
          <w:t>3.</w:t>
        </w:r>
        <w:r w:rsidR="00F50708">
          <w:rPr>
            <w:rFonts w:asciiTheme="minorHAnsi" w:eastAsiaTheme="minorEastAsia" w:hAnsiTheme="minorHAnsi" w:cstheme="minorBidi"/>
            <w:b w:val="0"/>
            <w:kern w:val="2"/>
            <w14:ligatures w14:val="standardContextual"/>
          </w:rPr>
          <w:tab/>
        </w:r>
        <w:r w:rsidR="00F50708" w:rsidRPr="00EC4551">
          <w:rPr>
            <w:rStyle w:val="Hypertextovprepojenie"/>
          </w:rPr>
          <w:t>Rozpočtové ciele vlády a zodpovedajúca trajektória čistých výdavkov</w:t>
        </w:r>
        <w:r w:rsidR="00F50708">
          <w:rPr>
            <w:webHidden/>
          </w:rPr>
          <w:tab/>
        </w:r>
        <w:r w:rsidR="00F50708">
          <w:rPr>
            <w:webHidden/>
          </w:rPr>
          <w:fldChar w:fldCharType="begin"/>
        </w:r>
        <w:r w:rsidR="00F50708">
          <w:rPr>
            <w:webHidden/>
          </w:rPr>
          <w:instrText xml:space="preserve"> PAGEREF _Toc179814984 \h </w:instrText>
        </w:r>
        <w:r w:rsidR="00F50708">
          <w:rPr>
            <w:webHidden/>
          </w:rPr>
        </w:r>
        <w:r w:rsidR="00F50708">
          <w:rPr>
            <w:webHidden/>
          </w:rPr>
          <w:fldChar w:fldCharType="separate"/>
        </w:r>
        <w:r w:rsidR="007A664D">
          <w:rPr>
            <w:webHidden/>
          </w:rPr>
          <w:t>11</w:t>
        </w:r>
        <w:r w:rsidR="00F50708">
          <w:rPr>
            <w:webHidden/>
          </w:rPr>
          <w:fldChar w:fldCharType="end"/>
        </w:r>
      </w:hyperlink>
    </w:p>
    <w:p w14:paraId="0CC57DD1" w14:textId="3DFA5FC4" w:rsidR="00F50708" w:rsidRDefault="009144C9">
      <w:pPr>
        <w:pStyle w:val="Obsah1"/>
        <w:rPr>
          <w:rFonts w:asciiTheme="minorHAnsi" w:eastAsiaTheme="minorEastAsia" w:hAnsiTheme="minorHAnsi" w:cstheme="minorBidi"/>
          <w:b w:val="0"/>
          <w:kern w:val="2"/>
          <w14:ligatures w14:val="standardContextual"/>
        </w:rPr>
      </w:pPr>
      <w:hyperlink w:anchor="_Toc179814985" w:history="1">
        <w:r w:rsidR="00F50708" w:rsidRPr="00EC4551">
          <w:rPr>
            <w:rStyle w:val="Hypertextovprepojenie"/>
          </w:rPr>
          <w:t>4.</w:t>
        </w:r>
        <w:r w:rsidR="00F50708">
          <w:rPr>
            <w:rFonts w:asciiTheme="minorHAnsi" w:eastAsiaTheme="minorEastAsia" w:hAnsiTheme="minorHAnsi" w:cstheme="minorBidi"/>
            <w:b w:val="0"/>
            <w:kern w:val="2"/>
            <w14:ligatures w14:val="standardContextual"/>
          </w:rPr>
          <w:tab/>
        </w:r>
        <w:r w:rsidR="00F50708" w:rsidRPr="00EC4551">
          <w:rPr>
            <w:rStyle w:val="Hypertextovprepojenie"/>
          </w:rPr>
          <w:t>Špecifikácia opatrení na dosiahnutie cieľov vlády</w:t>
        </w:r>
        <w:r w:rsidR="00F50708">
          <w:rPr>
            <w:webHidden/>
          </w:rPr>
          <w:tab/>
        </w:r>
        <w:r w:rsidR="00F50708">
          <w:rPr>
            <w:webHidden/>
          </w:rPr>
          <w:fldChar w:fldCharType="begin"/>
        </w:r>
        <w:r w:rsidR="00F50708">
          <w:rPr>
            <w:webHidden/>
          </w:rPr>
          <w:instrText xml:space="preserve"> PAGEREF _Toc179814985 \h </w:instrText>
        </w:r>
        <w:r w:rsidR="00F50708">
          <w:rPr>
            <w:webHidden/>
          </w:rPr>
        </w:r>
        <w:r w:rsidR="00F50708">
          <w:rPr>
            <w:webHidden/>
          </w:rPr>
          <w:fldChar w:fldCharType="separate"/>
        </w:r>
        <w:r w:rsidR="007A664D">
          <w:rPr>
            <w:webHidden/>
          </w:rPr>
          <w:t>14</w:t>
        </w:r>
        <w:r w:rsidR="00F50708">
          <w:rPr>
            <w:webHidden/>
          </w:rPr>
          <w:fldChar w:fldCharType="end"/>
        </w:r>
      </w:hyperlink>
    </w:p>
    <w:p w14:paraId="0F78620B" w14:textId="2241F045" w:rsidR="00F50708" w:rsidRDefault="009144C9">
      <w:pPr>
        <w:pStyle w:val="Obsah1"/>
        <w:rPr>
          <w:rFonts w:asciiTheme="minorHAnsi" w:eastAsiaTheme="minorEastAsia" w:hAnsiTheme="minorHAnsi" w:cstheme="minorBidi"/>
          <w:b w:val="0"/>
          <w:kern w:val="2"/>
          <w14:ligatures w14:val="standardContextual"/>
        </w:rPr>
      </w:pPr>
      <w:hyperlink w:anchor="_Toc179814986" w:history="1">
        <w:r w:rsidR="00F50708" w:rsidRPr="00EC4551">
          <w:rPr>
            <w:rStyle w:val="Hypertextovprepojenie"/>
          </w:rPr>
          <w:t>5.</w:t>
        </w:r>
        <w:r w:rsidR="00F50708">
          <w:rPr>
            <w:rFonts w:asciiTheme="minorHAnsi" w:eastAsiaTheme="minorEastAsia" w:hAnsiTheme="minorHAnsi" w:cstheme="minorBidi"/>
            <w:b w:val="0"/>
            <w:kern w:val="2"/>
            <w14:ligatures w14:val="standardContextual"/>
          </w:rPr>
          <w:tab/>
        </w:r>
        <w:r w:rsidR="00F50708" w:rsidRPr="00EC4551">
          <w:rPr>
            <w:rStyle w:val="Hypertextovprepojenie"/>
          </w:rPr>
          <w:t>Reformy a investície</w:t>
        </w:r>
        <w:r w:rsidR="00F50708">
          <w:rPr>
            <w:webHidden/>
          </w:rPr>
          <w:tab/>
        </w:r>
        <w:r w:rsidR="00F50708">
          <w:rPr>
            <w:webHidden/>
          </w:rPr>
          <w:fldChar w:fldCharType="begin"/>
        </w:r>
        <w:r w:rsidR="00F50708">
          <w:rPr>
            <w:webHidden/>
          </w:rPr>
          <w:instrText xml:space="preserve"> PAGEREF _Toc179814986 \h </w:instrText>
        </w:r>
        <w:r w:rsidR="00F50708">
          <w:rPr>
            <w:webHidden/>
          </w:rPr>
        </w:r>
        <w:r w:rsidR="00F50708">
          <w:rPr>
            <w:webHidden/>
          </w:rPr>
          <w:fldChar w:fldCharType="separate"/>
        </w:r>
        <w:r w:rsidR="007A664D">
          <w:rPr>
            <w:webHidden/>
          </w:rPr>
          <w:t>17</w:t>
        </w:r>
        <w:r w:rsidR="00F50708">
          <w:rPr>
            <w:webHidden/>
          </w:rPr>
          <w:fldChar w:fldCharType="end"/>
        </w:r>
      </w:hyperlink>
    </w:p>
    <w:p w14:paraId="1855EC6E" w14:textId="06F97E3C" w:rsidR="00F50708" w:rsidRDefault="009144C9">
      <w:pPr>
        <w:pStyle w:val="Obsah1"/>
        <w:rPr>
          <w:rFonts w:asciiTheme="minorHAnsi" w:eastAsiaTheme="minorEastAsia" w:hAnsiTheme="minorHAnsi" w:cstheme="minorBidi"/>
          <w:b w:val="0"/>
          <w:kern w:val="2"/>
          <w14:ligatures w14:val="standardContextual"/>
        </w:rPr>
      </w:pPr>
      <w:hyperlink w:anchor="_Toc179814987" w:history="1">
        <w:r w:rsidR="00F50708" w:rsidRPr="00EC4551">
          <w:rPr>
            <w:rStyle w:val="Hypertextovprepojenie"/>
          </w:rPr>
          <w:t>Prílohy</w:t>
        </w:r>
        <w:r w:rsidR="00F50708">
          <w:rPr>
            <w:webHidden/>
          </w:rPr>
          <w:tab/>
        </w:r>
        <w:r w:rsidR="00F50708">
          <w:rPr>
            <w:webHidden/>
          </w:rPr>
          <w:fldChar w:fldCharType="begin"/>
        </w:r>
        <w:r w:rsidR="00F50708">
          <w:rPr>
            <w:webHidden/>
          </w:rPr>
          <w:instrText xml:space="preserve"> PAGEREF _Toc179814987 \h </w:instrText>
        </w:r>
        <w:r w:rsidR="00F50708">
          <w:rPr>
            <w:webHidden/>
          </w:rPr>
        </w:r>
        <w:r w:rsidR="00F50708">
          <w:rPr>
            <w:webHidden/>
          </w:rPr>
          <w:fldChar w:fldCharType="separate"/>
        </w:r>
        <w:r w:rsidR="007A664D">
          <w:rPr>
            <w:webHidden/>
          </w:rPr>
          <w:t>28</w:t>
        </w:r>
        <w:r w:rsidR="00F50708">
          <w:rPr>
            <w:webHidden/>
          </w:rPr>
          <w:fldChar w:fldCharType="end"/>
        </w:r>
      </w:hyperlink>
    </w:p>
    <w:p w14:paraId="7F56B48F" w14:textId="4A36B420" w:rsidR="002A0289" w:rsidRDefault="00BE24B0" w:rsidP="00BE24B0">
      <w:pPr>
        <w:jc w:val="both"/>
        <w:rPr>
          <w:rFonts w:cs="Arial Narrow"/>
          <w:color w:val="2C9ADC"/>
          <w:szCs w:val="28"/>
        </w:rPr>
      </w:pPr>
      <w:r w:rsidRPr="00FB6543">
        <w:rPr>
          <w:rFonts w:cs="Arial Narrow"/>
          <w:color w:val="2C9ADC"/>
          <w:szCs w:val="28"/>
          <w:highlight w:val="yellow"/>
        </w:rPr>
        <w:fldChar w:fldCharType="end"/>
      </w:r>
    </w:p>
    <w:p w14:paraId="56F9DDD4" w14:textId="77777777" w:rsidR="00BE24B0" w:rsidRDefault="00BE24B0" w:rsidP="00BE24B0">
      <w:pPr>
        <w:jc w:val="both"/>
        <w:rPr>
          <w:rFonts w:cs="Arial Narrow"/>
          <w:color w:val="2C9ADC"/>
          <w:szCs w:val="28"/>
        </w:rPr>
      </w:pPr>
    </w:p>
    <w:p w14:paraId="3FDDE658" w14:textId="3EDA8227" w:rsidR="00BE24B0" w:rsidRDefault="00BE24B0">
      <w:pPr>
        <w:rPr>
          <w:rFonts w:cs="Arial Narrow"/>
          <w:color w:val="2C9ADC"/>
          <w:szCs w:val="28"/>
        </w:rPr>
      </w:pPr>
      <w:r>
        <w:rPr>
          <w:rFonts w:cs="Arial Narrow"/>
          <w:color w:val="2C9ADC"/>
          <w:szCs w:val="28"/>
        </w:rPr>
        <w:br w:type="page"/>
      </w:r>
    </w:p>
    <w:p w14:paraId="575B3943" w14:textId="035A97B3" w:rsidR="00BE24B0" w:rsidRPr="00D37B74" w:rsidRDefault="00BE24B0" w:rsidP="00BE24B0">
      <w:pPr>
        <w:pStyle w:val="Hlavikaobsahu"/>
        <w:spacing w:after="120"/>
        <w:rPr>
          <w:rFonts w:ascii="Arial Narrow" w:eastAsiaTheme="minorHAnsi" w:hAnsi="Arial Narrow" w:cstheme="minorBidi"/>
          <w:b/>
          <w:color w:val="2C9ADC"/>
          <w:sz w:val="28"/>
          <w:szCs w:val="28"/>
          <w:lang w:eastAsia="en-US"/>
        </w:rPr>
      </w:pPr>
      <w:r w:rsidRPr="00D37B74">
        <w:rPr>
          <w:rFonts w:ascii="Arial Narrow" w:eastAsiaTheme="minorHAnsi" w:hAnsi="Arial Narrow" w:cstheme="minorBidi"/>
          <w:b/>
          <w:color w:val="2C9ADC"/>
          <w:sz w:val="28"/>
          <w:szCs w:val="28"/>
          <w:lang w:eastAsia="en-US"/>
        </w:rPr>
        <w:lastRenderedPageBreak/>
        <w:t>ZOZNAM TABULIEK A GRAFOV</w:t>
      </w:r>
    </w:p>
    <w:p w14:paraId="5EF685BA" w14:textId="4A04D1B5" w:rsidR="00BE24B0" w:rsidRPr="00634E0B" w:rsidRDefault="00BE24B0" w:rsidP="00BE24B0">
      <w:pPr>
        <w:pStyle w:val="Zoznamobrzkov"/>
        <w:tabs>
          <w:tab w:val="right" w:leader="dot" w:pos="9063"/>
        </w:tabs>
        <w:spacing w:line="259" w:lineRule="auto"/>
        <w:rPr>
          <w:rFonts w:cs="Times New Roman"/>
          <w:noProof/>
          <w:color w:val="0000FF"/>
          <w:sz w:val="20"/>
          <w:szCs w:val="20"/>
          <w:highlight w:val="yellow"/>
          <w:u w:val="single"/>
        </w:rPr>
      </w:pPr>
    </w:p>
    <w:p w14:paraId="73125686" w14:textId="31013D1A" w:rsidR="00524827" w:rsidRPr="00A22C01" w:rsidRDefault="00BE24B0">
      <w:pPr>
        <w:pStyle w:val="Zoznamobrzkov"/>
        <w:tabs>
          <w:tab w:val="right" w:leader="dot" w:pos="9062"/>
        </w:tabs>
        <w:rPr>
          <w:rFonts w:asciiTheme="minorHAnsi" w:eastAsiaTheme="minorEastAsia" w:hAnsiTheme="minorHAnsi"/>
          <w:noProof/>
          <w:kern w:val="2"/>
          <w:sz w:val="21"/>
          <w:szCs w:val="21"/>
          <w:lang w:eastAsia="sk-SK"/>
          <w14:ligatures w14:val="standardContextual"/>
        </w:rPr>
      </w:pPr>
      <w:r w:rsidRPr="00524827">
        <w:rPr>
          <w:rStyle w:val="Hypertextovprepojenie"/>
          <w:noProof/>
          <w:sz w:val="21"/>
          <w:szCs w:val="21"/>
          <w:highlight w:val="yellow"/>
        </w:rPr>
        <w:fldChar w:fldCharType="begin"/>
      </w:r>
      <w:r w:rsidRPr="00524827">
        <w:rPr>
          <w:rStyle w:val="Hypertextovprepojenie"/>
          <w:noProof/>
          <w:sz w:val="21"/>
          <w:szCs w:val="21"/>
          <w:highlight w:val="yellow"/>
        </w:rPr>
        <w:instrText xml:space="preserve"> TOC \h \z \c "TABUĽKA" </w:instrText>
      </w:r>
      <w:r w:rsidRPr="00524827">
        <w:rPr>
          <w:rStyle w:val="Hypertextovprepojenie"/>
          <w:noProof/>
          <w:sz w:val="21"/>
          <w:szCs w:val="21"/>
          <w:highlight w:val="yellow"/>
        </w:rPr>
        <w:fldChar w:fldCharType="separate"/>
      </w:r>
      <w:hyperlink w:anchor="_Toc179814713" w:history="1">
        <w:r w:rsidR="00524827" w:rsidRPr="00A22C01">
          <w:rPr>
            <w:rStyle w:val="Hypertextovprepojenie"/>
            <w:rFonts w:eastAsia="Arial Narrow" w:cs="Arial Narrow"/>
            <w:noProof/>
            <w:sz w:val="21"/>
            <w:szCs w:val="21"/>
            <w:bdr w:val="nil"/>
            <w:lang w:eastAsia="sk-SK"/>
          </w:rPr>
          <w:t>TABUĽKA 1</w:t>
        </w:r>
        <w:r w:rsidR="00524827" w:rsidRPr="00A22C01">
          <w:rPr>
            <w:rStyle w:val="Hypertextovprepojenie"/>
            <w:noProof/>
            <w:sz w:val="21"/>
            <w:szCs w:val="21"/>
          </w:rPr>
          <w:t xml:space="preserve"> </w:t>
        </w:r>
        <w:r w:rsidR="00524827" w:rsidRPr="00A22C01">
          <w:rPr>
            <w:rStyle w:val="Hypertextovprepojenie"/>
            <w:rFonts w:eastAsia="Arial Narrow" w:cs="Arial Narrow"/>
            <w:noProof/>
            <w:sz w:val="21"/>
            <w:szCs w:val="21"/>
          </w:rPr>
          <w:t>– Indikátory dlhodobej udržateľnosti S1 a S2 k roku 2024 a 2028 (% HDP)</w:t>
        </w:r>
        <w:r w:rsidR="00524827" w:rsidRPr="00A22C01">
          <w:rPr>
            <w:noProof/>
            <w:webHidden/>
            <w:sz w:val="21"/>
            <w:szCs w:val="21"/>
          </w:rPr>
          <w:tab/>
        </w:r>
        <w:r w:rsidR="00524827" w:rsidRPr="00A22C01">
          <w:rPr>
            <w:noProof/>
            <w:webHidden/>
            <w:sz w:val="21"/>
            <w:szCs w:val="21"/>
          </w:rPr>
          <w:fldChar w:fldCharType="begin"/>
        </w:r>
        <w:r w:rsidR="00524827" w:rsidRPr="00A22C01">
          <w:rPr>
            <w:noProof/>
            <w:webHidden/>
            <w:sz w:val="21"/>
            <w:szCs w:val="21"/>
          </w:rPr>
          <w:instrText xml:space="preserve"> PAGEREF _Toc179814713 \h </w:instrText>
        </w:r>
        <w:r w:rsidR="00524827" w:rsidRPr="00A22C01">
          <w:rPr>
            <w:noProof/>
            <w:webHidden/>
            <w:sz w:val="21"/>
            <w:szCs w:val="21"/>
          </w:rPr>
        </w:r>
        <w:r w:rsidR="00524827" w:rsidRPr="00A22C01">
          <w:rPr>
            <w:noProof/>
            <w:webHidden/>
            <w:sz w:val="21"/>
            <w:szCs w:val="21"/>
          </w:rPr>
          <w:fldChar w:fldCharType="separate"/>
        </w:r>
        <w:r w:rsidR="007A664D">
          <w:rPr>
            <w:noProof/>
            <w:webHidden/>
            <w:sz w:val="21"/>
            <w:szCs w:val="21"/>
          </w:rPr>
          <w:t>12</w:t>
        </w:r>
        <w:r w:rsidR="00524827" w:rsidRPr="00A22C01">
          <w:rPr>
            <w:noProof/>
            <w:webHidden/>
            <w:sz w:val="21"/>
            <w:szCs w:val="21"/>
          </w:rPr>
          <w:fldChar w:fldCharType="end"/>
        </w:r>
      </w:hyperlink>
    </w:p>
    <w:p w14:paraId="218E3BA8" w14:textId="50F3E7F0" w:rsidR="00524827"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714" w:history="1">
        <w:r w:rsidR="00524827" w:rsidRPr="00A22C01">
          <w:rPr>
            <w:rStyle w:val="Hypertextovprepojenie"/>
            <w:rFonts w:eastAsia="Arial Narrow" w:cs="Arial Narrow"/>
            <w:noProof/>
            <w:sz w:val="21"/>
            <w:szCs w:val="21"/>
            <w:bdr w:val="nil"/>
            <w:lang w:eastAsia="sk-SK"/>
          </w:rPr>
          <w:t>TABUĽKA 2</w:t>
        </w:r>
        <w:r w:rsidR="00524827" w:rsidRPr="00A22C01">
          <w:rPr>
            <w:rStyle w:val="Hypertextovprepojenie"/>
            <w:noProof/>
            <w:sz w:val="21"/>
            <w:szCs w:val="21"/>
          </w:rPr>
          <w:t xml:space="preserve"> –</w:t>
        </w:r>
        <w:r w:rsidR="00524827" w:rsidRPr="00A22C01">
          <w:rPr>
            <w:rStyle w:val="Hypertextovprepojenie"/>
            <w:rFonts w:eastAsia="NeueHaasGroteskText W02" w:cs="Arial"/>
            <w:noProof/>
            <w:sz w:val="21"/>
            <w:szCs w:val="21"/>
          </w:rPr>
          <w:t> Plánované konsolidačné úsilie (v zmysle metodiky EK na určenie povoleného rastu čistých výdavkov)</w:t>
        </w:r>
        <w:r w:rsidR="00524827" w:rsidRPr="00A22C01">
          <w:rPr>
            <w:noProof/>
            <w:webHidden/>
            <w:sz w:val="21"/>
            <w:szCs w:val="21"/>
          </w:rPr>
          <w:tab/>
        </w:r>
        <w:r w:rsidR="00524827" w:rsidRPr="00A22C01">
          <w:rPr>
            <w:noProof/>
            <w:webHidden/>
            <w:sz w:val="21"/>
            <w:szCs w:val="21"/>
          </w:rPr>
          <w:fldChar w:fldCharType="begin"/>
        </w:r>
        <w:r w:rsidR="00524827" w:rsidRPr="00A22C01">
          <w:rPr>
            <w:noProof/>
            <w:webHidden/>
            <w:sz w:val="21"/>
            <w:szCs w:val="21"/>
          </w:rPr>
          <w:instrText xml:space="preserve"> PAGEREF _Toc179814714 \h </w:instrText>
        </w:r>
        <w:r w:rsidR="00524827" w:rsidRPr="00A22C01">
          <w:rPr>
            <w:noProof/>
            <w:webHidden/>
            <w:sz w:val="21"/>
            <w:szCs w:val="21"/>
          </w:rPr>
        </w:r>
        <w:r w:rsidR="00524827" w:rsidRPr="00A22C01">
          <w:rPr>
            <w:noProof/>
            <w:webHidden/>
            <w:sz w:val="21"/>
            <w:szCs w:val="21"/>
          </w:rPr>
          <w:fldChar w:fldCharType="separate"/>
        </w:r>
        <w:r w:rsidR="007A664D">
          <w:rPr>
            <w:noProof/>
            <w:webHidden/>
            <w:sz w:val="21"/>
            <w:szCs w:val="21"/>
          </w:rPr>
          <w:t>13</w:t>
        </w:r>
        <w:r w:rsidR="00524827" w:rsidRPr="00A22C01">
          <w:rPr>
            <w:noProof/>
            <w:webHidden/>
            <w:sz w:val="21"/>
            <w:szCs w:val="21"/>
          </w:rPr>
          <w:fldChar w:fldCharType="end"/>
        </w:r>
      </w:hyperlink>
    </w:p>
    <w:p w14:paraId="689361F0" w14:textId="331ABE64" w:rsidR="00524827"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715" w:history="1">
        <w:r w:rsidR="00524827" w:rsidRPr="00A22C01">
          <w:rPr>
            <w:rStyle w:val="Hypertextovprepojenie"/>
            <w:rFonts w:eastAsia="Arial Narrow" w:cs="Arial Narrow"/>
            <w:noProof/>
            <w:sz w:val="21"/>
            <w:szCs w:val="21"/>
            <w:bdr w:val="nil"/>
            <w:lang w:eastAsia="sk-SK"/>
          </w:rPr>
          <w:t>TABUĽKA 3</w:t>
        </w:r>
        <w:r w:rsidR="00524827" w:rsidRPr="00A22C01">
          <w:rPr>
            <w:rStyle w:val="Hypertextovprepojenie"/>
            <w:rFonts w:eastAsia="NeueHaasGroteskText W02" w:cs="Arial"/>
            <w:noProof/>
            <w:sz w:val="21"/>
            <w:szCs w:val="21"/>
          </w:rPr>
          <w:t xml:space="preserve"> – Príjmové a výdavkové konsolidačné opatrenia</w:t>
        </w:r>
        <w:r w:rsidR="00524827" w:rsidRPr="00A22C01">
          <w:rPr>
            <w:noProof/>
            <w:webHidden/>
            <w:sz w:val="21"/>
            <w:szCs w:val="21"/>
          </w:rPr>
          <w:tab/>
        </w:r>
        <w:r w:rsidR="00524827" w:rsidRPr="00A22C01">
          <w:rPr>
            <w:noProof/>
            <w:webHidden/>
            <w:sz w:val="21"/>
            <w:szCs w:val="21"/>
          </w:rPr>
          <w:fldChar w:fldCharType="begin"/>
        </w:r>
        <w:r w:rsidR="00524827" w:rsidRPr="00A22C01">
          <w:rPr>
            <w:noProof/>
            <w:webHidden/>
            <w:sz w:val="21"/>
            <w:szCs w:val="21"/>
          </w:rPr>
          <w:instrText xml:space="preserve"> PAGEREF _Toc179814715 \h </w:instrText>
        </w:r>
        <w:r w:rsidR="00524827" w:rsidRPr="00A22C01">
          <w:rPr>
            <w:noProof/>
            <w:webHidden/>
            <w:sz w:val="21"/>
            <w:szCs w:val="21"/>
          </w:rPr>
        </w:r>
        <w:r w:rsidR="00524827" w:rsidRPr="00A22C01">
          <w:rPr>
            <w:noProof/>
            <w:webHidden/>
            <w:sz w:val="21"/>
            <w:szCs w:val="21"/>
          </w:rPr>
          <w:fldChar w:fldCharType="separate"/>
        </w:r>
        <w:r w:rsidR="007A664D">
          <w:rPr>
            <w:noProof/>
            <w:webHidden/>
            <w:sz w:val="21"/>
            <w:szCs w:val="21"/>
          </w:rPr>
          <w:t>15</w:t>
        </w:r>
        <w:r w:rsidR="00524827" w:rsidRPr="00A22C01">
          <w:rPr>
            <w:noProof/>
            <w:webHidden/>
            <w:sz w:val="21"/>
            <w:szCs w:val="21"/>
          </w:rPr>
          <w:fldChar w:fldCharType="end"/>
        </w:r>
      </w:hyperlink>
    </w:p>
    <w:p w14:paraId="79212015" w14:textId="34C3801B" w:rsidR="00524827"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716" w:history="1">
        <w:r w:rsidR="00524827" w:rsidRPr="00A22C01">
          <w:rPr>
            <w:rStyle w:val="Hypertextovprepojenie"/>
            <w:rFonts w:eastAsia="Calibri"/>
            <w:noProof/>
            <w:sz w:val="21"/>
            <w:szCs w:val="21"/>
          </w:rPr>
          <w:t>TABUĽKA 4 – Súhrn reforiem a investícií v MTP</w:t>
        </w:r>
        <w:r w:rsidR="00524827" w:rsidRPr="00A22C01">
          <w:rPr>
            <w:noProof/>
            <w:webHidden/>
            <w:sz w:val="21"/>
            <w:szCs w:val="21"/>
          </w:rPr>
          <w:tab/>
        </w:r>
        <w:r w:rsidR="00524827" w:rsidRPr="00A22C01">
          <w:rPr>
            <w:noProof/>
            <w:webHidden/>
            <w:sz w:val="21"/>
            <w:szCs w:val="21"/>
          </w:rPr>
          <w:fldChar w:fldCharType="begin"/>
        </w:r>
        <w:r w:rsidR="00524827" w:rsidRPr="00A22C01">
          <w:rPr>
            <w:noProof/>
            <w:webHidden/>
            <w:sz w:val="21"/>
            <w:szCs w:val="21"/>
          </w:rPr>
          <w:instrText xml:space="preserve"> PAGEREF _Toc179814716 \h </w:instrText>
        </w:r>
        <w:r w:rsidR="00524827" w:rsidRPr="00A22C01">
          <w:rPr>
            <w:noProof/>
            <w:webHidden/>
            <w:sz w:val="21"/>
            <w:szCs w:val="21"/>
          </w:rPr>
        </w:r>
        <w:r w:rsidR="00524827" w:rsidRPr="00A22C01">
          <w:rPr>
            <w:noProof/>
            <w:webHidden/>
            <w:sz w:val="21"/>
            <w:szCs w:val="21"/>
          </w:rPr>
          <w:fldChar w:fldCharType="separate"/>
        </w:r>
        <w:r w:rsidR="007A664D">
          <w:rPr>
            <w:noProof/>
            <w:webHidden/>
            <w:sz w:val="21"/>
            <w:szCs w:val="21"/>
          </w:rPr>
          <w:t>21</w:t>
        </w:r>
        <w:r w:rsidR="00524827" w:rsidRPr="00A22C01">
          <w:rPr>
            <w:noProof/>
            <w:webHidden/>
            <w:sz w:val="21"/>
            <w:szCs w:val="21"/>
          </w:rPr>
          <w:fldChar w:fldCharType="end"/>
        </w:r>
      </w:hyperlink>
    </w:p>
    <w:p w14:paraId="06D8B50D" w14:textId="35016615" w:rsidR="00524827"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717" w:history="1">
        <w:r w:rsidR="00524827" w:rsidRPr="00A22C01">
          <w:rPr>
            <w:rStyle w:val="Hypertextovprepojenie"/>
            <w:rFonts w:cs="Arial Narrow"/>
            <w:noProof/>
            <w:sz w:val="21"/>
            <w:szCs w:val="21"/>
          </w:rPr>
          <w:t xml:space="preserve">TABUĽKA </w:t>
        </w:r>
        <w:r w:rsidR="00524827" w:rsidRPr="00A22C01">
          <w:rPr>
            <w:rStyle w:val="Hypertextovprepojenie"/>
            <w:rFonts w:eastAsia="Arial Narrow" w:cs="Arial Narrow"/>
            <w:noProof/>
            <w:sz w:val="21"/>
            <w:szCs w:val="21"/>
            <w:bdr w:val="nil"/>
            <w:lang w:eastAsia="sk-SK"/>
          </w:rPr>
          <w:t>5</w:t>
        </w:r>
        <w:r w:rsidR="00524827" w:rsidRPr="00A22C01">
          <w:rPr>
            <w:rStyle w:val="Hypertextovprepojenie"/>
            <w:rFonts w:cs="Arial Narrow"/>
            <w:noProof/>
            <w:sz w:val="21"/>
            <w:szCs w:val="21"/>
          </w:rPr>
          <w:t xml:space="preserve"> – Porovnanie makro-indikátorov podľa prognózy MF SR a podľa predpokladov EK použitých pri nových fiškálnych pravidlách</w:t>
        </w:r>
        <w:r w:rsidR="00524827" w:rsidRPr="00A22C01">
          <w:rPr>
            <w:noProof/>
            <w:webHidden/>
            <w:sz w:val="21"/>
            <w:szCs w:val="21"/>
          </w:rPr>
          <w:tab/>
        </w:r>
        <w:r w:rsidR="00524827" w:rsidRPr="00A22C01">
          <w:rPr>
            <w:noProof/>
            <w:webHidden/>
            <w:sz w:val="21"/>
            <w:szCs w:val="21"/>
          </w:rPr>
          <w:fldChar w:fldCharType="begin"/>
        </w:r>
        <w:r w:rsidR="00524827" w:rsidRPr="00A22C01">
          <w:rPr>
            <w:noProof/>
            <w:webHidden/>
            <w:sz w:val="21"/>
            <w:szCs w:val="21"/>
          </w:rPr>
          <w:instrText xml:space="preserve"> PAGEREF _Toc179814717 \h </w:instrText>
        </w:r>
        <w:r w:rsidR="00524827" w:rsidRPr="00A22C01">
          <w:rPr>
            <w:noProof/>
            <w:webHidden/>
            <w:sz w:val="21"/>
            <w:szCs w:val="21"/>
          </w:rPr>
        </w:r>
        <w:r w:rsidR="00524827" w:rsidRPr="00A22C01">
          <w:rPr>
            <w:noProof/>
            <w:webHidden/>
            <w:sz w:val="21"/>
            <w:szCs w:val="21"/>
          </w:rPr>
          <w:fldChar w:fldCharType="separate"/>
        </w:r>
        <w:r w:rsidR="007A664D">
          <w:rPr>
            <w:noProof/>
            <w:webHidden/>
            <w:sz w:val="21"/>
            <w:szCs w:val="21"/>
          </w:rPr>
          <w:t>28</w:t>
        </w:r>
        <w:r w:rsidR="00524827" w:rsidRPr="00A22C01">
          <w:rPr>
            <w:noProof/>
            <w:webHidden/>
            <w:sz w:val="21"/>
            <w:szCs w:val="21"/>
          </w:rPr>
          <w:fldChar w:fldCharType="end"/>
        </w:r>
      </w:hyperlink>
    </w:p>
    <w:p w14:paraId="42A66B18" w14:textId="0DB162FB" w:rsidR="00524827"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718" w:history="1">
        <w:r w:rsidR="00524827" w:rsidRPr="00A22C01">
          <w:rPr>
            <w:rStyle w:val="Hypertextovprepojenie"/>
            <w:rFonts w:cs="Arial Narrow"/>
            <w:noProof/>
            <w:sz w:val="21"/>
            <w:szCs w:val="21"/>
          </w:rPr>
          <w:t>TABUĽKA</w:t>
        </w:r>
        <w:r w:rsidR="00524827" w:rsidRPr="00A22C01">
          <w:rPr>
            <w:rStyle w:val="Hypertextovprepojenie"/>
            <w:rFonts w:eastAsia="Times New Roman" w:cs="Calibri"/>
            <w:noProof/>
            <w:sz w:val="21"/>
            <w:szCs w:val="21"/>
            <w:lang w:eastAsia="sk-SK"/>
          </w:rPr>
          <w:t xml:space="preserve"> </w:t>
        </w:r>
        <w:r w:rsidR="00524827" w:rsidRPr="00A22C01">
          <w:rPr>
            <w:rStyle w:val="Hypertextovprepojenie"/>
            <w:rFonts w:eastAsia="Arial Narrow" w:cs="Arial Narrow"/>
            <w:noProof/>
            <w:sz w:val="21"/>
            <w:szCs w:val="21"/>
            <w:bdr w:val="nil"/>
            <w:lang w:eastAsia="sk-SK"/>
          </w:rPr>
          <w:t>6</w:t>
        </w:r>
        <w:r w:rsidR="00524827" w:rsidRPr="00A22C01">
          <w:rPr>
            <w:rStyle w:val="Hypertextovprepojenie"/>
            <w:rFonts w:eastAsia="Times New Roman" w:cs="Calibri"/>
            <w:noProof/>
            <w:sz w:val="21"/>
            <w:szCs w:val="21"/>
            <w:lang w:eastAsia="sk-SK"/>
          </w:rPr>
          <w:t xml:space="preserve"> – Podmienené záväzky (% HDP)</w:t>
        </w:r>
        <w:r w:rsidR="00524827" w:rsidRPr="00A22C01">
          <w:rPr>
            <w:noProof/>
            <w:webHidden/>
            <w:sz w:val="21"/>
            <w:szCs w:val="21"/>
          </w:rPr>
          <w:tab/>
        </w:r>
        <w:r w:rsidR="00524827" w:rsidRPr="00A22C01">
          <w:rPr>
            <w:noProof/>
            <w:webHidden/>
            <w:sz w:val="21"/>
            <w:szCs w:val="21"/>
          </w:rPr>
          <w:fldChar w:fldCharType="begin"/>
        </w:r>
        <w:r w:rsidR="00524827" w:rsidRPr="00A22C01">
          <w:rPr>
            <w:noProof/>
            <w:webHidden/>
            <w:sz w:val="21"/>
            <w:szCs w:val="21"/>
          </w:rPr>
          <w:instrText xml:space="preserve"> PAGEREF _Toc179814718 \h </w:instrText>
        </w:r>
        <w:r w:rsidR="00524827" w:rsidRPr="00A22C01">
          <w:rPr>
            <w:noProof/>
            <w:webHidden/>
            <w:sz w:val="21"/>
            <w:szCs w:val="21"/>
          </w:rPr>
        </w:r>
        <w:r w:rsidR="00524827" w:rsidRPr="00A22C01">
          <w:rPr>
            <w:noProof/>
            <w:webHidden/>
            <w:sz w:val="21"/>
            <w:szCs w:val="21"/>
          </w:rPr>
          <w:fldChar w:fldCharType="separate"/>
        </w:r>
        <w:r w:rsidR="007A664D">
          <w:rPr>
            <w:noProof/>
            <w:webHidden/>
            <w:sz w:val="21"/>
            <w:szCs w:val="21"/>
          </w:rPr>
          <w:t>29</w:t>
        </w:r>
        <w:r w:rsidR="00524827" w:rsidRPr="00A22C01">
          <w:rPr>
            <w:noProof/>
            <w:webHidden/>
            <w:sz w:val="21"/>
            <w:szCs w:val="21"/>
          </w:rPr>
          <w:fldChar w:fldCharType="end"/>
        </w:r>
      </w:hyperlink>
    </w:p>
    <w:p w14:paraId="05675A7A" w14:textId="46FBB1EE" w:rsidR="00524827"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719" w:history="1">
        <w:r w:rsidR="00524827" w:rsidRPr="00A22C01">
          <w:rPr>
            <w:rStyle w:val="Hypertextovprepojenie"/>
            <w:rFonts w:cs="Arial Narrow"/>
            <w:noProof/>
            <w:sz w:val="21"/>
            <w:szCs w:val="21"/>
          </w:rPr>
          <w:t>TABUĽKA</w:t>
        </w:r>
        <w:r w:rsidR="00524827" w:rsidRPr="00A22C01">
          <w:rPr>
            <w:rStyle w:val="Hypertextovprepojenie"/>
            <w:rFonts w:eastAsia="Times New Roman" w:cs="Calibri"/>
            <w:noProof/>
            <w:sz w:val="21"/>
            <w:szCs w:val="21"/>
            <w:lang w:eastAsia="sk-SK"/>
          </w:rPr>
          <w:t xml:space="preserve"> </w:t>
        </w:r>
        <w:r w:rsidR="00524827" w:rsidRPr="00A22C01">
          <w:rPr>
            <w:rStyle w:val="Hypertextovprepojenie"/>
            <w:rFonts w:eastAsia="Arial Narrow" w:cs="Arial Narrow"/>
            <w:noProof/>
            <w:sz w:val="21"/>
            <w:szCs w:val="21"/>
            <w:bdr w:val="nil"/>
            <w:lang w:eastAsia="sk-SK"/>
          </w:rPr>
          <w:t>7</w:t>
        </w:r>
        <w:r w:rsidR="00524827" w:rsidRPr="00A22C01">
          <w:rPr>
            <w:rStyle w:val="Hypertextovprepojenie"/>
            <w:rFonts w:eastAsia="Times New Roman" w:cs="Calibri"/>
            <w:noProof/>
            <w:sz w:val="21"/>
            <w:szCs w:val="21"/>
            <w:lang w:eastAsia="sk-SK"/>
          </w:rPr>
          <w:t xml:space="preserve"> – Implicitné záväzky do roku 2067 (% HDP)</w:t>
        </w:r>
        <w:r w:rsidR="00524827" w:rsidRPr="00A22C01">
          <w:rPr>
            <w:noProof/>
            <w:webHidden/>
            <w:sz w:val="21"/>
            <w:szCs w:val="21"/>
          </w:rPr>
          <w:tab/>
        </w:r>
        <w:r w:rsidR="00524827" w:rsidRPr="00A22C01">
          <w:rPr>
            <w:noProof/>
            <w:webHidden/>
            <w:sz w:val="21"/>
            <w:szCs w:val="21"/>
          </w:rPr>
          <w:fldChar w:fldCharType="begin"/>
        </w:r>
        <w:r w:rsidR="00524827" w:rsidRPr="00A22C01">
          <w:rPr>
            <w:noProof/>
            <w:webHidden/>
            <w:sz w:val="21"/>
            <w:szCs w:val="21"/>
          </w:rPr>
          <w:instrText xml:space="preserve"> PAGEREF _Toc179814719 \h </w:instrText>
        </w:r>
        <w:r w:rsidR="00524827" w:rsidRPr="00A22C01">
          <w:rPr>
            <w:noProof/>
            <w:webHidden/>
            <w:sz w:val="21"/>
            <w:szCs w:val="21"/>
          </w:rPr>
        </w:r>
        <w:r w:rsidR="00524827" w:rsidRPr="00A22C01">
          <w:rPr>
            <w:noProof/>
            <w:webHidden/>
            <w:sz w:val="21"/>
            <w:szCs w:val="21"/>
          </w:rPr>
          <w:fldChar w:fldCharType="separate"/>
        </w:r>
        <w:r w:rsidR="007A664D">
          <w:rPr>
            <w:noProof/>
            <w:webHidden/>
            <w:sz w:val="21"/>
            <w:szCs w:val="21"/>
          </w:rPr>
          <w:t>29</w:t>
        </w:r>
        <w:r w:rsidR="00524827" w:rsidRPr="00A22C01">
          <w:rPr>
            <w:noProof/>
            <w:webHidden/>
            <w:sz w:val="21"/>
            <w:szCs w:val="21"/>
          </w:rPr>
          <w:fldChar w:fldCharType="end"/>
        </w:r>
      </w:hyperlink>
    </w:p>
    <w:p w14:paraId="32BB908E" w14:textId="255D9E48" w:rsidR="00BE24B0" w:rsidRPr="00DB069C" w:rsidRDefault="00BE24B0" w:rsidP="00BE24B0">
      <w:pPr>
        <w:spacing w:after="0"/>
        <w:rPr>
          <w:rFonts w:ascii="Arial Narrow" w:hAnsi="Arial Narrow"/>
          <w:sz w:val="21"/>
          <w:szCs w:val="21"/>
          <w:highlight w:val="yellow"/>
        </w:rPr>
      </w:pPr>
      <w:r w:rsidRPr="00524827">
        <w:rPr>
          <w:rStyle w:val="Hypertextovprepojenie"/>
          <w:rFonts w:ascii="Arial Narrow" w:hAnsi="Arial Narrow"/>
          <w:noProof/>
          <w:sz w:val="21"/>
          <w:szCs w:val="21"/>
          <w:highlight w:val="yellow"/>
        </w:rPr>
        <w:fldChar w:fldCharType="end"/>
      </w:r>
    </w:p>
    <w:p w14:paraId="3384A66C" w14:textId="4BAC87DE" w:rsidR="00FE5E25" w:rsidRPr="00A22C01" w:rsidRDefault="00BE24B0">
      <w:pPr>
        <w:pStyle w:val="Zoznamobrzkov"/>
        <w:tabs>
          <w:tab w:val="right" w:leader="dot" w:pos="9062"/>
        </w:tabs>
        <w:rPr>
          <w:rFonts w:asciiTheme="minorHAnsi" w:eastAsiaTheme="minorEastAsia" w:hAnsiTheme="minorHAnsi"/>
          <w:noProof/>
          <w:kern w:val="2"/>
          <w:sz w:val="21"/>
          <w:szCs w:val="21"/>
          <w:lang w:eastAsia="sk-SK"/>
          <w14:ligatures w14:val="standardContextual"/>
        </w:rPr>
      </w:pPr>
      <w:r w:rsidRPr="00DB069C">
        <w:rPr>
          <w:rStyle w:val="Hypertextovprepojenie"/>
          <w:noProof/>
          <w:sz w:val="21"/>
          <w:szCs w:val="21"/>
          <w:highlight w:val="yellow"/>
        </w:rPr>
        <w:fldChar w:fldCharType="begin"/>
      </w:r>
      <w:r w:rsidRPr="00DB069C">
        <w:rPr>
          <w:rStyle w:val="Hypertextovprepojenie"/>
          <w:noProof/>
          <w:sz w:val="21"/>
          <w:szCs w:val="21"/>
          <w:highlight w:val="yellow"/>
        </w:rPr>
        <w:instrText xml:space="preserve"> TOC \h \z \c "GRAF" </w:instrText>
      </w:r>
      <w:r w:rsidRPr="00DB069C">
        <w:rPr>
          <w:rStyle w:val="Hypertextovprepojenie"/>
          <w:noProof/>
          <w:sz w:val="21"/>
          <w:szCs w:val="21"/>
          <w:highlight w:val="yellow"/>
        </w:rPr>
        <w:fldChar w:fldCharType="separate"/>
      </w:r>
      <w:hyperlink w:anchor="_Toc179814660" w:history="1">
        <w:r w:rsidR="00FE5E25" w:rsidRPr="00A22C01">
          <w:rPr>
            <w:rStyle w:val="Hypertextovprepojenie"/>
            <w:rFonts w:cs="Arial Narrow"/>
            <w:noProof/>
            <w:sz w:val="21"/>
            <w:szCs w:val="21"/>
          </w:rPr>
          <w:t xml:space="preserve">GRAF </w:t>
        </w:r>
        <w:r w:rsidR="00FE5E25" w:rsidRPr="00A22C01">
          <w:rPr>
            <w:rStyle w:val="Hypertextovprepojenie"/>
            <w:noProof/>
            <w:sz w:val="21"/>
            <w:szCs w:val="21"/>
          </w:rPr>
          <w:t>1 –</w:t>
        </w:r>
        <w:r w:rsidR="00FE5E25" w:rsidRPr="00A22C01">
          <w:rPr>
            <w:rStyle w:val="Hypertextovprepojenie"/>
            <w:rFonts w:cs="Arial Narrow"/>
            <w:noProof/>
            <w:sz w:val="21"/>
            <w:szCs w:val="21"/>
          </w:rPr>
          <w:t xml:space="preserve"> Úroveň reálneho HDP v prognózach MF SR (2019=100)</w:t>
        </w:r>
        <w:r w:rsidR="00FE5E25" w:rsidRPr="00A22C01">
          <w:rPr>
            <w:noProof/>
            <w:webHidden/>
            <w:sz w:val="21"/>
            <w:szCs w:val="21"/>
          </w:rPr>
          <w:tab/>
        </w:r>
        <w:r w:rsidR="00FE5E25" w:rsidRPr="00A22C01">
          <w:rPr>
            <w:noProof/>
            <w:webHidden/>
            <w:sz w:val="21"/>
            <w:szCs w:val="21"/>
          </w:rPr>
          <w:fldChar w:fldCharType="begin"/>
        </w:r>
        <w:r w:rsidR="00FE5E25" w:rsidRPr="00A22C01">
          <w:rPr>
            <w:noProof/>
            <w:webHidden/>
            <w:sz w:val="21"/>
            <w:szCs w:val="21"/>
          </w:rPr>
          <w:instrText xml:space="preserve"> PAGEREF _Toc179814660 \h </w:instrText>
        </w:r>
        <w:r w:rsidR="00FE5E25" w:rsidRPr="00A22C01">
          <w:rPr>
            <w:noProof/>
            <w:webHidden/>
            <w:sz w:val="21"/>
            <w:szCs w:val="21"/>
          </w:rPr>
        </w:r>
        <w:r w:rsidR="00FE5E25" w:rsidRPr="00A22C01">
          <w:rPr>
            <w:noProof/>
            <w:webHidden/>
            <w:sz w:val="21"/>
            <w:szCs w:val="21"/>
          </w:rPr>
          <w:fldChar w:fldCharType="separate"/>
        </w:r>
        <w:r w:rsidR="007A664D">
          <w:rPr>
            <w:noProof/>
            <w:webHidden/>
            <w:sz w:val="21"/>
            <w:szCs w:val="21"/>
          </w:rPr>
          <w:t>8</w:t>
        </w:r>
        <w:r w:rsidR="00FE5E25" w:rsidRPr="00A22C01">
          <w:rPr>
            <w:noProof/>
            <w:webHidden/>
            <w:sz w:val="21"/>
            <w:szCs w:val="21"/>
          </w:rPr>
          <w:fldChar w:fldCharType="end"/>
        </w:r>
      </w:hyperlink>
    </w:p>
    <w:p w14:paraId="02F13C8E" w14:textId="586F5B52" w:rsidR="00FE5E25"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661" w:history="1">
        <w:r w:rsidR="00FE5E25" w:rsidRPr="00A22C01">
          <w:rPr>
            <w:rStyle w:val="Hypertextovprepojenie"/>
            <w:noProof/>
            <w:sz w:val="21"/>
            <w:szCs w:val="21"/>
          </w:rPr>
          <w:t>GRAF 2 – Vývoj inflácie (rast v %</w:t>
        </w:r>
        <w:r w:rsidR="00FE5E25" w:rsidRPr="00A22C01">
          <w:rPr>
            <w:rStyle w:val="Hypertextovprepojenie"/>
            <w:rFonts w:eastAsia="NeueHaasGroteskText W02" w:cs="Arial"/>
            <w:noProof/>
            <w:sz w:val="21"/>
            <w:szCs w:val="21"/>
          </w:rPr>
          <w:t>)</w:t>
        </w:r>
        <w:r w:rsidR="00FE5E25" w:rsidRPr="00A22C01">
          <w:rPr>
            <w:noProof/>
            <w:webHidden/>
            <w:sz w:val="21"/>
            <w:szCs w:val="21"/>
          </w:rPr>
          <w:tab/>
        </w:r>
        <w:r w:rsidR="00FE5E25" w:rsidRPr="00A22C01">
          <w:rPr>
            <w:noProof/>
            <w:webHidden/>
            <w:sz w:val="21"/>
            <w:szCs w:val="21"/>
          </w:rPr>
          <w:fldChar w:fldCharType="begin"/>
        </w:r>
        <w:r w:rsidR="00FE5E25" w:rsidRPr="00A22C01">
          <w:rPr>
            <w:noProof/>
            <w:webHidden/>
            <w:sz w:val="21"/>
            <w:szCs w:val="21"/>
          </w:rPr>
          <w:instrText xml:space="preserve"> PAGEREF _Toc179814661 \h </w:instrText>
        </w:r>
        <w:r w:rsidR="00FE5E25" w:rsidRPr="00A22C01">
          <w:rPr>
            <w:noProof/>
            <w:webHidden/>
            <w:sz w:val="21"/>
            <w:szCs w:val="21"/>
          </w:rPr>
        </w:r>
        <w:r w:rsidR="00FE5E25" w:rsidRPr="00A22C01">
          <w:rPr>
            <w:noProof/>
            <w:webHidden/>
            <w:sz w:val="21"/>
            <w:szCs w:val="21"/>
          </w:rPr>
          <w:fldChar w:fldCharType="separate"/>
        </w:r>
        <w:r w:rsidR="007A664D">
          <w:rPr>
            <w:noProof/>
            <w:webHidden/>
            <w:sz w:val="21"/>
            <w:szCs w:val="21"/>
          </w:rPr>
          <w:t>8</w:t>
        </w:r>
        <w:r w:rsidR="00FE5E25" w:rsidRPr="00A22C01">
          <w:rPr>
            <w:noProof/>
            <w:webHidden/>
            <w:sz w:val="21"/>
            <w:szCs w:val="21"/>
          </w:rPr>
          <w:fldChar w:fldCharType="end"/>
        </w:r>
      </w:hyperlink>
    </w:p>
    <w:p w14:paraId="7BACB35A" w14:textId="398ED6BB" w:rsidR="00FE5E25"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662" w:history="1">
        <w:r w:rsidR="00FE5E25" w:rsidRPr="00A22C01">
          <w:rPr>
            <w:rStyle w:val="Hypertextovprepojenie"/>
            <w:noProof/>
            <w:sz w:val="21"/>
            <w:szCs w:val="21"/>
          </w:rPr>
          <w:t xml:space="preserve">GRAF 3 – Nezamestnanosť a voľné pracovné miesta </w:t>
        </w:r>
        <w:r w:rsidR="00FE5E25" w:rsidRPr="00A22C01">
          <w:rPr>
            <w:rStyle w:val="Hypertextovprepojenie"/>
            <w:rFonts w:eastAsia="NeueHaasGroteskText W02" w:cs="Arial"/>
            <w:noProof/>
            <w:sz w:val="21"/>
            <w:szCs w:val="21"/>
          </w:rPr>
          <w:t>(v %)</w:t>
        </w:r>
        <w:r w:rsidR="00FE5E25" w:rsidRPr="00A22C01">
          <w:rPr>
            <w:noProof/>
            <w:webHidden/>
            <w:sz w:val="21"/>
            <w:szCs w:val="21"/>
          </w:rPr>
          <w:tab/>
        </w:r>
        <w:r w:rsidR="00FE5E25" w:rsidRPr="00A22C01">
          <w:rPr>
            <w:noProof/>
            <w:webHidden/>
            <w:sz w:val="21"/>
            <w:szCs w:val="21"/>
          </w:rPr>
          <w:fldChar w:fldCharType="begin"/>
        </w:r>
        <w:r w:rsidR="00FE5E25" w:rsidRPr="00A22C01">
          <w:rPr>
            <w:noProof/>
            <w:webHidden/>
            <w:sz w:val="21"/>
            <w:szCs w:val="21"/>
          </w:rPr>
          <w:instrText xml:space="preserve"> PAGEREF _Toc179814662 \h </w:instrText>
        </w:r>
        <w:r w:rsidR="00FE5E25" w:rsidRPr="00A22C01">
          <w:rPr>
            <w:noProof/>
            <w:webHidden/>
            <w:sz w:val="21"/>
            <w:szCs w:val="21"/>
          </w:rPr>
        </w:r>
        <w:r w:rsidR="00FE5E25" w:rsidRPr="00A22C01">
          <w:rPr>
            <w:noProof/>
            <w:webHidden/>
            <w:sz w:val="21"/>
            <w:szCs w:val="21"/>
          </w:rPr>
          <w:fldChar w:fldCharType="separate"/>
        </w:r>
        <w:r w:rsidR="007A664D">
          <w:rPr>
            <w:noProof/>
            <w:webHidden/>
            <w:sz w:val="21"/>
            <w:szCs w:val="21"/>
          </w:rPr>
          <w:t>9</w:t>
        </w:r>
        <w:r w:rsidR="00FE5E25" w:rsidRPr="00A22C01">
          <w:rPr>
            <w:noProof/>
            <w:webHidden/>
            <w:sz w:val="21"/>
            <w:szCs w:val="21"/>
          </w:rPr>
          <w:fldChar w:fldCharType="end"/>
        </w:r>
      </w:hyperlink>
    </w:p>
    <w:p w14:paraId="2B698480" w14:textId="563F2943" w:rsidR="00FE5E25"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663" w:history="1">
        <w:r w:rsidR="00FE5E25" w:rsidRPr="00A22C01">
          <w:rPr>
            <w:rStyle w:val="Hypertextovprepojenie"/>
            <w:rFonts w:cs="Arial Narrow"/>
            <w:noProof/>
            <w:sz w:val="21"/>
            <w:szCs w:val="21"/>
          </w:rPr>
          <w:t xml:space="preserve">GRAF </w:t>
        </w:r>
        <w:r w:rsidR="00FE5E25" w:rsidRPr="00A22C01">
          <w:rPr>
            <w:rStyle w:val="Hypertextovprepojenie"/>
            <w:noProof/>
            <w:sz w:val="21"/>
            <w:szCs w:val="21"/>
          </w:rPr>
          <w:t>4 – P</w:t>
        </w:r>
        <w:r w:rsidR="00FE5E25" w:rsidRPr="00A22C01">
          <w:rPr>
            <w:rStyle w:val="Hypertextovprepojenie"/>
            <w:rFonts w:cs="Arial Narrow"/>
            <w:noProof/>
            <w:sz w:val="21"/>
            <w:szCs w:val="21"/>
          </w:rPr>
          <w:t>rodukčná medzera bez a s plánovanou konsolidáciou (% potenciálneho produktu)</w:t>
        </w:r>
        <w:r w:rsidR="00FE5E25" w:rsidRPr="00A22C01">
          <w:rPr>
            <w:noProof/>
            <w:webHidden/>
            <w:sz w:val="21"/>
            <w:szCs w:val="21"/>
          </w:rPr>
          <w:tab/>
        </w:r>
        <w:r w:rsidR="00FE5E25" w:rsidRPr="00A22C01">
          <w:rPr>
            <w:noProof/>
            <w:webHidden/>
            <w:sz w:val="21"/>
            <w:szCs w:val="21"/>
          </w:rPr>
          <w:fldChar w:fldCharType="begin"/>
        </w:r>
        <w:r w:rsidR="00FE5E25" w:rsidRPr="00A22C01">
          <w:rPr>
            <w:noProof/>
            <w:webHidden/>
            <w:sz w:val="21"/>
            <w:szCs w:val="21"/>
          </w:rPr>
          <w:instrText xml:space="preserve"> PAGEREF _Toc179814663 \h </w:instrText>
        </w:r>
        <w:r w:rsidR="00FE5E25" w:rsidRPr="00A22C01">
          <w:rPr>
            <w:noProof/>
            <w:webHidden/>
            <w:sz w:val="21"/>
            <w:szCs w:val="21"/>
          </w:rPr>
        </w:r>
        <w:r w:rsidR="00FE5E25" w:rsidRPr="00A22C01">
          <w:rPr>
            <w:noProof/>
            <w:webHidden/>
            <w:sz w:val="21"/>
            <w:szCs w:val="21"/>
          </w:rPr>
          <w:fldChar w:fldCharType="separate"/>
        </w:r>
        <w:r w:rsidR="007A664D">
          <w:rPr>
            <w:noProof/>
            <w:webHidden/>
            <w:sz w:val="21"/>
            <w:szCs w:val="21"/>
          </w:rPr>
          <w:t>9</w:t>
        </w:r>
        <w:r w:rsidR="00FE5E25" w:rsidRPr="00A22C01">
          <w:rPr>
            <w:noProof/>
            <w:webHidden/>
            <w:sz w:val="21"/>
            <w:szCs w:val="21"/>
          </w:rPr>
          <w:fldChar w:fldCharType="end"/>
        </w:r>
      </w:hyperlink>
    </w:p>
    <w:p w14:paraId="0A0CF633" w14:textId="46D10A20" w:rsidR="00FE5E25"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664" w:history="1">
        <w:r w:rsidR="00FE5E25" w:rsidRPr="00A22C01">
          <w:rPr>
            <w:rStyle w:val="Hypertextovprepojenie"/>
            <w:noProof/>
            <w:sz w:val="21"/>
            <w:szCs w:val="21"/>
          </w:rPr>
          <w:t xml:space="preserve">GRAF 5 – </w:t>
        </w:r>
        <w:r w:rsidR="00FE5E25" w:rsidRPr="00A22C01">
          <w:rPr>
            <w:rStyle w:val="Hypertextovprepojenie"/>
            <w:rFonts w:cs="Arial Narrow"/>
            <w:noProof/>
            <w:sz w:val="21"/>
            <w:szCs w:val="21"/>
          </w:rPr>
          <w:t>Konvergencia slovenskej ekonomiky v porovnaní s benchmarkovými štátmi (HDP per capita v bežných cenách, % EÚ27)</w:t>
        </w:r>
        <w:r w:rsidR="00FE5E25" w:rsidRPr="00A22C01">
          <w:rPr>
            <w:noProof/>
            <w:webHidden/>
            <w:sz w:val="21"/>
            <w:szCs w:val="21"/>
          </w:rPr>
          <w:tab/>
        </w:r>
        <w:r w:rsidR="00FE5E25" w:rsidRPr="00A22C01">
          <w:rPr>
            <w:noProof/>
            <w:webHidden/>
            <w:sz w:val="21"/>
            <w:szCs w:val="21"/>
          </w:rPr>
          <w:fldChar w:fldCharType="begin"/>
        </w:r>
        <w:r w:rsidR="00FE5E25" w:rsidRPr="00A22C01">
          <w:rPr>
            <w:noProof/>
            <w:webHidden/>
            <w:sz w:val="21"/>
            <w:szCs w:val="21"/>
          </w:rPr>
          <w:instrText xml:space="preserve"> PAGEREF _Toc179814664 \h </w:instrText>
        </w:r>
        <w:r w:rsidR="00FE5E25" w:rsidRPr="00A22C01">
          <w:rPr>
            <w:noProof/>
            <w:webHidden/>
            <w:sz w:val="21"/>
            <w:szCs w:val="21"/>
          </w:rPr>
        </w:r>
        <w:r w:rsidR="00FE5E25" w:rsidRPr="00A22C01">
          <w:rPr>
            <w:noProof/>
            <w:webHidden/>
            <w:sz w:val="21"/>
            <w:szCs w:val="21"/>
          </w:rPr>
          <w:fldChar w:fldCharType="separate"/>
        </w:r>
        <w:r w:rsidR="007A664D">
          <w:rPr>
            <w:noProof/>
            <w:webHidden/>
            <w:sz w:val="21"/>
            <w:szCs w:val="21"/>
          </w:rPr>
          <w:t>10</w:t>
        </w:r>
        <w:r w:rsidR="00FE5E25" w:rsidRPr="00A22C01">
          <w:rPr>
            <w:noProof/>
            <w:webHidden/>
            <w:sz w:val="21"/>
            <w:szCs w:val="21"/>
          </w:rPr>
          <w:fldChar w:fldCharType="end"/>
        </w:r>
      </w:hyperlink>
    </w:p>
    <w:p w14:paraId="2E4DB1E2" w14:textId="74E16261" w:rsidR="00FE5E25"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665" w:history="1">
        <w:r w:rsidR="00FE5E25" w:rsidRPr="00A22C01">
          <w:rPr>
            <w:rStyle w:val="Hypertextovprepojenie"/>
            <w:rFonts w:cs="Arial Narrow"/>
            <w:noProof/>
            <w:sz w:val="21"/>
            <w:szCs w:val="21"/>
          </w:rPr>
          <w:t xml:space="preserve">GRAF </w:t>
        </w:r>
        <w:r w:rsidR="00FE5E25" w:rsidRPr="00A22C01">
          <w:rPr>
            <w:rStyle w:val="Hypertextovprepojenie"/>
            <w:noProof/>
            <w:sz w:val="21"/>
            <w:szCs w:val="21"/>
          </w:rPr>
          <w:t xml:space="preserve">6 – </w:t>
        </w:r>
        <w:r w:rsidR="00FE5E25" w:rsidRPr="00A22C01">
          <w:rPr>
            <w:rStyle w:val="Hypertextovprepojenie"/>
            <w:rFonts w:cs="Arial Narrow"/>
            <w:noProof/>
            <w:sz w:val="21"/>
            <w:szCs w:val="21"/>
          </w:rPr>
          <w:t>Priemerný rast HDP vs. HDP per capita (v parite kúpnej sily v roku 1995) (% a index)</w:t>
        </w:r>
        <w:r w:rsidR="00FE5E25" w:rsidRPr="00A22C01">
          <w:rPr>
            <w:noProof/>
            <w:webHidden/>
            <w:sz w:val="21"/>
            <w:szCs w:val="21"/>
          </w:rPr>
          <w:tab/>
        </w:r>
        <w:r w:rsidR="00FE5E25" w:rsidRPr="00A22C01">
          <w:rPr>
            <w:noProof/>
            <w:webHidden/>
            <w:sz w:val="21"/>
            <w:szCs w:val="21"/>
          </w:rPr>
          <w:fldChar w:fldCharType="begin"/>
        </w:r>
        <w:r w:rsidR="00FE5E25" w:rsidRPr="00A22C01">
          <w:rPr>
            <w:noProof/>
            <w:webHidden/>
            <w:sz w:val="21"/>
            <w:szCs w:val="21"/>
          </w:rPr>
          <w:instrText xml:space="preserve"> PAGEREF _Toc179814665 \h </w:instrText>
        </w:r>
        <w:r w:rsidR="00FE5E25" w:rsidRPr="00A22C01">
          <w:rPr>
            <w:noProof/>
            <w:webHidden/>
            <w:sz w:val="21"/>
            <w:szCs w:val="21"/>
          </w:rPr>
        </w:r>
        <w:r w:rsidR="00FE5E25" w:rsidRPr="00A22C01">
          <w:rPr>
            <w:noProof/>
            <w:webHidden/>
            <w:sz w:val="21"/>
            <w:szCs w:val="21"/>
          </w:rPr>
          <w:fldChar w:fldCharType="separate"/>
        </w:r>
        <w:r w:rsidR="007A664D">
          <w:rPr>
            <w:noProof/>
            <w:webHidden/>
            <w:sz w:val="21"/>
            <w:szCs w:val="21"/>
          </w:rPr>
          <w:t>10</w:t>
        </w:r>
        <w:r w:rsidR="00FE5E25" w:rsidRPr="00A22C01">
          <w:rPr>
            <w:noProof/>
            <w:webHidden/>
            <w:sz w:val="21"/>
            <w:szCs w:val="21"/>
          </w:rPr>
          <w:fldChar w:fldCharType="end"/>
        </w:r>
      </w:hyperlink>
    </w:p>
    <w:p w14:paraId="75ADFD25" w14:textId="53543155" w:rsidR="00FE5E25"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666" w:history="1">
        <w:r w:rsidR="00FE5E25" w:rsidRPr="00A22C01">
          <w:rPr>
            <w:rStyle w:val="Hypertextovprepojenie"/>
            <w:rFonts w:cs="Arial Narrow"/>
            <w:noProof/>
            <w:sz w:val="21"/>
            <w:szCs w:val="21"/>
          </w:rPr>
          <w:t xml:space="preserve">GRAF </w:t>
        </w:r>
        <w:r w:rsidR="00FE5E25" w:rsidRPr="00A22C01">
          <w:rPr>
            <w:rStyle w:val="Hypertextovprepojenie"/>
            <w:noProof/>
            <w:sz w:val="21"/>
            <w:szCs w:val="21"/>
          </w:rPr>
          <w:t>7 –</w:t>
        </w:r>
        <w:r w:rsidR="00FE5E25" w:rsidRPr="00A22C01">
          <w:rPr>
            <w:rStyle w:val="Hypertextovprepojenie"/>
            <w:rFonts w:eastAsia="NeueHaasGroteskText W02" w:cs="Arial"/>
            <w:noProof/>
            <w:sz w:val="21"/>
            <w:szCs w:val="21"/>
          </w:rPr>
          <w:t> Odhadovaný vývoj deficitu verejnej správy po zohľadnení najnovších prognóz MF SR (% HDP)</w:t>
        </w:r>
        <w:r w:rsidR="00FE5E25" w:rsidRPr="00A22C01">
          <w:rPr>
            <w:noProof/>
            <w:webHidden/>
            <w:sz w:val="21"/>
            <w:szCs w:val="21"/>
          </w:rPr>
          <w:tab/>
        </w:r>
        <w:r w:rsidR="00FE5E25" w:rsidRPr="00A22C01">
          <w:rPr>
            <w:noProof/>
            <w:webHidden/>
            <w:sz w:val="21"/>
            <w:szCs w:val="21"/>
          </w:rPr>
          <w:fldChar w:fldCharType="begin"/>
        </w:r>
        <w:r w:rsidR="00FE5E25" w:rsidRPr="00A22C01">
          <w:rPr>
            <w:noProof/>
            <w:webHidden/>
            <w:sz w:val="21"/>
            <w:szCs w:val="21"/>
          </w:rPr>
          <w:instrText xml:space="preserve"> PAGEREF _Toc179814666 \h </w:instrText>
        </w:r>
        <w:r w:rsidR="00FE5E25" w:rsidRPr="00A22C01">
          <w:rPr>
            <w:noProof/>
            <w:webHidden/>
            <w:sz w:val="21"/>
            <w:szCs w:val="21"/>
          </w:rPr>
        </w:r>
        <w:r w:rsidR="00FE5E25" w:rsidRPr="00A22C01">
          <w:rPr>
            <w:noProof/>
            <w:webHidden/>
            <w:sz w:val="21"/>
            <w:szCs w:val="21"/>
          </w:rPr>
          <w:fldChar w:fldCharType="separate"/>
        </w:r>
        <w:r w:rsidR="007A664D">
          <w:rPr>
            <w:noProof/>
            <w:webHidden/>
            <w:sz w:val="21"/>
            <w:szCs w:val="21"/>
          </w:rPr>
          <w:t>11</w:t>
        </w:r>
        <w:r w:rsidR="00FE5E25" w:rsidRPr="00A22C01">
          <w:rPr>
            <w:noProof/>
            <w:webHidden/>
            <w:sz w:val="21"/>
            <w:szCs w:val="21"/>
          </w:rPr>
          <w:fldChar w:fldCharType="end"/>
        </w:r>
      </w:hyperlink>
    </w:p>
    <w:p w14:paraId="2ED570AD" w14:textId="62D748D6" w:rsidR="00FE5E25"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667" w:history="1">
        <w:r w:rsidR="00FE5E25" w:rsidRPr="00A22C01">
          <w:rPr>
            <w:rStyle w:val="Hypertextovprepojenie"/>
            <w:noProof/>
            <w:sz w:val="21"/>
            <w:szCs w:val="21"/>
          </w:rPr>
          <w:t>GRAF 8 – Odhadovaný vývoj hrubého dlhu</w:t>
        </w:r>
        <w:r w:rsidR="00FE5E25" w:rsidRPr="00A22C01">
          <w:rPr>
            <w:rStyle w:val="Hypertextovprepojenie"/>
            <w:rFonts w:eastAsia="NeueHaasGroteskText W02" w:cs="Arial"/>
            <w:noProof/>
            <w:sz w:val="21"/>
            <w:szCs w:val="21"/>
          </w:rPr>
          <w:t xml:space="preserve"> po zohľadnení najnovších prognóz MF SR</w:t>
        </w:r>
        <w:r w:rsidR="00FE5E25" w:rsidRPr="00A22C01">
          <w:rPr>
            <w:rStyle w:val="Hypertextovprepojenie"/>
            <w:noProof/>
            <w:sz w:val="21"/>
            <w:szCs w:val="21"/>
          </w:rPr>
          <w:t xml:space="preserve"> </w:t>
        </w:r>
        <w:r w:rsidR="00FE5E25" w:rsidRPr="00A22C01">
          <w:rPr>
            <w:rStyle w:val="Hypertextovprepojenie"/>
            <w:rFonts w:eastAsia="NeueHaasGroteskText W02" w:cs="Arial"/>
            <w:noProof/>
            <w:sz w:val="21"/>
            <w:szCs w:val="21"/>
          </w:rPr>
          <w:t>(% HDP)</w:t>
        </w:r>
        <w:r w:rsidR="00FE5E25" w:rsidRPr="00A22C01">
          <w:rPr>
            <w:noProof/>
            <w:webHidden/>
            <w:sz w:val="21"/>
            <w:szCs w:val="21"/>
          </w:rPr>
          <w:tab/>
        </w:r>
        <w:r w:rsidR="00FE5E25" w:rsidRPr="00A22C01">
          <w:rPr>
            <w:noProof/>
            <w:webHidden/>
            <w:sz w:val="21"/>
            <w:szCs w:val="21"/>
          </w:rPr>
          <w:fldChar w:fldCharType="begin"/>
        </w:r>
        <w:r w:rsidR="00FE5E25" w:rsidRPr="00A22C01">
          <w:rPr>
            <w:noProof/>
            <w:webHidden/>
            <w:sz w:val="21"/>
            <w:szCs w:val="21"/>
          </w:rPr>
          <w:instrText xml:space="preserve"> PAGEREF _Toc179814667 \h </w:instrText>
        </w:r>
        <w:r w:rsidR="00FE5E25" w:rsidRPr="00A22C01">
          <w:rPr>
            <w:noProof/>
            <w:webHidden/>
            <w:sz w:val="21"/>
            <w:szCs w:val="21"/>
          </w:rPr>
        </w:r>
        <w:r w:rsidR="00FE5E25" w:rsidRPr="00A22C01">
          <w:rPr>
            <w:noProof/>
            <w:webHidden/>
            <w:sz w:val="21"/>
            <w:szCs w:val="21"/>
          </w:rPr>
          <w:fldChar w:fldCharType="separate"/>
        </w:r>
        <w:r w:rsidR="007A664D">
          <w:rPr>
            <w:noProof/>
            <w:webHidden/>
            <w:sz w:val="21"/>
            <w:szCs w:val="21"/>
          </w:rPr>
          <w:t>11</w:t>
        </w:r>
        <w:r w:rsidR="00FE5E25" w:rsidRPr="00A22C01">
          <w:rPr>
            <w:noProof/>
            <w:webHidden/>
            <w:sz w:val="21"/>
            <w:szCs w:val="21"/>
          </w:rPr>
          <w:fldChar w:fldCharType="end"/>
        </w:r>
      </w:hyperlink>
    </w:p>
    <w:p w14:paraId="4D50569E" w14:textId="68D3A94F" w:rsidR="00FE5E25"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668" w:history="1">
        <w:r w:rsidR="00FE5E25" w:rsidRPr="00A22C01">
          <w:rPr>
            <w:rStyle w:val="Hypertextovprepojenie"/>
            <w:rFonts w:cs="Arial Narrow"/>
            <w:noProof/>
            <w:sz w:val="21"/>
            <w:szCs w:val="21"/>
          </w:rPr>
          <w:t xml:space="preserve">GRAF </w:t>
        </w:r>
        <w:r w:rsidR="00FE5E25" w:rsidRPr="00A22C01">
          <w:rPr>
            <w:rStyle w:val="Hypertextovprepojenie"/>
            <w:noProof/>
            <w:sz w:val="21"/>
            <w:szCs w:val="21"/>
          </w:rPr>
          <w:t>9 –</w:t>
        </w:r>
        <w:r w:rsidR="00FE5E25" w:rsidRPr="00A22C01">
          <w:rPr>
            <w:rStyle w:val="Hypertextovprepojenie"/>
            <w:rFonts w:cs="Arial Narrow"/>
            <w:noProof/>
            <w:sz w:val="21"/>
            <w:szCs w:val="21"/>
          </w:rPr>
          <w:t xml:space="preserve"> Vývoj deficitu v základnom konsolidačnom scenári v metodike EK (% HDP)</w:t>
        </w:r>
        <w:r w:rsidR="00FE5E25" w:rsidRPr="00A22C01">
          <w:rPr>
            <w:noProof/>
            <w:webHidden/>
            <w:sz w:val="21"/>
            <w:szCs w:val="21"/>
          </w:rPr>
          <w:tab/>
        </w:r>
        <w:r w:rsidR="00FE5E25" w:rsidRPr="00A22C01">
          <w:rPr>
            <w:noProof/>
            <w:webHidden/>
            <w:sz w:val="21"/>
            <w:szCs w:val="21"/>
          </w:rPr>
          <w:fldChar w:fldCharType="begin"/>
        </w:r>
        <w:r w:rsidR="00FE5E25" w:rsidRPr="00A22C01">
          <w:rPr>
            <w:noProof/>
            <w:webHidden/>
            <w:sz w:val="21"/>
            <w:szCs w:val="21"/>
          </w:rPr>
          <w:instrText xml:space="preserve"> PAGEREF _Toc179814668 \h </w:instrText>
        </w:r>
        <w:r w:rsidR="00FE5E25" w:rsidRPr="00A22C01">
          <w:rPr>
            <w:noProof/>
            <w:webHidden/>
            <w:sz w:val="21"/>
            <w:szCs w:val="21"/>
          </w:rPr>
        </w:r>
        <w:r w:rsidR="00FE5E25" w:rsidRPr="00A22C01">
          <w:rPr>
            <w:noProof/>
            <w:webHidden/>
            <w:sz w:val="21"/>
            <w:szCs w:val="21"/>
          </w:rPr>
          <w:fldChar w:fldCharType="separate"/>
        </w:r>
        <w:r w:rsidR="007A664D">
          <w:rPr>
            <w:noProof/>
            <w:webHidden/>
            <w:sz w:val="21"/>
            <w:szCs w:val="21"/>
          </w:rPr>
          <w:t>12</w:t>
        </w:r>
        <w:r w:rsidR="00FE5E25" w:rsidRPr="00A22C01">
          <w:rPr>
            <w:noProof/>
            <w:webHidden/>
            <w:sz w:val="21"/>
            <w:szCs w:val="21"/>
          </w:rPr>
          <w:fldChar w:fldCharType="end"/>
        </w:r>
      </w:hyperlink>
    </w:p>
    <w:p w14:paraId="1E17C6F7" w14:textId="46B25ADB" w:rsidR="00FE5E25"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669" w:history="1">
        <w:r w:rsidR="00FE5E25" w:rsidRPr="00A22C01">
          <w:rPr>
            <w:rStyle w:val="Hypertextovprepojenie"/>
            <w:noProof/>
            <w:sz w:val="21"/>
            <w:szCs w:val="21"/>
          </w:rPr>
          <w:t xml:space="preserve">GRAF 10 – </w:t>
        </w:r>
        <w:r w:rsidR="00FE5E25" w:rsidRPr="00A22C01">
          <w:rPr>
            <w:rStyle w:val="Hypertextovprepojenie"/>
            <w:rFonts w:cs="Arial Narrow"/>
            <w:noProof/>
            <w:sz w:val="21"/>
            <w:szCs w:val="21"/>
          </w:rPr>
          <w:t>Vývoj hrubého dlhu v nepriaznivých scenároch v metodike EK (% HDP)</w:t>
        </w:r>
        <w:r w:rsidR="00FE5E25" w:rsidRPr="00A22C01">
          <w:rPr>
            <w:noProof/>
            <w:webHidden/>
            <w:sz w:val="21"/>
            <w:szCs w:val="21"/>
          </w:rPr>
          <w:tab/>
        </w:r>
        <w:r w:rsidR="00FE5E25" w:rsidRPr="00A22C01">
          <w:rPr>
            <w:noProof/>
            <w:webHidden/>
            <w:sz w:val="21"/>
            <w:szCs w:val="21"/>
          </w:rPr>
          <w:fldChar w:fldCharType="begin"/>
        </w:r>
        <w:r w:rsidR="00FE5E25" w:rsidRPr="00A22C01">
          <w:rPr>
            <w:noProof/>
            <w:webHidden/>
            <w:sz w:val="21"/>
            <w:szCs w:val="21"/>
          </w:rPr>
          <w:instrText xml:space="preserve"> PAGEREF _Toc179814669 \h </w:instrText>
        </w:r>
        <w:r w:rsidR="00FE5E25" w:rsidRPr="00A22C01">
          <w:rPr>
            <w:noProof/>
            <w:webHidden/>
            <w:sz w:val="21"/>
            <w:szCs w:val="21"/>
          </w:rPr>
        </w:r>
        <w:r w:rsidR="00FE5E25" w:rsidRPr="00A22C01">
          <w:rPr>
            <w:noProof/>
            <w:webHidden/>
            <w:sz w:val="21"/>
            <w:szCs w:val="21"/>
          </w:rPr>
          <w:fldChar w:fldCharType="separate"/>
        </w:r>
        <w:r w:rsidR="007A664D">
          <w:rPr>
            <w:noProof/>
            <w:webHidden/>
            <w:sz w:val="21"/>
            <w:szCs w:val="21"/>
          </w:rPr>
          <w:t>12</w:t>
        </w:r>
        <w:r w:rsidR="00FE5E25" w:rsidRPr="00A22C01">
          <w:rPr>
            <w:noProof/>
            <w:webHidden/>
            <w:sz w:val="21"/>
            <w:szCs w:val="21"/>
          </w:rPr>
          <w:fldChar w:fldCharType="end"/>
        </w:r>
      </w:hyperlink>
    </w:p>
    <w:p w14:paraId="1138A3DC" w14:textId="16D4E0A0" w:rsidR="00FE5E25"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670" w:history="1">
        <w:r w:rsidR="00FE5E25" w:rsidRPr="00A22C01">
          <w:rPr>
            <w:rStyle w:val="Hypertextovprepojenie"/>
            <w:noProof/>
            <w:sz w:val="21"/>
            <w:szCs w:val="21"/>
          </w:rPr>
          <w:t>GRAF 11 – Národné výdavky*</w:t>
        </w:r>
        <w:r w:rsidR="00FE5E25" w:rsidRPr="00A22C01">
          <w:rPr>
            <w:rStyle w:val="Hypertextovprepojenie"/>
            <w:rFonts w:eastAsia="NeueHaasGroteskText W02" w:cs="Arial"/>
            <w:noProof/>
            <w:sz w:val="21"/>
            <w:szCs w:val="21"/>
          </w:rPr>
          <w:t xml:space="preserve"> do obrany do roku 2027 (ESA 2010, % HDP)</w:t>
        </w:r>
        <w:r w:rsidR="00FE5E25" w:rsidRPr="00A22C01">
          <w:rPr>
            <w:rStyle w:val="Hypertextovprepojenie"/>
            <w:noProof/>
            <w:sz w:val="21"/>
            <w:szCs w:val="21"/>
          </w:rPr>
          <w:t xml:space="preserve"> </w:t>
        </w:r>
        <w:r w:rsidR="00FE5E25" w:rsidRPr="00A22C01">
          <w:rPr>
            <w:noProof/>
            <w:webHidden/>
            <w:sz w:val="21"/>
            <w:szCs w:val="21"/>
          </w:rPr>
          <w:tab/>
        </w:r>
        <w:r w:rsidR="00FE5E25" w:rsidRPr="00A22C01">
          <w:rPr>
            <w:noProof/>
            <w:webHidden/>
            <w:sz w:val="21"/>
            <w:szCs w:val="21"/>
          </w:rPr>
          <w:fldChar w:fldCharType="begin"/>
        </w:r>
        <w:r w:rsidR="00FE5E25" w:rsidRPr="00A22C01">
          <w:rPr>
            <w:noProof/>
            <w:webHidden/>
            <w:sz w:val="21"/>
            <w:szCs w:val="21"/>
          </w:rPr>
          <w:instrText xml:space="preserve"> PAGEREF _Toc179814670 \h </w:instrText>
        </w:r>
        <w:r w:rsidR="00FE5E25" w:rsidRPr="00A22C01">
          <w:rPr>
            <w:noProof/>
            <w:webHidden/>
            <w:sz w:val="21"/>
            <w:szCs w:val="21"/>
          </w:rPr>
        </w:r>
        <w:r w:rsidR="00FE5E25" w:rsidRPr="00A22C01">
          <w:rPr>
            <w:noProof/>
            <w:webHidden/>
            <w:sz w:val="21"/>
            <w:szCs w:val="21"/>
          </w:rPr>
          <w:fldChar w:fldCharType="separate"/>
        </w:r>
        <w:r w:rsidR="007A664D">
          <w:rPr>
            <w:noProof/>
            <w:webHidden/>
            <w:sz w:val="21"/>
            <w:szCs w:val="21"/>
          </w:rPr>
          <w:t>13</w:t>
        </w:r>
        <w:r w:rsidR="00FE5E25" w:rsidRPr="00A22C01">
          <w:rPr>
            <w:noProof/>
            <w:webHidden/>
            <w:sz w:val="21"/>
            <w:szCs w:val="21"/>
          </w:rPr>
          <w:fldChar w:fldCharType="end"/>
        </w:r>
      </w:hyperlink>
    </w:p>
    <w:p w14:paraId="44F2F641" w14:textId="22044376" w:rsidR="00FE5E25"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671" w:history="1">
        <w:r w:rsidR="00FE5E25" w:rsidRPr="00A22C01">
          <w:rPr>
            <w:rStyle w:val="Hypertextovprepojenie"/>
            <w:rFonts w:cs="Arial Narrow"/>
            <w:noProof/>
            <w:sz w:val="21"/>
            <w:szCs w:val="21"/>
          </w:rPr>
          <w:t xml:space="preserve">GRAF </w:t>
        </w:r>
        <w:r w:rsidR="00FE5E25" w:rsidRPr="00A22C01">
          <w:rPr>
            <w:rStyle w:val="Hypertextovprepojenie"/>
            <w:noProof/>
            <w:sz w:val="21"/>
            <w:szCs w:val="21"/>
          </w:rPr>
          <w:t xml:space="preserve">12 – </w:t>
        </w:r>
        <w:r w:rsidR="00FE5E25" w:rsidRPr="00A22C01">
          <w:rPr>
            <w:rStyle w:val="Hypertextovprepojenie"/>
            <w:rFonts w:eastAsia="NeueHaasGroteskText W02" w:cs="Arial"/>
            <w:noProof/>
            <w:sz w:val="21"/>
            <w:szCs w:val="21"/>
          </w:rPr>
          <w:t>Vývoj deficitu bez prijatých opatrení vlády, s prijatými opatreniami a po dosiahnutí cieľov (% HDP)</w:t>
        </w:r>
        <w:r w:rsidR="00FE5E25" w:rsidRPr="00A22C01">
          <w:rPr>
            <w:noProof/>
            <w:webHidden/>
            <w:sz w:val="21"/>
            <w:szCs w:val="21"/>
          </w:rPr>
          <w:tab/>
        </w:r>
        <w:r w:rsidR="00FE5E25" w:rsidRPr="00A22C01">
          <w:rPr>
            <w:noProof/>
            <w:webHidden/>
            <w:sz w:val="21"/>
            <w:szCs w:val="21"/>
          </w:rPr>
          <w:fldChar w:fldCharType="begin"/>
        </w:r>
        <w:r w:rsidR="00FE5E25" w:rsidRPr="00A22C01">
          <w:rPr>
            <w:noProof/>
            <w:webHidden/>
            <w:sz w:val="21"/>
            <w:szCs w:val="21"/>
          </w:rPr>
          <w:instrText xml:space="preserve"> PAGEREF _Toc179814671 \h </w:instrText>
        </w:r>
        <w:r w:rsidR="00FE5E25" w:rsidRPr="00A22C01">
          <w:rPr>
            <w:noProof/>
            <w:webHidden/>
            <w:sz w:val="21"/>
            <w:szCs w:val="21"/>
          </w:rPr>
        </w:r>
        <w:r w:rsidR="00FE5E25" w:rsidRPr="00A22C01">
          <w:rPr>
            <w:noProof/>
            <w:webHidden/>
            <w:sz w:val="21"/>
            <w:szCs w:val="21"/>
          </w:rPr>
          <w:fldChar w:fldCharType="separate"/>
        </w:r>
        <w:r w:rsidR="007A664D">
          <w:rPr>
            <w:noProof/>
            <w:webHidden/>
            <w:sz w:val="21"/>
            <w:szCs w:val="21"/>
          </w:rPr>
          <w:t>14</w:t>
        </w:r>
        <w:r w:rsidR="00FE5E25" w:rsidRPr="00A22C01">
          <w:rPr>
            <w:noProof/>
            <w:webHidden/>
            <w:sz w:val="21"/>
            <w:szCs w:val="21"/>
          </w:rPr>
          <w:fldChar w:fldCharType="end"/>
        </w:r>
      </w:hyperlink>
    </w:p>
    <w:p w14:paraId="37DDF275" w14:textId="51F79A30" w:rsidR="00FE5E25"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672" w:history="1">
        <w:r w:rsidR="00FE5E25" w:rsidRPr="00A22C01">
          <w:rPr>
            <w:rStyle w:val="Hypertextovprepojenie"/>
            <w:noProof/>
            <w:sz w:val="21"/>
            <w:szCs w:val="21"/>
          </w:rPr>
          <w:t xml:space="preserve">GRAF 13 – Hlavné faktory vysvetľujúce nárast deficitu bez opatrení vlády </w:t>
        </w:r>
        <w:r w:rsidR="00FE5E25" w:rsidRPr="00A22C01">
          <w:rPr>
            <w:rStyle w:val="Hypertextovprepojenie"/>
            <w:rFonts w:eastAsia="NeueHaasGroteskText W02" w:cs="Arial"/>
            <w:noProof/>
            <w:sz w:val="21"/>
            <w:szCs w:val="21"/>
          </w:rPr>
          <w:t>(% HDP)</w:t>
        </w:r>
        <w:r w:rsidR="00FE5E25" w:rsidRPr="00A22C01">
          <w:rPr>
            <w:noProof/>
            <w:webHidden/>
            <w:sz w:val="21"/>
            <w:szCs w:val="21"/>
          </w:rPr>
          <w:tab/>
        </w:r>
        <w:r w:rsidR="00FE5E25" w:rsidRPr="00A22C01">
          <w:rPr>
            <w:noProof/>
            <w:webHidden/>
            <w:sz w:val="21"/>
            <w:szCs w:val="21"/>
          </w:rPr>
          <w:fldChar w:fldCharType="begin"/>
        </w:r>
        <w:r w:rsidR="00FE5E25" w:rsidRPr="00A22C01">
          <w:rPr>
            <w:noProof/>
            <w:webHidden/>
            <w:sz w:val="21"/>
            <w:szCs w:val="21"/>
          </w:rPr>
          <w:instrText xml:space="preserve"> PAGEREF _Toc179814672 \h </w:instrText>
        </w:r>
        <w:r w:rsidR="00FE5E25" w:rsidRPr="00A22C01">
          <w:rPr>
            <w:noProof/>
            <w:webHidden/>
            <w:sz w:val="21"/>
            <w:szCs w:val="21"/>
          </w:rPr>
        </w:r>
        <w:r w:rsidR="00FE5E25" w:rsidRPr="00A22C01">
          <w:rPr>
            <w:noProof/>
            <w:webHidden/>
            <w:sz w:val="21"/>
            <w:szCs w:val="21"/>
          </w:rPr>
          <w:fldChar w:fldCharType="separate"/>
        </w:r>
        <w:r w:rsidR="007A664D">
          <w:rPr>
            <w:noProof/>
            <w:webHidden/>
            <w:sz w:val="21"/>
            <w:szCs w:val="21"/>
          </w:rPr>
          <w:t>14</w:t>
        </w:r>
        <w:r w:rsidR="00FE5E25" w:rsidRPr="00A22C01">
          <w:rPr>
            <w:noProof/>
            <w:webHidden/>
            <w:sz w:val="21"/>
            <w:szCs w:val="21"/>
          </w:rPr>
          <w:fldChar w:fldCharType="end"/>
        </w:r>
      </w:hyperlink>
    </w:p>
    <w:p w14:paraId="58AB39FC" w14:textId="7B2686ED" w:rsidR="00FE5E25"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673" w:history="1">
        <w:r w:rsidR="00FE5E25" w:rsidRPr="00A22C01">
          <w:rPr>
            <w:rStyle w:val="Hypertextovprepojenie"/>
            <w:rFonts w:cs="Arial Narrow"/>
            <w:noProof/>
            <w:sz w:val="21"/>
            <w:szCs w:val="21"/>
          </w:rPr>
          <w:t xml:space="preserve">GRAF </w:t>
        </w:r>
        <w:r w:rsidR="00FE5E25" w:rsidRPr="00A22C01">
          <w:rPr>
            <w:rStyle w:val="Hypertextovprepojenie"/>
            <w:noProof/>
            <w:sz w:val="21"/>
            <w:szCs w:val="21"/>
          </w:rPr>
          <w:t>14 –</w:t>
        </w:r>
        <w:r w:rsidR="00FE5E25" w:rsidRPr="00A22C01">
          <w:rPr>
            <w:rStyle w:val="Hypertextovprepojenie"/>
            <w:rFonts w:eastAsia="NeueHaasGroteskText W02" w:cs="Arial"/>
            <w:noProof/>
            <w:sz w:val="21"/>
            <w:szCs w:val="21"/>
          </w:rPr>
          <w:t> Rozdelenie opatrení konsolidačného balíka (% HDP)</w:t>
        </w:r>
        <w:r w:rsidR="00FE5E25" w:rsidRPr="00A22C01">
          <w:rPr>
            <w:noProof/>
            <w:webHidden/>
            <w:sz w:val="21"/>
            <w:szCs w:val="21"/>
          </w:rPr>
          <w:tab/>
        </w:r>
        <w:r w:rsidR="00FE5E25" w:rsidRPr="00A22C01">
          <w:rPr>
            <w:noProof/>
            <w:webHidden/>
            <w:sz w:val="21"/>
            <w:szCs w:val="21"/>
          </w:rPr>
          <w:fldChar w:fldCharType="begin"/>
        </w:r>
        <w:r w:rsidR="00FE5E25" w:rsidRPr="00A22C01">
          <w:rPr>
            <w:noProof/>
            <w:webHidden/>
            <w:sz w:val="21"/>
            <w:szCs w:val="21"/>
          </w:rPr>
          <w:instrText xml:space="preserve"> PAGEREF _Toc179814673 \h </w:instrText>
        </w:r>
        <w:r w:rsidR="00FE5E25" w:rsidRPr="00A22C01">
          <w:rPr>
            <w:noProof/>
            <w:webHidden/>
            <w:sz w:val="21"/>
            <w:szCs w:val="21"/>
          </w:rPr>
        </w:r>
        <w:r w:rsidR="00FE5E25" w:rsidRPr="00A22C01">
          <w:rPr>
            <w:noProof/>
            <w:webHidden/>
            <w:sz w:val="21"/>
            <w:szCs w:val="21"/>
          </w:rPr>
          <w:fldChar w:fldCharType="separate"/>
        </w:r>
        <w:r w:rsidR="007A664D">
          <w:rPr>
            <w:noProof/>
            <w:webHidden/>
            <w:sz w:val="21"/>
            <w:szCs w:val="21"/>
          </w:rPr>
          <w:t>15</w:t>
        </w:r>
        <w:r w:rsidR="00FE5E25" w:rsidRPr="00A22C01">
          <w:rPr>
            <w:noProof/>
            <w:webHidden/>
            <w:sz w:val="21"/>
            <w:szCs w:val="21"/>
          </w:rPr>
          <w:fldChar w:fldCharType="end"/>
        </w:r>
      </w:hyperlink>
    </w:p>
    <w:p w14:paraId="3BDC5D53" w14:textId="4841AAF7" w:rsidR="00FE5E25"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674" w:history="1">
        <w:r w:rsidR="00FE5E25" w:rsidRPr="00A22C01">
          <w:rPr>
            <w:rStyle w:val="Hypertextovprepojenie"/>
            <w:noProof/>
            <w:sz w:val="21"/>
            <w:szCs w:val="21"/>
          </w:rPr>
          <w:t>GRAF 15 – Veľkosť nových výdavkových politík vlády a rezervy (% HDP)</w:t>
        </w:r>
        <w:r w:rsidR="00FE5E25" w:rsidRPr="00A22C01">
          <w:rPr>
            <w:noProof/>
            <w:webHidden/>
            <w:sz w:val="21"/>
            <w:szCs w:val="21"/>
          </w:rPr>
          <w:tab/>
        </w:r>
        <w:r w:rsidR="00FE5E25" w:rsidRPr="00A22C01">
          <w:rPr>
            <w:noProof/>
            <w:webHidden/>
            <w:sz w:val="21"/>
            <w:szCs w:val="21"/>
          </w:rPr>
          <w:fldChar w:fldCharType="begin"/>
        </w:r>
        <w:r w:rsidR="00FE5E25" w:rsidRPr="00A22C01">
          <w:rPr>
            <w:noProof/>
            <w:webHidden/>
            <w:sz w:val="21"/>
            <w:szCs w:val="21"/>
          </w:rPr>
          <w:instrText xml:space="preserve"> PAGEREF _Toc179814674 \h </w:instrText>
        </w:r>
        <w:r w:rsidR="00FE5E25" w:rsidRPr="00A22C01">
          <w:rPr>
            <w:noProof/>
            <w:webHidden/>
            <w:sz w:val="21"/>
            <w:szCs w:val="21"/>
          </w:rPr>
        </w:r>
        <w:r w:rsidR="00FE5E25" w:rsidRPr="00A22C01">
          <w:rPr>
            <w:noProof/>
            <w:webHidden/>
            <w:sz w:val="21"/>
            <w:szCs w:val="21"/>
          </w:rPr>
          <w:fldChar w:fldCharType="separate"/>
        </w:r>
        <w:r w:rsidR="007A664D">
          <w:rPr>
            <w:noProof/>
            <w:webHidden/>
            <w:sz w:val="21"/>
            <w:szCs w:val="21"/>
          </w:rPr>
          <w:t>15</w:t>
        </w:r>
        <w:r w:rsidR="00FE5E25" w:rsidRPr="00A22C01">
          <w:rPr>
            <w:noProof/>
            <w:webHidden/>
            <w:sz w:val="21"/>
            <w:szCs w:val="21"/>
          </w:rPr>
          <w:fldChar w:fldCharType="end"/>
        </w:r>
      </w:hyperlink>
    </w:p>
    <w:p w14:paraId="0FF51EC2" w14:textId="6FBC8E98" w:rsidR="00FE5E25"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675" w:history="1">
        <w:r w:rsidR="00FE5E25" w:rsidRPr="00A22C01">
          <w:rPr>
            <w:rStyle w:val="Hypertextovprepojenie"/>
            <w:rFonts w:cs="Arial Narrow"/>
            <w:noProof/>
            <w:sz w:val="21"/>
            <w:szCs w:val="21"/>
          </w:rPr>
          <w:t xml:space="preserve">GRAF </w:t>
        </w:r>
        <w:r w:rsidR="00FE5E25" w:rsidRPr="00A22C01">
          <w:rPr>
            <w:rStyle w:val="Hypertextovprepojenie"/>
            <w:noProof/>
            <w:sz w:val="21"/>
            <w:szCs w:val="21"/>
          </w:rPr>
          <w:t>16 –</w:t>
        </w:r>
        <w:r w:rsidR="00FE5E25" w:rsidRPr="00A22C01">
          <w:rPr>
            <w:rStyle w:val="Hypertextovprepojenie"/>
            <w:rFonts w:eastAsia="NeueHaasGroteskText W02" w:cs="Arial"/>
            <w:noProof/>
            <w:sz w:val="21"/>
            <w:szCs w:val="21"/>
          </w:rPr>
          <w:t> Medziročný rast čistých výdavkov podľa stanovenej trajektórie a podľa aktuálneho rozpočtového rámca (%)</w:t>
        </w:r>
        <w:r w:rsidR="00FE5E25" w:rsidRPr="00A22C01">
          <w:rPr>
            <w:noProof/>
            <w:webHidden/>
            <w:sz w:val="21"/>
            <w:szCs w:val="21"/>
          </w:rPr>
          <w:tab/>
        </w:r>
        <w:r w:rsidR="00FE5E25" w:rsidRPr="00A22C01">
          <w:rPr>
            <w:noProof/>
            <w:webHidden/>
            <w:sz w:val="21"/>
            <w:szCs w:val="21"/>
          </w:rPr>
          <w:fldChar w:fldCharType="begin"/>
        </w:r>
        <w:r w:rsidR="00FE5E25" w:rsidRPr="00A22C01">
          <w:rPr>
            <w:noProof/>
            <w:webHidden/>
            <w:sz w:val="21"/>
            <w:szCs w:val="21"/>
          </w:rPr>
          <w:instrText xml:space="preserve"> PAGEREF _Toc179814675 \h </w:instrText>
        </w:r>
        <w:r w:rsidR="00FE5E25" w:rsidRPr="00A22C01">
          <w:rPr>
            <w:noProof/>
            <w:webHidden/>
            <w:sz w:val="21"/>
            <w:szCs w:val="21"/>
          </w:rPr>
        </w:r>
        <w:r w:rsidR="00FE5E25" w:rsidRPr="00A22C01">
          <w:rPr>
            <w:noProof/>
            <w:webHidden/>
            <w:sz w:val="21"/>
            <w:szCs w:val="21"/>
          </w:rPr>
          <w:fldChar w:fldCharType="separate"/>
        </w:r>
        <w:r w:rsidR="007A664D">
          <w:rPr>
            <w:noProof/>
            <w:webHidden/>
            <w:sz w:val="21"/>
            <w:szCs w:val="21"/>
          </w:rPr>
          <w:t>16</w:t>
        </w:r>
        <w:r w:rsidR="00FE5E25" w:rsidRPr="00A22C01">
          <w:rPr>
            <w:noProof/>
            <w:webHidden/>
            <w:sz w:val="21"/>
            <w:szCs w:val="21"/>
          </w:rPr>
          <w:fldChar w:fldCharType="end"/>
        </w:r>
      </w:hyperlink>
    </w:p>
    <w:p w14:paraId="49A9B7A4" w14:textId="28FDA49B" w:rsidR="00FE5E25"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676" w:history="1">
        <w:r w:rsidR="00FE5E25" w:rsidRPr="00A22C01">
          <w:rPr>
            <w:rStyle w:val="Hypertextovprepojenie"/>
            <w:noProof/>
            <w:sz w:val="21"/>
            <w:szCs w:val="21"/>
          </w:rPr>
          <w:t>GRAF 17 – Potreba dodatočných konsolidačných opatrení v % HDP (rozdiel medzi aktuálnym rozpočtovým rámcom a cieľmi vlády)</w:t>
        </w:r>
        <w:r w:rsidR="00FE5E25" w:rsidRPr="00A22C01">
          <w:rPr>
            <w:noProof/>
            <w:webHidden/>
            <w:sz w:val="21"/>
            <w:szCs w:val="21"/>
          </w:rPr>
          <w:tab/>
        </w:r>
        <w:r w:rsidR="00FE5E25" w:rsidRPr="00A22C01">
          <w:rPr>
            <w:noProof/>
            <w:webHidden/>
            <w:sz w:val="21"/>
            <w:szCs w:val="21"/>
          </w:rPr>
          <w:fldChar w:fldCharType="begin"/>
        </w:r>
        <w:r w:rsidR="00FE5E25" w:rsidRPr="00A22C01">
          <w:rPr>
            <w:noProof/>
            <w:webHidden/>
            <w:sz w:val="21"/>
            <w:szCs w:val="21"/>
          </w:rPr>
          <w:instrText xml:space="preserve"> PAGEREF _Toc179814676 \h </w:instrText>
        </w:r>
        <w:r w:rsidR="00FE5E25" w:rsidRPr="00A22C01">
          <w:rPr>
            <w:noProof/>
            <w:webHidden/>
            <w:sz w:val="21"/>
            <w:szCs w:val="21"/>
          </w:rPr>
        </w:r>
        <w:r w:rsidR="00FE5E25" w:rsidRPr="00A22C01">
          <w:rPr>
            <w:noProof/>
            <w:webHidden/>
            <w:sz w:val="21"/>
            <w:szCs w:val="21"/>
          </w:rPr>
          <w:fldChar w:fldCharType="separate"/>
        </w:r>
        <w:r w:rsidR="007A664D">
          <w:rPr>
            <w:noProof/>
            <w:webHidden/>
            <w:sz w:val="21"/>
            <w:szCs w:val="21"/>
          </w:rPr>
          <w:t>16</w:t>
        </w:r>
        <w:r w:rsidR="00FE5E25" w:rsidRPr="00A22C01">
          <w:rPr>
            <w:noProof/>
            <w:webHidden/>
            <w:sz w:val="21"/>
            <w:szCs w:val="21"/>
          </w:rPr>
          <w:fldChar w:fldCharType="end"/>
        </w:r>
      </w:hyperlink>
    </w:p>
    <w:p w14:paraId="0EF6ED24" w14:textId="1CFB4707" w:rsidR="00FE5E25" w:rsidRPr="00A22C01" w:rsidRDefault="009144C9">
      <w:pPr>
        <w:pStyle w:val="Zoznamobrzkov"/>
        <w:tabs>
          <w:tab w:val="right" w:leader="dot" w:pos="9062"/>
        </w:tabs>
        <w:rPr>
          <w:rFonts w:asciiTheme="minorHAnsi" w:eastAsiaTheme="minorEastAsia" w:hAnsiTheme="minorHAnsi"/>
          <w:noProof/>
          <w:kern w:val="2"/>
          <w:sz w:val="21"/>
          <w:szCs w:val="21"/>
          <w:lang w:eastAsia="sk-SK"/>
          <w14:ligatures w14:val="standardContextual"/>
        </w:rPr>
      </w:pPr>
      <w:hyperlink w:anchor="_Toc179814677" w:history="1">
        <w:r w:rsidR="00FE5E25" w:rsidRPr="00A22C01">
          <w:rPr>
            <w:rStyle w:val="Hypertextovprepojenie"/>
            <w:rFonts w:cs="Arial Narrow"/>
            <w:noProof/>
            <w:sz w:val="21"/>
            <w:szCs w:val="21"/>
          </w:rPr>
          <w:t xml:space="preserve">GRAF </w:t>
        </w:r>
        <w:r w:rsidR="00FE5E25" w:rsidRPr="00A22C01">
          <w:rPr>
            <w:rStyle w:val="Hypertextovprepojenie"/>
            <w:noProof/>
            <w:sz w:val="21"/>
            <w:szCs w:val="21"/>
          </w:rPr>
          <w:t>18</w:t>
        </w:r>
        <w:r w:rsidR="00FE5E25" w:rsidRPr="00A22C01">
          <w:rPr>
            <w:rStyle w:val="Hypertextovprepojenie"/>
            <w:rFonts w:cs="Arial Narrow"/>
            <w:noProof/>
            <w:sz w:val="21"/>
            <w:szCs w:val="21"/>
          </w:rPr>
          <w:t xml:space="preserve"> – Vývoj národne financovaných investícií (% HDP)</w:t>
        </w:r>
        <w:r w:rsidR="00FE5E25" w:rsidRPr="00A22C01">
          <w:rPr>
            <w:noProof/>
            <w:webHidden/>
            <w:sz w:val="21"/>
            <w:szCs w:val="21"/>
          </w:rPr>
          <w:tab/>
        </w:r>
        <w:r w:rsidR="00FE5E25" w:rsidRPr="00A22C01">
          <w:rPr>
            <w:noProof/>
            <w:webHidden/>
            <w:sz w:val="21"/>
            <w:szCs w:val="21"/>
          </w:rPr>
          <w:fldChar w:fldCharType="begin"/>
        </w:r>
        <w:r w:rsidR="00FE5E25" w:rsidRPr="00A22C01">
          <w:rPr>
            <w:noProof/>
            <w:webHidden/>
            <w:sz w:val="21"/>
            <w:szCs w:val="21"/>
          </w:rPr>
          <w:instrText xml:space="preserve"> PAGEREF _Toc179814677 \h </w:instrText>
        </w:r>
        <w:r w:rsidR="00FE5E25" w:rsidRPr="00A22C01">
          <w:rPr>
            <w:noProof/>
            <w:webHidden/>
            <w:sz w:val="21"/>
            <w:szCs w:val="21"/>
          </w:rPr>
        </w:r>
        <w:r w:rsidR="00FE5E25" w:rsidRPr="00A22C01">
          <w:rPr>
            <w:noProof/>
            <w:webHidden/>
            <w:sz w:val="21"/>
            <w:szCs w:val="21"/>
          </w:rPr>
          <w:fldChar w:fldCharType="separate"/>
        </w:r>
        <w:r w:rsidR="007A664D">
          <w:rPr>
            <w:noProof/>
            <w:webHidden/>
            <w:sz w:val="21"/>
            <w:szCs w:val="21"/>
          </w:rPr>
          <w:t>26</w:t>
        </w:r>
        <w:r w:rsidR="00FE5E25" w:rsidRPr="00A22C01">
          <w:rPr>
            <w:noProof/>
            <w:webHidden/>
            <w:sz w:val="21"/>
            <w:szCs w:val="21"/>
          </w:rPr>
          <w:fldChar w:fldCharType="end"/>
        </w:r>
      </w:hyperlink>
    </w:p>
    <w:p w14:paraId="5FBFF73F" w14:textId="5E120216" w:rsidR="00BE24B0" w:rsidRPr="007A225E" w:rsidRDefault="00BE24B0" w:rsidP="00BE24B0">
      <w:pPr>
        <w:jc w:val="both"/>
        <w:rPr>
          <w:rFonts w:ascii="Arial Narrow" w:eastAsia="Times New Roman" w:hAnsi="Arial Narrow"/>
        </w:rPr>
      </w:pPr>
      <w:r w:rsidRPr="00DB069C">
        <w:rPr>
          <w:rStyle w:val="Hypertextovprepojenie"/>
          <w:rFonts w:ascii="Arial Narrow" w:hAnsi="Arial Narrow"/>
          <w:noProof/>
          <w:sz w:val="21"/>
          <w:szCs w:val="21"/>
          <w:highlight w:val="yellow"/>
        </w:rPr>
        <w:fldChar w:fldCharType="end"/>
      </w:r>
    </w:p>
    <w:p w14:paraId="0D7B2C37" w14:textId="77777777" w:rsidR="002A0289" w:rsidRPr="00512627" w:rsidRDefault="002A0289" w:rsidP="002A0289">
      <w:pPr>
        <w:jc w:val="both"/>
        <w:rPr>
          <w:rFonts w:ascii="Arial Narrow" w:hAnsi="Arial Narrow"/>
        </w:rPr>
      </w:pPr>
    </w:p>
    <w:p w14:paraId="495BF925" w14:textId="77777777" w:rsidR="002A0289" w:rsidRPr="00975DCB" w:rsidRDefault="002A0289" w:rsidP="002A0289">
      <w:pPr>
        <w:jc w:val="both"/>
        <w:rPr>
          <w:rFonts w:ascii="Arial Narrow" w:hAnsi="Arial Narrow"/>
        </w:rPr>
      </w:pPr>
    </w:p>
    <w:p w14:paraId="6871DF00" w14:textId="2C014988" w:rsidR="002A0289" w:rsidRDefault="002A0289">
      <w:pPr>
        <w:rPr>
          <w:rFonts w:ascii="Arial Narrow" w:hAnsi="Arial Narrow"/>
        </w:rPr>
      </w:pPr>
      <w:r>
        <w:rPr>
          <w:rFonts w:ascii="Arial Narrow" w:hAnsi="Arial Narrow"/>
        </w:rPr>
        <w:br w:type="page"/>
      </w:r>
    </w:p>
    <w:p w14:paraId="2E75ED6B" w14:textId="77777777" w:rsidR="002A0289" w:rsidRDefault="002A0289" w:rsidP="002A0289">
      <w:pPr>
        <w:pStyle w:val="Nadpis1"/>
        <w:numPr>
          <w:ilvl w:val="0"/>
          <w:numId w:val="8"/>
        </w:numPr>
        <w:tabs>
          <w:tab w:val="num" w:pos="0"/>
          <w:tab w:val="num" w:pos="360"/>
        </w:tabs>
        <w:spacing w:after="240"/>
        <w:ind w:left="680" w:hanging="680"/>
        <w:rPr>
          <w:rFonts w:cs="Arial Narrow"/>
          <w:color w:val="2C9ADC"/>
          <w:szCs w:val="28"/>
        </w:rPr>
      </w:pPr>
      <w:bookmarkStart w:id="4" w:name="_Toc179814982"/>
      <w:r>
        <w:rPr>
          <w:rFonts w:cs="Arial Narrow"/>
          <w:color w:val="2C9ADC"/>
          <w:szCs w:val="28"/>
        </w:rPr>
        <w:lastRenderedPageBreak/>
        <w:t>Reforma európskych fiškálnych pravidiel</w:t>
      </w:r>
      <w:bookmarkEnd w:id="4"/>
    </w:p>
    <w:p w14:paraId="7D21DF75" w14:textId="299F9523" w:rsidR="002A0289" w:rsidRPr="00F53C49" w:rsidRDefault="002A0289" w:rsidP="002A0289">
      <w:pPr>
        <w:spacing w:after="0" w:line="276" w:lineRule="auto"/>
        <w:jc w:val="both"/>
        <w:rPr>
          <w:rFonts w:ascii="Arial Narrow" w:eastAsia="Times New Roman" w:hAnsi="Arial Narrow"/>
        </w:rPr>
      </w:pPr>
      <w:r>
        <w:rPr>
          <w:rFonts w:ascii="Arial Narrow" w:hAnsi="Arial Narrow"/>
          <w:b/>
          <w:bCs/>
        </w:rPr>
        <w:t>Nová reforma fiškálnych pravidiel EÚ zavádza najzásadnejšie zmeny od fungovania Paktu stability a rastu</w:t>
      </w:r>
      <w:r w:rsidRPr="00672433">
        <w:rPr>
          <w:rFonts w:ascii="Arial Narrow" w:eastAsia="Times New Roman" w:hAnsi="Arial Narrow"/>
        </w:rPr>
        <w:t xml:space="preserve">. </w:t>
      </w:r>
      <w:r>
        <w:rPr>
          <w:rFonts w:ascii="Arial Narrow" w:eastAsia="Times New Roman" w:hAnsi="Arial Narrow"/>
        </w:rPr>
        <w:t xml:space="preserve">Pravidlá definované v </w:t>
      </w:r>
      <w:r w:rsidRPr="00672433">
        <w:rPr>
          <w:rFonts w:ascii="Arial Narrow" w:eastAsia="Times New Roman" w:hAnsi="Arial Narrow"/>
        </w:rPr>
        <w:t>Pakt</w:t>
      </w:r>
      <w:r>
        <w:rPr>
          <w:rFonts w:ascii="Arial Narrow" w:eastAsia="Times New Roman" w:hAnsi="Arial Narrow"/>
        </w:rPr>
        <w:t>e</w:t>
      </w:r>
      <w:r w:rsidRPr="00672433">
        <w:rPr>
          <w:rFonts w:ascii="Arial Narrow" w:eastAsia="Times New Roman" w:hAnsi="Arial Narrow"/>
        </w:rPr>
        <w:t xml:space="preserve"> </w:t>
      </w:r>
      <w:r>
        <w:rPr>
          <w:rFonts w:ascii="Arial Narrow" w:eastAsia="Times New Roman" w:hAnsi="Arial Narrow"/>
        </w:rPr>
        <w:t>stability a </w:t>
      </w:r>
      <w:r w:rsidRPr="00672433">
        <w:rPr>
          <w:rFonts w:ascii="Arial Narrow" w:eastAsia="Times New Roman" w:hAnsi="Arial Narrow"/>
        </w:rPr>
        <w:t>rastu</w:t>
      </w:r>
      <w:r>
        <w:rPr>
          <w:rFonts w:ascii="Arial Narrow" w:eastAsia="Times New Roman" w:hAnsi="Arial Narrow"/>
        </w:rPr>
        <w:t xml:space="preserve"> pre</w:t>
      </w:r>
      <w:r w:rsidRPr="00672433">
        <w:rPr>
          <w:rFonts w:ascii="Arial Narrow" w:eastAsia="Times New Roman" w:hAnsi="Arial Narrow"/>
        </w:rPr>
        <w:t xml:space="preserve">šli </w:t>
      </w:r>
      <w:r>
        <w:rPr>
          <w:rFonts w:ascii="Arial Narrow" w:eastAsia="Times New Roman" w:hAnsi="Arial Narrow"/>
        </w:rPr>
        <w:t xml:space="preserve">v minulosti </w:t>
      </w:r>
      <w:r w:rsidRPr="00672433">
        <w:rPr>
          <w:rFonts w:ascii="Arial Narrow" w:eastAsia="Times New Roman" w:hAnsi="Arial Narrow"/>
        </w:rPr>
        <w:t>štyrmi väčšími zmenami</w:t>
      </w:r>
      <w:r>
        <w:rPr>
          <w:rFonts w:ascii="Arial Narrow" w:eastAsia="Times New Roman" w:hAnsi="Arial Narrow"/>
        </w:rPr>
        <w:t xml:space="preserve">, ktoré rámec </w:t>
      </w:r>
      <w:r w:rsidR="00F514FE">
        <w:rPr>
          <w:rFonts w:ascii="Arial Narrow" w:eastAsia="Times New Roman" w:hAnsi="Arial Narrow"/>
        </w:rPr>
        <w:t xml:space="preserve">fiškálnych pravidiel </w:t>
      </w:r>
      <w:r>
        <w:rPr>
          <w:rFonts w:ascii="Arial Narrow" w:eastAsia="Times New Roman" w:hAnsi="Arial Narrow"/>
        </w:rPr>
        <w:t>postupne rozširovali</w:t>
      </w:r>
      <w:r w:rsidRPr="00672433">
        <w:rPr>
          <w:rFonts w:ascii="Arial Narrow" w:eastAsia="Times New Roman" w:hAnsi="Arial Narrow"/>
        </w:rPr>
        <w:t>. Výsledkom bol komplexný systém pravidiel a</w:t>
      </w:r>
      <w:r>
        <w:rPr>
          <w:rFonts w:ascii="Arial Narrow" w:eastAsia="Times New Roman" w:hAnsi="Arial Narrow"/>
        </w:rPr>
        <w:t> </w:t>
      </w:r>
      <w:r w:rsidRPr="00672433">
        <w:rPr>
          <w:rFonts w:ascii="Arial Narrow" w:eastAsia="Times New Roman" w:hAnsi="Arial Narrow"/>
        </w:rPr>
        <w:t>výnimiek</w:t>
      </w:r>
      <w:r>
        <w:rPr>
          <w:rFonts w:ascii="Arial Narrow" w:eastAsia="Times New Roman" w:hAnsi="Arial Narrow"/>
        </w:rPr>
        <w:t xml:space="preserve">, navyše ťažko </w:t>
      </w:r>
      <w:r w:rsidRPr="00672433">
        <w:rPr>
          <w:rFonts w:ascii="Arial Narrow" w:eastAsia="Times New Roman" w:hAnsi="Arial Narrow"/>
        </w:rPr>
        <w:t xml:space="preserve">zrozumiteľný laickej verejnosti. Hodnotenie postavené na viacerých ukazovateľoch bolo možné plniť selektívne. Rámec </w:t>
      </w:r>
      <w:r>
        <w:rPr>
          <w:rFonts w:ascii="Arial Narrow" w:eastAsia="Times New Roman" w:hAnsi="Arial Narrow"/>
        </w:rPr>
        <w:t xml:space="preserve">tak </w:t>
      </w:r>
      <w:r w:rsidRPr="00672433">
        <w:rPr>
          <w:rFonts w:ascii="Arial Narrow" w:eastAsia="Times New Roman" w:hAnsi="Arial Narrow"/>
        </w:rPr>
        <w:t>vo výsledku neviedol k</w:t>
      </w:r>
      <w:r>
        <w:rPr>
          <w:rFonts w:ascii="Arial Narrow" w:eastAsia="Times New Roman" w:hAnsi="Arial Narrow"/>
        </w:rPr>
        <w:t> </w:t>
      </w:r>
      <w:r w:rsidRPr="00672433">
        <w:rPr>
          <w:rFonts w:ascii="Arial Narrow" w:eastAsia="Times New Roman" w:hAnsi="Arial Narrow"/>
        </w:rPr>
        <w:t>efektívnej proti</w:t>
      </w:r>
      <w:r>
        <w:rPr>
          <w:rFonts w:ascii="Arial Narrow" w:eastAsia="Times New Roman" w:hAnsi="Arial Narrow"/>
        </w:rPr>
        <w:t>-</w:t>
      </w:r>
      <w:r w:rsidRPr="00672433">
        <w:rPr>
          <w:rFonts w:ascii="Arial Narrow" w:eastAsia="Times New Roman" w:hAnsi="Arial Narrow"/>
        </w:rPr>
        <w:t>cyklickej politike</w:t>
      </w:r>
      <w:r w:rsidRPr="00672433">
        <w:rPr>
          <w:rStyle w:val="Odkaznapoznmkupodiarou"/>
          <w:rFonts w:ascii="Arial Narrow" w:eastAsia="Times New Roman" w:hAnsi="Arial Narrow"/>
        </w:rPr>
        <w:footnoteReference w:id="4"/>
      </w:r>
      <w:r w:rsidRPr="00672433">
        <w:rPr>
          <w:rFonts w:ascii="Arial Narrow" w:eastAsia="Times New Roman" w:hAnsi="Arial Narrow"/>
        </w:rPr>
        <w:t>. Na jar tohto roka bola členskými krajinami EÚ prijatá reforma európskych fiškálnych pravidiel</w:t>
      </w:r>
      <w:r>
        <w:rPr>
          <w:rFonts w:ascii="Arial Narrow" w:eastAsia="Times New Roman" w:hAnsi="Arial Narrow"/>
        </w:rPr>
        <w:t>. Tá</w:t>
      </w:r>
      <w:r w:rsidRPr="00672433">
        <w:rPr>
          <w:rFonts w:ascii="Arial Narrow" w:eastAsia="Times New Roman" w:hAnsi="Arial Narrow"/>
        </w:rPr>
        <w:t xml:space="preserve"> </w:t>
      </w:r>
      <w:r>
        <w:rPr>
          <w:rFonts w:ascii="Arial Narrow" w:eastAsia="Times New Roman" w:hAnsi="Arial Narrow"/>
        </w:rPr>
        <w:t xml:space="preserve">reaguje na </w:t>
      </w:r>
      <w:r w:rsidR="00F514FE">
        <w:rPr>
          <w:rFonts w:ascii="Arial Narrow" w:eastAsia="Times New Roman" w:hAnsi="Arial Narrow"/>
        </w:rPr>
        <w:t xml:space="preserve">predošlé </w:t>
      </w:r>
      <w:r>
        <w:rPr>
          <w:rFonts w:ascii="Arial Narrow" w:eastAsia="Times New Roman" w:hAnsi="Arial Narrow"/>
        </w:rPr>
        <w:t>nedostatky zúžením cieľov na dlhovú udržateľnosť na viacročnom horizonte a zavedením výdavkového pravidla ako jediného operatívneho nástroja, posilňujúc tiež proti-cyklickosť fiškálnej politiky</w:t>
      </w:r>
      <w:r w:rsidRPr="00672433">
        <w:rPr>
          <w:rFonts w:ascii="Arial Narrow" w:eastAsia="Times New Roman" w:hAnsi="Arial Narrow"/>
        </w:rPr>
        <w:t>.</w:t>
      </w:r>
    </w:p>
    <w:p w14:paraId="1786978C" w14:textId="77777777" w:rsidR="002A0289" w:rsidRDefault="002A0289" w:rsidP="002A0289">
      <w:pPr>
        <w:widowControl w:val="0"/>
        <w:spacing w:before="120" w:after="120"/>
        <w:jc w:val="both"/>
        <w:rPr>
          <w:rFonts w:ascii="Arial Narrow" w:hAnsi="Arial Narrow" w:cs="Arial Narrow"/>
          <w:b/>
          <w:bCs/>
          <w:color w:val="2C9ADC"/>
          <w:sz w:val="20"/>
          <w:szCs w:val="20"/>
        </w:rPr>
      </w:pPr>
      <w:r>
        <w:rPr>
          <w:rFonts w:ascii="Arial Narrow" w:hAnsi="Arial Narrow" w:cs="Arial Narrow"/>
          <w:b/>
          <w:bCs/>
          <w:noProof/>
          <w:color w:val="2C9ADC"/>
          <w:sz w:val="20"/>
          <w:szCs w:val="20"/>
          <w:lang w:eastAsia="sk-SK"/>
        </w:rPr>
        <w:drawing>
          <wp:anchor distT="0" distB="0" distL="114300" distR="114300" simplePos="0" relativeHeight="251675648" behindDoc="0" locked="0" layoutInCell="1" allowOverlap="1" wp14:anchorId="32BAC446" wp14:editId="1D5FFA43">
            <wp:simplePos x="0" y="0"/>
            <wp:positionH relativeFrom="column">
              <wp:posOffset>230505</wp:posOffset>
            </wp:positionH>
            <wp:positionV relativeFrom="paragraph">
              <wp:posOffset>292735</wp:posOffset>
            </wp:positionV>
            <wp:extent cx="4963795" cy="1407160"/>
            <wp:effectExtent l="0" t="0" r="0" b="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r w:rsidRPr="000675F5">
        <w:rPr>
          <w:rFonts w:ascii="Arial Narrow" w:hAnsi="Arial Narrow" w:cs="Arial Narrow"/>
          <w:b/>
          <w:bCs/>
          <w:noProof/>
          <w:color w:val="2C9ADC"/>
          <w:sz w:val="20"/>
          <w:szCs w:val="20"/>
          <w:lang w:eastAsia="sk-SK"/>
        </w:rPr>
        <w:drawing>
          <wp:anchor distT="0" distB="0" distL="114300" distR="114300" simplePos="0" relativeHeight="251676672" behindDoc="0" locked="0" layoutInCell="1" allowOverlap="1" wp14:anchorId="59C00B2C" wp14:editId="37798102">
            <wp:simplePos x="0" y="0"/>
            <wp:positionH relativeFrom="column">
              <wp:posOffset>3546475</wp:posOffset>
            </wp:positionH>
            <wp:positionV relativeFrom="paragraph">
              <wp:posOffset>6985</wp:posOffset>
            </wp:positionV>
            <wp:extent cx="2413635" cy="1407160"/>
            <wp:effectExtent l="0" t="0" r="0" b="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anchor>
        </w:drawing>
      </w:r>
      <w:r w:rsidRPr="00443F64">
        <w:rPr>
          <w:rFonts w:ascii="Arial Narrow" w:hAnsi="Arial Narrow" w:cs="Arial Narrow"/>
          <w:b/>
          <w:bCs/>
          <w:color w:val="2C9ADC"/>
          <w:sz w:val="20"/>
          <w:szCs w:val="20"/>
        </w:rPr>
        <w:t>SCHÉMA</w:t>
      </w:r>
      <w:r>
        <w:rPr>
          <w:rFonts w:ascii="Arial Narrow" w:hAnsi="Arial Narrow" w:cs="Arial Narrow"/>
          <w:b/>
          <w:bCs/>
          <w:color w:val="2C9ADC"/>
          <w:sz w:val="20"/>
          <w:szCs w:val="20"/>
        </w:rPr>
        <w:t xml:space="preserve"> 1 – Hlavné zmeny vo vývoji fiškálnych pravidiel EÚ</w:t>
      </w:r>
    </w:p>
    <w:p w14:paraId="21709C12" w14:textId="77777777" w:rsidR="002A0289" w:rsidRDefault="002A0289" w:rsidP="002A0289">
      <w:pPr>
        <w:widowControl w:val="0"/>
        <w:spacing w:before="40" w:after="40"/>
        <w:jc w:val="both"/>
        <w:rPr>
          <w:rFonts w:ascii="Arial Narrow" w:hAnsi="Arial Narrow" w:cs="Arial Narrow"/>
          <w:b/>
          <w:bCs/>
          <w:color w:val="2C9ADC"/>
          <w:sz w:val="20"/>
          <w:szCs w:val="20"/>
        </w:rPr>
      </w:pPr>
    </w:p>
    <w:p w14:paraId="78201994" w14:textId="77777777" w:rsidR="002A0289" w:rsidRDefault="002A0289" w:rsidP="002A0289">
      <w:pPr>
        <w:widowControl w:val="0"/>
        <w:spacing w:before="40" w:after="40"/>
        <w:jc w:val="both"/>
        <w:rPr>
          <w:rFonts w:ascii="Arial Narrow" w:hAnsi="Arial Narrow" w:cs="Arial Narrow"/>
          <w:b/>
          <w:bCs/>
          <w:color w:val="2C9ADC"/>
          <w:sz w:val="20"/>
          <w:szCs w:val="20"/>
        </w:rPr>
      </w:pPr>
    </w:p>
    <w:p w14:paraId="02824811" w14:textId="77777777" w:rsidR="002A0289" w:rsidRDefault="002A0289" w:rsidP="002A0289">
      <w:pPr>
        <w:widowControl w:val="0"/>
        <w:spacing w:before="40" w:after="40"/>
        <w:jc w:val="both"/>
        <w:rPr>
          <w:rFonts w:ascii="Arial Narrow" w:hAnsi="Arial Narrow" w:cs="Arial Narrow"/>
          <w:b/>
          <w:bCs/>
          <w:color w:val="2C9ADC"/>
          <w:sz w:val="20"/>
          <w:szCs w:val="20"/>
        </w:rPr>
      </w:pPr>
    </w:p>
    <w:p w14:paraId="5B136D0C" w14:textId="77777777" w:rsidR="002A0289" w:rsidRDefault="002A0289" w:rsidP="002A0289">
      <w:pPr>
        <w:widowControl w:val="0"/>
        <w:spacing w:before="40" w:after="40"/>
        <w:jc w:val="both"/>
        <w:rPr>
          <w:rFonts w:ascii="Arial Narrow" w:hAnsi="Arial Narrow" w:cs="Arial Narrow"/>
          <w:b/>
          <w:bCs/>
          <w:color w:val="2C9ADC"/>
          <w:sz w:val="20"/>
          <w:szCs w:val="20"/>
        </w:rPr>
      </w:pPr>
    </w:p>
    <w:p w14:paraId="134B3A09" w14:textId="77777777" w:rsidR="002A0289" w:rsidRDefault="002A0289" w:rsidP="002A0289">
      <w:pPr>
        <w:widowControl w:val="0"/>
        <w:spacing w:before="40" w:after="40"/>
        <w:jc w:val="both"/>
        <w:rPr>
          <w:rFonts w:ascii="Arial Narrow" w:hAnsi="Arial Narrow" w:cs="Arial Narrow"/>
          <w:b/>
          <w:bCs/>
          <w:color w:val="2C9ADC"/>
          <w:sz w:val="20"/>
          <w:szCs w:val="20"/>
        </w:rPr>
      </w:pPr>
    </w:p>
    <w:p w14:paraId="47FE1920" w14:textId="77777777" w:rsidR="002A0289" w:rsidRDefault="002A0289" w:rsidP="002A0289">
      <w:pPr>
        <w:widowControl w:val="0"/>
        <w:spacing w:before="40" w:after="40"/>
        <w:jc w:val="both"/>
        <w:rPr>
          <w:rFonts w:ascii="Arial Narrow" w:hAnsi="Arial Narrow" w:cs="Arial Narrow"/>
          <w:b/>
          <w:bCs/>
          <w:color w:val="2C9ADC"/>
          <w:sz w:val="20"/>
          <w:szCs w:val="20"/>
        </w:rPr>
      </w:pPr>
    </w:p>
    <w:p w14:paraId="7A16C0C1" w14:textId="77777777" w:rsidR="002A0289" w:rsidRDefault="002A0289" w:rsidP="002A0289">
      <w:pPr>
        <w:widowControl w:val="0"/>
        <w:spacing w:before="40" w:after="40"/>
        <w:jc w:val="both"/>
        <w:rPr>
          <w:rFonts w:ascii="Arial Narrow" w:hAnsi="Arial Narrow" w:cs="Arial Narrow"/>
          <w:b/>
          <w:bCs/>
          <w:color w:val="2C9ADC"/>
          <w:sz w:val="20"/>
          <w:szCs w:val="20"/>
        </w:rPr>
      </w:pPr>
    </w:p>
    <w:p w14:paraId="55EDAE0A" w14:textId="61FF4234" w:rsidR="002A0289" w:rsidRPr="00C84223" w:rsidRDefault="002B0F4A" w:rsidP="00F6360F">
      <w:pPr>
        <w:pStyle w:val="pf0"/>
        <w:rPr>
          <w:rFonts w:ascii="Arial Narrow" w:eastAsiaTheme="minorHAnsi" w:hAnsi="Arial Narrow" w:cstheme="minorBidi"/>
          <w:i/>
          <w:iCs/>
          <w:sz w:val="16"/>
          <w:szCs w:val="16"/>
          <w:lang w:eastAsia="en-US"/>
        </w:rPr>
      </w:pPr>
      <w:r>
        <w:rPr>
          <w:rFonts w:ascii="Arial Narrow" w:eastAsiaTheme="minorHAnsi" w:hAnsi="Arial Narrow" w:cstheme="minorBidi"/>
          <w:sz w:val="16"/>
          <w:szCs w:val="16"/>
          <w:lang w:eastAsia="en-US"/>
        </w:rPr>
        <w:t xml:space="preserve">* </w:t>
      </w:r>
      <w:r w:rsidR="00F674FB" w:rsidRPr="00C36AA2">
        <w:rPr>
          <w:rFonts w:ascii="Arial Narrow" w:eastAsiaTheme="minorHAnsi" w:hAnsi="Arial Narrow" w:cstheme="minorBidi"/>
          <w:i/>
          <w:iCs/>
          <w:sz w:val="16"/>
          <w:szCs w:val="16"/>
          <w:lang w:eastAsia="en-US"/>
        </w:rPr>
        <w:t>Pozn</w:t>
      </w:r>
      <w:r w:rsidR="002D063B">
        <w:rPr>
          <w:rFonts w:ascii="Arial Narrow" w:eastAsiaTheme="minorHAnsi" w:hAnsi="Arial Narrow" w:cstheme="minorBidi"/>
          <w:i/>
          <w:iCs/>
          <w:sz w:val="16"/>
          <w:szCs w:val="16"/>
          <w:lang w:eastAsia="en-US"/>
        </w:rPr>
        <w:t>.</w:t>
      </w:r>
      <w:r w:rsidR="005876BE">
        <w:rPr>
          <w:rFonts w:ascii="Arial Narrow" w:eastAsiaTheme="minorHAnsi" w:hAnsi="Arial Narrow" w:cstheme="minorBidi"/>
          <w:i/>
          <w:iCs/>
          <w:sz w:val="16"/>
          <w:szCs w:val="16"/>
          <w:lang w:eastAsia="en-US"/>
        </w:rPr>
        <w:t xml:space="preserve">: </w:t>
      </w:r>
      <w:r w:rsidR="00F674FB" w:rsidRPr="00C36AA2">
        <w:rPr>
          <w:rFonts w:ascii="Arial Narrow" w:eastAsiaTheme="minorHAnsi" w:hAnsi="Arial Narrow" w:cstheme="minorBidi"/>
          <w:i/>
          <w:iCs/>
          <w:sz w:val="16"/>
          <w:szCs w:val="16"/>
          <w:lang w:eastAsia="en-US"/>
        </w:rPr>
        <w:t xml:space="preserve">Krajiny s dlhom nad 60 % HDP museli dlh v pomere k HDP znižovať ročným </w:t>
      </w:r>
      <w:r w:rsidRPr="00C36AA2">
        <w:rPr>
          <w:rFonts w:ascii="Arial Narrow" w:eastAsiaTheme="minorHAnsi" w:hAnsi="Arial Narrow" w:cstheme="minorBidi"/>
          <w:i/>
          <w:iCs/>
          <w:sz w:val="16"/>
          <w:szCs w:val="16"/>
          <w:lang w:eastAsia="en-US"/>
        </w:rPr>
        <w:t>priemerným</w:t>
      </w:r>
      <w:r w:rsidR="00F674FB" w:rsidRPr="00C36AA2">
        <w:rPr>
          <w:rFonts w:ascii="Arial Narrow" w:eastAsiaTheme="minorHAnsi" w:hAnsi="Arial Narrow" w:cstheme="minorBidi"/>
          <w:i/>
          <w:iCs/>
          <w:sz w:val="16"/>
          <w:szCs w:val="16"/>
          <w:lang w:eastAsia="en-US"/>
        </w:rPr>
        <w:t xml:space="preserve"> tempom 1/20 rozdielu medzi ich dlhom a 60 %</w:t>
      </w:r>
      <w:r w:rsidR="00F6360F">
        <w:rPr>
          <w:rFonts w:ascii="Arial Narrow" w:eastAsiaTheme="minorHAnsi" w:hAnsi="Arial Narrow" w:cstheme="minorBidi"/>
          <w:i/>
          <w:iCs/>
          <w:sz w:val="16"/>
          <w:szCs w:val="16"/>
          <w:lang w:eastAsia="en-US"/>
        </w:rPr>
        <w:t xml:space="preserve"> </w:t>
      </w:r>
      <w:r w:rsidR="00F674FB" w:rsidRPr="00C36AA2">
        <w:rPr>
          <w:rFonts w:ascii="Arial Narrow" w:eastAsiaTheme="minorHAnsi" w:hAnsi="Arial Narrow" w:cstheme="minorBidi"/>
          <w:i/>
          <w:iCs/>
          <w:sz w:val="16"/>
          <w:szCs w:val="16"/>
          <w:lang w:eastAsia="en-US"/>
        </w:rPr>
        <w:t>HDP.</w:t>
      </w:r>
      <w:r w:rsidR="00F6360F">
        <w:rPr>
          <w:rFonts w:ascii="Arial Narrow" w:eastAsiaTheme="minorHAnsi" w:hAnsi="Arial Narrow" w:cstheme="minorBidi"/>
          <w:i/>
          <w:iCs/>
          <w:sz w:val="16"/>
          <w:szCs w:val="16"/>
          <w:lang w:eastAsia="en-US"/>
        </w:rPr>
        <w:tab/>
      </w:r>
      <w:r w:rsidR="00F6360F">
        <w:rPr>
          <w:rFonts w:ascii="Arial Narrow" w:eastAsiaTheme="minorHAnsi" w:hAnsi="Arial Narrow" w:cstheme="minorBidi"/>
          <w:i/>
          <w:iCs/>
          <w:sz w:val="16"/>
          <w:szCs w:val="16"/>
          <w:lang w:eastAsia="en-US"/>
        </w:rPr>
        <w:tab/>
      </w:r>
      <w:r w:rsidR="00F6360F">
        <w:rPr>
          <w:rFonts w:ascii="Arial Narrow" w:eastAsiaTheme="minorHAnsi" w:hAnsi="Arial Narrow" w:cstheme="minorBidi"/>
          <w:i/>
          <w:iCs/>
          <w:sz w:val="16"/>
          <w:szCs w:val="16"/>
          <w:lang w:eastAsia="en-US"/>
        </w:rPr>
        <w:tab/>
      </w:r>
      <w:r w:rsidR="00F6360F">
        <w:rPr>
          <w:rFonts w:ascii="Arial Narrow" w:eastAsiaTheme="minorHAnsi" w:hAnsi="Arial Narrow" w:cstheme="minorBidi"/>
          <w:i/>
          <w:iCs/>
          <w:sz w:val="16"/>
          <w:szCs w:val="16"/>
          <w:lang w:eastAsia="en-US"/>
        </w:rPr>
        <w:tab/>
      </w:r>
      <w:r w:rsidR="00F6360F">
        <w:rPr>
          <w:rFonts w:ascii="Arial Narrow" w:eastAsiaTheme="minorHAnsi" w:hAnsi="Arial Narrow" w:cstheme="minorBidi"/>
          <w:i/>
          <w:iCs/>
          <w:sz w:val="16"/>
          <w:szCs w:val="16"/>
          <w:lang w:eastAsia="en-US"/>
        </w:rPr>
        <w:tab/>
      </w:r>
      <w:r w:rsidR="00F6360F">
        <w:rPr>
          <w:rFonts w:ascii="Arial Narrow" w:eastAsiaTheme="minorHAnsi" w:hAnsi="Arial Narrow" w:cstheme="minorBidi"/>
          <w:i/>
          <w:iCs/>
          <w:sz w:val="16"/>
          <w:szCs w:val="16"/>
          <w:lang w:eastAsia="en-US"/>
        </w:rPr>
        <w:tab/>
      </w:r>
      <w:r w:rsidR="00F6360F">
        <w:rPr>
          <w:rFonts w:ascii="Arial Narrow" w:eastAsiaTheme="minorHAnsi" w:hAnsi="Arial Narrow" w:cstheme="minorBidi"/>
          <w:i/>
          <w:iCs/>
          <w:sz w:val="16"/>
          <w:szCs w:val="16"/>
          <w:lang w:eastAsia="en-US"/>
        </w:rPr>
        <w:tab/>
      </w:r>
      <w:r w:rsidR="00F6360F">
        <w:rPr>
          <w:rFonts w:ascii="Arial Narrow" w:eastAsiaTheme="minorHAnsi" w:hAnsi="Arial Narrow" w:cstheme="minorBidi"/>
          <w:i/>
          <w:iCs/>
          <w:sz w:val="16"/>
          <w:szCs w:val="16"/>
          <w:lang w:eastAsia="en-US"/>
        </w:rPr>
        <w:tab/>
      </w:r>
      <w:r w:rsidR="00F6360F">
        <w:rPr>
          <w:rFonts w:ascii="Arial Narrow" w:eastAsiaTheme="minorHAnsi" w:hAnsi="Arial Narrow" w:cstheme="minorBidi"/>
          <w:i/>
          <w:iCs/>
          <w:sz w:val="16"/>
          <w:szCs w:val="16"/>
          <w:lang w:eastAsia="en-US"/>
        </w:rPr>
        <w:tab/>
      </w:r>
      <w:r w:rsidR="00F6360F">
        <w:rPr>
          <w:rFonts w:ascii="Arial Narrow" w:eastAsiaTheme="minorHAnsi" w:hAnsi="Arial Narrow" w:cstheme="minorBidi"/>
          <w:i/>
          <w:iCs/>
          <w:sz w:val="16"/>
          <w:szCs w:val="16"/>
          <w:lang w:eastAsia="en-US"/>
        </w:rPr>
        <w:tab/>
      </w:r>
      <w:r w:rsidR="00F6360F">
        <w:rPr>
          <w:rFonts w:ascii="Arial Narrow" w:eastAsiaTheme="minorHAnsi" w:hAnsi="Arial Narrow" w:cstheme="minorBidi"/>
          <w:i/>
          <w:iCs/>
          <w:sz w:val="16"/>
          <w:szCs w:val="16"/>
          <w:lang w:eastAsia="en-US"/>
        </w:rPr>
        <w:tab/>
        <w:t xml:space="preserve">           </w:t>
      </w:r>
      <w:r w:rsidR="00CE73F5" w:rsidRPr="00C36AA2">
        <w:rPr>
          <w:rFonts w:ascii="Arial Narrow" w:eastAsiaTheme="minorHAnsi" w:hAnsi="Arial Narrow" w:cstheme="minorBidi"/>
          <w:i/>
          <w:iCs/>
          <w:sz w:val="16"/>
          <w:szCs w:val="16"/>
          <w:lang w:eastAsia="en-US"/>
        </w:rPr>
        <w:t xml:space="preserve"> </w:t>
      </w:r>
      <w:r w:rsidR="002A0289" w:rsidRPr="00C36AA2">
        <w:rPr>
          <w:rFonts w:ascii="Arial Narrow" w:eastAsiaTheme="minorHAnsi" w:hAnsi="Arial Narrow" w:cstheme="minorBidi"/>
          <w:i/>
          <w:iCs/>
          <w:sz w:val="16"/>
          <w:szCs w:val="16"/>
          <w:lang w:eastAsia="en-US"/>
        </w:rPr>
        <w:t>Zdroj: MF SR</w:t>
      </w:r>
    </w:p>
    <w:p w14:paraId="1A3A8E47" w14:textId="77777777" w:rsidR="002A0289" w:rsidRPr="001B5FDC" w:rsidRDefault="002A0289" w:rsidP="002A0289">
      <w:pPr>
        <w:widowControl w:val="0"/>
        <w:spacing w:before="40" w:after="40"/>
        <w:jc w:val="both"/>
        <w:rPr>
          <w:rFonts w:ascii="Arial Narrow" w:hAnsi="Arial Narrow" w:cs="Arial Narrow"/>
          <w:b/>
          <w:bCs/>
          <w:color w:val="2C9ADC"/>
          <w:sz w:val="4"/>
          <w:szCs w:val="4"/>
        </w:rPr>
      </w:pPr>
    </w:p>
    <w:p w14:paraId="5370E8B2" w14:textId="0E49918B" w:rsidR="002A0289" w:rsidRDefault="002A0289" w:rsidP="002A0289">
      <w:pPr>
        <w:spacing w:after="120" w:line="276" w:lineRule="auto"/>
        <w:jc w:val="both"/>
        <w:rPr>
          <w:rFonts w:ascii="Arial Narrow" w:hAnsi="Arial Narrow"/>
        </w:rPr>
      </w:pPr>
      <w:r w:rsidRPr="00EA4403">
        <w:rPr>
          <w:rFonts w:ascii="Arial Narrow" w:hAnsi="Arial Narrow"/>
          <w:b/>
          <w:bCs/>
        </w:rPr>
        <w:t xml:space="preserve">Nové fiškálne pravidlá majú za cieľ stabilizovať dlh </w:t>
      </w:r>
      <w:r w:rsidRPr="00672433">
        <w:rPr>
          <w:rFonts w:ascii="Arial Narrow" w:hAnsi="Arial Narrow"/>
          <w:b/>
          <w:bCs/>
        </w:rPr>
        <w:t>na úrovni</w:t>
      </w:r>
      <w:r w:rsidRPr="00EA4403">
        <w:rPr>
          <w:rFonts w:ascii="Arial Narrow" w:hAnsi="Arial Narrow"/>
          <w:b/>
          <w:bCs/>
        </w:rPr>
        <w:t xml:space="preserve"> 60 % a</w:t>
      </w:r>
      <w:r>
        <w:rPr>
          <w:rFonts w:ascii="Arial Narrow" w:hAnsi="Arial Narrow"/>
          <w:b/>
          <w:bCs/>
        </w:rPr>
        <w:t xml:space="preserve"> udržať </w:t>
      </w:r>
      <w:r w:rsidRPr="00EA4403">
        <w:rPr>
          <w:rFonts w:ascii="Arial Narrow" w:hAnsi="Arial Narrow"/>
          <w:b/>
          <w:bCs/>
        </w:rPr>
        <w:t>deficit po</w:t>
      </w:r>
      <w:r w:rsidRPr="00672433">
        <w:rPr>
          <w:rFonts w:ascii="Arial Narrow" w:hAnsi="Arial Narrow"/>
          <w:b/>
          <w:bCs/>
        </w:rPr>
        <w:t>d</w:t>
      </w:r>
      <w:r w:rsidRPr="00EA4403">
        <w:rPr>
          <w:rFonts w:ascii="Arial Narrow" w:hAnsi="Arial Narrow"/>
          <w:b/>
          <w:bCs/>
        </w:rPr>
        <w:t xml:space="preserve"> 3 % HDP</w:t>
      </w:r>
      <w:r w:rsidRPr="001B5FDC">
        <w:rPr>
          <w:rStyle w:val="Odkaznapoznmkupodiarou"/>
          <w:rFonts w:ascii="Arial Narrow" w:hAnsi="Arial Narrow"/>
          <w:b/>
          <w:bCs/>
        </w:rPr>
        <w:footnoteReference w:id="5"/>
      </w:r>
      <w:r w:rsidRPr="00EA4403">
        <w:rPr>
          <w:rFonts w:ascii="Arial Narrow" w:hAnsi="Arial Narrow"/>
          <w:b/>
          <w:bCs/>
        </w:rPr>
        <w:t xml:space="preserve"> </w:t>
      </w:r>
      <w:r w:rsidR="008538A0">
        <w:rPr>
          <w:rFonts w:ascii="Arial Narrow" w:hAnsi="Arial Narrow"/>
          <w:b/>
          <w:bCs/>
        </w:rPr>
        <w:t>(t</w:t>
      </w:r>
      <w:r w:rsidR="00345193">
        <w:rPr>
          <w:rFonts w:ascii="Arial Narrow" w:hAnsi="Arial Narrow"/>
          <w:b/>
          <w:bCs/>
        </w:rPr>
        <w:t>.</w:t>
      </w:r>
      <w:r w:rsidR="009C56F1">
        <w:rPr>
          <w:rFonts w:ascii="Arial Narrow" w:hAnsi="Arial Narrow"/>
          <w:b/>
          <w:bCs/>
        </w:rPr>
        <w:t xml:space="preserve"> </w:t>
      </w:r>
      <w:r w:rsidR="008538A0">
        <w:rPr>
          <w:rFonts w:ascii="Arial Narrow" w:hAnsi="Arial Narrow"/>
          <w:b/>
          <w:bCs/>
        </w:rPr>
        <w:t xml:space="preserve">j. referenčné hranice) </w:t>
      </w:r>
      <w:r w:rsidRPr="00EA4403">
        <w:rPr>
          <w:rFonts w:ascii="Arial Narrow" w:hAnsi="Arial Narrow"/>
          <w:b/>
          <w:bCs/>
        </w:rPr>
        <w:t xml:space="preserve">aj na horizonte </w:t>
      </w:r>
      <w:r w:rsidR="00452FA1">
        <w:rPr>
          <w:rFonts w:ascii="Arial Narrow" w:hAnsi="Arial Narrow"/>
          <w:b/>
          <w:bCs/>
        </w:rPr>
        <w:t>desiatich rokov po skončení strednodobého plánu.</w:t>
      </w:r>
      <w:r w:rsidRPr="00672433">
        <w:rPr>
          <w:rFonts w:ascii="Arial Narrow" w:hAnsi="Arial Narrow"/>
        </w:rPr>
        <w:t xml:space="preserve"> </w:t>
      </w:r>
      <w:r>
        <w:rPr>
          <w:rFonts w:ascii="Arial Narrow" w:hAnsi="Arial Narrow"/>
        </w:rPr>
        <w:t xml:space="preserve">Cieľom zmeny v pravidlách je dlhová udržateľnosť v zmysle </w:t>
      </w:r>
      <w:r w:rsidRPr="00672433">
        <w:rPr>
          <w:rFonts w:ascii="Arial Narrow" w:hAnsi="Arial Narrow"/>
        </w:rPr>
        <w:t>zabezpečeni</w:t>
      </w:r>
      <w:r>
        <w:rPr>
          <w:rFonts w:ascii="Arial Narrow" w:hAnsi="Arial Narrow"/>
        </w:rPr>
        <w:t>a</w:t>
      </w:r>
      <w:r w:rsidRPr="00672433">
        <w:rPr>
          <w:rFonts w:ascii="Arial Narrow" w:hAnsi="Arial Narrow"/>
        </w:rPr>
        <w:t xml:space="preserve"> klesajúceho dlhu</w:t>
      </w:r>
      <w:r>
        <w:rPr>
          <w:rFonts w:ascii="Arial Narrow" w:hAnsi="Arial Narrow"/>
        </w:rPr>
        <w:t xml:space="preserve"> smerom k 60 % HDP</w:t>
      </w:r>
      <w:r w:rsidRPr="00672433">
        <w:rPr>
          <w:rFonts w:ascii="Arial Narrow" w:hAnsi="Arial Narrow"/>
        </w:rPr>
        <w:t xml:space="preserve">, resp. jeho </w:t>
      </w:r>
      <w:r>
        <w:rPr>
          <w:rFonts w:ascii="Arial Narrow" w:hAnsi="Arial Narrow"/>
        </w:rPr>
        <w:t xml:space="preserve">dlhodobej </w:t>
      </w:r>
      <w:r w:rsidRPr="00672433">
        <w:rPr>
          <w:rFonts w:ascii="Arial Narrow" w:hAnsi="Arial Narrow"/>
        </w:rPr>
        <w:t>stabilizáci</w:t>
      </w:r>
      <w:r>
        <w:rPr>
          <w:rFonts w:ascii="Arial Narrow" w:hAnsi="Arial Narrow"/>
        </w:rPr>
        <w:t>e</w:t>
      </w:r>
      <w:r w:rsidRPr="00672433">
        <w:rPr>
          <w:rFonts w:ascii="Arial Narrow" w:hAnsi="Arial Narrow"/>
        </w:rPr>
        <w:t xml:space="preserve"> </w:t>
      </w:r>
      <w:r>
        <w:rPr>
          <w:rFonts w:ascii="Arial Narrow" w:hAnsi="Arial Narrow"/>
        </w:rPr>
        <w:t>pod touto hranicou</w:t>
      </w:r>
      <w:r w:rsidRPr="00672433">
        <w:rPr>
          <w:rFonts w:ascii="Arial Narrow" w:hAnsi="Arial Narrow"/>
        </w:rPr>
        <w:t xml:space="preserve">. </w:t>
      </w:r>
      <w:r>
        <w:rPr>
          <w:rFonts w:ascii="Arial Narrow" w:hAnsi="Arial Narrow"/>
        </w:rPr>
        <w:t>Nové p</w:t>
      </w:r>
      <w:r w:rsidRPr="00672433">
        <w:rPr>
          <w:rFonts w:ascii="Arial Narrow" w:hAnsi="Arial Narrow"/>
        </w:rPr>
        <w:t xml:space="preserve">ravidlá </w:t>
      </w:r>
      <w:r>
        <w:rPr>
          <w:rFonts w:ascii="Arial Narrow" w:hAnsi="Arial Narrow"/>
        </w:rPr>
        <w:t xml:space="preserve">však navyše vyžadujú zníženie deficitu a jeho </w:t>
      </w:r>
      <w:r w:rsidRPr="00672433">
        <w:rPr>
          <w:rFonts w:ascii="Arial Narrow" w:hAnsi="Arial Narrow"/>
        </w:rPr>
        <w:t>udržanie</w:t>
      </w:r>
      <w:r>
        <w:rPr>
          <w:rFonts w:ascii="Arial Narrow" w:hAnsi="Arial Narrow"/>
        </w:rPr>
        <w:t xml:space="preserve"> pod 3 % HDP aj v dlhodobom horizonte</w:t>
      </w:r>
      <w:r w:rsidRPr="00672433">
        <w:rPr>
          <w:rFonts w:ascii="Arial Narrow" w:hAnsi="Arial Narrow"/>
        </w:rPr>
        <w:t xml:space="preserve">. </w:t>
      </w:r>
      <w:r>
        <w:rPr>
          <w:rFonts w:ascii="Arial Narrow" w:hAnsi="Arial Narrow"/>
        </w:rPr>
        <w:t>R</w:t>
      </w:r>
      <w:r w:rsidRPr="00672433">
        <w:rPr>
          <w:rFonts w:ascii="Arial Narrow" w:hAnsi="Arial Narrow"/>
        </w:rPr>
        <w:t xml:space="preserve">eferenčné hranice </w:t>
      </w:r>
      <w:r>
        <w:rPr>
          <w:rFonts w:ascii="Arial Narrow" w:hAnsi="Arial Narrow"/>
        </w:rPr>
        <w:t xml:space="preserve">deficitu a dlhu </w:t>
      </w:r>
      <w:r w:rsidRPr="00672433">
        <w:rPr>
          <w:rFonts w:ascii="Arial Narrow" w:hAnsi="Arial Narrow"/>
        </w:rPr>
        <w:t xml:space="preserve">majú byť </w:t>
      </w:r>
      <w:r>
        <w:rPr>
          <w:rFonts w:ascii="Arial Narrow" w:hAnsi="Arial Narrow"/>
        </w:rPr>
        <w:t>dodržané</w:t>
      </w:r>
      <w:r w:rsidRPr="00672433">
        <w:rPr>
          <w:rFonts w:ascii="Arial Narrow" w:hAnsi="Arial Narrow"/>
        </w:rPr>
        <w:t xml:space="preserve"> </w:t>
      </w:r>
      <w:r>
        <w:rPr>
          <w:rFonts w:ascii="Arial Narrow" w:hAnsi="Arial Narrow"/>
        </w:rPr>
        <w:t xml:space="preserve">bez potreby ďalšej konsolidácie </w:t>
      </w:r>
      <w:r w:rsidRPr="00672433">
        <w:rPr>
          <w:rFonts w:ascii="Arial Narrow" w:hAnsi="Arial Narrow"/>
        </w:rPr>
        <w:t xml:space="preserve">aj </w:t>
      </w:r>
      <w:r>
        <w:rPr>
          <w:rFonts w:ascii="Arial Narrow" w:hAnsi="Arial Narrow"/>
        </w:rPr>
        <w:t>počas</w:t>
      </w:r>
      <w:r w:rsidRPr="00672433">
        <w:rPr>
          <w:rFonts w:ascii="Arial Narrow" w:hAnsi="Arial Narrow"/>
        </w:rPr>
        <w:t xml:space="preserve"> desiatich rokov po skončení </w:t>
      </w:r>
      <w:r w:rsidR="00F514FE">
        <w:rPr>
          <w:rFonts w:ascii="Arial Narrow" w:hAnsi="Arial Narrow"/>
        </w:rPr>
        <w:t>horizontu</w:t>
      </w:r>
      <w:r w:rsidR="00F514FE" w:rsidRPr="00672433">
        <w:rPr>
          <w:rFonts w:ascii="Arial Narrow" w:hAnsi="Arial Narrow"/>
        </w:rPr>
        <w:t xml:space="preserve"> </w:t>
      </w:r>
      <w:r w:rsidRPr="00672433">
        <w:rPr>
          <w:rFonts w:ascii="Arial Narrow" w:hAnsi="Arial Narrow"/>
        </w:rPr>
        <w:t>strednodobého plánu</w:t>
      </w:r>
      <w:r>
        <w:rPr>
          <w:rStyle w:val="Odkaznapoznmkupodiarou"/>
          <w:rFonts w:ascii="Arial Narrow" w:hAnsi="Arial Narrow"/>
        </w:rPr>
        <w:footnoteReference w:id="6"/>
      </w:r>
      <w:r w:rsidRPr="00672433">
        <w:rPr>
          <w:rFonts w:ascii="Arial Narrow" w:hAnsi="Arial Narrow"/>
        </w:rPr>
        <w:t xml:space="preserve">. </w:t>
      </w:r>
      <w:r>
        <w:rPr>
          <w:rFonts w:ascii="Arial Narrow" w:hAnsi="Arial Narrow"/>
        </w:rPr>
        <w:t xml:space="preserve">Tento aspekt </w:t>
      </w:r>
      <w:r w:rsidR="00F514FE">
        <w:rPr>
          <w:rFonts w:ascii="Arial Narrow" w:hAnsi="Arial Narrow"/>
        </w:rPr>
        <w:t xml:space="preserve">nových pravidiel </w:t>
      </w:r>
      <w:r>
        <w:rPr>
          <w:rFonts w:ascii="Arial Narrow" w:hAnsi="Arial Narrow"/>
        </w:rPr>
        <w:t xml:space="preserve">si preto do konca </w:t>
      </w:r>
      <w:r w:rsidR="008538A0">
        <w:rPr>
          <w:rFonts w:ascii="Arial Narrow" w:hAnsi="Arial Narrow"/>
        </w:rPr>
        <w:t xml:space="preserve">horizontu </w:t>
      </w:r>
      <w:r>
        <w:rPr>
          <w:rFonts w:ascii="Arial Narrow" w:hAnsi="Arial Narrow"/>
        </w:rPr>
        <w:t>strednodobého plánu vyžaduje zrealizovať väčšiu konsolidáciu pre krajiny</w:t>
      </w:r>
      <w:r w:rsidR="00B600F9">
        <w:rPr>
          <w:rFonts w:ascii="Arial Narrow" w:hAnsi="Arial Narrow"/>
        </w:rPr>
        <w:t>,</w:t>
      </w:r>
      <w:r>
        <w:rPr>
          <w:rFonts w:ascii="Arial Narrow" w:hAnsi="Arial Narrow"/>
        </w:rPr>
        <w:t xml:space="preserve"> ktoré budú</w:t>
      </w:r>
      <w:r w:rsidR="00B600F9">
        <w:rPr>
          <w:rFonts w:ascii="Arial Narrow" w:hAnsi="Arial Narrow"/>
        </w:rPr>
        <w:t xml:space="preserve"> </w:t>
      </w:r>
      <w:r>
        <w:rPr>
          <w:rFonts w:ascii="Arial Narrow" w:hAnsi="Arial Narrow"/>
        </w:rPr>
        <w:t xml:space="preserve">čeliť rastúcim rozpočtovým nákladom súvisiacim so </w:t>
      </w:r>
      <w:r w:rsidRPr="001B5FDC">
        <w:rPr>
          <w:rFonts w:ascii="Arial Narrow" w:eastAsia="Times New Roman" w:hAnsi="Arial Narrow"/>
        </w:rPr>
        <w:t>starnutím</w:t>
      </w:r>
      <w:r>
        <w:rPr>
          <w:rFonts w:ascii="Arial Narrow" w:hAnsi="Arial Narrow"/>
        </w:rPr>
        <w:t xml:space="preserve"> populácie</w:t>
      </w:r>
      <w:r w:rsidR="00B600F9">
        <w:rPr>
          <w:rFonts w:ascii="Arial Narrow" w:hAnsi="Arial Narrow"/>
        </w:rPr>
        <w:t xml:space="preserve"> v budúcnosti, kam sa radí aj Slovensko</w:t>
      </w:r>
      <w:r>
        <w:rPr>
          <w:rFonts w:ascii="Arial Narrow" w:hAnsi="Arial Narrow"/>
        </w:rPr>
        <w:t xml:space="preserve">. </w:t>
      </w:r>
    </w:p>
    <w:p w14:paraId="2D9BE9A1" w14:textId="6B7EA307" w:rsidR="002A0289" w:rsidRDefault="002A0289" w:rsidP="002A0289">
      <w:pPr>
        <w:spacing w:after="120" w:line="276" w:lineRule="auto"/>
        <w:jc w:val="both"/>
        <w:rPr>
          <w:rFonts w:ascii="Arial Narrow" w:hAnsi="Arial Narrow"/>
        </w:rPr>
      </w:pPr>
      <w:r>
        <w:rPr>
          <w:rFonts w:ascii="Arial Narrow" w:hAnsi="Arial Narrow"/>
          <w:b/>
          <w:bCs/>
        </w:rPr>
        <w:t>Reforma pravidiel</w:t>
      </w:r>
      <w:r w:rsidRPr="00EA4403">
        <w:rPr>
          <w:rFonts w:ascii="Arial Narrow" w:hAnsi="Arial Narrow"/>
          <w:b/>
          <w:bCs/>
        </w:rPr>
        <w:t xml:space="preserve"> </w:t>
      </w:r>
      <w:r>
        <w:rPr>
          <w:rFonts w:ascii="Arial Narrow" w:hAnsi="Arial Narrow"/>
          <w:b/>
          <w:bCs/>
        </w:rPr>
        <w:t xml:space="preserve">oproti minulosti </w:t>
      </w:r>
      <w:r w:rsidRPr="00EA4403">
        <w:rPr>
          <w:rFonts w:ascii="Arial Narrow" w:hAnsi="Arial Narrow"/>
          <w:b/>
          <w:bCs/>
        </w:rPr>
        <w:t>dáv</w:t>
      </w:r>
      <w:r>
        <w:rPr>
          <w:rFonts w:ascii="Arial Narrow" w:hAnsi="Arial Narrow"/>
          <w:b/>
          <w:bCs/>
        </w:rPr>
        <w:t>a väčší</w:t>
      </w:r>
      <w:r w:rsidRPr="00EA4403">
        <w:rPr>
          <w:rFonts w:ascii="Arial Narrow" w:hAnsi="Arial Narrow"/>
          <w:b/>
          <w:bCs/>
        </w:rPr>
        <w:t xml:space="preserve"> dôraz </w:t>
      </w:r>
      <w:r>
        <w:rPr>
          <w:rFonts w:ascii="Arial Narrow" w:hAnsi="Arial Narrow"/>
          <w:b/>
          <w:bCs/>
        </w:rPr>
        <w:t xml:space="preserve">na </w:t>
      </w:r>
      <w:r w:rsidRPr="00EA4403">
        <w:rPr>
          <w:rFonts w:ascii="Arial Narrow" w:hAnsi="Arial Narrow"/>
          <w:b/>
          <w:bCs/>
        </w:rPr>
        <w:t>podporu reforiem a investícií</w:t>
      </w:r>
      <w:r w:rsidRPr="00672433">
        <w:rPr>
          <w:rFonts w:ascii="Arial Narrow" w:hAnsi="Arial Narrow"/>
        </w:rPr>
        <w:t>. Reformn</w:t>
      </w:r>
      <w:r w:rsidR="00B600F9">
        <w:rPr>
          <w:rFonts w:ascii="Arial Narrow" w:hAnsi="Arial Narrow"/>
        </w:rPr>
        <w:t>é</w:t>
      </w:r>
      <w:r w:rsidRPr="00672433">
        <w:rPr>
          <w:rFonts w:ascii="Arial Narrow" w:hAnsi="Arial Narrow"/>
        </w:rPr>
        <w:t xml:space="preserve"> úsilie je </w:t>
      </w:r>
      <w:r>
        <w:rPr>
          <w:rFonts w:ascii="Arial Narrow" w:hAnsi="Arial Narrow"/>
        </w:rPr>
        <w:t>v</w:t>
      </w:r>
      <w:r w:rsidR="00B600F9">
        <w:rPr>
          <w:rFonts w:ascii="Arial Narrow" w:hAnsi="Arial Narrow"/>
        </w:rPr>
        <w:t> </w:t>
      </w:r>
      <w:r>
        <w:rPr>
          <w:rFonts w:ascii="Arial Narrow" w:hAnsi="Arial Narrow"/>
        </w:rPr>
        <w:t xml:space="preserve">novom rámci pravidiel </w:t>
      </w:r>
      <w:r w:rsidRPr="00672433">
        <w:rPr>
          <w:rFonts w:ascii="Arial Narrow" w:hAnsi="Arial Narrow"/>
        </w:rPr>
        <w:t xml:space="preserve">podporované najmä </w:t>
      </w:r>
      <w:r>
        <w:rPr>
          <w:rFonts w:ascii="Arial Narrow" w:hAnsi="Arial Narrow"/>
        </w:rPr>
        <w:t xml:space="preserve">tým, že </w:t>
      </w:r>
      <w:r w:rsidRPr="00672433">
        <w:rPr>
          <w:rFonts w:ascii="Arial Narrow" w:hAnsi="Arial Narrow"/>
        </w:rPr>
        <w:t>kraj</w:t>
      </w:r>
      <w:r>
        <w:rPr>
          <w:rFonts w:ascii="Arial Narrow" w:hAnsi="Arial Narrow"/>
        </w:rPr>
        <w:t xml:space="preserve">iny si môžu mierne </w:t>
      </w:r>
      <w:r w:rsidRPr="00672433">
        <w:rPr>
          <w:rFonts w:ascii="Arial Narrow" w:hAnsi="Arial Narrow"/>
        </w:rPr>
        <w:t>predĺžiť obdobie</w:t>
      </w:r>
      <w:r>
        <w:rPr>
          <w:rFonts w:ascii="Arial Narrow" w:hAnsi="Arial Narrow"/>
        </w:rPr>
        <w:t>,</w:t>
      </w:r>
      <w:r w:rsidRPr="00672433">
        <w:rPr>
          <w:rFonts w:ascii="Arial Narrow" w:hAnsi="Arial Narrow"/>
        </w:rPr>
        <w:t xml:space="preserve"> za ktoré </w:t>
      </w:r>
      <w:r>
        <w:rPr>
          <w:rFonts w:ascii="Arial Narrow" w:hAnsi="Arial Narrow"/>
        </w:rPr>
        <w:t>musia</w:t>
      </w:r>
      <w:r w:rsidRPr="00672433">
        <w:rPr>
          <w:rFonts w:ascii="Arial Narrow" w:hAnsi="Arial Narrow"/>
        </w:rPr>
        <w:t xml:space="preserve"> dosiahnuť ozdravenie </w:t>
      </w:r>
      <w:r>
        <w:rPr>
          <w:rFonts w:ascii="Arial Narrow" w:hAnsi="Arial Narrow"/>
        </w:rPr>
        <w:t>verejných</w:t>
      </w:r>
      <w:r w:rsidRPr="00672433">
        <w:rPr>
          <w:rFonts w:ascii="Arial Narrow" w:hAnsi="Arial Narrow"/>
        </w:rPr>
        <w:t xml:space="preserve"> financií</w:t>
      </w:r>
      <w:r>
        <w:rPr>
          <w:rFonts w:ascii="Arial Narrow" w:hAnsi="Arial Narrow"/>
        </w:rPr>
        <w:t xml:space="preserve"> (zo 4 až na 7 rokov)</w:t>
      </w:r>
      <w:r w:rsidRPr="00672433">
        <w:rPr>
          <w:rFonts w:ascii="Arial Narrow" w:hAnsi="Arial Narrow"/>
        </w:rPr>
        <w:t>. V</w:t>
      </w:r>
      <w:r w:rsidR="00B600F9">
        <w:rPr>
          <w:rFonts w:ascii="Arial Narrow" w:hAnsi="Arial Narrow"/>
        </w:rPr>
        <w:t> </w:t>
      </w:r>
      <w:r w:rsidRPr="00672433">
        <w:rPr>
          <w:rFonts w:ascii="Arial Narrow" w:hAnsi="Arial Narrow"/>
        </w:rPr>
        <w:t xml:space="preserve">takom prípade sa </w:t>
      </w:r>
      <w:r>
        <w:rPr>
          <w:rFonts w:ascii="Arial Narrow" w:hAnsi="Arial Narrow"/>
        </w:rPr>
        <w:t xml:space="preserve">však </w:t>
      </w:r>
      <w:r w:rsidRPr="00672433">
        <w:rPr>
          <w:rFonts w:ascii="Arial Narrow" w:hAnsi="Arial Narrow"/>
        </w:rPr>
        <w:t xml:space="preserve">musia </w:t>
      </w:r>
      <w:r w:rsidR="00B600F9">
        <w:rPr>
          <w:rFonts w:ascii="Arial Narrow" w:hAnsi="Arial Narrow"/>
        </w:rPr>
        <w:t xml:space="preserve">vo svojich strednodobých plánoch </w:t>
      </w:r>
      <w:r w:rsidRPr="00672433">
        <w:rPr>
          <w:rFonts w:ascii="Arial Narrow" w:hAnsi="Arial Narrow"/>
        </w:rPr>
        <w:t>zaviazať k</w:t>
      </w:r>
      <w:r>
        <w:rPr>
          <w:rFonts w:ascii="Arial Narrow" w:hAnsi="Arial Narrow"/>
        </w:rPr>
        <w:t xml:space="preserve"> dodatočným </w:t>
      </w:r>
      <w:r w:rsidRPr="00672433">
        <w:rPr>
          <w:rFonts w:ascii="Arial Narrow" w:hAnsi="Arial Narrow"/>
        </w:rPr>
        <w:t>refor</w:t>
      </w:r>
      <w:r>
        <w:rPr>
          <w:rFonts w:ascii="Arial Narrow" w:hAnsi="Arial Narrow"/>
        </w:rPr>
        <w:t>mám a investíciám zameraným na podporu rastu ekonomiky a udržateľnosť verejných financií</w:t>
      </w:r>
      <w:r>
        <w:rPr>
          <w:rStyle w:val="Odkaznapoznmkupodiarou"/>
          <w:rFonts w:ascii="Arial Narrow" w:hAnsi="Arial Narrow"/>
        </w:rPr>
        <w:footnoteReference w:id="7"/>
      </w:r>
      <w:r w:rsidRPr="00672433">
        <w:rPr>
          <w:rFonts w:ascii="Arial Narrow" w:hAnsi="Arial Narrow"/>
        </w:rPr>
        <w:t xml:space="preserve">. </w:t>
      </w:r>
      <w:r>
        <w:rPr>
          <w:rFonts w:ascii="Arial Narrow" w:hAnsi="Arial Narrow"/>
        </w:rPr>
        <w:t>Ďalšou nutnou podmienkou pri možnosti rozloženia konsolidácie na dlhšie obdobie je udržanie národných investícií.</w:t>
      </w:r>
      <w:r w:rsidRPr="00672433">
        <w:rPr>
          <w:rFonts w:ascii="Arial Narrow" w:hAnsi="Arial Narrow"/>
        </w:rPr>
        <w:t xml:space="preserve"> </w:t>
      </w:r>
      <w:r>
        <w:rPr>
          <w:rFonts w:ascii="Arial Narrow" w:hAnsi="Arial Narrow"/>
        </w:rPr>
        <w:t xml:space="preserve">Na </w:t>
      </w:r>
      <w:r w:rsidRPr="00672433">
        <w:rPr>
          <w:rFonts w:ascii="Arial Narrow" w:hAnsi="Arial Narrow"/>
        </w:rPr>
        <w:t xml:space="preserve">horizonte strednodobého plánu nesmie byť </w:t>
      </w:r>
      <w:r>
        <w:rPr>
          <w:rFonts w:ascii="Arial Narrow" w:hAnsi="Arial Narrow"/>
        </w:rPr>
        <w:t xml:space="preserve">ich úroveň v pomere k HDP </w:t>
      </w:r>
      <w:r w:rsidRPr="00672433">
        <w:rPr>
          <w:rFonts w:ascii="Arial Narrow" w:hAnsi="Arial Narrow"/>
        </w:rPr>
        <w:t>nižš</w:t>
      </w:r>
      <w:r>
        <w:rPr>
          <w:rFonts w:ascii="Arial Narrow" w:hAnsi="Arial Narrow"/>
        </w:rPr>
        <w:t>ia</w:t>
      </w:r>
      <w:r w:rsidRPr="00672433">
        <w:rPr>
          <w:rFonts w:ascii="Arial Narrow" w:hAnsi="Arial Narrow"/>
        </w:rPr>
        <w:t xml:space="preserve"> ako priemer od roku 202</w:t>
      </w:r>
      <w:r>
        <w:rPr>
          <w:rFonts w:ascii="Arial Narrow" w:hAnsi="Arial Narrow"/>
        </w:rPr>
        <w:t>1</w:t>
      </w:r>
      <w:r w:rsidRPr="00672433">
        <w:rPr>
          <w:rFonts w:ascii="Arial Narrow" w:hAnsi="Arial Narrow"/>
        </w:rPr>
        <w:t>.</w:t>
      </w:r>
    </w:p>
    <w:p w14:paraId="515E8DB8" w14:textId="26519607" w:rsidR="002A0289" w:rsidRPr="00672433" w:rsidRDefault="002A0289" w:rsidP="002A0289">
      <w:pPr>
        <w:spacing w:after="120" w:line="276" w:lineRule="auto"/>
        <w:jc w:val="both"/>
        <w:rPr>
          <w:rFonts w:ascii="Arial Narrow" w:hAnsi="Arial Narrow"/>
        </w:rPr>
      </w:pPr>
      <w:r>
        <w:rPr>
          <w:rFonts w:ascii="Arial Narrow" w:hAnsi="Arial Narrow"/>
          <w:b/>
          <w:bCs/>
        </w:rPr>
        <w:t>S cieľom zjednodušiť pravidlá a posilniť ich proti-cyklickosť sa zavádza jediný záväzný operatívny n</w:t>
      </w:r>
      <w:r w:rsidRPr="00EA4403">
        <w:rPr>
          <w:rFonts w:ascii="Arial Narrow" w:hAnsi="Arial Narrow"/>
          <w:b/>
          <w:bCs/>
        </w:rPr>
        <w:t>ástro</w:t>
      </w:r>
      <w:r>
        <w:rPr>
          <w:rFonts w:ascii="Arial Narrow" w:hAnsi="Arial Narrow"/>
          <w:b/>
          <w:bCs/>
        </w:rPr>
        <w:t xml:space="preserve">j – maximálny </w:t>
      </w:r>
      <w:r w:rsidRPr="00EA4403">
        <w:rPr>
          <w:rFonts w:ascii="Arial Narrow" w:hAnsi="Arial Narrow"/>
          <w:b/>
          <w:bCs/>
        </w:rPr>
        <w:t xml:space="preserve">rast čistých </w:t>
      </w:r>
      <w:r w:rsidRPr="008926D3">
        <w:rPr>
          <w:rFonts w:ascii="Arial Narrow" w:hAnsi="Arial Narrow"/>
          <w:b/>
          <w:bCs/>
        </w:rPr>
        <w:t>výdavkov</w:t>
      </w:r>
      <w:r w:rsidRPr="001B5FDC">
        <w:rPr>
          <w:rStyle w:val="Odkaznapoznmkupodiarou"/>
          <w:rFonts w:ascii="Arial Narrow" w:hAnsi="Arial Narrow"/>
          <w:b/>
          <w:bCs/>
        </w:rPr>
        <w:footnoteReference w:id="8"/>
      </w:r>
      <w:r w:rsidRPr="008926D3">
        <w:rPr>
          <w:rFonts w:ascii="Arial Narrow" w:hAnsi="Arial Narrow"/>
          <w:b/>
          <w:bCs/>
        </w:rPr>
        <w:t>.</w:t>
      </w:r>
      <w:r>
        <w:rPr>
          <w:rFonts w:ascii="Arial Narrow" w:hAnsi="Arial Narrow"/>
          <w:b/>
          <w:bCs/>
        </w:rPr>
        <w:t xml:space="preserve"> </w:t>
      </w:r>
      <w:r w:rsidRPr="00672433">
        <w:rPr>
          <w:rFonts w:ascii="Arial Narrow" w:hAnsi="Arial Narrow"/>
        </w:rPr>
        <w:t xml:space="preserve">Dosiahnutie požadovaných úrovní dlhu a deficitu </w:t>
      </w:r>
      <w:r>
        <w:rPr>
          <w:rFonts w:ascii="Arial Narrow" w:hAnsi="Arial Narrow"/>
        </w:rPr>
        <w:t>v</w:t>
      </w:r>
      <w:r w:rsidRPr="00672433">
        <w:rPr>
          <w:rFonts w:ascii="Arial Narrow" w:hAnsi="Arial Narrow"/>
        </w:rPr>
        <w:t xml:space="preserve"> nových pravid</w:t>
      </w:r>
      <w:r>
        <w:rPr>
          <w:rFonts w:ascii="Arial Narrow" w:hAnsi="Arial Narrow"/>
        </w:rPr>
        <w:t>lách</w:t>
      </w:r>
      <w:r w:rsidRPr="00672433">
        <w:rPr>
          <w:rFonts w:ascii="Arial Narrow" w:hAnsi="Arial Narrow"/>
        </w:rPr>
        <w:t xml:space="preserve"> </w:t>
      </w:r>
      <w:r>
        <w:rPr>
          <w:rFonts w:ascii="Arial Narrow" w:hAnsi="Arial Narrow"/>
        </w:rPr>
        <w:t xml:space="preserve">sa </w:t>
      </w:r>
      <w:r>
        <w:rPr>
          <w:rFonts w:ascii="Arial Narrow" w:hAnsi="Arial Narrow"/>
        </w:rPr>
        <w:lastRenderedPageBreak/>
        <w:t>má zabezpečovať</w:t>
      </w:r>
      <w:r w:rsidRPr="00672433">
        <w:rPr>
          <w:rFonts w:ascii="Arial Narrow" w:hAnsi="Arial Narrow"/>
        </w:rPr>
        <w:t xml:space="preserve"> cez </w:t>
      </w:r>
      <w:r>
        <w:rPr>
          <w:rFonts w:ascii="Arial Narrow" w:hAnsi="Arial Narrow"/>
        </w:rPr>
        <w:t xml:space="preserve">vopred plánovanú a nemennú </w:t>
      </w:r>
      <w:r w:rsidRPr="00672433">
        <w:rPr>
          <w:rFonts w:ascii="Arial Narrow" w:hAnsi="Arial Narrow"/>
        </w:rPr>
        <w:t>trajektóriu rastu čistých výdavkov</w:t>
      </w:r>
      <w:r>
        <w:rPr>
          <w:rStyle w:val="Odkaznapoznmkupodiarou"/>
          <w:rFonts w:ascii="Arial Narrow" w:hAnsi="Arial Narrow"/>
        </w:rPr>
        <w:footnoteReference w:id="9"/>
      </w:r>
      <w:r w:rsidRPr="00672433">
        <w:rPr>
          <w:rFonts w:ascii="Arial Narrow" w:hAnsi="Arial Narrow"/>
        </w:rPr>
        <w:t>.</w:t>
      </w:r>
      <w:r>
        <w:rPr>
          <w:rFonts w:ascii="Arial Narrow" w:hAnsi="Arial Narrow"/>
        </w:rPr>
        <w:t xml:space="preserve"> </w:t>
      </w:r>
      <w:r w:rsidR="00B600F9">
        <w:rPr>
          <w:rFonts w:ascii="Arial Narrow" w:hAnsi="Arial Narrow"/>
        </w:rPr>
        <w:t>V</w:t>
      </w:r>
      <w:r>
        <w:rPr>
          <w:rFonts w:ascii="Arial Narrow" w:hAnsi="Arial Narrow"/>
        </w:rPr>
        <w:t xml:space="preserve">ýdavkové </w:t>
      </w:r>
      <w:r w:rsidRPr="00672433">
        <w:rPr>
          <w:rFonts w:ascii="Arial Narrow" w:hAnsi="Arial Narrow"/>
        </w:rPr>
        <w:t xml:space="preserve">pravidlo </w:t>
      </w:r>
      <w:r>
        <w:rPr>
          <w:rFonts w:ascii="Arial Narrow" w:hAnsi="Arial Narrow"/>
        </w:rPr>
        <w:t>nahradzuje</w:t>
      </w:r>
      <w:r w:rsidRPr="00672433">
        <w:rPr>
          <w:rFonts w:ascii="Arial Narrow" w:hAnsi="Arial Narrow"/>
        </w:rPr>
        <w:t xml:space="preserve"> systém viacerých indikátorov </w:t>
      </w:r>
      <w:r>
        <w:rPr>
          <w:rFonts w:ascii="Arial Narrow" w:hAnsi="Arial Narrow"/>
        </w:rPr>
        <w:t>z minulosti a bude tiež jediným sledovaným a</w:t>
      </w:r>
      <w:r w:rsidR="00B600F9">
        <w:rPr>
          <w:rFonts w:ascii="Arial Narrow" w:hAnsi="Arial Narrow"/>
        </w:rPr>
        <w:t> </w:t>
      </w:r>
      <w:r w:rsidR="00F53C49">
        <w:rPr>
          <w:rFonts w:ascii="Arial Narrow" w:hAnsi="Arial Narrow"/>
        </w:rPr>
        <w:t>vynucovaným</w:t>
      </w:r>
      <w:r>
        <w:rPr>
          <w:rFonts w:ascii="Arial Narrow" w:hAnsi="Arial Narrow"/>
        </w:rPr>
        <w:t xml:space="preserve"> indikátorom pri dohľade zo strany Európskej komisie</w:t>
      </w:r>
      <w:r>
        <w:rPr>
          <w:rStyle w:val="Odkaznapoznmkupodiarou"/>
          <w:rFonts w:ascii="Arial Narrow" w:hAnsi="Arial Narrow"/>
        </w:rPr>
        <w:footnoteReference w:id="10"/>
      </w:r>
      <w:r>
        <w:rPr>
          <w:rFonts w:ascii="Arial Narrow" w:hAnsi="Arial Narrow"/>
        </w:rPr>
        <w:t xml:space="preserve">. </w:t>
      </w:r>
      <w:r w:rsidRPr="00672433">
        <w:rPr>
          <w:rFonts w:ascii="Arial Narrow" w:hAnsi="Arial Narrow"/>
        </w:rPr>
        <w:t>Vý</w:t>
      </w:r>
      <w:r>
        <w:rPr>
          <w:rFonts w:ascii="Arial Narrow" w:hAnsi="Arial Narrow"/>
        </w:rPr>
        <w:t>voj vý</w:t>
      </w:r>
      <w:r w:rsidRPr="00672433">
        <w:rPr>
          <w:rFonts w:ascii="Arial Narrow" w:hAnsi="Arial Narrow"/>
        </w:rPr>
        <w:t>davk</w:t>
      </w:r>
      <w:r>
        <w:rPr>
          <w:rFonts w:ascii="Arial Narrow" w:hAnsi="Arial Narrow"/>
        </w:rPr>
        <w:t>ov</w:t>
      </w:r>
      <w:r w:rsidRPr="00672433">
        <w:rPr>
          <w:rFonts w:ascii="Arial Narrow" w:hAnsi="Arial Narrow"/>
        </w:rPr>
        <w:t xml:space="preserve"> </w:t>
      </w:r>
      <w:r>
        <w:rPr>
          <w:rFonts w:ascii="Arial Narrow" w:hAnsi="Arial Narrow"/>
        </w:rPr>
        <w:t>je</w:t>
      </w:r>
      <w:r w:rsidRPr="00672433">
        <w:rPr>
          <w:rFonts w:ascii="Arial Narrow" w:hAnsi="Arial Narrow"/>
        </w:rPr>
        <w:t xml:space="preserve"> navyše pod priamou kontrolou vlády a</w:t>
      </w:r>
      <w:r>
        <w:rPr>
          <w:rFonts w:ascii="Arial Narrow" w:hAnsi="Arial Narrow"/>
        </w:rPr>
        <w:t> na</w:t>
      </w:r>
      <w:r w:rsidRPr="00672433">
        <w:rPr>
          <w:rFonts w:ascii="Arial Narrow" w:hAnsi="Arial Narrow"/>
        </w:rPr>
        <w:t xml:space="preserve"> rozdiel </w:t>
      </w:r>
      <w:r>
        <w:rPr>
          <w:rFonts w:ascii="Arial Narrow" w:hAnsi="Arial Narrow"/>
        </w:rPr>
        <w:t xml:space="preserve">od v minulosti používaného </w:t>
      </w:r>
      <w:r w:rsidRPr="00672433">
        <w:rPr>
          <w:rFonts w:ascii="Arial Narrow" w:hAnsi="Arial Narrow"/>
        </w:rPr>
        <w:t>štrukturálneho salda tak významne nezávisia od komplikovane odhadovanej produkčnej medzery</w:t>
      </w:r>
      <w:r>
        <w:rPr>
          <w:rFonts w:ascii="Arial Narrow" w:hAnsi="Arial Narrow"/>
        </w:rPr>
        <w:t xml:space="preserve"> podliehajúcej častým revíziám</w:t>
      </w:r>
      <w:r w:rsidRPr="00672433">
        <w:rPr>
          <w:rFonts w:ascii="Arial Narrow" w:hAnsi="Arial Narrow"/>
        </w:rPr>
        <w:t>.</w:t>
      </w:r>
      <w:r>
        <w:rPr>
          <w:rFonts w:ascii="Arial Narrow" w:hAnsi="Arial Narrow"/>
        </w:rPr>
        <w:t xml:space="preserve"> Navyše, výdavkové pravidlo </w:t>
      </w:r>
      <w:r w:rsidRPr="00672433">
        <w:rPr>
          <w:rFonts w:ascii="Arial Narrow" w:hAnsi="Arial Narrow"/>
        </w:rPr>
        <w:t xml:space="preserve">nedovoľuje minúť </w:t>
      </w:r>
      <w:r>
        <w:rPr>
          <w:rFonts w:ascii="Arial Narrow" w:hAnsi="Arial Narrow"/>
        </w:rPr>
        <w:t>neočakávané príjmy, čo posilňuje p</w:t>
      </w:r>
      <w:r w:rsidRPr="00672433">
        <w:rPr>
          <w:rFonts w:ascii="Arial Narrow" w:hAnsi="Arial Narrow"/>
        </w:rPr>
        <w:t>roti-</w:t>
      </w:r>
      <w:r>
        <w:rPr>
          <w:rFonts w:ascii="Arial Narrow" w:hAnsi="Arial Narrow"/>
        </w:rPr>
        <w:t>cyklickosť</w:t>
      </w:r>
      <w:r w:rsidRPr="00672433">
        <w:rPr>
          <w:rFonts w:ascii="Arial Narrow" w:hAnsi="Arial Narrow"/>
        </w:rPr>
        <w:t xml:space="preserve"> </w:t>
      </w:r>
      <w:r>
        <w:rPr>
          <w:rFonts w:ascii="Arial Narrow" w:hAnsi="Arial Narrow"/>
        </w:rPr>
        <w:t>fiškálnej politiky.</w:t>
      </w:r>
      <w:r w:rsidRPr="00672433">
        <w:rPr>
          <w:rFonts w:ascii="Arial Narrow" w:hAnsi="Arial Narrow"/>
        </w:rPr>
        <w:t xml:space="preserve"> </w:t>
      </w:r>
      <w:r>
        <w:rPr>
          <w:rFonts w:ascii="Arial Narrow" w:hAnsi="Arial Narrow"/>
        </w:rPr>
        <w:t>Oproti pôvodným pravidlám t</w:t>
      </w:r>
      <w:r w:rsidRPr="00EA4403">
        <w:rPr>
          <w:rFonts w:ascii="Arial Narrow" w:hAnsi="Arial Narrow"/>
        </w:rPr>
        <w:t>akto nastaven</w:t>
      </w:r>
      <w:r>
        <w:rPr>
          <w:rFonts w:ascii="Arial Narrow" w:hAnsi="Arial Narrow"/>
        </w:rPr>
        <w:t xml:space="preserve">ý rámec by mal </w:t>
      </w:r>
      <w:r w:rsidRPr="00EA4403">
        <w:rPr>
          <w:rFonts w:ascii="Arial Narrow" w:hAnsi="Arial Narrow"/>
        </w:rPr>
        <w:t>umožn</w:t>
      </w:r>
      <w:r>
        <w:rPr>
          <w:rFonts w:ascii="Arial Narrow" w:hAnsi="Arial Narrow"/>
        </w:rPr>
        <w:t>iť</w:t>
      </w:r>
      <w:r w:rsidRPr="00EA4403">
        <w:rPr>
          <w:rFonts w:ascii="Arial Narrow" w:hAnsi="Arial Narrow"/>
        </w:rPr>
        <w:t xml:space="preserve"> </w:t>
      </w:r>
      <w:r>
        <w:rPr>
          <w:rFonts w:ascii="Arial Narrow" w:hAnsi="Arial Narrow"/>
        </w:rPr>
        <w:t>viac ozdravovať rozpočet</w:t>
      </w:r>
      <w:r w:rsidRPr="00672433">
        <w:rPr>
          <w:rFonts w:ascii="Arial Narrow" w:hAnsi="Arial Narrow"/>
        </w:rPr>
        <w:t xml:space="preserve"> v dobrých časoch, </w:t>
      </w:r>
      <w:r>
        <w:rPr>
          <w:rFonts w:ascii="Arial Narrow" w:hAnsi="Arial Narrow"/>
        </w:rPr>
        <w:t>ale rovnako</w:t>
      </w:r>
      <w:r w:rsidRPr="00672433">
        <w:rPr>
          <w:rFonts w:ascii="Arial Narrow" w:hAnsi="Arial Narrow"/>
        </w:rPr>
        <w:t xml:space="preserve"> </w:t>
      </w:r>
      <w:r>
        <w:rPr>
          <w:rFonts w:ascii="Arial Narrow" w:hAnsi="Arial Narrow"/>
        </w:rPr>
        <w:t>viac podporiť ekonomiku</w:t>
      </w:r>
      <w:r w:rsidRPr="00672433">
        <w:rPr>
          <w:rFonts w:ascii="Arial Narrow" w:hAnsi="Arial Narrow"/>
        </w:rPr>
        <w:t xml:space="preserve"> v horších obdobiach.</w:t>
      </w:r>
      <w:r>
        <w:rPr>
          <w:rFonts w:ascii="Arial Narrow" w:hAnsi="Arial Narrow"/>
        </w:rPr>
        <w:t xml:space="preserve"> </w:t>
      </w:r>
    </w:p>
    <w:p w14:paraId="336FA995" w14:textId="77777777" w:rsidR="002A0289" w:rsidRDefault="002A0289" w:rsidP="002A0289">
      <w:pPr>
        <w:widowControl w:val="0"/>
        <w:spacing w:before="120" w:after="120"/>
        <w:jc w:val="both"/>
        <w:rPr>
          <w:rFonts w:ascii="Arial Narrow" w:hAnsi="Arial Narrow"/>
        </w:rPr>
      </w:pPr>
      <w:r>
        <w:rPr>
          <w:rFonts w:ascii="Arial Narrow" w:hAnsi="Arial Narrow" w:cs="Arial Narrow"/>
          <w:b/>
          <w:bCs/>
          <w:color w:val="2C9ADC"/>
          <w:sz w:val="20"/>
          <w:szCs w:val="20"/>
        </w:rPr>
        <w:t>SCHÉMA 2 – Hlavné prvky nových pravidiel</w:t>
      </w:r>
    </w:p>
    <w:p w14:paraId="5DC97585" w14:textId="77777777" w:rsidR="002A0289" w:rsidRDefault="002A0289" w:rsidP="002A0289">
      <w:pPr>
        <w:widowControl w:val="0"/>
        <w:spacing w:before="40" w:after="40"/>
        <w:jc w:val="both"/>
        <w:rPr>
          <w:rFonts w:ascii="Arial Narrow" w:hAnsi="Arial Narrow"/>
          <w:sz w:val="8"/>
          <w:szCs w:val="8"/>
        </w:rPr>
      </w:pPr>
      <w:r>
        <w:rPr>
          <w:rFonts w:ascii="Arial Narrow" w:hAnsi="Arial Narrow"/>
          <w:noProof/>
          <w:lang w:eastAsia="sk-SK"/>
        </w:rPr>
        <w:drawing>
          <wp:anchor distT="0" distB="0" distL="114300" distR="114300" simplePos="0" relativeHeight="251678720" behindDoc="0" locked="0" layoutInCell="1" allowOverlap="1" wp14:anchorId="4B570464" wp14:editId="61307B8F">
            <wp:simplePos x="0" y="0"/>
            <wp:positionH relativeFrom="column">
              <wp:posOffset>230505</wp:posOffset>
            </wp:positionH>
            <wp:positionV relativeFrom="paragraph">
              <wp:posOffset>10795</wp:posOffset>
            </wp:positionV>
            <wp:extent cx="2586990" cy="1878965"/>
            <wp:effectExtent l="0" t="0" r="3810" b="6985"/>
            <wp:wrapNone/>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page">
              <wp14:pctWidth>0</wp14:pctWidth>
            </wp14:sizeRelH>
            <wp14:sizeRelV relativeFrom="page">
              <wp14:pctHeight>0</wp14:pctHeight>
            </wp14:sizeRelV>
          </wp:anchor>
        </w:drawing>
      </w:r>
    </w:p>
    <w:p w14:paraId="14AE5898" w14:textId="77777777" w:rsidR="002A0289" w:rsidRDefault="002A0289" w:rsidP="002A0289">
      <w:pPr>
        <w:widowControl w:val="0"/>
        <w:spacing w:before="40" w:after="40"/>
        <w:jc w:val="both"/>
        <w:rPr>
          <w:rFonts w:ascii="Arial Narrow" w:hAnsi="Arial Narrow"/>
          <w:sz w:val="8"/>
          <w:szCs w:val="8"/>
        </w:rPr>
      </w:pPr>
    </w:p>
    <w:p w14:paraId="7F897A8F" w14:textId="77777777" w:rsidR="002A0289" w:rsidRDefault="002A0289" w:rsidP="002A0289">
      <w:pPr>
        <w:widowControl w:val="0"/>
        <w:spacing w:before="40" w:after="40"/>
        <w:jc w:val="both"/>
        <w:rPr>
          <w:rFonts w:ascii="Arial Narrow" w:hAnsi="Arial Narrow"/>
          <w:sz w:val="8"/>
          <w:szCs w:val="8"/>
        </w:rPr>
      </w:pPr>
    </w:p>
    <w:p w14:paraId="582FBAC1" w14:textId="77777777" w:rsidR="002A0289" w:rsidRDefault="002A0289" w:rsidP="002A0289">
      <w:pPr>
        <w:widowControl w:val="0"/>
        <w:spacing w:before="40" w:after="40"/>
        <w:jc w:val="both"/>
        <w:rPr>
          <w:rFonts w:ascii="Arial Narrow" w:hAnsi="Arial Narrow"/>
          <w:sz w:val="8"/>
          <w:szCs w:val="8"/>
        </w:rPr>
      </w:pPr>
      <w:r>
        <w:rPr>
          <w:rFonts w:ascii="Arial Narrow" w:hAnsi="Arial Narrow"/>
          <w:noProof/>
          <w:lang w:eastAsia="sk-SK"/>
        </w:rPr>
        <w:drawing>
          <wp:anchor distT="0" distB="0" distL="114300" distR="114300" simplePos="0" relativeHeight="251677696" behindDoc="0" locked="0" layoutInCell="1" allowOverlap="1" wp14:anchorId="75FDF384" wp14:editId="7161513E">
            <wp:simplePos x="0" y="0"/>
            <wp:positionH relativeFrom="column">
              <wp:posOffset>2935605</wp:posOffset>
            </wp:positionH>
            <wp:positionV relativeFrom="paragraph">
              <wp:posOffset>82550</wp:posOffset>
            </wp:positionV>
            <wp:extent cx="2586990" cy="1217330"/>
            <wp:effectExtent l="0" t="0" r="0" b="20955"/>
            <wp:wrapNone/>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page">
              <wp14:pctWidth>0</wp14:pctWidth>
            </wp14:sizeRelH>
            <wp14:sizeRelV relativeFrom="page">
              <wp14:pctHeight>0</wp14:pctHeight>
            </wp14:sizeRelV>
          </wp:anchor>
        </w:drawing>
      </w:r>
    </w:p>
    <w:p w14:paraId="3A1C733A" w14:textId="77777777" w:rsidR="002A0289" w:rsidRDefault="002A0289" w:rsidP="002A0289">
      <w:pPr>
        <w:widowControl w:val="0"/>
        <w:spacing w:before="40" w:after="40"/>
        <w:jc w:val="both"/>
        <w:rPr>
          <w:rFonts w:ascii="Arial Narrow" w:hAnsi="Arial Narrow"/>
          <w:sz w:val="8"/>
          <w:szCs w:val="8"/>
        </w:rPr>
      </w:pPr>
    </w:p>
    <w:p w14:paraId="707D4E3C" w14:textId="77777777" w:rsidR="002A0289" w:rsidRDefault="002A0289" w:rsidP="002A0289">
      <w:pPr>
        <w:widowControl w:val="0"/>
        <w:spacing w:before="40" w:after="40"/>
        <w:jc w:val="both"/>
        <w:rPr>
          <w:rFonts w:ascii="Arial Narrow" w:hAnsi="Arial Narrow"/>
          <w:sz w:val="8"/>
          <w:szCs w:val="8"/>
        </w:rPr>
      </w:pPr>
    </w:p>
    <w:p w14:paraId="122F4FA8" w14:textId="77777777" w:rsidR="002A0289" w:rsidRDefault="002A0289" w:rsidP="002A0289">
      <w:pPr>
        <w:widowControl w:val="0"/>
        <w:spacing w:before="40" w:after="40"/>
        <w:jc w:val="both"/>
        <w:rPr>
          <w:rFonts w:ascii="Arial Narrow" w:hAnsi="Arial Narrow"/>
          <w:sz w:val="8"/>
          <w:szCs w:val="8"/>
        </w:rPr>
      </w:pPr>
    </w:p>
    <w:p w14:paraId="3C0F9D40" w14:textId="77777777" w:rsidR="002A0289" w:rsidRDefault="002A0289" w:rsidP="002A0289">
      <w:pPr>
        <w:widowControl w:val="0"/>
        <w:spacing w:before="40" w:after="40"/>
        <w:jc w:val="both"/>
        <w:rPr>
          <w:rFonts w:ascii="Arial Narrow" w:hAnsi="Arial Narrow"/>
          <w:sz w:val="8"/>
          <w:szCs w:val="8"/>
        </w:rPr>
      </w:pPr>
    </w:p>
    <w:p w14:paraId="3E106316" w14:textId="77777777" w:rsidR="002A0289" w:rsidRDefault="002A0289" w:rsidP="002A0289">
      <w:pPr>
        <w:widowControl w:val="0"/>
        <w:spacing w:before="40" w:after="40"/>
        <w:jc w:val="both"/>
        <w:rPr>
          <w:rFonts w:ascii="Arial Narrow" w:hAnsi="Arial Narrow"/>
          <w:sz w:val="8"/>
          <w:szCs w:val="8"/>
        </w:rPr>
      </w:pPr>
    </w:p>
    <w:p w14:paraId="15B61DBC" w14:textId="77777777" w:rsidR="002A0289" w:rsidRDefault="002A0289" w:rsidP="002A0289">
      <w:pPr>
        <w:widowControl w:val="0"/>
        <w:spacing w:before="40" w:after="40"/>
        <w:jc w:val="both"/>
        <w:rPr>
          <w:rFonts w:ascii="Arial Narrow" w:hAnsi="Arial Narrow"/>
          <w:sz w:val="8"/>
          <w:szCs w:val="8"/>
        </w:rPr>
      </w:pPr>
    </w:p>
    <w:p w14:paraId="069F6781" w14:textId="77777777" w:rsidR="002A0289" w:rsidRDefault="002A0289" w:rsidP="002A0289">
      <w:pPr>
        <w:widowControl w:val="0"/>
        <w:spacing w:before="40" w:after="40"/>
        <w:jc w:val="both"/>
        <w:rPr>
          <w:rFonts w:ascii="Arial Narrow" w:hAnsi="Arial Narrow"/>
          <w:sz w:val="8"/>
          <w:szCs w:val="8"/>
        </w:rPr>
      </w:pPr>
    </w:p>
    <w:p w14:paraId="2C5267CD" w14:textId="77777777" w:rsidR="002A0289" w:rsidRDefault="002A0289" w:rsidP="002A0289">
      <w:pPr>
        <w:widowControl w:val="0"/>
        <w:spacing w:before="40" w:after="40"/>
        <w:jc w:val="both"/>
        <w:rPr>
          <w:rFonts w:ascii="Arial Narrow" w:hAnsi="Arial Narrow"/>
          <w:sz w:val="8"/>
          <w:szCs w:val="8"/>
        </w:rPr>
      </w:pPr>
    </w:p>
    <w:p w14:paraId="7064F631" w14:textId="77777777" w:rsidR="002A0289" w:rsidRDefault="002A0289" w:rsidP="002A0289">
      <w:pPr>
        <w:widowControl w:val="0"/>
        <w:spacing w:before="40" w:after="40"/>
        <w:jc w:val="both"/>
        <w:rPr>
          <w:rFonts w:ascii="Arial Narrow" w:hAnsi="Arial Narrow"/>
          <w:sz w:val="8"/>
          <w:szCs w:val="8"/>
        </w:rPr>
      </w:pPr>
    </w:p>
    <w:p w14:paraId="6C45A405" w14:textId="77777777" w:rsidR="002A0289" w:rsidRDefault="002A0289" w:rsidP="002A0289">
      <w:pPr>
        <w:widowControl w:val="0"/>
        <w:spacing w:before="40" w:after="40"/>
        <w:jc w:val="both"/>
        <w:rPr>
          <w:rFonts w:ascii="Arial Narrow" w:hAnsi="Arial Narrow"/>
          <w:sz w:val="8"/>
          <w:szCs w:val="8"/>
        </w:rPr>
      </w:pPr>
    </w:p>
    <w:p w14:paraId="46B23526" w14:textId="77777777" w:rsidR="002A0289" w:rsidRDefault="002A0289" w:rsidP="002A0289">
      <w:pPr>
        <w:widowControl w:val="0"/>
        <w:spacing w:before="40" w:after="40"/>
        <w:jc w:val="both"/>
        <w:rPr>
          <w:rFonts w:ascii="Arial Narrow" w:hAnsi="Arial Narrow"/>
          <w:sz w:val="8"/>
          <w:szCs w:val="8"/>
        </w:rPr>
      </w:pPr>
    </w:p>
    <w:p w14:paraId="3DADCAD9" w14:textId="77777777" w:rsidR="002A0289" w:rsidRDefault="002A0289" w:rsidP="002A0289">
      <w:pPr>
        <w:widowControl w:val="0"/>
        <w:spacing w:before="40" w:after="40"/>
        <w:jc w:val="both"/>
        <w:rPr>
          <w:rFonts w:ascii="Arial Narrow" w:hAnsi="Arial Narrow"/>
          <w:sz w:val="8"/>
          <w:szCs w:val="8"/>
        </w:rPr>
      </w:pPr>
    </w:p>
    <w:p w14:paraId="4F4BAAB7" w14:textId="77777777" w:rsidR="002A0289" w:rsidRDefault="002A0289" w:rsidP="002A0289">
      <w:pPr>
        <w:widowControl w:val="0"/>
        <w:spacing w:before="40" w:after="40"/>
        <w:jc w:val="both"/>
        <w:rPr>
          <w:rFonts w:ascii="Arial Narrow" w:hAnsi="Arial Narrow"/>
          <w:sz w:val="8"/>
          <w:szCs w:val="8"/>
        </w:rPr>
      </w:pPr>
    </w:p>
    <w:p w14:paraId="24E11E0D" w14:textId="77777777" w:rsidR="002A0289" w:rsidRDefault="002A0289" w:rsidP="002A0289">
      <w:pPr>
        <w:widowControl w:val="0"/>
        <w:spacing w:before="40" w:after="40"/>
        <w:jc w:val="both"/>
        <w:rPr>
          <w:rFonts w:ascii="Arial Narrow" w:hAnsi="Arial Narrow"/>
          <w:sz w:val="8"/>
          <w:szCs w:val="8"/>
        </w:rPr>
      </w:pPr>
    </w:p>
    <w:p w14:paraId="6B4A9DF4" w14:textId="77777777" w:rsidR="002A0289" w:rsidRPr="001B5FDC" w:rsidRDefault="002A0289" w:rsidP="002A0289">
      <w:pPr>
        <w:widowControl w:val="0"/>
        <w:spacing w:before="40" w:after="40"/>
        <w:jc w:val="both"/>
        <w:rPr>
          <w:rFonts w:ascii="Arial Narrow" w:hAnsi="Arial Narrow"/>
          <w:sz w:val="8"/>
          <w:szCs w:val="8"/>
        </w:rPr>
      </w:pPr>
    </w:p>
    <w:p w14:paraId="289A938D" w14:textId="77777777" w:rsidR="002A0289" w:rsidRDefault="002A0289" w:rsidP="002A0289">
      <w:pPr>
        <w:widowControl w:val="0"/>
        <w:spacing w:before="40" w:after="40"/>
        <w:jc w:val="both"/>
        <w:rPr>
          <w:rFonts w:ascii="Arial Narrow" w:hAnsi="Arial Narrow"/>
        </w:rPr>
      </w:pPr>
      <w:r>
        <w:rPr>
          <w:rFonts w:ascii="Arial Narrow" w:hAnsi="Arial Narrow"/>
        </w:rPr>
        <w:tab/>
      </w:r>
    </w:p>
    <w:p w14:paraId="4D1B5014" w14:textId="77777777" w:rsidR="002A0289" w:rsidRDefault="002A0289" w:rsidP="002A0289">
      <w:pPr>
        <w:widowControl w:val="0"/>
        <w:spacing w:before="40" w:after="40"/>
        <w:jc w:val="both"/>
        <w:rPr>
          <w:rFonts w:ascii="Arial Narrow" w:hAnsi="Arial Narrow"/>
          <w:i/>
          <w:iCs/>
          <w:sz w:val="16"/>
          <w:szCs w:val="16"/>
        </w:rPr>
      </w:pPr>
    </w:p>
    <w:p w14:paraId="2BDBF086" w14:textId="52BA2EBC" w:rsidR="002A0289" w:rsidRPr="001B5FDC" w:rsidRDefault="009C56F1" w:rsidP="002A0289">
      <w:pPr>
        <w:widowControl w:val="0"/>
        <w:spacing w:before="40" w:after="40"/>
        <w:jc w:val="both"/>
        <w:rPr>
          <w:rFonts w:ascii="Arial Narrow" w:hAnsi="Arial Narrow"/>
          <w:i/>
          <w:iCs/>
          <w:sz w:val="16"/>
          <w:szCs w:val="16"/>
        </w:rPr>
      </w:pPr>
      <w:r>
        <w:rPr>
          <w:rFonts w:ascii="Arial Narrow" w:hAnsi="Arial Narrow"/>
          <w:i/>
          <w:iCs/>
          <w:sz w:val="16"/>
          <w:szCs w:val="16"/>
        </w:rPr>
        <w:t>*</w:t>
      </w:r>
      <w:r w:rsidR="002A0289" w:rsidRPr="001B5FDC">
        <w:rPr>
          <w:rFonts w:ascii="Arial Narrow" w:hAnsi="Arial Narrow"/>
          <w:i/>
          <w:iCs/>
          <w:sz w:val="16"/>
          <w:szCs w:val="16"/>
        </w:rPr>
        <w:t>Pozn.</w:t>
      </w:r>
      <w:r w:rsidR="002A0289">
        <w:rPr>
          <w:rFonts w:ascii="Arial Narrow" w:hAnsi="Arial Narrow"/>
          <w:i/>
          <w:iCs/>
          <w:sz w:val="16"/>
          <w:szCs w:val="16"/>
        </w:rPr>
        <w:t xml:space="preserve">: Rast čistých výdavkov predstavuje medziročnú zmenu výdavkov verejnej správy očistených predovšetkým o EÚ zdroje, výdavky na spolufinancovanie, úrokové náklady a diskrečné príjmové opatrenia. </w:t>
      </w:r>
      <w:r w:rsidR="002A0289">
        <w:rPr>
          <w:rFonts w:ascii="Arial Narrow" w:hAnsi="Arial Narrow"/>
          <w:i/>
          <w:iCs/>
          <w:sz w:val="16"/>
          <w:szCs w:val="16"/>
        </w:rPr>
        <w:tab/>
      </w:r>
      <w:r w:rsidR="002A0289">
        <w:rPr>
          <w:rFonts w:ascii="Arial Narrow" w:hAnsi="Arial Narrow"/>
          <w:i/>
          <w:iCs/>
          <w:sz w:val="16"/>
          <w:szCs w:val="16"/>
        </w:rPr>
        <w:tab/>
      </w:r>
      <w:r w:rsidR="002A0289">
        <w:rPr>
          <w:rFonts w:ascii="Arial Narrow" w:hAnsi="Arial Narrow"/>
          <w:i/>
          <w:iCs/>
          <w:sz w:val="16"/>
          <w:szCs w:val="16"/>
        </w:rPr>
        <w:tab/>
      </w:r>
      <w:r w:rsidR="002A0289">
        <w:rPr>
          <w:rFonts w:ascii="Arial Narrow" w:hAnsi="Arial Narrow"/>
          <w:i/>
          <w:iCs/>
          <w:sz w:val="16"/>
          <w:szCs w:val="16"/>
        </w:rPr>
        <w:tab/>
      </w:r>
      <w:r w:rsidR="002A0289">
        <w:rPr>
          <w:rFonts w:ascii="Arial Narrow" w:hAnsi="Arial Narrow"/>
          <w:i/>
          <w:iCs/>
          <w:sz w:val="16"/>
          <w:szCs w:val="16"/>
        </w:rPr>
        <w:tab/>
      </w:r>
      <w:r w:rsidR="002A0289">
        <w:rPr>
          <w:rFonts w:ascii="Arial Narrow" w:hAnsi="Arial Narrow"/>
          <w:i/>
          <w:iCs/>
          <w:sz w:val="16"/>
          <w:szCs w:val="16"/>
        </w:rPr>
        <w:tab/>
      </w:r>
      <w:r w:rsidR="002A0289">
        <w:rPr>
          <w:rFonts w:ascii="Arial Narrow" w:hAnsi="Arial Narrow"/>
          <w:i/>
          <w:iCs/>
          <w:sz w:val="16"/>
          <w:szCs w:val="16"/>
        </w:rPr>
        <w:tab/>
        <w:t xml:space="preserve">             Zdroj: MF SR</w:t>
      </w:r>
    </w:p>
    <w:p w14:paraId="2FA715AE" w14:textId="77777777" w:rsidR="002A0289" w:rsidRPr="00672433" w:rsidRDefault="002A0289" w:rsidP="002A0289">
      <w:pPr>
        <w:widowControl w:val="0"/>
        <w:spacing w:before="40" w:after="40"/>
        <w:jc w:val="both"/>
        <w:rPr>
          <w:rFonts w:ascii="Arial Narrow" w:hAnsi="Arial Narrow"/>
        </w:rPr>
      </w:pPr>
    </w:p>
    <w:p w14:paraId="37F77540" w14:textId="7D27DC3C" w:rsidR="002A0289" w:rsidRPr="00672433" w:rsidRDefault="002A0289" w:rsidP="002A0289">
      <w:pPr>
        <w:spacing w:after="120" w:line="276" w:lineRule="auto"/>
        <w:jc w:val="both"/>
        <w:rPr>
          <w:rFonts w:ascii="Arial Narrow" w:hAnsi="Arial Narrow"/>
        </w:rPr>
      </w:pPr>
      <w:r>
        <w:rPr>
          <w:rFonts w:ascii="Arial Narrow" w:hAnsi="Arial Narrow"/>
          <w:b/>
          <w:bCs/>
        </w:rPr>
        <w:t xml:space="preserve">S cieľom posilniť viacročnú orientáciu rozpočtu sa zavádza </w:t>
      </w:r>
      <w:bookmarkStart w:id="5" w:name="_Hlk179271311"/>
      <w:r w:rsidR="000D2A34">
        <w:rPr>
          <w:rFonts w:ascii="Arial Narrow" w:hAnsi="Arial Narrow"/>
          <w:b/>
          <w:bCs/>
        </w:rPr>
        <w:t>n</w:t>
      </w:r>
      <w:r w:rsidR="000D2A34" w:rsidRPr="000D2A34">
        <w:rPr>
          <w:rFonts w:ascii="Arial Narrow" w:hAnsi="Arial Narrow"/>
          <w:b/>
          <w:bCs/>
        </w:rPr>
        <w:t>árodný strednodobý fiškálno-štrukturálny plán</w:t>
      </w:r>
      <w:bookmarkEnd w:id="5"/>
      <w:r>
        <w:rPr>
          <w:rFonts w:ascii="Arial Narrow" w:hAnsi="Arial Narrow"/>
          <w:b/>
          <w:bCs/>
        </w:rPr>
        <w:t>, ktorý</w:t>
      </w:r>
      <w:r w:rsidRPr="00EA4403">
        <w:rPr>
          <w:rFonts w:ascii="Arial Narrow" w:hAnsi="Arial Narrow"/>
          <w:b/>
          <w:bCs/>
        </w:rPr>
        <w:t xml:space="preserve"> </w:t>
      </w:r>
      <w:r>
        <w:rPr>
          <w:rFonts w:ascii="Arial Narrow" w:hAnsi="Arial Narrow"/>
          <w:b/>
          <w:bCs/>
        </w:rPr>
        <w:t xml:space="preserve">bude po schválení </w:t>
      </w:r>
      <w:r w:rsidRPr="00EA4403">
        <w:rPr>
          <w:rFonts w:ascii="Arial Narrow" w:hAnsi="Arial Narrow"/>
          <w:b/>
          <w:bCs/>
        </w:rPr>
        <w:t xml:space="preserve">záväzný </w:t>
      </w:r>
      <w:r>
        <w:rPr>
          <w:rFonts w:ascii="Arial Narrow" w:hAnsi="Arial Narrow"/>
          <w:b/>
          <w:bCs/>
        </w:rPr>
        <w:t xml:space="preserve">pre rozpočtový proces na celom horizonte </w:t>
      </w:r>
      <w:r w:rsidR="007A7664" w:rsidRPr="00EC0FB5">
        <w:rPr>
          <w:rFonts w:ascii="Arial Narrow" w:hAnsi="Arial Narrow"/>
        </w:rPr>
        <w:t>(</w:t>
      </w:r>
      <w:r w:rsidRPr="00EC0FB5">
        <w:rPr>
          <w:rFonts w:ascii="Arial Narrow" w:hAnsi="Arial Narrow"/>
        </w:rPr>
        <w:t>4 až 7 rokov</w:t>
      </w:r>
      <w:r w:rsidR="007A7664" w:rsidRPr="00EC0FB5">
        <w:rPr>
          <w:rFonts w:ascii="Arial Narrow" w:hAnsi="Arial Narrow"/>
        </w:rPr>
        <w:t>)</w:t>
      </w:r>
      <w:r w:rsidRPr="00672433">
        <w:rPr>
          <w:rFonts w:ascii="Arial Narrow" w:hAnsi="Arial Narrow"/>
        </w:rPr>
        <w:t xml:space="preserve">. Nové pravidlá prinášajú aj výraznú zmenu v záväznosti stanovenia cieľov. Kým doteraz sa v Programe stability stanovovali ciele na 3 roky, tieto ciele neboli záväzné. V praxi sa dialo, že ciele vlády sa každoročne aktualizovali podľa aktuálneho vývoja verejných financií. </w:t>
      </w:r>
      <w:r w:rsidR="000D2A34">
        <w:rPr>
          <w:rFonts w:ascii="Arial Narrow" w:hAnsi="Arial Narrow"/>
        </w:rPr>
        <w:t>N</w:t>
      </w:r>
      <w:r w:rsidR="000D2A34" w:rsidRPr="000D2A34">
        <w:rPr>
          <w:rFonts w:ascii="Arial Narrow" w:hAnsi="Arial Narrow"/>
        </w:rPr>
        <w:t>árodný strednodobý fiškálno-štrukturálny plán</w:t>
      </w:r>
      <w:r>
        <w:rPr>
          <w:rFonts w:ascii="Arial Narrow" w:hAnsi="Arial Narrow"/>
        </w:rPr>
        <w:t xml:space="preserve">, ktorý nahrádza Program stability, bude </w:t>
      </w:r>
      <w:r w:rsidRPr="00672433">
        <w:rPr>
          <w:rFonts w:ascii="Arial Narrow" w:hAnsi="Arial Narrow"/>
        </w:rPr>
        <w:t xml:space="preserve">záväzný </w:t>
      </w:r>
      <w:r>
        <w:rPr>
          <w:rFonts w:ascii="Arial Narrow" w:hAnsi="Arial Narrow"/>
        </w:rPr>
        <w:t xml:space="preserve">pre tvorbu rozpočtu </w:t>
      </w:r>
      <w:r w:rsidRPr="00672433">
        <w:rPr>
          <w:rFonts w:ascii="Arial Narrow" w:hAnsi="Arial Narrow"/>
        </w:rPr>
        <w:t>na celom svojom horizonte.</w:t>
      </w:r>
      <w:r>
        <w:rPr>
          <w:rFonts w:ascii="Arial Narrow" w:hAnsi="Arial Narrow"/>
        </w:rPr>
        <w:t xml:space="preserve"> </w:t>
      </w:r>
      <w:r w:rsidRPr="00672433">
        <w:rPr>
          <w:rFonts w:ascii="Arial Narrow" w:hAnsi="Arial Narrow"/>
        </w:rPr>
        <w:t>Ten môže byť 4</w:t>
      </w:r>
      <w:r>
        <w:rPr>
          <w:rFonts w:ascii="Arial Narrow" w:hAnsi="Arial Narrow"/>
        </w:rPr>
        <w:t>-ročný</w:t>
      </w:r>
      <w:r w:rsidRPr="00672433">
        <w:rPr>
          <w:rFonts w:ascii="Arial Narrow" w:hAnsi="Arial Narrow"/>
        </w:rPr>
        <w:t>,</w:t>
      </w:r>
      <w:r>
        <w:rPr>
          <w:rFonts w:ascii="Arial Narrow" w:hAnsi="Arial Narrow"/>
        </w:rPr>
        <w:t xml:space="preserve"> čo je aj prípad aktuálne predkladaného plánu,</w:t>
      </w:r>
      <w:r w:rsidRPr="00672433">
        <w:rPr>
          <w:rFonts w:ascii="Arial Narrow" w:hAnsi="Arial Narrow"/>
        </w:rPr>
        <w:t xml:space="preserve"> resp. v prípade zaviazania sa </w:t>
      </w:r>
      <w:r>
        <w:rPr>
          <w:rFonts w:ascii="Arial Narrow" w:hAnsi="Arial Narrow"/>
        </w:rPr>
        <w:t>k dodatočným reformám</w:t>
      </w:r>
      <w:r w:rsidRPr="00672433">
        <w:rPr>
          <w:rFonts w:ascii="Arial Narrow" w:hAnsi="Arial Narrow"/>
        </w:rPr>
        <w:t xml:space="preserve"> </w:t>
      </w:r>
      <w:r>
        <w:rPr>
          <w:rFonts w:ascii="Arial Narrow" w:hAnsi="Arial Narrow"/>
        </w:rPr>
        <w:t>je možné rozložiť konsolidáciu až na 7 rokov</w:t>
      </w:r>
      <w:r w:rsidRPr="00672433">
        <w:rPr>
          <w:rFonts w:ascii="Arial Narrow" w:hAnsi="Arial Narrow"/>
        </w:rPr>
        <w:t>.</w:t>
      </w:r>
      <w:r>
        <w:rPr>
          <w:rFonts w:ascii="Arial Narrow" w:hAnsi="Arial Narrow"/>
        </w:rPr>
        <w:t xml:space="preserve"> </w:t>
      </w:r>
      <w:r w:rsidRPr="004A46B6">
        <w:rPr>
          <w:rFonts w:ascii="Arial Narrow" w:hAnsi="Arial Narrow"/>
        </w:rPr>
        <w:t xml:space="preserve">Vláda sa v </w:t>
      </w:r>
      <w:r>
        <w:rPr>
          <w:rFonts w:ascii="Arial Narrow" w:hAnsi="Arial Narrow"/>
        </w:rPr>
        <w:t>ňom</w:t>
      </w:r>
      <w:r w:rsidRPr="004A46B6">
        <w:rPr>
          <w:rFonts w:ascii="Arial Narrow" w:hAnsi="Arial Narrow"/>
        </w:rPr>
        <w:t xml:space="preserve"> </w:t>
      </w:r>
      <w:r>
        <w:rPr>
          <w:rFonts w:ascii="Arial Narrow" w:hAnsi="Arial Narrow"/>
        </w:rPr>
        <w:t xml:space="preserve">vopred </w:t>
      </w:r>
      <w:r w:rsidRPr="004A46B6">
        <w:rPr>
          <w:rFonts w:ascii="Arial Narrow" w:hAnsi="Arial Narrow"/>
        </w:rPr>
        <w:t xml:space="preserve">zaväzuje k stanovenej fiškálnej trajektórii a reformám, ktoré budú následne </w:t>
      </w:r>
      <w:r w:rsidR="007A7664">
        <w:rPr>
          <w:rFonts w:ascii="Arial Narrow" w:hAnsi="Arial Narrow"/>
        </w:rPr>
        <w:t>hodnotené</w:t>
      </w:r>
      <w:r>
        <w:rPr>
          <w:rFonts w:ascii="Arial Narrow" w:hAnsi="Arial Narrow"/>
        </w:rPr>
        <w:t xml:space="preserve"> v pravidelnej ročnej správe o pokroku.</w:t>
      </w:r>
    </w:p>
    <w:p w14:paraId="2B59E534" w14:textId="3AE7F779" w:rsidR="002A0289" w:rsidRDefault="00036928">
      <w:pPr>
        <w:rPr>
          <w:rFonts w:ascii="Arial Narrow" w:hAnsi="Arial Narrow"/>
          <w:strike/>
        </w:rPr>
      </w:pPr>
      <w:r>
        <w:rPr>
          <w:rFonts w:ascii="Arial Narrow" w:hAnsi="Arial Narrow"/>
          <w:strike/>
        </w:rPr>
        <w:br w:type="page"/>
      </w:r>
    </w:p>
    <w:p w14:paraId="78C932CB" w14:textId="77777777" w:rsidR="002A0289" w:rsidRDefault="002A0289" w:rsidP="002A0289">
      <w:pPr>
        <w:pStyle w:val="Nadpis1"/>
        <w:numPr>
          <w:ilvl w:val="0"/>
          <w:numId w:val="8"/>
        </w:numPr>
        <w:tabs>
          <w:tab w:val="num" w:pos="0"/>
          <w:tab w:val="num" w:pos="360"/>
        </w:tabs>
        <w:spacing w:after="0"/>
        <w:ind w:left="680" w:hanging="680"/>
        <w:rPr>
          <w:rFonts w:cs="Arial Narrow"/>
          <w:color w:val="2C9ADC"/>
          <w:szCs w:val="28"/>
        </w:rPr>
      </w:pPr>
      <w:bookmarkStart w:id="6" w:name="_Toc179814983"/>
      <w:r w:rsidRPr="00F3615F">
        <w:rPr>
          <w:rFonts w:cs="Arial Narrow"/>
          <w:color w:val="2C9ADC"/>
          <w:szCs w:val="28"/>
        </w:rPr>
        <w:lastRenderedPageBreak/>
        <w:t>Makroekonomické prostredie</w:t>
      </w:r>
      <w:bookmarkEnd w:id="6"/>
    </w:p>
    <w:p w14:paraId="5645693B" w14:textId="77777777" w:rsidR="00924635" w:rsidRDefault="00924635" w:rsidP="00A1176E">
      <w:pPr>
        <w:spacing w:after="0" w:line="276" w:lineRule="auto"/>
        <w:jc w:val="both"/>
        <w:rPr>
          <w:lang w:eastAsia="sk-SK"/>
        </w:rPr>
      </w:pPr>
    </w:p>
    <w:p w14:paraId="504AE650" w14:textId="6CC524ED" w:rsidR="00A1176E" w:rsidRPr="00F53C49" w:rsidRDefault="00A1176E" w:rsidP="00A1176E">
      <w:pPr>
        <w:rPr>
          <w:rFonts w:ascii="Arial Narrow" w:hAnsi="Arial Narrow"/>
          <w:b/>
          <w:bCs/>
          <w:color w:val="00B0F0"/>
          <w:lang w:eastAsia="sk-SK"/>
        </w:rPr>
      </w:pPr>
      <w:r w:rsidRPr="00F53C49">
        <w:rPr>
          <w:rFonts w:ascii="Arial Narrow" w:hAnsi="Arial Narrow"/>
          <w:b/>
          <w:bCs/>
          <w:color w:val="00B0F0"/>
          <w:lang w:eastAsia="sk-SK"/>
        </w:rPr>
        <w:t>Aktuálny makroekonomický výhľad</w:t>
      </w:r>
    </w:p>
    <w:p w14:paraId="7522AC83" w14:textId="2F23126B" w:rsidR="00FB3D5C" w:rsidRDefault="00FB3D5C" w:rsidP="00EC0FB5">
      <w:pPr>
        <w:jc w:val="both"/>
      </w:pPr>
      <w:r w:rsidRPr="00EC0FB5">
        <w:rPr>
          <w:rFonts w:ascii="Arial Narrow" w:hAnsi="Arial Narrow"/>
          <w:b/>
          <w:bCs/>
        </w:rPr>
        <w:t>Verejné financie podporili počas pandemického a inflačného šoku životnú úroveň obyvateľstva, no teraz je potreb</w:t>
      </w:r>
      <w:r>
        <w:rPr>
          <w:rFonts w:ascii="Arial Narrow" w:hAnsi="Arial Narrow"/>
          <w:b/>
          <w:bCs/>
        </w:rPr>
        <w:t>né</w:t>
      </w:r>
      <w:r w:rsidRPr="00EC0FB5">
        <w:rPr>
          <w:rFonts w:ascii="Arial Narrow" w:hAnsi="Arial Narrow"/>
          <w:b/>
          <w:bCs/>
        </w:rPr>
        <w:t xml:space="preserve"> ich</w:t>
      </w:r>
      <w:r w:rsidR="00EC0FB5">
        <w:rPr>
          <w:rFonts w:ascii="Arial Narrow" w:hAnsi="Arial Narrow"/>
          <w:b/>
          <w:bCs/>
        </w:rPr>
        <w:t xml:space="preserve"> ozdravenie</w:t>
      </w:r>
      <w:r w:rsidRPr="00EC0FB5">
        <w:rPr>
          <w:rFonts w:ascii="Arial Narrow" w:hAnsi="Arial Narrow"/>
          <w:b/>
          <w:bCs/>
        </w:rPr>
        <w:t>.</w:t>
      </w:r>
      <w:r>
        <w:t xml:space="preserve"> </w:t>
      </w:r>
      <w:r w:rsidRPr="00EC0FB5">
        <w:rPr>
          <w:rFonts w:ascii="Arial Narrow" w:hAnsi="Arial Narrow"/>
        </w:rPr>
        <w:t xml:space="preserve">Nepriaznivé vplyvy z externého prostredia stlmili rast slovenskej ekonomiky medzi rokmi 2020 až 2024 na priemerných 1,5 % ročne. </w:t>
      </w:r>
      <w:r>
        <w:rPr>
          <w:rFonts w:ascii="Arial Narrow" w:hAnsi="Arial Narrow"/>
        </w:rPr>
        <w:t xml:space="preserve">V dôsledku pandémie utrpel šok najmä trh práce. Následne prišiel šok do inflácie z dôvodu invázie Ruska do Ukrajiny. </w:t>
      </w:r>
      <w:r w:rsidRPr="00EC0FB5">
        <w:rPr>
          <w:rFonts w:ascii="Arial Narrow" w:hAnsi="Arial Narrow"/>
        </w:rPr>
        <w:t>Zamestnanosť aj reálna mzda klesli a v snahe stabilizovať príjmy obyvateľstva sa výrazne zvýšil tlak na verejné financie. Tie je však teraz potrebné skonsolidovať.</w:t>
      </w:r>
    </w:p>
    <w:p w14:paraId="28A63E16" w14:textId="6F864E49" w:rsidR="007A05F8" w:rsidRDefault="00FB3D5C" w:rsidP="007A05F8">
      <w:pPr>
        <w:spacing w:after="120" w:line="276" w:lineRule="auto"/>
        <w:jc w:val="both"/>
        <w:rPr>
          <w:rFonts w:ascii="Arial Narrow" w:hAnsi="Arial Narrow"/>
        </w:rPr>
      </w:pPr>
      <w:r w:rsidRPr="00EC0FB5">
        <w:rPr>
          <w:rFonts w:ascii="Arial Narrow" w:hAnsi="Arial Narrow"/>
          <w:b/>
          <w:bCs/>
        </w:rPr>
        <w:t>Ekonomika sa</w:t>
      </w:r>
      <w:r w:rsidR="00EC0FB5">
        <w:rPr>
          <w:rFonts w:ascii="Arial Narrow" w:hAnsi="Arial Narrow"/>
          <w:b/>
          <w:bCs/>
        </w:rPr>
        <w:t xml:space="preserve"> po</w:t>
      </w:r>
      <w:r w:rsidRPr="00EC0FB5">
        <w:rPr>
          <w:rFonts w:ascii="Arial Narrow" w:hAnsi="Arial Narrow"/>
          <w:b/>
          <w:bCs/>
        </w:rPr>
        <w:t xml:space="preserve"> období šokov stabilizovala</w:t>
      </w:r>
      <w:r>
        <w:rPr>
          <w:rFonts w:ascii="Arial Narrow" w:hAnsi="Arial Narrow"/>
          <w:b/>
          <w:bCs/>
        </w:rPr>
        <w:t>, čo vytv</w:t>
      </w:r>
      <w:r w:rsidR="00FB1334">
        <w:rPr>
          <w:rFonts w:ascii="Arial Narrow" w:hAnsi="Arial Narrow"/>
          <w:b/>
          <w:bCs/>
        </w:rPr>
        <w:t>orilo</w:t>
      </w:r>
      <w:r>
        <w:rPr>
          <w:rFonts w:ascii="Arial Narrow" w:hAnsi="Arial Narrow"/>
          <w:b/>
          <w:bCs/>
        </w:rPr>
        <w:t xml:space="preserve"> podmienky na efektívnu konsolidáciu verejných financií.</w:t>
      </w:r>
      <w:r w:rsidRPr="00EC0FB5">
        <w:rPr>
          <w:rFonts w:ascii="Arial Narrow" w:hAnsi="Arial Narrow"/>
          <w:b/>
          <w:bCs/>
        </w:rPr>
        <w:t xml:space="preserve"> </w:t>
      </w:r>
      <w:r w:rsidR="00EC0FB5">
        <w:rPr>
          <w:rFonts w:ascii="Arial Narrow" w:hAnsi="Arial Narrow"/>
        </w:rPr>
        <w:t>U</w:t>
      </w:r>
      <w:r w:rsidR="00FB1334" w:rsidRPr="00EC0FB5">
        <w:rPr>
          <w:rFonts w:ascii="Arial Narrow" w:hAnsi="Arial Narrow"/>
        </w:rPr>
        <w:t>ž po zohľadnení konsolidácie</w:t>
      </w:r>
      <w:r w:rsidR="00EC0FB5">
        <w:rPr>
          <w:rFonts w:ascii="Arial Narrow" w:hAnsi="Arial Narrow"/>
        </w:rPr>
        <w:t xml:space="preserve"> </w:t>
      </w:r>
      <w:r w:rsidR="00EC0FB5" w:rsidRPr="00EC0FB5">
        <w:rPr>
          <w:rFonts w:ascii="Arial Narrow" w:hAnsi="Arial Narrow"/>
        </w:rPr>
        <w:t xml:space="preserve">dosiahne </w:t>
      </w:r>
      <w:r w:rsidR="00EC0FB5">
        <w:rPr>
          <w:rFonts w:ascii="Arial Narrow" w:hAnsi="Arial Narrow"/>
        </w:rPr>
        <w:t>r</w:t>
      </w:r>
      <w:r w:rsidR="00EC0FB5" w:rsidRPr="00EC0FB5">
        <w:rPr>
          <w:rFonts w:ascii="Arial Narrow" w:hAnsi="Arial Narrow"/>
        </w:rPr>
        <w:t xml:space="preserve">ast HDP v nasledujúcich štyroch rokoch </w:t>
      </w:r>
      <w:r w:rsidRPr="00EC0FB5">
        <w:rPr>
          <w:rFonts w:ascii="Arial Narrow" w:hAnsi="Arial Narrow"/>
        </w:rPr>
        <w:t>v priemere takmer 2 % ročne</w:t>
      </w:r>
      <w:r w:rsidRPr="00EC0FB5">
        <w:rPr>
          <w:rFonts w:ascii="Arial Narrow" w:hAnsi="Arial Narrow"/>
          <w:b/>
          <w:bCs/>
        </w:rPr>
        <w:t>.</w:t>
      </w:r>
      <w:r w:rsidRPr="00EC0FB5">
        <w:rPr>
          <w:rFonts w:ascii="Arial Narrow" w:hAnsi="Arial Narrow"/>
        </w:rPr>
        <w:t xml:space="preserve"> </w:t>
      </w:r>
      <w:r>
        <w:rPr>
          <w:rFonts w:ascii="Arial Narrow" w:hAnsi="Arial Narrow"/>
        </w:rPr>
        <w:t>Po odznení inflačného šoku sa zač</w:t>
      </w:r>
      <w:r w:rsidR="00FB1334">
        <w:rPr>
          <w:rFonts w:ascii="Arial Narrow" w:hAnsi="Arial Narrow"/>
        </w:rPr>
        <w:t>ali</w:t>
      </w:r>
      <w:r>
        <w:rPr>
          <w:rFonts w:ascii="Arial Narrow" w:hAnsi="Arial Narrow"/>
        </w:rPr>
        <w:t xml:space="preserve"> v roku 2024 reálne príjmy a reálna spotreba domácností zotavovať. Trh práce </w:t>
      </w:r>
      <w:r w:rsidR="00832FAF">
        <w:rPr>
          <w:rFonts w:ascii="Arial Narrow" w:hAnsi="Arial Narrow"/>
        </w:rPr>
        <w:t>bude</w:t>
      </w:r>
      <w:r w:rsidR="00FB1334">
        <w:rPr>
          <w:rFonts w:ascii="Arial Narrow" w:hAnsi="Arial Narrow"/>
        </w:rPr>
        <w:t xml:space="preserve"> podľa prognóz</w:t>
      </w:r>
      <w:r>
        <w:rPr>
          <w:rFonts w:ascii="Arial Narrow" w:hAnsi="Arial Narrow"/>
        </w:rPr>
        <w:t xml:space="preserve"> odolný, </w:t>
      </w:r>
      <w:r w:rsidR="00832FAF">
        <w:rPr>
          <w:rFonts w:ascii="Arial Narrow" w:hAnsi="Arial Narrow"/>
        </w:rPr>
        <w:t>miera nezamestnanosti zostane na historickom minime. Od roku 2025 budú v</w:t>
      </w:r>
      <w:r w:rsidR="00832FAF" w:rsidRPr="00D03FF8">
        <w:rPr>
          <w:rFonts w:ascii="Arial Narrow" w:hAnsi="Arial Narrow"/>
        </w:rPr>
        <w:t>zpruhou najmä investície z Plánu obnovy a</w:t>
      </w:r>
      <w:r w:rsidR="00B526EF">
        <w:rPr>
          <w:rFonts w:ascii="Arial Narrow" w:hAnsi="Arial Narrow"/>
        </w:rPr>
        <w:t> </w:t>
      </w:r>
      <w:r w:rsidR="00832FAF" w:rsidRPr="00D03FF8">
        <w:rPr>
          <w:rFonts w:ascii="Arial Narrow" w:hAnsi="Arial Narrow"/>
        </w:rPr>
        <w:t>odolnosti</w:t>
      </w:r>
      <w:r w:rsidR="00B526EF">
        <w:rPr>
          <w:rFonts w:ascii="Arial Narrow" w:hAnsi="Arial Narrow"/>
        </w:rPr>
        <w:t xml:space="preserve"> (POO)</w:t>
      </w:r>
      <w:r w:rsidR="00832FAF">
        <w:rPr>
          <w:rFonts w:ascii="Arial Narrow" w:hAnsi="Arial Narrow"/>
        </w:rPr>
        <w:t xml:space="preserve">, ktoré vystriedajú dočerpané EÚ fondy. </w:t>
      </w:r>
      <w:r w:rsidR="002A0289">
        <w:rPr>
          <w:rFonts w:ascii="Arial Narrow" w:hAnsi="Arial Narrow"/>
        </w:rPr>
        <w:t xml:space="preserve">Od roku 2026 bude najväčšou hybnou silou ekonomiky zahraničný obchod </w:t>
      </w:r>
      <w:r w:rsidR="002A0289" w:rsidRPr="00596AD7">
        <w:rPr>
          <w:rFonts w:ascii="Arial Narrow" w:hAnsi="Arial Narrow"/>
        </w:rPr>
        <w:t xml:space="preserve">v dôsledku zlepšenej globálnej ekonomickej situácie. </w:t>
      </w:r>
    </w:p>
    <w:p w14:paraId="0932B9B7" w14:textId="651EDBCA" w:rsidR="002A0289" w:rsidRDefault="002A0289" w:rsidP="00EC0FB5">
      <w:pPr>
        <w:spacing w:after="120" w:line="276" w:lineRule="auto"/>
        <w:jc w:val="both"/>
        <w:rPr>
          <w:rFonts w:ascii="Arial Narrow" w:hAnsi="Arial Narrow"/>
        </w:rPr>
      </w:pPr>
      <w:r w:rsidRPr="00596AD7">
        <w:rPr>
          <w:rFonts w:ascii="Arial Narrow" w:hAnsi="Arial Narrow"/>
          <w:b/>
          <w:bCs/>
        </w:rPr>
        <w:t>Inflácia</w:t>
      </w:r>
      <w:r>
        <w:rPr>
          <w:rFonts w:ascii="Arial Narrow" w:hAnsi="Arial Narrow"/>
          <w:b/>
          <w:bCs/>
        </w:rPr>
        <w:t xml:space="preserve"> </w:t>
      </w:r>
      <w:r w:rsidR="00832FAF">
        <w:rPr>
          <w:rFonts w:ascii="Arial Narrow" w:hAnsi="Arial Narrow"/>
          <w:b/>
          <w:bCs/>
        </w:rPr>
        <w:t>ustúpila</w:t>
      </w:r>
      <w:r>
        <w:rPr>
          <w:rFonts w:ascii="Arial Narrow" w:hAnsi="Arial Narrow"/>
          <w:b/>
          <w:bCs/>
        </w:rPr>
        <w:t> </w:t>
      </w:r>
      <w:r w:rsidR="005370B4">
        <w:rPr>
          <w:rFonts w:ascii="Arial Narrow" w:hAnsi="Arial Narrow"/>
          <w:b/>
          <w:bCs/>
        </w:rPr>
        <w:t xml:space="preserve">a </w:t>
      </w:r>
      <w:r>
        <w:rPr>
          <w:rFonts w:ascii="Arial Narrow" w:hAnsi="Arial Narrow"/>
          <w:b/>
          <w:bCs/>
        </w:rPr>
        <w:t xml:space="preserve">vytvorila priestor pre </w:t>
      </w:r>
      <w:r w:rsidR="008147E3">
        <w:rPr>
          <w:rFonts w:ascii="Arial Narrow" w:hAnsi="Arial Narrow"/>
          <w:b/>
          <w:bCs/>
        </w:rPr>
        <w:t xml:space="preserve">zotavenie </w:t>
      </w:r>
      <w:r>
        <w:rPr>
          <w:rFonts w:ascii="Arial Narrow" w:hAnsi="Arial Narrow"/>
          <w:b/>
          <w:bCs/>
        </w:rPr>
        <w:t>reálnych miezd</w:t>
      </w:r>
      <w:r w:rsidRPr="00596AD7">
        <w:rPr>
          <w:rFonts w:ascii="Arial Narrow" w:hAnsi="Arial Narrow"/>
          <w:b/>
          <w:bCs/>
        </w:rPr>
        <w:t xml:space="preserve"> a spotreb</w:t>
      </w:r>
      <w:r>
        <w:rPr>
          <w:rFonts w:ascii="Arial Narrow" w:hAnsi="Arial Narrow"/>
          <w:b/>
          <w:bCs/>
        </w:rPr>
        <w:t>y</w:t>
      </w:r>
      <w:r w:rsidRPr="00596AD7">
        <w:rPr>
          <w:rFonts w:ascii="Arial Narrow" w:hAnsi="Arial Narrow"/>
          <w:b/>
          <w:bCs/>
        </w:rPr>
        <w:t xml:space="preserve"> domácností</w:t>
      </w:r>
      <w:r w:rsidRPr="00596AD7">
        <w:rPr>
          <w:rFonts w:ascii="Arial Narrow" w:hAnsi="Arial Narrow"/>
        </w:rPr>
        <w:t>.</w:t>
      </w:r>
      <w:r>
        <w:rPr>
          <w:rFonts w:ascii="Arial Narrow" w:hAnsi="Arial Narrow"/>
        </w:rPr>
        <w:t xml:space="preserve"> Cenové tlaky po dvoch rokoch dvojciferných rastov poľavili</w:t>
      </w:r>
      <w:r w:rsidR="00832FAF">
        <w:rPr>
          <w:rFonts w:ascii="Arial Narrow" w:hAnsi="Arial Narrow"/>
        </w:rPr>
        <w:t>.</w:t>
      </w:r>
      <w:r>
        <w:rPr>
          <w:rFonts w:ascii="Arial Narrow" w:hAnsi="Arial Narrow"/>
        </w:rPr>
        <w:t xml:space="preserve"> </w:t>
      </w:r>
      <w:r w:rsidR="00C01132">
        <w:rPr>
          <w:rFonts w:ascii="Arial Narrow" w:hAnsi="Arial Narrow"/>
        </w:rPr>
        <w:t>C</w:t>
      </w:r>
      <w:r w:rsidR="00832FAF">
        <w:rPr>
          <w:rFonts w:ascii="Arial Narrow" w:hAnsi="Arial Narrow"/>
        </w:rPr>
        <w:t xml:space="preserve">eny </w:t>
      </w:r>
      <w:r>
        <w:rPr>
          <w:rFonts w:ascii="Arial Narrow" w:hAnsi="Arial Narrow"/>
        </w:rPr>
        <w:t>v roku 2024</w:t>
      </w:r>
      <w:r w:rsidR="00832FAF">
        <w:rPr>
          <w:rFonts w:ascii="Arial Narrow" w:hAnsi="Arial Narrow"/>
        </w:rPr>
        <w:t xml:space="preserve"> v priemere vzrastú o</w:t>
      </w:r>
      <w:r>
        <w:rPr>
          <w:rFonts w:ascii="Arial Narrow" w:hAnsi="Arial Narrow"/>
        </w:rPr>
        <w:t xml:space="preserve"> 2,8 %. Odznenie cenového šoku vytv</w:t>
      </w:r>
      <w:r w:rsidR="00832FAF">
        <w:rPr>
          <w:rFonts w:ascii="Arial Narrow" w:hAnsi="Arial Narrow"/>
        </w:rPr>
        <w:t>ára</w:t>
      </w:r>
      <w:r>
        <w:rPr>
          <w:rFonts w:ascii="Arial Narrow" w:hAnsi="Arial Narrow"/>
        </w:rPr>
        <w:t xml:space="preserve"> priestor pre oživenie</w:t>
      </w:r>
      <w:r w:rsidR="00832FAF">
        <w:rPr>
          <w:rFonts w:ascii="Arial Narrow" w:hAnsi="Arial Narrow"/>
        </w:rPr>
        <w:t xml:space="preserve"> domáceho</w:t>
      </w:r>
      <w:r>
        <w:rPr>
          <w:rFonts w:ascii="Arial Narrow" w:hAnsi="Arial Narrow"/>
        </w:rPr>
        <w:t xml:space="preserve"> dopytu. Vďaka </w:t>
      </w:r>
      <w:r w:rsidR="008147E3">
        <w:rPr>
          <w:rFonts w:ascii="Arial Narrow" w:hAnsi="Arial Narrow"/>
        </w:rPr>
        <w:t>obnovenému rastu</w:t>
      </w:r>
      <w:r>
        <w:rPr>
          <w:rFonts w:ascii="Arial Narrow" w:hAnsi="Arial Narrow"/>
        </w:rPr>
        <w:t xml:space="preserve"> reálnych miezd dochádza </w:t>
      </w:r>
      <w:r w:rsidR="00FB1334">
        <w:rPr>
          <w:rFonts w:ascii="Arial Narrow" w:hAnsi="Arial Narrow"/>
        </w:rPr>
        <w:t>už začiatkom</w:t>
      </w:r>
      <w:r>
        <w:rPr>
          <w:rFonts w:ascii="Arial Narrow" w:hAnsi="Arial Narrow"/>
        </w:rPr>
        <w:t> roku 2024 k </w:t>
      </w:r>
      <w:r w:rsidR="008147E3">
        <w:rPr>
          <w:rFonts w:ascii="Arial Narrow" w:hAnsi="Arial Narrow"/>
        </w:rPr>
        <w:t xml:space="preserve">zotaveniu </w:t>
      </w:r>
      <w:r>
        <w:rPr>
          <w:rFonts w:ascii="Arial Narrow" w:hAnsi="Arial Narrow"/>
        </w:rPr>
        <w:t xml:space="preserve">spotreby domácností. </w:t>
      </w:r>
      <w:r w:rsidR="008147E3">
        <w:rPr>
          <w:rFonts w:ascii="Arial Narrow" w:hAnsi="Arial Narrow"/>
        </w:rPr>
        <w:t>Jednorazové zvýšenie cien sa však v roku 2025 ešte vráti, keďže ceny energií sa bez podpory verejných financií zvýšia na trhovú úroveň. Jednorazovo k vyšším cenám v roku 2025 prispeje aj z</w:t>
      </w:r>
      <w:r>
        <w:rPr>
          <w:rFonts w:ascii="Arial Narrow" w:hAnsi="Arial Narrow"/>
        </w:rPr>
        <w:t>v</w:t>
      </w:r>
      <w:r w:rsidR="00064161">
        <w:rPr>
          <w:rFonts w:ascii="Arial Narrow" w:hAnsi="Arial Narrow"/>
        </w:rPr>
        <w:t>ýšenie</w:t>
      </w:r>
      <w:r>
        <w:rPr>
          <w:rFonts w:ascii="Arial Narrow" w:hAnsi="Arial Narrow"/>
        </w:rPr>
        <w:t xml:space="preserve"> </w:t>
      </w:r>
      <w:r w:rsidR="008147E3">
        <w:rPr>
          <w:rFonts w:ascii="Arial Narrow" w:hAnsi="Arial Narrow"/>
        </w:rPr>
        <w:t>výnosu</w:t>
      </w:r>
      <w:r w:rsidR="00064161">
        <w:rPr>
          <w:rFonts w:ascii="Arial Narrow" w:hAnsi="Arial Narrow"/>
        </w:rPr>
        <w:t xml:space="preserve"> </w:t>
      </w:r>
      <w:r>
        <w:rPr>
          <w:rFonts w:ascii="Arial Narrow" w:hAnsi="Arial Narrow"/>
        </w:rPr>
        <w:t xml:space="preserve">DPH. </w:t>
      </w:r>
      <w:r w:rsidR="008147E3">
        <w:rPr>
          <w:rFonts w:ascii="Arial Narrow" w:hAnsi="Arial Narrow"/>
        </w:rPr>
        <w:t xml:space="preserve">Od roku 2026 </w:t>
      </w:r>
      <w:r w:rsidR="00C01132">
        <w:rPr>
          <w:rFonts w:ascii="Arial Narrow" w:hAnsi="Arial Narrow"/>
        </w:rPr>
        <w:t xml:space="preserve">sa </w:t>
      </w:r>
      <w:r w:rsidR="008147E3">
        <w:rPr>
          <w:rFonts w:ascii="Arial Narrow" w:hAnsi="Arial Narrow"/>
        </w:rPr>
        <w:t>však už</w:t>
      </w:r>
      <w:r>
        <w:rPr>
          <w:rFonts w:ascii="Arial Narrow" w:hAnsi="Arial Narrow"/>
        </w:rPr>
        <w:t xml:space="preserve"> </w:t>
      </w:r>
      <w:r w:rsidR="00C01132">
        <w:rPr>
          <w:rFonts w:ascii="Arial Narrow" w:hAnsi="Arial Narrow"/>
        </w:rPr>
        <w:t xml:space="preserve">očakávajú </w:t>
      </w:r>
      <w:r>
        <w:rPr>
          <w:rFonts w:ascii="Arial Narrow" w:hAnsi="Arial Narrow"/>
        </w:rPr>
        <w:t xml:space="preserve">tempá inflácie </w:t>
      </w:r>
      <w:r w:rsidR="008147E3">
        <w:rPr>
          <w:rFonts w:ascii="Arial Narrow" w:hAnsi="Arial Narrow"/>
        </w:rPr>
        <w:t>na úrovniach spred pandémie</w:t>
      </w:r>
      <w:r>
        <w:rPr>
          <w:rFonts w:ascii="Arial Narrow" w:hAnsi="Arial Narrow"/>
        </w:rPr>
        <w:t>.</w:t>
      </w:r>
    </w:p>
    <w:tbl>
      <w:tblPr>
        <w:tblpPr w:leftFromText="141" w:rightFromText="141" w:vertAnchor="text" w:horzAnchor="margin" w:tblpY="61"/>
        <w:tblOverlap w:val="neve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4523"/>
        <w:gridCol w:w="146"/>
        <w:gridCol w:w="4403"/>
      </w:tblGrid>
      <w:tr w:rsidR="002A0289" w:rsidRPr="00C1586F" w14:paraId="4CF3B85E" w14:textId="77777777" w:rsidTr="00616580">
        <w:trPr>
          <w:trHeight w:val="339"/>
        </w:trPr>
        <w:tc>
          <w:tcPr>
            <w:tcW w:w="2508" w:type="pct"/>
            <w:tcBorders>
              <w:top w:val="nil"/>
              <w:left w:val="nil"/>
              <w:bottom w:val="single" w:sz="4" w:space="0" w:color="auto"/>
              <w:right w:val="nil"/>
            </w:tcBorders>
            <w:shd w:val="clear" w:color="auto" w:fill="auto"/>
          </w:tcPr>
          <w:p w14:paraId="7A0B47B1" w14:textId="6154BCFB" w:rsidR="002A0289" w:rsidRPr="00C1586F" w:rsidRDefault="002A0289" w:rsidP="00616580">
            <w:pPr>
              <w:widowControl w:val="0"/>
              <w:spacing w:before="40" w:after="40"/>
              <w:jc w:val="both"/>
              <w:rPr>
                <w:rFonts w:ascii="Arial Narrow" w:eastAsia="NeueHaasGroteskText W02" w:hAnsi="Arial Narrow" w:cs="Arial"/>
                <w:b/>
                <w:bCs/>
                <w:color w:val="2C9ADC"/>
                <w:sz w:val="20"/>
                <w:szCs w:val="20"/>
                <w:highlight w:val="yellow"/>
                <w:u w:color="2C9ADC"/>
              </w:rPr>
            </w:pPr>
            <w:bookmarkStart w:id="7" w:name="_Toc179814660"/>
            <w:r w:rsidRPr="005516F4">
              <w:rPr>
                <w:rFonts w:ascii="Arial Narrow" w:hAnsi="Arial Narrow" w:cs="Arial Narrow"/>
                <w:b/>
                <w:bCs/>
                <w:color w:val="2C9ADC"/>
                <w:sz w:val="20"/>
                <w:szCs w:val="20"/>
              </w:rPr>
              <w:t xml:space="preserve">GRAF </w:t>
            </w:r>
            <w:r w:rsidRPr="005516F4">
              <w:rPr>
                <w:rFonts w:ascii="Arial Narrow" w:hAnsi="Arial Narrow"/>
                <w:b/>
                <w:color w:val="2C9ADC"/>
                <w:sz w:val="20"/>
                <w:szCs w:val="20"/>
              </w:rPr>
              <w:fldChar w:fldCharType="begin"/>
            </w:r>
            <w:r w:rsidRPr="005516F4">
              <w:rPr>
                <w:rFonts w:ascii="Arial Narrow" w:hAnsi="Arial Narrow"/>
                <w:b/>
                <w:color w:val="2C9ADC"/>
                <w:sz w:val="20"/>
                <w:szCs w:val="20"/>
              </w:rPr>
              <w:instrText xml:space="preserve"> SEQ GRAF \* ARABIC </w:instrText>
            </w:r>
            <w:r w:rsidRPr="005516F4">
              <w:rPr>
                <w:rFonts w:ascii="Arial Narrow" w:hAnsi="Arial Narrow"/>
                <w:b/>
                <w:color w:val="2C9ADC"/>
                <w:sz w:val="20"/>
                <w:szCs w:val="20"/>
              </w:rPr>
              <w:fldChar w:fldCharType="separate"/>
            </w:r>
            <w:r w:rsidR="007A664D">
              <w:rPr>
                <w:rFonts w:ascii="Arial Narrow" w:hAnsi="Arial Narrow"/>
                <w:b/>
                <w:noProof/>
                <w:color w:val="2C9ADC"/>
                <w:sz w:val="20"/>
                <w:szCs w:val="20"/>
              </w:rPr>
              <w:t>1</w:t>
            </w:r>
            <w:r w:rsidRPr="005516F4">
              <w:rPr>
                <w:rFonts w:ascii="Arial Narrow" w:hAnsi="Arial Narrow"/>
                <w:b/>
                <w:color w:val="2C9ADC"/>
                <w:sz w:val="20"/>
                <w:szCs w:val="20"/>
              </w:rPr>
              <w:fldChar w:fldCharType="end"/>
            </w:r>
            <w:r w:rsidRPr="005516F4">
              <w:rPr>
                <w:rFonts w:ascii="Arial Narrow" w:hAnsi="Arial Narrow"/>
                <w:b/>
                <w:color w:val="2C9ADC"/>
                <w:sz w:val="20"/>
                <w:szCs w:val="20"/>
              </w:rPr>
              <w:t xml:space="preserve"> –</w:t>
            </w:r>
            <w:r w:rsidRPr="004F727A">
              <w:rPr>
                <w:rFonts w:ascii="Arial Narrow" w:hAnsi="Arial Narrow" w:cs="Arial Narrow"/>
                <w:b/>
                <w:bCs/>
                <w:color w:val="2C9ADC"/>
                <w:sz w:val="20"/>
                <w:szCs w:val="20"/>
              </w:rPr>
              <w:t xml:space="preserve"> </w:t>
            </w:r>
            <w:r>
              <w:rPr>
                <w:rFonts w:ascii="Arial Narrow" w:hAnsi="Arial Narrow" w:cs="Arial Narrow"/>
                <w:b/>
                <w:bCs/>
                <w:color w:val="2C9ADC"/>
                <w:sz w:val="20"/>
                <w:szCs w:val="20"/>
              </w:rPr>
              <w:t>Úroveň reálneho HDP v prognózach MF SR (2019=100)</w:t>
            </w:r>
            <w:bookmarkEnd w:id="7"/>
          </w:p>
        </w:tc>
        <w:tc>
          <w:tcPr>
            <w:tcW w:w="80" w:type="pct"/>
            <w:tcBorders>
              <w:top w:val="nil"/>
              <w:left w:val="nil"/>
              <w:bottom w:val="nil"/>
              <w:right w:val="nil"/>
            </w:tcBorders>
            <w:shd w:val="clear" w:color="auto" w:fill="auto"/>
          </w:tcPr>
          <w:p w14:paraId="1DCA4392" w14:textId="77777777" w:rsidR="002A0289" w:rsidRPr="00C1586F" w:rsidRDefault="002A0289" w:rsidP="00616580">
            <w:pPr>
              <w:widowControl w:val="0"/>
              <w:spacing w:before="60" w:after="60"/>
              <w:rPr>
                <w:rFonts w:ascii="Arial Narrow" w:hAnsi="Arial Narrow" w:cs="Arial"/>
                <w:b/>
                <w:color w:val="2C9ADC"/>
                <w:sz w:val="20"/>
                <w:szCs w:val="20"/>
                <w:highlight w:val="yellow"/>
              </w:rPr>
            </w:pPr>
          </w:p>
        </w:tc>
        <w:tc>
          <w:tcPr>
            <w:tcW w:w="2412" w:type="pct"/>
            <w:tcBorders>
              <w:top w:val="nil"/>
              <w:left w:val="nil"/>
              <w:bottom w:val="single" w:sz="4" w:space="0" w:color="auto"/>
              <w:right w:val="nil"/>
            </w:tcBorders>
            <w:shd w:val="clear" w:color="auto" w:fill="auto"/>
          </w:tcPr>
          <w:p w14:paraId="738EEBA9" w14:textId="4164410C" w:rsidR="002A0289" w:rsidRPr="00C1586F" w:rsidRDefault="002A0289" w:rsidP="00616580">
            <w:pPr>
              <w:widowControl w:val="0"/>
              <w:spacing w:before="40" w:after="40"/>
              <w:jc w:val="both"/>
              <w:rPr>
                <w:rFonts w:ascii="Arial Narrow" w:hAnsi="Arial Narrow"/>
                <w:b/>
                <w:color w:val="2C9ADC"/>
                <w:sz w:val="20"/>
                <w:szCs w:val="20"/>
                <w:highlight w:val="yellow"/>
              </w:rPr>
            </w:pPr>
            <w:bookmarkStart w:id="8" w:name="_Toc179814661"/>
            <w:r w:rsidRPr="00714ED4">
              <w:rPr>
                <w:rFonts w:ascii="Arial Narrow" w:hAnsi="Arial Narrow"/>
                <w:b/>
                <w:color w:val="2C9ADC"/>
                <w:sz w:val="20"/>
                <w:szCs w:val="20"/>
              </w:rPr>
              <w:t xml:space="preserve">GRAF </w:t>
            </w:r>
            <w:r w:rsidRPr="00714ED4">
              <w:rPr>
                <w:rFonts w:ascii="Arial Narrow" w:hAnsi="Arial Narrow"/>
                <w:b/>
                <w:color w:val="2C9ADC"/>
                <w:sz w:val="20"/>
                <w:szCs w:val="20"/>
              </w:rPr>
              <w:fldChar w:fldCharType="begin"/>
            </w:r>
            <w:r w:rsidRPr="00714ED4">
              <w:rPr>
                <w:rFonts w:ascii="Arial Narrow" w:hAnsi="Arial Narrow"/>
                <w:b/>
                <w:color w:val="2C9ADC"/>
                <w:sz w:val="20"/>
                <w:szCs w:val="20"/>
              </w:rPr>
              <w:instrText xml:space="preserve"> SEQ GRAF \* ARABIC </w:instrText>
            </w:r>
            <w:r w:rsidRPr="00714ED4">
              <w:rPr>
                <w:rFonts w:ascii="Arial Narrow" w:hAnsi="Arial Narrow"/>
                <w:b/>
                <w:color w:val="2C9ADC"/>
                <w:sz w:val="20"/>
                <w:szCs w:val="20"/>
              </w:rPr>
              <w:fldChar w:fldCharType="separate"/>
            </w:r>
            <w:r w:rsidR="007A664D">
              <w:rPr>
                <w:rFonts w:ascii="Arial Narrow" w:hAnsi="Arial Narrow"/>
                <w:b/>
                <w:noProof/>
                <w:color w:val="2C9ADC"/>
                <w:sz w:val="20"/>
                <w:szCs w:val="20"/>
              </w:rPr>
              <w:t>2</w:t>
            </w:r>
            <w:r w:rsidRPr="00714ED4">
              <w:rPr>
                <w:rFonts w:ascii="Arial Narrow" w:hAnsi="Arial Narrow"/>
                <w:b/>
                <w:color w:val="2C9ADC"/>
                <w:sz w:val="20"/>
                <w:szCs w:val="20"/>
              </w:rPr>
              <w:fldChar w:fldCharType="end"/>
            </w:r>
            <w:r w:rsidRPr="00714ED4">
              <w:rPr>
                <w:rFonts w:ascii="Arial Narrow" w:hAnsi="Arial Narrow"/>
                <w:b/>
                <w:color w:val="2C9ADC"/>
                <w:sz w:val="20"/>
                <w:szCs w:val="20"/>
              </w:rPr>
              <w:t xml:space="preserve"> –</w:t>
            </w:r>
            <w:r w:rsidRPr="00714ED4">
              <w:t xml:space="preserve"> </w:t>
            </w:r>
            <w:r w:rsidRPr="008B1436">
              <w:rPr>
                <w:rFonts w:ascii="Arial Narrow" w:hAnsi="Arial Narrow"/>
                <w:b/>
                <w:color w:val="2C9ADC"/>
                <w:sz w:val="20"/>
                <w:szCs w:val="20"/>
              </w:rPr>
              <w:t>Vývoj inflácie (rast v %</w:t>
            </w:r>
            <w:r w:rsidRPr="008B1436">
              <w:rPr>
                <w:rFonts w:ascii="Arial Narrow" w:eastAsia="NeueHaasGroteskText W02" w:hAnsi="Arial Narrow" w:cs="Arial"/>
                <w:b/>
                <w:bCs/>
                <w:color w:val="2C9ADC"/>
                <w:sz w:val="20"/>
                <w:szCs w:val="20"/>
                <w:u w:color="2C9ADC"/>
              </w:rPr>
              <w:t>)</w:t>
            </w:r>
            <w:bookmarkEnd w:id="8"/>
          </w:p>
        </w:tc>
      </w:tr>
      <w:tr w:rsidR="002A0289" w:rsidRPr="00C1586F" w14:paraId="76257405" w14:textId="77777777" w:rsidTr="00616580">
        <w:trPr>
          <w:trHeight w:val="866"/>
        </w:trPr>
        <w:tc>
          <w:tcPr>
            <w:tcW w:w="2508" w:type="pct"/>
            <w:tcBorders>
              <w:top w:val="single" w:sz="4" w:space="0" w:color="auto"/>
              <w:left w:val="nil"/>
              <w:bottom w:val="single" w:sz="4" w:space="0" w:color="auto"/>
              <w:right w:val="nil"/>
            </w:tcBorders>
            <w:vAlign w:val="center"/>
          </w:tcPr>
          <w:p w14:paraId="3CF4BF4C" w14:textId="77777777" w:rsidR="002A0289" w:rsidRPr="00C1586F" w:rsidRDefault="002A0289" w:rsidP="00616580">
            <w:pPr>
              <w:widowControl w:val="0"/>
              <w:spacing w:before="40" w:after="40"/>
              <w:jc w:val="center"/>
              <w:rPr>
                <w:rFonts w:ascii="Arial Narrow" w:hAnsi="Arial Narrow" w:cs="Arial"/>
                <w:sz w:val="20"/>
                <w:szCs w:val="20"/>
                <w:highlight w:val="yellow"/>
              </w:rPr>
            </w:pPr>
            <w:r>
              <w:rPr>
                <w:noProof/>
                <w:lang w:eastAsia="sk-SK"/>
              </w:rPr>
              <w:drawing>
                <wp:inline distT="0" distB="0" distL="0" distR="0" wp14:anchorId="7C3094E5" wp14:editId="6B3F08C8">
                  <wp:extent cx="2794000" cy="2089150"/>
                  <wp:effectExtent l="0" t="0" r="6350" b="6350"/>
                  <wp:docPr id="19" name="Graf 19">
                    <a:extLst xmlns:a="http://schemas.openxmlformats.org/drawingml/2006/main">
                      <a:ext uri="{FF2B5EF4-FFF2-40B4-BE49-F238E27FC236}">
                        <a16:creationId xmlns:a16="http://schemas.microsoft.com/office/drawing/2014/main" id="{78E3FE9D-3C30-B1B8-1FE4-71C2526B83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80" w:type="pct"/>
            <w:tcBorders>
              <w:top w:val="nil"/>
              <w:left w:val="nil"/>
              <w:bottom w:val="nil"/>
              <w:right w:val="nil"/>
            </w:tcBorders>
            <w:vAlign w:val="center"/>
          </w:tcPr>
          <w:p w14:paraId="145B9596" w14:textId="77777777" w:rsidR="002A0289" w:rsidRPr="00C1586F" w:rsidRDefault="002A0289" w:rsidP="00616580">
            <w:pPr>
              <w:widowControl w:val="0"/>
              <w:spacing w:before="40" w:after="40"/>
              <w:jc w:val="center"/>
              <w:rPr>
                <w:rFonts w:ascii="Arial Narrow" w:hAnsi="Arial Narrow" w:cs="Arial"/>
                <w:b/>
                <w:sz w:val="20"/>
                <w:szCs w:val="20"/>
                <w:highlight w:val="yellow"/>
              </w:rPr>
            </w:pPr>
          </w:p>
        </w:tc>
        <w:tc>
          <w:tcPr>
            <w:tcW w:w="2412" w:type="pct"/>
            <w:tcBorders>
              <w:top w:val="single" w:sz="4" w:space="0" w:color="auto"/>
              <w:left w:val="nil"/>
              <w:bottom w:val="single" w:sz="4" w:space="0" w:color="auto"/>
              <w:right w:val="nil"/>
            </w:tcBorders>
            <w:vAlign w:val="bottom"/>
          </w:tcPr>
          <w:p w14:paraId="18866034" w14:textId="77777777" w:rsidR="002A0289" w:rsidRPr="00C1586F" w:rsidRDefault="002A0289" w:rsidP="00616580">
            <w:pPr>
              <w:widowControl w:val="0"/>
              <w:spacing w:before="40" w:after="40"/>
              <w:rPr>
                <w:rFonts w:ascii="Arial Narrow" w:hAnsi="Arial Narrow" w:cs="Arial"/>
                <w:sz w:val="20"/>
                <w:szCs w:val="20"/>
                <w:highlight w:val="yellow"/>
              </w:rPr>
            </w:pPr>
            <w:r>
              <w:rPr>
                <w:noProof/>
                <w:lang w:eastAsia="sk-SK"/>
              </w:rPr>
              <w:drawing>
                <wp:inline distT="0" distB="0" distL="0" distR="0" wp14:anchorId="4EBD1E5D" wp14:editId="78C4A5A8">
                  <wp:extent cx="2720340" cy="2057400"/>
                  <wp:effectExtent l="0" t="0" r="3810" b="0"/>
                  <wp:docPr id="20" name="Graf 20">
                    <a:extLst xmlns:a="http://schemas.openxmlformats.org/drawingml/2006/main">
                      <a:ext uri="{FF2B5EF4-FFF2-40B4-BE49-F238E27FC236}">
                        <a16:creationId xmlns:a16="http://schemas.microsoft.com/office/drawing/2014/main" id="{285B7F8D-EC77-4504-891B-FC1533F816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Del="00714ED4">
              <w:rPr>
                <w:noProof/>
              </w:rPr>
              <w:t xml:space="preserve"> </w:t>
            </w:r>
          </w:p>
        </w:tc>
      </w:tr>
      <w:tr w:rsidR="002A0289" w:rsidRPr="005516F4" w14:paraId="6B769527" w14:textId="77777777" w:rsidTr="00616580">
        <w:trPr>
          <w:trHeight w:val="108"/>
        </w:trPr>
        <w:tc>
          <w:tcPr>
            <w:tcW w:w="5000" w:type="pct"/>
            <w:gridSpan w:val="3"/>
            <w:tcBorders>
              <w:top w:val="single" w:sz="4" w:space="0" w:color="auto"/>
              <w:left w:val="nil"/>
              <w:bottom w:val="nil"/>
              <w:right w:val="nil"/>
            </w:tcBorders>
          </w:tcPr>
          <w:p w14:paraId="15E0C873" w14:textId="77777777" w:rsidR="002A0289" w:rsidRPr="005516F4" w:rsidRDefault="002A0289" w:rsidP="00616580">
            <w:pPr>
              <w:widowControl w:val="0"/>
              <w:spacing w:before="40" w:after="40"/>
              <w:jc w:val="right"/>
              <w:rPr>
                <w:rFonts w:ascii="Arial Narrow" w:hAnsi="Arial Narrow"/>
                <w:b/>
                <w:iCs/>
                <w:color w:val="000000"/>
              </w:rPr>
            </w:pPr>
            <w:r w:rsidRPr="005516F4">
              <w:rPr>
                <w:rFonts w:ascii="Arial Narrow" w:hAnsi="Arial Narrow"/>
                <w:i/>
                <w:sz w:val="16"/>
                <w:szCs w:val="16"/>
              </w:rPr>
              <w:t xml:space="preserve">Zdroj: </w:t>
            </w:r>
            <w:r>
              <w:rPr>
                <w:rFonts w:ascii="Arial Narrow" w:hAnsi="Arial Narrow"/>
                <w:i/>
                <w:sz w:val="16"/>
                <w:szCs w:val="16"/>
              </w:rPr>
              <w:t>MF SR</w:t>
            </w:r>
          </w:p>
        </w:tc>
      </w:tr>
    </w:tbl>
    <w:p w14:paraId="5267B71F" w14:textId="58090ACA" w:rsidR="002A0289" w:rsidRDefault="00786EB3" w:rsidP="00DE783C">
      <w:pPr>
        <w:spacing w:after="120" w:line="276" w:lineRule="auto"/>
        <w:jc w:val="both"/>
        <w:rPr>
          <w:rFonts w:ascii="Arial Narrow" w:hAnsi="Arial Narrow"/>
        </w:rPr>
      </w:pPr>
      <w:r>
        <w:rPr>
          <w:rFonts w:ascii="Arial Narrow" w:hAnsi="Arial Narrow"/>
          <w:b/>
          <w:bCs/>
        </w:rPr>
        <w:t>Trh práce je stabilný s mierou</w:t>
      </w:r>
      <w:r w:rsidR="002A0289" w:rsidRPr="00596AD7">
        <w:rPr>
          <w:rFonts w:ascii="Arial Narrow" w:hAnsi="Arial Narrow"/>
          <w:b/>
          <w:bCs/>
        </w:rPr>
        <w:t xml:space="preserve"> nezamestnanosti </w:t>
      </w:r>
      <w:r w:rsidR="002A0289">
        <w:rPr>
          <w:rFonts w:ascii="Arial Narrow" w:hAnsi="Arial Narrow"/>
          <w:b/>
          <w:bCs/>
        </w:rPr>
        <w:t>na historickom minime</w:t>
      </w:r>
      <w:r w:rsidR="00611C7B">
        <w:rPr>
          <w:rFonts w:ascii="Arial Narrow" w:hAnsi="Arial Narrow"/>
          <w:b/>
          <w:bCs/>
        </w:rPr>
        <w:t xml:space="preserve">, no </w:t>
      </w:r>
      <w:r w:rsidR="00FE3C5C">
        <w:rPr>
          <w:rFonts w:ascii="Arial Narrow" w:hAnsi="Arial Narrow"/>
          <w:b/>
          <w:bCs/>
        </w:rPr>
        <w:t>kvôli demografickým zmenám bude práce ubúdať.</w:t>
      </w:r>
      <w:r w:rsidR="002A0289">
        <w:rPr>
          <w:rFonts w:ascii="Arial Narrow" w:hAnsi="Arial Narrow"/>
          <w:b/>
          <w:bCs/>
        </w:rPr>
        <w:t xml:space="preserve"> </w:t>
      </w:r>
      <w:r w:rsidR="00FB1334">
        <w:rPr>
          <w:rFonts w:ascii="Arial Narrow" w:hAnsi="Arial Narrow"/>
        </w:rPr>
        <w:t xml:space="preserve">Miera nezamestnanosti klesla po dočasnom náraste v pandémii </w:t>
      </w:r>
      <w:r w:rsidR="00FE3C5C">
        <w:rPr>
          <w:rFonts w:ascii="Arial Narrow" w:hAnsi="Arial Narrow"/>
        </w:rPr>
        <w:t xml:space="preserve">v roku 2024 </w:t>
      </w:r>
      <w:r w:rsidR="00FB1334">
        <w:rPr>
          <w:rFonts w:ascii="Arial Narrow" w:hAnsi="Arial Narrow"/>
        </w:rPr>
        <w:t xml:space="preserve">na historické minimum a počet voľných pracovných miest je na </w:t>
      </w:r>
      <w:r w:rsidR="00FE3C5C">
        <w:rPr>
          <w:rFonts w:ascii="Arial Narrow" w:hAnsi="Arial Narrow"/>
        </w:rPr>
        <w:t xml:space="preserve">vysokých </w:t>
      </w:r>
      <w:r w:rsidR="00FB1334">
        <w:rPr>
          <w:rFonts w:ascii="Arial Narrow" w:hAnsi="Arial Narrow"/>
        </w:rPr>
        <w:t xml:space="preserve">úrovniach spred roku 2020. </w:t>
      </w:r>
      <w:r w:rsidR="00FE3C5C">
        <w:rPr>
          <w:rFonts w:ascii="Arial Narrow" w:hAnsi="Arial Narrow"/>
        </w:rPr>
        <w:t>Zamestnanosť však nestúpa, keďže ju obmedzuje nedostatok pracovníkov ako aj v</w:t>
      </w:r>
      <w:r w:rsidR="002A0289">
        <w:rPr>
          <w:rFonts w:ascii="Arial Narrow" w:hAnsi="Arial Narrow"/>
        </w:rPr>
        <w:t xml:space="preserve">yšší počet predčasných </w:t>
      </w:r>
      <w:r w:rsidR="00FE3C5C">
        <w:rPr>
          <w:rFonts w:ascii="Arial Narrow" w:hAnsi="Arial Narrow"/>
        </w:rPr>
        <w:t xml:space="preserve">odchodov do </w:t>
      </w:r>
      <w:r w:rsidR="002A0289">
        <w:rPr>
          <w:rFonts w:ascii="Arial Narrow" w:hAnsi="Arial Narrow"/>
        </w:rPr>
        <w:t>dôchodkov</w:t>
      </w:r>
      <w:r w:rsidR="00FE3C5C">
        <w:rPr>
          <w:rFonts w:ascii="Arial Narrow" w:hAnsi="Arial Narrow"/>
        </w:rPr>
        <w:t>. Podporou je množstvo práce ponúkanej pracovníkmi zo zahraničia, ktorých láka dynamicky rastúca mzda.</w:t>
      </w:r>
      <w:r w:rsidR="002A0289">
        <w:rPr>
          <w:rFonts w:ascii="Arial Narrow" w:hAnsi="Arial Narrow"/>
        </w:rPr>
        <w:t xml:space="preserve"> Zamestnanosť sa</w:t>
      </w:r>
      <w:r w:rsidR="00FE3C5C">
        <w:rPr>
          <w:rFonts w:ascii="Arial Narrow" w:hAnsi="Arial Narrow"/>
        </w:rPr>
        <w:t xml:space="preserve"> k rastu vráti až od roku 2025, keď e</w:t>
      </w:r>
      <w:r w:rsidR="002A0289">
        <w:rPr>
          <w:rFonts w:ascii="Arial Narrow" w:hAnsi="Arial Narrow"/>
        </w:rPr>
        <w:t>fekt zvýšených odchodov do predčasného starobného dôchodku vyprchá a trh práce podporí aj čerpanie zdrojov z Plánu obnovy a </w:t>
      </w:r>
      <w:r w:rsidR="00FE3C5C">
        <w:rPr>
          <w:rFonts w:ascii="Arial Narrow" w:hAnsi="Arial Narrow"/>
        </w:rPr>
        <w:t>odolnosti</w:t>
      </w:r>
      <w:r w:rsidR="002A0289">
        <w:rPr>
          <w:rFonts w:ascii="Arial Narrow" w:hAnsi="Arial Narrow"/>
        </w:rPr>
        <w:t xml:space="preserve">. </w:t>
      </w:r>
      <w:r w:rsidR="00FE3C5C">
        <w:rPr>
          <w:rFonts w:ascii="Arial Narrow" w:hAnsi="Arial Narrow"/>
        </w:rPr>
        <w:t xml:space="preserve">Od roku 2027 bude však práce menej, keďže dostupné množstvo pracovnej sily sa bude každoročne znižovať. </w:t>
      </w:r>
    </w:p>
    <w:p w14:paraId="3A85A597" w14:textId="77777777" w:rsidR="00D65A76" w:rsidRDefault="00D65A76" w:rsidP="00DE783C">
      <w:pPr>
        <w:spacing w:after="120" w:line="276" w:lineRule="auto"/>
        <w:jc w:val="both"/>
        <w:rPr>
          <w:rFonts w:ascii="Arial Narrow" w:hAnsi="Arial Narrow"/>
        </w:rPr>
      </w:pPr>
    </w:p>
    <w:tbl>
      <w:tblPr>
        <w:tblpPr w:leftFromText="141" w:rightFromText="141" w:vertAnchor="text" w:horzAnchor="margin" w:tblpY="61"/>
        <w:tblOverlap w:val="neve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4519"/>
        <w:gridCol w:w="146"/>
        <w:gridCol w:w="4407"/>
      </w:tblGrid>
      <w:tr w:rsidR="002A0289" w:rsidRPr="00C1586F" w14:paraId="7D1127E0" w14:textId="77777777" w:rsidTr="00616580">
        <w:trPr>
          <w:trHeight w:val="339"/>
        </w:trPr>
        <w:tc>
          <w:tcPr>
            <w:tcW w:w="2491" w:type="pct"/>
            <w:tcBorders>
              <w:top w:val="nil"/>
              <w:left w:val="nil"/>
              <w:bottom w:val="single" w:sz="4" w:space="0" w:color="auto"/>
              <w:right w:val="nil"/>
            </w:tcBorders>
            <w:shd w:val="clear" w:color="auto" w:fill="auto"/>
          </w:tcPr>
          <w:p w14:paraId="6FE8F1EE" w14:textId="05A249C7" w:rsidR="002A0289" w:rsidRPr="00C1586F" w:rsidRDefault="002A0289" w:rsidP="00616580">
            <w:pPr>
              <w:widowControl w:val="0"/>
              <w:spacing w:before="40" w:after="40"/>
              <w:jc w:val="both"/>
              <w:rPr>
                <w:rFonts w:ascii="Arial Narrow" w:eastAsia="NeueHaasGroteskText W02" w:hAnsi="Arial Narrow" w:cs="Arial"/>
                <w:b/>
                <w:bCs/>
                <w:color w:val="2C9ADC"/>
                <w:sz w:val="20"/>
                <w:szCs w:val="20"/>
                <w:highlight w:val="yellow"/>
                <w:u w:color="2C9ADC"/>
              </w:rPr>
            </w:pPr>
            <w:bookmarkStart w:id="9" w:name="_Toc179814662"/>
            <w:r w:rsidRPr="005516F4">
              <w:rPr>
                <w:rFonts w:ascii="Arial Narrow" w:hAnsi="Arial Narrow"/>
                <w:b/>
                <w:color w:val="2C9ADC"/>
                <w:sz w:val="20"/>
                <w:szCs w:val="20"/>
              </w:rPr>
              <w:lastRenderedPageBreak/>
              <w:t xml:space="preserve">GRAF </w:t>
            </w:r>
            <w:r w:rsidRPr="005516F4">
              <w:rPr>
                <w:rFonts w:ascii="Arial Narrow" w:hAnsi="Arial Narrow"/>
                <w:b/>
                <w:color w:val="2C9ADC"/>
                <w:sz w:val="20"/>
                <w:szCs w:val="20"/>
              </w:rPr>
              <w:fldChar w:fldCharType="begin"/>
            </w:r>
            <w:r w:rsidRPr="005516F4">
              <w:rPr>
                <w:rFonts w:ascii="Arial Narrow" w:hAnsi="Arial Narrow"/>
                <w:b/>
                <w:color w:val="2C9ADC"/>
                <w:sz w:val="20"/>
                <w:szCs w:val="20"/>
              </w:rPr>
              <w:instrText xml:space="preserve"> SEQ GRAF \* ARABIC </w:instrText>
            </w:r>
            <w:r w:rsidRPr="005516F4">
              <w:rPr>
                <w:rFonts w:ascii="Arial Narrow" w:hAnsi="Arial Narrow"/>
                <w:b/>
                <w:color w:val="2C9ADC"/>
                <w:sz w:val="20"/>
                <w:szCs w:val="20"/>
              </w:rPr>
              <w:fldChar w:fldCharType="separate"/>
            </w:r>
            <w:r w:rsidR="007A664D">
              <w:rPr>
                <w:rFonts w:ascii="Arial Narrow" w:hAnsi="Arial Narrow"/>
                <w:b/>
                <w:noProof/>
                <w:color w:val="2C9ADC"/>
                <w:sz w:val="20"/>
                <w:szCs w:val="20"/>
              </w:rPr>
              <w:t>3</w:t>
            </w:r>
            <w:r w:rsidRPr="005516F4">
              <w:rPr>
                <w:rFonts w:ascii="Arial Narrow" w:hAnsi="Arial Narrow"/>
                <w:b/>
                <w:color w:val="2C9ADC"/>
                <w:sz w:val="20"/>
                <w:szCs w:val="20"/>
              </w:rPr>
              <w:fldChar w:fldCharType="end"/>
            </w:r>
            <w:r w:rsidRPr="005516F4">
              <w:rPr>
                <w:rFonts w:ascii="Arial Narrow" w:hAnsi="Arial Narrow"/>
                <w:b/>
                <w:color w:val="2C9ADC"/>
                <w:sz w:val="20"/>
                <w:szCs w:val="20"/>
              </w:rPr>
              <w:t xml:space="preserve"> –</w:t>
            </w:r>
            <w:r>
              <w:t xml:space="preserve"> </w:t>
            </w:r>
            <w:r w:rsidRPr="00BB1EAC">
              <w:rPr>
                <w:rFonts w:ascii="Arial Narrow" w:hAnsi="Arial Narrow"/>
                <w:b/>
                <w:color w:val="2C9ADC"/>
                <w:sz w:val="20"/>
                <w:szCs w:val="20"/>
              </w:rPr>
              <w:t xml:space="preserve">Nezamestnanosť a voľné pracovné miesta </w:t>
            </w:r>
            <w:r w:rsidRPr="00BB1EAC">
              <w:rPr>
                <w:rFonts w:ascii="Arial Narrow" w:eastAsia="NeueHaasGroteskText W02" w:hAnsi="Arial Narrow" w:cs="Arial"/>
                <w:b/>
                <w:bCs/>
                <w:color w:val="2C9ADC"/>
                <w:sz w:val="20"/>
                <w:szCs w:val="20"/>
                <w:u w:color="2C9ADC"/>
              </w:rPr>
              <w:t>(</w:t>
            </w:r>
            <w:r>
              <w:rPr>
                <w:rFonts w:ascii="Arial Narrow" w:eastAsia="NeueHaasGroteskText W02" w:hAnsi="Arial Narrow" w:cs="Arial"/>
                <w:b/>
                <w:bCs/>
                <w:color w:val="2C9ADC"/>
                <w:sz w:val="20"/>
                <w:szCs w:val="20"/>
                <w:u w:color="2C9ADC"/>
              </w:rPr>
              <w:t>v</w:t>
            </w:r>
            <w:r w:rsidR="00015BD5">
              <w:rPr>
                <w:rFonts w:ascii="Arial Narrow" w:eastAsia="NeueHaasGroteskText W02" w:hAnsi="Arial Narrow" w:cs="Arial"/>
                <w:b/>
                <w:bCs/>
                <w:color w:val="2C9ADC"/>
                <w:sz w:val="20"/>
                <w:szCs w:val="20"/>
                <w:u w:color="2C9ADC"/>
              </w:rPr>
              <w:t> </w:t>
            </w:r>
            <w:r w:rsidRPr="00BB1EAC">
              <w:rPr>
                <w:rFonts w:ascii="Arial Narrow" w:eastAsia="NeueHaasGroteskText W02" w:hAnsi="Arial Narrow" w:cs="Arial"/>
                <w:b/>
                <w:bCs/>
                <w:color w:val="2C9ADC"/>
                <w:sz w:val="20"/>
                <w:szCs w:val="20"/>
                <w:u w:color="2C9ADC"/>
              </w:rPr>
              <w:t>%)</w:t>
            </w:r>
            <w:bookmarkEnd w:id="9"/>
          </w:p>
        </w:tc>
        <w:tc>
          <w:tcPr>
            <w:tcW w:w="80" w:type="pct"/>
            <w:tcBorders>
              <w:top w:val="nil"/>
              <w:left w:val="nil"/>
              <w:bottom w:val="nil"/>
              <w:right w:val="nil"/>
            </w:tcBorders>
            <w:shd w:val="clear" w:color="auto" w:fill="auto"/>
          </w:tcPr>
          <w:p w14:paraId="56963736" w14:textId="77777777" w:rsidR="002A0289" w:rsidRPr="00C1586F" w:rsidRDefault="002A0289" w:rsidP="00616580">
            <w:pPr>
              <w:widowControl w:val="0"/>
              <w:spacing w:before="60" w:after="60"/>
              <w:rPr>
                <w:rFonts w:ascii="Arial Narrow" w:hAnsi="Arial Narrow" w:cs="Arial"/>
                <w:b/>
                <w:color w:val="2C9ADC"/>
                <w:sz w:val="20"/>
                <w:szCs w:val="20"/>
                <w:highlight w:val="yellow"/>
              </w:rPr>
            </w:pPr>
          </w:p>
        </w:tc>
        <w:tc>
          <w:tcPr>
            <w:tcW w:w="2429" w:type="pct"/>
            <w:tcBorders>
              <w:top w:val="nil"/>
              <w:left w:val="nil"/>
              <w:bottom w:val="single" w:sz="4" w:space="0" w:color="auto"/>
              <w:right w:val="nil"/>
            </w:tcBorders>
            <w:shd w:val="clear" w:color="auto" w:fill="auto"/>
          </w:tcPr>
          <w:p w14:paraId="5BD10747" w14:textId="6A1EFD72" w:rsidR="002A0289" w:rsidRPr="00C1586F" w:rsidRDefault="002A0289" w:rsidP="00616580">
            <w:pPr>
              <w:widowControl w:val="0"/>
              <w:spacing w:before="40" w:after="40"/>
              <w:jc w:val="both"/>
              <w:rPr>
                <w:rFonts w:ascii="Arial Narrow" w:hAnsi="Arial Narrow"/>
                <w:b/>
                <w:color w:val="2C9ADC"/>
                <w:sz w:val="20"/>
                <w:szCs w:val="20"/>
                <w:highlight w:val="yellow"/>
              </w:rPr>
            </w:pPr>
            <w:bookmarkStart w:id="10" w:name="_Toc179814663"/>
            <w:r w:rsidRPr="00062544">
              <w:rPr>
                <w:rFonts w:ascii="Arial Narrow" w:hAnsi="Arial Narrow" w:cs="Arial Narrow"/>
                <w:b/>
                <w:bCs/>
                <w:color w:val="2C9ADC"/>
                <w:sz w:val="20"/>
                <w:szCs w:val="20"/>
              </w:rPr>
              <w:t xml:space="preserve">GRAF </w:t>
            </w:r>
            <w:r w:rsidRPr="00062544">
              <w:rPr>
                <w:rFonts w:ascii="Arial Narrow" w:hAnsi="Arial Narrow"/>
                <w:b/>
                <w:color w:val="2C9ADC"/>
                <w:sz w:val="20"/>
                <w:szCs w:val="20"/>
              </w:rPr>
              <w:fldChar w:fldCharType="begin"/>
            </w:r>
            <w:r w:rsidRPr="00062544">
              <w:rPr>
                <w:rFonts w:ascii="Arial Narrow" w:hAnsi="Arial Narrow"/>
                <w:b/>
                <w:color w:val="2C9ADC"/>
                <w:sz w:val="20"/>
                <w:szCs w:val="20"/>
              </w:rPr>
              <w:instrText xml:space="preserve"> SEQ GRAF \* ARABIC </w:instrText>
            </w:r>
            <w:r w:rsidRPr="00062544">
              <w:rPr>
                <w:rFonts w:ascii="Arial Narrow" w:hAnsi="Arial Narrow"/>
                <w:b/>
                <w:color w:val="2C9ADC"/>
                <w:sz w:val="20"/>
                <w:szCs w:val="20"/>
              </w:rPr>
              <w:fldChar w:fldCharType="separate"/>
            </w:r>
            <w:r w:rsidR="007A664D">
              <w:rPr>
                <w:rFonts w:ascii="Arial Narrow" w:hAnsi="Arial Narrow"/>
                <w:b/>
                <w:noProof/>
                <w:color w:val="2C9ADC"/>
                <w:sz w:val="20"/>
                <w:szCs w:val="20"/>
              </w:rPr>
              <w:t>4</w:t>
            </w:r>
            <w:r w:rsidRPr="00062544">
              <w:rPr>
                <w:rFonts w:ascii="Arial Narrow" w:hAnsi="Arial Narrow"/>
                <w:b/>
                <w:color w:val="2C9ADC"/>
                <w:sz w:val="20"/>
                <w:szCs w:val="20"/>
              </w:rPr>
              <w:fldChar w:fldCharType="end"/>
            </w:r>
            <w:r w:rsidR="00342424">
              <w:rPr>
                <w:rFonts w:ascii="Arial Narrow" w:hAnsi="Arial Narrow"/>
                <w:b/>
                <w:color w:val="2C9ADC"/>
                <w:sz w:val="20"/>
                <w:szCs w:val="20"/>
              </w:rPr>
              <w:t xml:space="preserve"> – P</w:t>
            </w:r>
            <w:r>
              <w:rPr>
                <w:rFonts w:ascii="Arial Narrow" w:hAnsi="Arial Narrow" w:cs="Arial Narrow"/>
                <w:b/>
                <w:bCs/>
                <w:color w:val="2C9ADC"/>
                <w:sz w:val="20"/>
                <w:szCs w:val="20"/>
              </w:rPr>
              <w:t>rodukčná medzera bez a s plánovanou konsolidáciou (% potenciálneho produktu</w:t>
            </w:r>
            <w:r w:rsidR="00E20A72">
              <w:rPr>
                <w:rFonts w:ascii="Arial Narrow" w:hAnsi="Arial Narrow" w:cs="Arial Narrow"/>
                <w:b/>
                <w:bCs/>
                <w:color w:val="2C9ADC"/>
                <w:sz w:val="20"/>
                <w:szCs w:val="20"/>
              </w:rPr>
              <w:t>)</w:t>
            </w:r>
            <w:bookmarkEnd w:id="10"/>
          </w:p>
        </w:tc>
      </w:tr>
      <w:tr w:rsidR="002A0289" w:rsidRPr="00C1586F" w14:paraId="653AC3B7" w14:textId="77777777" w:rsidTr="00616580">
        <w:trPr>
          <w:trHeight w:val="866"/>
        </w:trPr>
        <w:tc>
          <w:tcPr>
            <w:tcW w:w="2491" w:type="pct"/>
            <w:tcBorders>
              <w:top w:val="single" w:sz="4" w:space="0" w:color="auto"/>
              <w:left w:val="nil"/>
              <w:bottom w:val="single" w:sz="4" w:space="0" w:color="auto"/>
              <w:right w:val="nil"/>
            </w:tcBorders>
            <w:vAlign w:val="center"/>
          </w:tcPr>
          <w:p w14:paraId="1633AA99" w14:textId="77777777" w:rsidR="002A0289" w:rsidRPr="00C1586F" w:rsidRDefault="002A0289" w:rsidP="00616580">
            <w:pPr>
              <w:widowControl w:val="0"/>
              <w:spacing w:before="40" w:after="40"/>
              <w:jc w:val="center"/>
              <w:rPr>
                <w:rFonts w:ascii="Arial Narrow" w:hAnsi="Arial Narrow" w:cs="Arial"/>
                <w:sz w:val="20"/>
                <w:szCs w:val="20"/>
                <w:highlight w:val="yellow"/>
              </w:rPr>
            </w:pPr>
            <w:r>
              <w:rPr>
                <w:noProof/>
                <w:lang w:eastAsia="sk-SK"/>
              </w:rPr>
              <w:drawing>
                <wp:inline distT="0" distB="0" distL="0" distR="0" wp14:anchorId="42105685" wp14:editId="07D40A81">
                  <wp:extent cx="2762759" cy="1643380"/>
                  <wp:effectExtent l="0" t="0" r="0" b="0"/>
                  <wp:docPr id="1928761892" name="Graf 1">
                    <a:extLst xmlns:a="http://schemas.openxmlformats.org/drawingml/2006/main">
                      <a:ext uri="{FF2B5EF4-FFF2-40B4-BE49-F238E27FC236}">
                        <a16:creationId xmlns:a16="http://schemas.microsoft.com/office/drawing/2014/main" id="{1B865979-FDFC-4A3C-A025-D5DFC083C3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80" w:type="pct"/>
            <w:tcBorders>
              <w:top w:val="nil"/>
              <w:left w:val="nil"/>
              <w:bottom w:val="nil"/>
              <w:right w:val="nil"/>
            </w:tcBorders>
            <w:vAlign w:val="center"/>
          </w:tcPr>
          <w:p w14:paraId="57246A8D" w14:textId="77777777" w:rsidR="002A0289" w:rsidRPr="00C1586F" w:rsidRDefault="002A0289" w:rsidP="00616580">
            <w:pPr>
              <w:widowControl w:val="0"/>
              <w:spacing w:before="40" w:after="40"/>
              <w:jc w:val="center"/>
              <w:rPr>
                <w:rFonts w:ascii="Arial Narrow" w:hAnsi="Arial Narrow" w:cs="Arial"/>
                <w:b/>
                <w:sz w:val="20"/>
                <w:szCs w:val="20"/>
                <w:highlight w:val="yellow"/>
              </w:rPr>
            </w:pPr>
          </w:p>
        </w:tc>
        <w:tc>
          <w:tcPr>
            <w:tcW w:w="2429" w:type="pct"/>
            <w:tcBorders>
              <w:top w:val="single" w:sz="4" w:space="0" w:color="auto"/>
              <w:left w:val="nil"/>
              <w:bottom w:val="single" w:sz="4" w:space="0" w:color="auto"/>
              <w:right w:val="nil"/>
            </w:tcBorders>
            <w:vAlign w:val="bottom"/>
          </w:tcPr>
          <w:p w14:paraId="2B187B31" w14:textId="77777777" w:rsidR="002A0289" w:rsidRPr="00C1586F" w:rsidRDefault="002A0289" w:rsidP="00616580">
            <w:pPr>
              <w:widowControl w:val="0"/>
              <w:spacing w:before="40" w:after="40"/>
              <w:rPr>
                <w:rFonts w:ascii="Arial Narrow" w:hAnsi="Arial Narrow" w:cs="Arial"/>
                <w:sz w:val="20"/>
                <w:szCs w:val="20"/>
                <w:highlight w:val="yellow"/>
              </w:rPr>
            </w:pPr>
            <w:r>
              <w:rPr>
                <w:noProof/>
                <w:lang w:eastAsia="sk-SK"/>
              </w:rPr>
              <w:drawing>
                <wp:inline distT="0" distB="0" distL="0" distR="0" wp14:anchorId="6CA3B6B3" wp14:editId="21AA4FE9">
                  <wp:extent cx="2667000" cy="1790700"/>
                  <wp:effectExtent l="0" t="0" r="0" b="0"/>
                  <wp:docPr id="5" name="Graf 5">
                    <a:extLst xmlns:a="http://schemas.openxmlformats.org/drawingml/2006/main">
                      <a:ext uri="{FF2B5EF4-FFF2-40B4-BE49-F238E27FC236}">
                        <a16:creationId xmlns:a16="http://schemas.microsoft.com/office/drawing/2014/main" id="{C3F5F77C-F80D-43A8-9878-3AF0AA9F8B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r w:rsidR="002A0289" w:rsidRPr="005516F4" w14:paraId="511857D8" w14:textId="77777777" w:rsidTr="00616580">
        <w:trPr>
          <w:trHeight w:val="108"/>
        </w:trPr>
        <w:tc>
          <w:tcPr>
            <w:tcW w:w="5000" w:type="pct"/>
            <w:gridSpan w:val="3"/>
            <w:tcBorders>
              <w:top w:val="single" w:sz="4" w:space="0" w:color="auto"/>
              <w:left w:val="nil"/>
              <w:bottom w:val="nil"/>
              <w:right w:val="nil"/>
            </w:tcBorders>
          </w:tcPr>
          <w:p w14:paraId="1A73372C" w14:textId="3330F7CB" w:rsidR="002A0289" w:rsidRPr="005516F4" w:rsidRDefault="002A0289" w:rsidP="00616580">
            <w:pPr>
              <w:widowControl w:val="0"/>
              <w:spacing w:before="40" w:after="40"/>
              <w:jc w:val="right"/>
              <w:rPr>
                <w:rFonts w:ascii="Arial Narrow" w:hAnsi="Arial Narrow"/>
                <w:b/>
                <w:iCs/>
                <w:color w:val="000000"/>
              </w:rPr>
            </w:pPr>
            <w:r w:rsidRPr="005516F4">
              <w:rPr>
                <w:rFonts w:ascii="Arial Narrow" w:hAnsi="Arial Narrow"/>
                <w:i/>
                <w:sz w:val="16"/>
                <w:szCs w:val="16"/>
              </w:rPr>
              <w:t xml:space="preserve">Zdroj: </w:t>
            </w:r>
            <w:r>
              <w:rPr>
                <w:rFonts w:ascii="Arial Narrow" w:hAnsi="Arial Narrow"/>
                <w:i/>
                <w:sz w:val="16"/>
                <w:szCs w:val="16"/>
              </w:rPr>
              <w:t>ŠÚ SR,</w:t>
            </w:r>
            <w:r w:rsidRPr="005516F4">
              <w:rPr>
                <w:rFonts w:ascii="Arial Narrow" w:hAnsi="Arial Narrow"/>
                <w:i/>
                <w:sz w:val="16"/>
                <w:szCs w:val="16"/>
              </w:rPr>
              <w:t xml:space="preserve"> </w:t>
            </w:r>
            <w:r>
              <w:rPr>
                <w:rFonts w:ascii="Arial Narrow" w:hAnsi="Arial Narrow"/>
                <w:i/>
                <w:sz w:val="16"/>
                <w:szCs w:val="16"/>
              </w:rPr>
              <w:t xml:space="preserve">ÚPSVaR, </w:t>
            </w:r>
            <w:r w:rsidRPr="005516F4">
              <w:rPr>
                <w:rFonts w:ascii="Arial Narrow" w:hAnsi="Arial Narrow"/>
                <w:i/>
                <w:sz w:val="16"/>
                <w:szCs w:val="16"/>
              </w:rPr>
              <w:t>MF SR</w:t>
            </w:r>
          </w:p>
        </w:tc>
      </w:tr>
    </w:tbl>
    <w:p w14:paraId="2DEED089" w14:textId="77777777" w:rsidR="002A0289" w:rsidRPr="00672433" w:rsidRDefault="002A0289" w:rsidP="002A0289">
      <w:pPr>
        <w:spacing w:after="0" w:line="276" w:lineRule="auto"/>
        <w:jc w:val="both"/>
        <w:rPr>
          <w:rFonts w:ascii="Arial Narrow" w:hAnsi="Arial Narrow"/>
        </w:rPr>
      </w:pPr>
    </w:p>
    <w:p w14:paraId="07599DD6" w14:textId="789F0647" w:rsidR="002A0289" w:rsidRPr="00DD0BAC" w:rsidRDefault="00FE3C5C" w:rsidP="000E1AB3">
      <w:pPr>
        <w:spacing w:after="120" w:line="276" w:lineRule="auto"/>
        <w:jc w:val="both"/>
        <w:rPr>
          <w:rFonts w:ascii="Arial Narrow" w:hAnsi="Arial Narrow"/>
        </w:rPr>
      </w:pPr>
      <w:r w:rsidRPr="00EC0FB5">
        <w:rPr>
          <w:rFonts w:ascii="Arial Narrow" w:hAnsi="Arial Narrow"/>
          <w:b/>
          <w:bCs/>
        </w:rPr>
        <w:t>Keďže ekonomi</w:t>
      </w:r>
      <w:r w:rsidR="00611C7B" w:rsidRPr="00EC0FB5">
        <w:rPr>
          <w:rFonts w:ascii="Arial Narrow" w:hAnsi="Arial Narrow"/>
          <w:b/>
          <w:bCs/>
        </w:rPr>
        <w:t>cká aktivita</w:t>
      </w:r>
      <w:r w:rsidRPr="00EC0FB5">
        <w:rPr>
          <w:rFonts w:ascii="Arial Narrow" w:hAnsi="Arial Narrow"/>
          <w:b/>
          <w:bCs/>
        </w:rPr>
        <w:t xml:space="preserve"> je blízko</w:t>
      </w:r>
      <w:r w:rsidR="00611C7B" w:rsidRPr="00EC0FB5">
        <w:rPr>
          <w:rFonts w:ascii="Arial Narrow" w:hAnsi="Arial Narrow"/>
          <w:b/>
          <w:bCs/>
        </w:rPr>
        <w:t xml:space="preserve"> svoj</w:t>
      </w:r>
      <w:r w:rsidR="00611C7B">
        <w:rPr>
          <w:rFonts w:ascii="Arial Narrow" w:hAnsi="Arial Narrow"/>
          <w:b/>
          <w:bCs/>
        </w:rPr>
        <w:t>mu</w:t>
      </w:r>
      <w:r w:rsidR="00611C7B" w:rsidRPr="00EC0FB5">
        <w:rPr>
          <w:rFonts w:ascii="Arial Narrow" w:hAnsi="Arial Narrow"/>
          <w:b/>
          <w:bCs/>
        </w:rPr>
        <w:t xml:space="preserve"> potenciálu,</w:t>
      </w:r>
      <w:r w:rsidR="00611C7B" w:rsidRPr="00611C7B" w:rsidDel="00611C7B">
        <w:rPr>
          <w:rFonts w:ascii="Arial Narrow" w:hAnsi="Arial Narrow"/>
          <w:b/>
          <w:bCs/>
        </w:rPr>
        <w:t xml:space="preserve"> </w:t>
      </w:r>
      <w:r w:rsidR="00611C7B">
        <w:rPr>
          <w:rFonts w:ascii="Arial Narrow" w:hAnsi="Arial Narrow"/>
          <w:b/>
          <w:bCs/>
        </w:rPr>
        <w:t>k</w:t>
      </w:r>
      <w:r w:rsidR="002A0289" w:rsidRPr="00611C7B">
        <w:rPr>
          <w:rFonts w:ascii="Arial Narrow" w:hAnsi="Arial Narrow"/>
          <w:b/>
          <w:bCs/>
        </w:rPr>
        <w:t xml:space="preserve">onsolidácia </w:t>
      </w:r>
      <w:r w:rsidR="00611C7B" w:rsidRPr="00EC0FB5">
        <w:rPr>
          <w:rFonts w:ascii="Arial Narrow" w:hAnsi="Arial Narrow"/>
          <w:b/>
          <w:bCs/>
        </w:rPr>
        <w:t>verejných financií nebude pre ekonomiku tak bolestivá</w:t>
      </w:r>
      <w:r w:rsidR="00924635" w:rsidRPr="00611C7B">
        <w:rPr>
          <w:rFonts w:ascii="Arial Narrow" w:hAnsi="Arial Narrow"/>
          <w:b/>
          <w:bCs/>
        </w:rPr>
        <w:t>.</w:t>
      </w:r>
      <w:r w:rsidR="002A0289" w:rsidRPr="00611C7B">
        <w:rPr>
          <w:rFonts w:ascii="Arial Narrow" w:hAnsi="Arial Narrow"/>
        </w:rPr>
        <w:t xml:space="preserve"> </w:t>
      </w:r>
      <w:r w:rsidR="00611C7B" w:rsidRPr="00EC0FB5">
        <w:rPr>
          <w:rFonts w:ascii="Arial Narrow" w:hAnsi="Arial Narrow"/>
        </w:rPr>
        <w:t xml:space="preserve">V ekonomike sa aktuálne využívajú všetky dostupné kapacity a dopyt po práci je vysoký. </w:t>
      </w:r>
      <w:r w:rsidR="002A0289" w:rsidRPr="00611C7B">
        <w:rPr>
          <w:rFonts w:ascii="Arial Narrow" w:hAnsi="Arial Narrow"/>
        </w:rPr>
        <w:t xml:space="preserve">Konsolidácia verejných financií v nadchádzajúcich rokoch </w:t>
      </w:r>
      <w:r w:rsidR="00611C7B" w:rsidRPr="00EC0FB5">
        <w:rPr>
          <w:rFonts w:ascii="Arial Narrow" w:hAnsi="Arial Narrow"/>
        </w:rPr>
        <w:t xml:space="preserve">tak </w:t>
      </w:r>
      <w:r w:rsidR="002A0289" w:rsidRPr="00611C7B">
        <w:rPr>
          <w:rFonts w:ascii="Arial Narrow" w:hAnsi="Arial Narrow"/>
        </w:rPr>
        <w:t>schladí ekonomiku</w:t>
      </w:r>
      <w:r w:rsidR="00611C7B" w:rsidRPr="00EC0FB5">
        <w:rPr>
          <w:rFonts w:ascii="Arial Narrow" w:hAnsi="Arial Narrow"/>
        </w:rPr>
        <w:t xml:space="preserve"> len mierne.</w:t>
      </w:r>
      <w:r w:rsidR="002A0289" w:rsidRPr="00611C7B">
        <w:rPr>
          <w:rFonts w:ascii="Arial Narrow" w:hAnsi="Arial Narrow"/>
        </w:rPr>
        <w:t xml:space="preserve"> </w:t>
      </w:r>
      <w:r w:rsidR="00611C7B" w:rsidRPr="00EC0FB5">
        <w:rPr>
          <w:rFonts w:ascii="Arial Narrow" w:hAnsi="Arial Narrow"/>
        </w:rPr>
        <w:t>B</w:t>
      </w:r>
      <w:r w:rsidR="002A0289" w:rsidRPr="00611C7B">
        <w:rPr>
          <w:rFonts w:ascii="Arial Narrow" w:hAnsi="Arial Narrow"/>
        </w:rPr>
        <w:t>ez</w:t>
      </w:r>
      <w:r w:rsidR="00611C7B" w:rsidRPr="00EC0FB5">
        <w:rPr>
          <w:rFonts w:ascii="Arial Narrow" w:hAnsi="Arial Narrow"/>
        </w:rPr>
        <w:t xml:space="preserve"> ozdravenia verejných financií </w:t>
      </w:r>
      <w:r w:rsidR="002A0289" w:rsidRPr="00611C7B">
        <w:rPr>
          <w:rFonts w:ascii="Arial Narrow" w:hAnsi="Arial Narrow"/>
        </w:rPr>
        <w:t xml:space="preserve">by sa ekonomika pohybovala v priemere </w:t>
      </w:r>
      <w:r w:rsidR="00611C7B" w:rsidRPr="00EC0FB5">
        <w:rPr>
          <w:rFonts w:ascii="Arial Narrow" w:hAnsi="Arial Narrow"/>
        </w:rPr>
        <w:t xml:space="preserve">asi </w:t>
      </w:r>
      <w:r w:rsidR="002A0289" w:rsidRPr="00611C7B">
        <w:rPr>
          <w:rFonts w:ascii="Arial Narrow" w:hAnsi="Arial Narrow"/>
        </w:rPr>
        <w:t xml:space="preserve">1 p. b. nad svojim potenciálom. </w:t>
      </w:r>
      <w:r w:rsidR="00611C7B" w:rsidRPr="00EC0FB5">
        <w:rPr>
          <w:rFonts w:ascii="Arial Narrow" w:hAnsi="Arial Narrow"/>
        </w:rPr>
        <w:t>Tieto náklady sú nižšie v porovnaní s konsolidáciou po globálnej finančnej kríze v prostredí vysokej nezamestnanosti a nevyužitých kapacít.</w:t>
      </w:r>
      <w:r w:rsidR="002A0289">
        <w:rPr>
          <w:rFonts w:ascii="Arial Narrow" w:hAnsi="Arial Narrow"/>
        </w:rPr>
        <w:t xml:space="preserve"> </w:t>
      </w:r>
    </w:p>
    <w:p w14:paraId="1408C7A1" w14:textId="14046064" w:rsidR="002A0289" w:rsidRDefault="00FE3C5C" w:rsidP="00F6360F">
      <w:pPr>
        <w:spacing w:line="276" w:lineRule="auto"/>
        <w:jc w:val="both"/>
        <w:rPr>
          <w:rFonts w:ascii="Arial Narrow" w:hAnsi="Arial Narrow"/>
        </w:rPr>
      </w:pPr>
      <w:r>
        <w:rPr>
          <w:rFonts w:ascii="Arial Narrow" w:hAnsi="Arial Narrow"/>
          <w:b/>
          <w:bCs/>
        </w:rPr>
        <w:t>V aktuálnej prognóze prevažujú negatívne riziká</w:t>
      </w:r>
      <w:r w:rsidR="00EC0FB5">
        <w:rPr>
          <w:rFonts w:ascii="Arial Narrow" w:hAnsi="Arial Narrow"/>
          <w:b/>
          <w:bCs/>
        </w:rPr>
        <w:t xml:space="preserve">, </w:t>
      </w:r>
      <w:r w:rsidR="00611C7B">
        <w:rPr>
          <w:rFonts w:ascii="Arial Narrow" w:hAnsi="Arial Narrow"/>
          <w:b/>
          <w:bCs/>
        </w:rPr>
        <w:t xml:space="preserve">najmä </w:t>
      </w:r>
      <w:r>
        <w:rPr>
          <w:rFonts w:ascii="Arial Narrow" w:hAnsi="Arial Narrow"/>
          <w:b/>
          <w:bCs/>
        </w:rPr>
        <w:t>nižšie</w:t>
      </w:r>
      <w:r w:rsidRPr="009240F9">
        <w:rPr>
          <w:rFonts w:ascii="Arial Narrow" w:hAnsi="Arial Narrow"/>
          <w:b/>
          <w:bCs/>
        </w:rPr>
        <w:t xml:space="preserve"> </w:t>
      </w:r>
      <w:r w:rsidR="002A0289" w:rsidRPr="009240F9">
        <w:rPr>
          <w:rFonts w:ascii="Arial Narrow" w:hAnsi="Arial Narrow"/>
          <w:b/>
          <w:bCs/>
        </w:rPr>
        <w:t>čerpanie európskych zdrojov</w:t>
      </w:r>
      <w:r w:rsidR="000E1AB3">
        <w:rPr>
          <w:rFonts w:ascii="Arial Narrow" w:hAnsi="Arial Narrow"/>
          <w:b/>
          <w:bCs/>
        </w:rPr>
        <w:t xml:space="preserve"> a</w:t>
      </w:r>
      <w:r>
        <w:rPr>
          <w:rFonts w:ascii="Arial Narrow" w:hAnsi="Arial Narrow"/>
          <w:b/>
          <w:bCs/>
        </w:rPr>
        <w:t> menej priaznivé zahraničné</w:t>
      </w:r>
      <w:r w:rsidR="000E1AB3">
        <w:rPr>
          <w:rFonts w:ascii="Arial Narrow" w:hAnsi="Arial Narrow"/>
          <w:b/>
          <w:bCs/>
        </w:rPr>
        <w:t xml:space="preserve"> prostredie</w:t>
      </w:r>
      <w:r w:rsidR="002A0289" w:rsidRPr="009240F9">
        <w:rPr>
          <w:rFonts w:ascii="Arial Narrow" w:hAnsi="Arial Narrow"/>
          <w:b/>
          <w:bCs/>
        </w:rPr>
        <w:t>.</w:t>
      </w:r>
      <w:r w:rsidR="000E1AB3">
        <w:rPr>
          <w:rFonts w:ascii="Arial Narrow" w:hAnsi="Arial Narrow"/>
          <w:b/>
          <w:bCs/>
        </w:rPr>
        <w:t xml:space="preserve"> </w:t>
      </w:r>
      <w:r w:rsidR="007B1158">
        <w:rPr>
          <w:rFonts w:ascii="Arial Narrow" w:hAnsi="Arial Narrow"/>
        </w:rPr>
        <w:t>P</w:t>
      </w:r>
      <w:r w:rsidR="000E1AB3" w:rsidRPr="000E1AB3">
        <w:rPr>
          <w:rFonts w:ascii="Arial Narrow" w:hAnsi="Arial Narrow"/>
        </w:rPr>
        <w:t>rognóza</w:t>
      </w:r>
      <w:r w:rsidR="000E1AB3">
        <w:rPr>
          <w:rFonts w:ascii="Arial Narrow" w:hAnsi="Arial Narrow"/>
        </w:rPr>
        <w:t xml:space="preserve"> počíta so scenárom plného dočerpania prostriedkov </w:t>
      </w:r>
      <w:r w:rsidR="007B1158">
        <w:rPr>
          <w:rFonts w:ascii="Arial Narrow" w:hAnsi="Arial Narrow"/>
        </w:rPr>
        <w:t>POO</w:t>
      </w:r>
      <w:r w:rsidR="000E1AB3">
        <w:rPr>
          <w:rFonts w:ascii="Arial Narrow" w:hAnsi="Arial Narrow"/>
        </w:rPr>
        <w:t>.</w:t>
      </w:r>
      <w:r w:rsidR="002A0289">
        <w:rPr>
          <w:rFonts w:ascii="Arial Narrow" w:hAnsi="Arial Narrow"/>
        </w:rPr>
        <w:t xml:space="preserve"> V prípade alternatívneho scenára s nižším čerpaním </w:t>
      </w:r>
      <w:r w:rsidR="007B1158">
        <w:rPr>
          <w:rFonts w:ascii="Arial Narrow" w:hAnsi="Arial Narrow"/>
        </w:rPr>
        <w:t>POO</w:t>
      </w:r>
      <w:r w:rsidR="002A0289">
        <w:rPr>
          <w:rFonts w:ascii="Arial Narrow" w:hAnsi="Arial Narrow"/>
        </w:rPr>
        <w:t xml:space="preserve"> na úrovni 80 %</w:t>
      </w:r>
      <w:r w:rsidR="00611C7B">
        <w:rPr>
          <w:rFonts w:ascii="Arial Narrow" w:hAnsi="Arial Narrow"/>
        </w:rPr>
        <w:t xml:space="preserve"> </w:t>
      </w:r>
      <w:r w:rsidR="002A0289">
        <w:rPr>
          <w:rFonts w:ascii="Arial Narrow" w:hAnsi="Arial Narrow"/>
        </w:rPr>
        <w:t xml:space="preserve">by </w:t>
      </w:r>
      <w:r w:rsidR="007B1158">
        <w:rPr>
          <w:rFonts w:ascii="Arial Narrow" w:hAnsi="Arial Narrow"/>
        </w:rPr>
        <w:t xml:space="preserve">slovenské </w:t>
      </w:r>
      <w:r w:rsidR="002A0289">
        <w:rPr>
          <w:rFonts w:ascii="Arial Narrow" w:hAnsi="Arial Narrow"/>
        </w:rPr>
        <w:t xml:space="preserve">HDP </w:t>
      </w:r>
      <w:r w:rsidR="007B1158" w:rsidRPr="007B1158">
        <w:rPr>
          <w:rFonts w:ascii="Arial Narrow" w:hAnsi="Arial Narrow"/>
        </w:rPr>
        <w:t>v rokoch 2025 a 2026 rástlo v priemere o 0,4 p.</w:t>
      </w:r>
      <w:r w:rsidR="00F74088">
        <w:rPr>
          <w:rFonts w:ascii="Arial Narrow" w:hAnsi="Arial Narrow"/>
        </w:rPr>
        <w:t xml:space="preserve"> </w:t>
      </w:r>
      <w:r w:rsidR="007B1158" w:rsidRPr="007B1158">
        <w:rPr>
          <w:rFonts w:ascii="Arial Narrow" w:hAnsi="Arial Narrow"/>
        </w:rPr>
        <w:t>b. pomalšie</w:t>
      </w:r>
      <w:r w:rsidR="007B1158">
        <w:rPr>
          <w:rFonts w:ascii="Arial Narrow" w:hAnsi="Arial Narrow"/>
        </w:rPr>
        <w:t>.</w:t>
      </w:r>
      <w:r w:rsidR="007B1158" w:rsidRPr="007B1158">
        <w:rPr>
          <w:rFonts w:ascii="Arial Narrow" w:hAnsi="Arial Narrow"/>
        </w:rPr>
        <w:t xml:space="preserve"> </w:t>
      </w:r>
      <w:r w:rsidR="000E1AB3">
        <w:rPr>
          <w:rFonts w:ascii="Arial Narrow" w:hAnsi="Arial Narrow"/>
        </w:rPr>
        <w:t>Nižšie</w:t>
      </w:r>
      <w:r w:rsidR="002A0289">
        <w:rPr>
          <w:rFonts w:ascii="Arial Narrow" w:hAnsi="Arial Narrow"/>
        </w:rPr>
        <w:t xml:space="preserve"> investície by znížili kapitálovú zásobu a potenciálny produkt. Negatívny vplyv na zamestnanosť by sa prejavil s oneskorením v roku 2027 s poklesom o 11-tísic osôb menej ako v prognóze. </w:t>
      </w:r>
      <w:r w:rsidR="000E1AB3">
        <w:rPr>
          <w:rFonts w:ascii="Arial Narrow" w:hAnsi="Arial Narrow"/>
        </w:rPr>
        <w:t>Okrem toho, z</w:t>
      </w:r>
      <w:r w:rsidR="002A0289" w:rsidRPr="002F5A15">
        <w:rPr>
          <w:rFonts w:ascii="Arial Narrow" w:hAnsi="Arial Narrow"/>
        </w:rPr>
        <w:t xml:space="preserve">ahraničné konflikty môžu skomplikovať výhľad zahraničného dopytu, najmä obmedzením medzinárodných obchodných trás </w:t>
      </w:r>
      <w:r w:rsidR="00611C7B">
        <w:rPr>
          <w:rFonts w:ascii="Arial Narrow" w:hAnsi="Arial Narrow"/>
        </w:rPr>
        <w:t>a</w:t>
      </w:r>
      <w:r w:rsidR="00611C7B" w:rsidRPr="002F5A15">
        <w:rPr>
          <w:rFonts w:ascii="Arial Narrow" w:hAnsi="Arial Narrow"/>
        </w:rPr>
        <w:t xml:space="preserve"> </w:t>
      </w:r>
      <w:r w:rsidR="002A0289" w:rsidRPr="002F5A15">
        <w:rPr>
          <w:rFonts w:ascii="Arial Narrow" w:hAnsi="Arial Narrow"/>
        </w:rPr>
        <w:t xml:space="preserve">zvýšením globálnych cien komodít. Riziko zväčšovania obchodných bariér EÚ s Čínou sa môže po voľbách v USA ešte zintenzívniť a ohroziť oživenie globálneho obchodu a slovenského exportu. </w:t>
      </w:r>
    </w:p>
    <w:p w14:paraId="5DF3C2D4" w14:textId="77777777" w:rsidR="00A1176E" w:rsidRDefault="00A1176E" w:rsidP="002A0289">
      <w:pPr>
        <w:spacing w:after="0" w:line="276" w:lineRule="auto"/>
        <w:jc w:val="both"/>
        <w:rPr>
          <w:rFonts w:ascii="Arial Narrow" w:hAnsi="Arial Narrow"/>
        </w:rPr>
      </w:pPr>
    </w:p>
    <w:p w14:paraId="4CD2229A" w14:textId="52F328E7" w:rsidR="000E1AB3" w:rsidRPr="00EC0FB5" w:rsidRDefault="000E1AB3" w:rsidP="00A1176E">
      <w:pPr>
        <w:spacing w:after="120" w:line="276" w:lineRule="auto"/>
        <w:jc w:val="both"/>
        <w:rPr>
          <w:rFonts w:ascii="Arial Narrow" w:hAnsi="Arial Narrow" w:cs="Times New Roman"/>
          <w:b/>
          <w:bCs/>
          <w:color w:val="00B0F0"/>
          <w:lang w:eastAsia="sk-SK"/>
        </w:rPr>
      </w:pPr>
      <w:r w:rsidRPr="00EC0FB5">
        <w:rPr>
          <w:rFonts w:ascii="Arial Narrow" w:hAnsi="Arial Narrow" w:cs="Times New Roman"/>
          <w:b/>
          <w:bCs/>
          <w:color w:val="00B0F0"/>
          <w:lang w:eastAsia="sk-SK"/>
        </w:rPr>
        <w:t>Konvergencia slovenskej ekonomiky voči EÚ</w:t>
      </w:r>
    </w:p>
    <w:p w14:paraId="3B6C8255" w14:textId="5E88815C" w:rsidR="00A1176E" w:rsidRDefault="00A1176E" w:rsidP="00A1176E">
      <w:pPr>
        <w:spacing w:after="120" w:line="276" w:lineRule="auto"/>
        <w:jc w:val="both"/>
        <w:rPr>
          <w:rFonts w:ascii="Arial Narrow" w:hAnsi="Arial Narrow"/>
        </w:rPr>
      </w:pPr>
      <w:r>
        <w:rPr>
          <w:rFonts w:ascii="Arial Narrow" w:hAnsi="Arial Narrow"/>
          <w:b/>
          <w:bCs/>
        </w:rPr>
        <w:t>S</w:t>
      </w:r>
      <w:r w:rsidRPr="00CF3D60">
        <w:rPr>
          <w:rFonts w:ascii="Arial Narrow" w:hAnsi="Arial Narrow"/>
          <w:b/>
          <w:bCs/>
        </w:rPr>
        <w:t xml:space="preserve">pomaľovanie konvergenčného úsilia </w:t>
      </w:r>
      <w:r>
        <w:rPr>
          <w:rFonts w:ascii="Arial Narrow" w:hAnsi="Arial Narrow"/>
          <w:b/>
          <w:bCs/>
        </w:rPr>
        <w:t xml:space="preserve">po kríze v roku 2009 poukazuje na potrebu reformných opatrení. </w:t>
      </w:r>
      <w:r w:rsidRPr="00CB31E3">
        <w:rPr>
          <w:rFonts w:ascii="Arial Narrow" w:hAnsi="Arial Narrow"/>
        </w:rPr>
        <w:t>Slovensku v posledných rokoch dochádza konvergenčný potenciál, stále značne zaostáva za priemerom EÚ27.</w:t>
      </w:r>
      <w:r w:rsidRPr="00EA4403">
        <w:rPr>
          <w:rFonts w:ascii="Arial Narrow" w:hAnsi="Arial Narrow"/>
          <w:b/>
          <w:bCs/>
        </w:rPr>
        <w:t xml:space="preserve"> </w:t>
      </w:r>
      <w:r>
        <w:rPr>
          <w:rFonts w:ascii="Arial Narrow" w:hAnsi="Arial Narrow"/>
        </w:rPr>
        <w:t xml:space="preserve">Ekonomický rast Slovenska v minulosti v priemere prevyšoval priemer EÚ, čím bol splnený predpoklad rýchlejšej konvergencie k západným krajinám. </w:t>
      </w:r>
      <w:r w:rsidRPr="00AB4D12">
        <w:rPr>
          <w:rFonts w:ascii="Arial Narrow" w:hAnsi="Arial Narrow"/>
        </w:rPr>
        <w:t>Aj keď ekonomický rast Slovenska v priemere prevyšoval priemer EÚ</w:t>
      </w:r>
      <w:r>
        <w:rPr>
          <w:rFonts w:ascii="Arial Narrow" w:hAnsi="Arial Narrow"/>
        </w:rPr>
        <w:t xml:space="preserve"> </w:t>
      </w:r>
      <w:r w:rsidRPr="00AB4D12">
        <w:rPr>
          <w:rFonts w:ascii="Arial Narrow" w:hAnsi="Arial Narrow"/>
        </w:rPr>
        <w:t>výsledky nie sú dostatočné – krajine sa podarilo odstrániť iba polovicu medzery</w:t>
      </w:r>
      <w:r>
        <w:rPr>
          <w:rFonts w:ascii="Arial Narrow" w:hAnsi="Arial Narrow"/>
        </w:rPr>
        <w:t xml:space="preserve"> v porovnaní s výkonom EÚ27</w:t>
      </w:r>
      <w:r w:rsidRPr="00AB4D12">
        <w:rPr>
          <w:rFonts w:ascii="Arial Narrow" w:hAnsi="Arial Narrow"/>
        </w:rPr>
        <w:t>.</w:t>
      </w:r>
      <w:r>
        <w:rPr>
          <w:rFonts w:ascii="Arial Narrow" w:hAnsi="Arial Narrow"/>
        </w:rPr>
        <w:t xml:space="preserve"> V posledných rokoch na rozdiel od Slovenska stiahli svoje zaostávanie okolité krajiny ako Česko, Poľsko, Maďarsko, či Rumunsko. </w:t>
      </w:r>
      <w:r w:rsidR="00924635" w:rsidRPr="002F5A15">
        <w:rPr>
          <w:rFonts w:ascii="Arial Narrow" w:hAnsi="Arial Narrow"/>
        </w:rPr>
        <w:t xml:space="preserve">Napriek tomu, že zvolené </w:t>
      </w:r>
      <w:r w:rsidR="00924635">
        <w:rPr>
          <w:rFonts w:ascii="Arial Narrow" w:hAnsi="Arial Narrow"/>
        </w:rPr>
        <w:t>štvor</w:t>
      </w:r>
      <w:r w:rsidR="00924635" w:rsidRPr="002F5A15">
        <w:rPr>
          <w:rFonts w:ascii="Arial Narrow" w:hAnsi="Arial Narrow"/>
        </w:rPr>
        <w:t xml:space="preserve">ročné tempo konsolidácie si v zmysle nových pravidiel nežiada </w:t>
      </w:r>
      <w:r w:rsidR="00924635">
        <w:rPr>
          <w:rFonts w:ascii="Arial Narrow" w:hAnsi="Arial Narrow"/>
        </w:rPr>
        <w:t xml:space="preserve">zásadnejšie </w:t>
      </w:r>
      <w:r w:rsidR="00924635" w:rsidRPr="002F5A15">
        <w:rPr>
          <w:rFonts w:ascii="Arial Narrow" w:hAnsi="Arial Narrow"/>
        </w:rPr>
        <w:t>reformy, v</w:t>
      </w:r>
      <w:r w:rsidR="007B1158">
        <w:rPr>
          <w:rFonts w:ascii="Arial Narrow" w:hAnsi="Arial Narrow"/>
        </w:rPr>
        <w:t xml:space="preserve"> strednodobom </w:t>
      </w:r>
      <w:r w:rsidR="00924635" w:rsidRPr="002F5A15">
        <w:rPr>
          <w:rFonts w:ascii="Arial Narrow" w:hAnsi="Arial Narrow"/>
        </w:rPr>
        <w:t>pláne je uvedené ambiciózne reformné a investičné úsilie</w:t>
      </w:r>
      <w:r w:rsidR="007B1158">
        <w:rPr>
          <w:rFonts w:ascii="Arial Narrow" w:hAnsi="Arial Narrow"/>
        </w:rPr>
        <w:t xml:space="preserve"> vyplývajúce najmä z kontextu POO</w:t>
      </w:r>
      <w:r w:rsidR="00924635">
        <w:rPr>
          <w:rFonts w:ascii="Arial Narrow" w:hAnsi="Arial Narrow"/>
        </w:rPr>
        <w:t>, ktoré v čase konsolidácie pomôže rozbehnúť ekonomiku</w:t>
      </w:r>
      <w:r w:rsidR="00924635" w:rsidRPr="002F5A15">
        <w:rPr>
          <w:rFonts w:ascii="Arial Narrow" w:hAnsi="Arial Narrow"/>
        </w:rPr>
        <w:t>.</w:t>
      </w:r>
    </w:p>
    <w:p w14:paraId="715CBA90" w14:textId="77777777" w:rsidR="00D65A76" w:rsidRDefault="00D65A76" w:rsidP="00A1176E">
      <w:pPr>
        <w:spacing w:after="120" w:line="276" w:lineRule="auto"/>
        <w:jc w:val="both"/>
        <w:rPr>
          <w:rFonts w:ascii="Arial Narrow" w:hAnsi="Arial Narrow"/>
        </w:rPr>
      </w:pPr>
    </w:p>
    <w:p w14:paraId="2C67B9D5" w14:textId="77777777" w:rsidR="00D65A76" w:rsidRDefault="00D65A76" w:rsidP="00A1176E">
      <w:pPr>
        <w:spacing w:after="120" w:line="276" w:lineRule="auto"/>
        <w:jc w:val="both"/>
        <w:rPr>
          <w:rFonts w:ascii="Arial Narrow" w:hAnsi="Arial Narrow"/>
        </w:rPr>
      </w:pPr>
    </w:p>
    <w:p w14:paraId="12C51FC2" w14:textId="77777777" w:rsidR="00D65A76" w:rsidRDefault="00D65A76" w:rsidP="00A1176E">
      <w:pPr>
        <w:spacing w:after="120" w:line="276" w:lineRule="auto"/>
        <w:jc w:val="both"/>
        <w:rPr>
          <w:rFonts w:ascii="Arial Narrow" w:hAnsi="Arial Narrow"/>
        </w:rPr>
      </w:pPr>
    </w:p>
    <w:p w14:paraId="13EAD74E" w14:textId="77777777" w:rsidR="00D65A76" w:rsidRDefault="00D65A76" w:rsidP="00A1176E">
      <w:pPr>
        <w:spacing w:after="120" w:line="276" w:lineRule="auto"/>
        <w:jc w:val="both"/>
        <w:rPr>
          <w:rFonts w:ascii="Arial Narrow" w:hAnsi="Arial Narrow"/>
        </w:rPr>
      </w:pPr>
    </w:p>
    <w:p w14:paraId="7FFA162B" w14:textId="77777777" w:rsidR="00D65A76" w:rsidRDefault="00D65A76" w:rsidP="00A1176E">
      <w:pPr>
        <w:spacing w:after="120" w:line="276" w:lineRule="auto"/>
        <w:jc w:val="both"/>
        <w:rPr>
          <w:rFonts w:ascii="Arial Narrow" w:hAnsi="Arial Narrow"/>
        </w:rPr>
      </w:pPr>
    </w:p>
    <w:p w14:paraId="4CD0C1E2" w14:textId="77777777" w:rsidR="00A1176E" w:rsidRPr="007A05F8" w:rsidRDefault="00A1176E" w:rsidP="00A1176E">
      <w:pPr>
        <w:spacing w:after="0" w:line="276" w:lineRule="auto"/>
        <w:jc w:val="both"/>
        <w:rPr>
          <w:rFonts w:ascii="Arial Narrow" w:hAnsi="Arial Narrow"/>
          <w:sz w:val="2"/>
          <w:szCs w:val="2"/>
        </w:rPr>
      </w:pPr>
    </w:p>
    <w:tbl>
      <w:tblPr>
        <w:tblpPr w:leftFromText="141" w:rightFromText="141" w:vertAnchor="text" w:horzAnchor="margin" w:tblpY="61"/>
        <w:tblOverlap w:val="neve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4155"/>
        <w:gridCol w:w="146"/>
        <w:gridCol w:w="4771"/>
      </w:tblGrid>
      <w:tr w:rsidR="00A1176E" w:rsidRPr="00C1586F" w14:paraId="6D6509B9" w14:textId="77777777" w:rsidTr="00616580">
        <w:trPr>
          <w:trHeight w:val="339"/>
        </w:trPr>
        <w:tc>
          <w:tcPr>
            <w:tcW w:w="2310" w:type="pct"/>
            <w:tcBorders>
              <w:top w:val="nil"/>
              <w:left w:val="nil"/>
              <w:bottom w:val="single" w:sz="4" w:space="0" w:color="auto"/>
              <w:right w:val="nil"/>
            </w:tcBorders>
            <w:shd w:val="clear" w:color="auto" w:fill="auto"/>
          </w:tcPr>
          <w:p w14:paraId="7FAACE1E" w14:textId="2F6D4556" w:rsidR="00A1176E" w:rsidRPr="00C1586F" w:rsidRDefault="00A1176E" w:rsidP="00616580">
            <w:pPr>
              <w:widowControl w:val="0"/>
              <w:spacing w:before="40" w:after="40"/>
              <w:jc w:val="both"/>
              <w:rPr>
                <w:rFonts w:ascii="Arial Narrow" w:eastAsia="NeueHaasGroteskText W02" w:hAnsi="Arial Narrow" w:cs="Arial"/>
                <w:b/>
                <w:bCs/>
                <w:color w:val="2C9ADC"/>
                <w:sz w:val="20"/>
                <w:szCs w:val="20"/>
                <w:highlight w:val="yellow"/>
                <w:u w:color="2C9ADC"/>
              </w:rPr>
            </w:pPr>
            <w:bookmarkStart w:id="11" w:name="_Toc179814664"/>
            <w:r w:rsidRPr="005516F4">
              <w:rPr>
                <w:rFonts w:ascii="Arial Narrow" w:hAnsi="Arial Narrow"/>
                <w:b/>
                <w:color w:val="2C9ADC"/>
                <w:sz w:val="20"/>
                <w:szCs w:val="20"/>
              </w:rPr>
              <w:lastRenderedPageBreak/>
              <w:t xml:space="preserve">GRAF </w:t>
            </w:r>
            <w:r w:rsidRPr="00062544">
              <w:rPr>
                <w:rFonts w:ascii="Arial Narrow" w:hAnsi="Arial Narrow"/>
                <w:b/>
                <w:color w:val="2C9ADC"/>
                <w:sz w:val="20"/>
                <w:szCs w:val="20"/>
              </w:rPr>
              <w:fldChar w:fldCharType="begin"/>
            </w:r>
            <w:r w:rsidRPr="00062544">
              <w:rPr>
                <w:rFonts w:ascii="Arial Narrow" w:hAnsi="Arial Narrow"/>
                <w:b/>
                <w:color w:val="2C9ADC"/>
                <w:sz w:val="20"/>
                <w:szCs w:val="20"/>
              </w:rPr>
              <w:instrText xml:space="preserve"> SEQ GRAF \* ARABIC </w:instrText>
            </w:r>
            <w:r w:rsidRPr="00062544">
              <w:rPr>
                <w:rFonts w:ascii="Arial Narrow" w:hAnsi="Arial Narrow"/>
                <w:b/>
                <w:color w:val="2C9ADC"/>
                <w:sz w:val="20"/>
                <w:szCs w:val="20"/>
              </w:rPr>
              <w:fldChar w:fldCharType="separate"/>
            </w:r>
            <w:r w:rsidR="007A664D">
              <w:rPr>
                <w:rFonts w:ascii="Arial Narrow" w:hAnsi="Arial Narrow"/>
                <w:b/>
                <w:noProof/>
                <w:color w:val="2C9ADC"/>
                <w:sz w:val="20"/>
                <w:szCs w:val="20"/>
              </w:rPr>
              <w:t>5</w:t>
            </w:r>
            <w:r w:rsidRPr="00062544">
              <w:rPr>
                <w:rFonts w:ascii="Arial Narrow" w:hAnsi="Arial Narrow"/>
                <w:b/>
                <w:color w:val="2C9ADC"/>
                <w:sz w:val="20"/>
                <w:szCs w:val="20"/>
              </w:rPr>
              <w:fldChar w:fldCharType="end"/>
            </w:r>
            <w:r w:rsidRPr="005516F4">
              <w:rPr>
                <w:rFonts w:ascii="Arial Narrow" w:hAnsi="Arial Narrow"/>
                <w:b/>
                <w:color w:val="2C9ADC"/>
                <w:sz w:val="20"/>
                <w:szCs w:val="20"/>
              </w:rPr>
              <w:t xml:space="preserve"> – </w:t>
            </w:r>
            <w:r>
              <w:rPr>
                <w:rFonts w:ascii="Arial Narrow" w:hAnsi="Arial Narrow" w:cs="Arial Narrow"/>
                <w:b/>
                <w:bCs/>
                <w:color w:val="2C9ADC"/>
                <w:sz w:val="20"/>
                <w:szCs w:val="20"/>
              </w:rPr>
              <w:t>Konvergencia slovenskej ekonomiky v porovnaní s benchmarkovými štátmi (HDP per capita v bežných cenách, % EÚ27)</w:t>
            </w:r>
            <w:bookmarkEnd w:id="11"/>
          </w:p>
        </w:tc>
        <w:tc>
          <w:tcPr>
            <w:tcW w:w="80" w:type="pct"/>
            <w:tcBorders>
              <w:top w:val="nil"/>
              <w:left w:val="nil"/>
              <w:bottom w:val="nil"/>
              <w:right w:val="nil"/>
            </w:tcBorders>
            <w:shd w:val="clear" w:color="auto" w:fill="auto"/>
          </w:tcPr>
          <w:p w14:paraId="56B25EFD" w14:textId="77777777" w:rsidR="00A1176E" w:rsidRPr="00C1586F" w:rsidRDefault="00A1176E" w:rsidP="00616580">
            <w:pPr>
              <w:widowControl w:val="0"/>
              <w:spacing w:before="60" w:after="60"/>
              <w:rPr>
                <w:rFonts w:ascii="Arial Narrow" w:hAnsi="Arial Narrow" w:cs="Arial"/>
                <w:b/>
                <w:color w:val="2C9ADC"/>
                <w:sz w:val="20"/>
                <w:szCs w:val="20"/>
                <w:highlight w:val="yellow"/>
              </w:rPr>
            </w:pPr>
          </w:p>
        </w:tc>
        <w:tc>
          <w:tcPr>
            <w:tcW w:w="2609" w:type="pct"/>
            <w:tcBorders>
              <w:top w:val="nil"/>
              <w:left w:val="nil"/>
              <w:bottom w:val="single" w:sz="4" w:space="0" w:color="auto"/>
              <w:right w:val="nil"/>
            </w:tcBorders>
            <w:shd w:val="clear" w:color="auto" w:fill="auto"/>
          </w:tcPr>
          <w:p w14:paraId="13F30720" w14:textId="13CE0F92" w:rsidR="00A1176E" w:rsidRPr="00C1586F" w:rsidRDefault="00A1176E" w:rsidP="00616580">
            <w:pPr>
              <w:widowControl w:val="0"/>
              <w:spacing w:before="40" w:after="40"/>
              <w:jc w:val="both"/>
              <w:rPr>
                <w:rFonts w:ascii="Arial Narrow" w:hAnsi="Arial Narrow"/>
                <w:b/>
                <w:color w:val="2C9ADC"/>
                <w:sz w:val="20"/>
                <w:szCs w:val="20"/>
                <w:highlight w:val="yellow"/>
              </w:rPr>
            </w:pPr>
            <w:bookmarkStart w:id="12" w:name="_Toc179814665"/>
            <w:r w:rsidRPr="00062544">
              <w:rPr>
                <w:rFonts w:ascii="Arial Narrow" w:hAnsi="Arial Narrow" w:cs="Arial Narrow"/>
                <w:b/>
                <w:bCs/>
                <w:color w:val="2C9ADC"/>
                <w:sz w:val="20"/>
                <w:szCs w:val="20"/>
              </w:rPr>
              <w:t xml:space="preserve">GRAF </w:t>
            </w:r>
            <w:r w:rsidRPr="00062544">
              <w:rPr>
                <w:rFonts w:ascii="Arial Narrow" w:hAnsi="Arial Narrow"/>
                <w:b/>
                <w:color w:val="2C9ADC"/>
                <w:sz w:val="20"/>
                <w:szCs w:val="20"/>
              </w:rPr>
              <w:fldChar w:fldCharType="begin"/>
            </w:r>
            <w:r w:rsidRPr="00062544">
              <w:rPr>
                <w:rFonts w:ascii="Arial Narrow" w:hAnsi="Arial Narrow"/>
                <w:b/>
                <w:color w:val="2C9ADC"/>
                <w:sz w:val="20"/>
                <w:szCs w:val="20"/>
              </w:rPr>
              <w:instrText xml:space="preserve"> SEQ GRAF \* ARABIC </w:instrText>
            </w:r>
            <w:r w:rsidRPr="00062544">
              <w:rPr>
                <w:rFonts w:ascii="Arial Narrow" w:hAnsi="Arial Narrow"/>
                <w:b/>
                <w:color w:val="2C9ADC"/>
                <w:sz w:val="20"/>
                <w:szCs w:val="20"/>
              </w:rPr>
              <w:fldChar w:fldCharType="separate"/>
            </w:r>
            <w:r w:rsidR="007A664D">
              <w:rPr>
                <w:rFonts w:ascii="Arial Narrow" w:hAnsi="Arial Narrow"/>
                <w:b/>
                <w:noProof/>
                <w:color w:val="2C9ADC"/>
                <w:sz w:val="20"/>
                <w:szCs w:val="20"/>
              </w:rPr>
              <w:t>6</w:t>
            </w:r>
            <w:r w:rsidRPr="00062544">
              <w:rPr>
                <w:rFonts w:ascii="Arial Narrow" w:hAnsi="Arial Narrow"/>
                <w:b/>
                <w:color w:val="2C9ADC"/>
                <w:sz w:val="20"/>
                <w:szCs w:val="20"/>
              </w:rPr>
              <w:fldChar w:fldCharType="end"/>
            </w:r>
            <w:r>
              <w:rPr>
                <w:rFonts w:ascii="Arial Narrow" w:hAnsi="Arial Narrow"/>
                <w:b/>
                <w:color w:val="2C9ADC"/>
                <w:sz w:val="20"/>
                <w:szCs w:val="20"/>
              </w:rPr>
              <w:t xml:space="preserve"> – </w:t>
            </w:r>
            <w:r>
              <w:rPr>
                <w:rFonts w:ascii="Arial Narrow" w:hAnsi="Arial Narrow" w:cs="Arial Narrow"/>
                <w:b/>
                <w:bCs/>
                <w:color w:val="2C9ADC"/>
                <w:sz w:val="20"/>
                <w:szCs w:val="20"/>
              </w:rPr>
              <w:t>Priemerný rast HDP vs</w:t>
            </w:r>
            <w:r w:rsidR="00B526EF">
              <w:rPr>
                <w:rFonts w:ascii="Arial Narrow" w:hAnsi="Arial Narrow" w:cs="Arial Narrow"/>
                <w:b/>
                <w:bCs/>
                <w:color w:val="2C9ADC"/>
                <w:sz w:val="20"/>
                <w:szCs w:val="20"/>
              </w:rPr>
              <w:t>.</w:t>
            </w:r>
            <w:r>
              <w:rPr>
                <w:rFonts w:ascii="Arial Narrow" w:hAnsi="Arial Narrow" w:cs="Arial Narrow"/>
                <w:b/>
                <w:bCs/>
                <w:color w:val="2C9ADC"/>
                <w:sz w:val="20"/>
                <w:szCs w:val="20"/>
              </w:rPr>
              <w:t xml:space="preserve"> HDP per capita </w:t>
            </w:r>
            <w:r w:rsidR="00C84223">
              <w:rPr>
                <w:rFonts w:ascii="Arial Narrow" w:hAnsi="Arial Narrow" w:cs="Arial Narrow"/>
                <w:b/>
                <w:bCs/>
                <w:color w:val="2C9ADC"/>
                <w:sz w:val="20"/>
                <w:szCs w:val="20"/>
              </w:rPr>
              <w:t>(</w:t>
            </w:r>
            <w:r>
              <w:rPr>
                <w:rFonts w:ascii="Arial Narrow" w:hAnsi="Arial Narrow" w:cs="Arial Narrow"/>
                <w:b/>
                <w:bCs/>
                <w:color w:val="2C9ADC"/>
                <w:sz w:val="20"/>
                <w:szCs w:val="20"/>
              </w:rPr>
              <w:t>v</w:t>
            </w:r>
            <w:r w:rsidR="00C84223">
              <w:rPr>
                <w:rFonts w:ascii="Arial Narrow" w:hAnsi="Arial Narrow" w:cs="Arial Narrow"/>
                <w:b/>
                <w:bCs/>
                <w:color w:val="2C9ADC"/>
                <w:sz w:val="20"/>
                <w:szCs w:val="20"/>
              </w:rPr>
              <w:t> parite kúpnej sily</w:t>
            </w:r>
            <w:r>
              <w:rPr>
                <w:rFonts w:ascii="Arial Narrow" w:hAnsi="Arial Narrow" w:cs="Arial Narrow"/>
                <w:b/>
                <w:bCs/>
                <w:color w:val="2C9ADC"/>
                <w:sz w:val="20"/>
                <w:szCs w:val="20"/>
              </w:rPr>
              <w:t xml:space="preserve"> v roku 1995</w:t>
            </w:r>
            <w:r w:rsidR="00C84223">
              <w:rPr>
                <w:rFonts w:ascii="Arial Narrow" w:hAnsi="Arial Narrow" w:cs="Arial Narrow"/>
                <w:b/>
                <w:bCs/>
                <w:color w:val="2C9ADC"/>
                <w:sz w:val="20"/>
                <w:szCs w:val="20"/>
              </w:rPr>
              <w:t>)</w:t>
            </w:r>
            <w:r>
              <w:rPr>
                <w:rFonts w:ascii="Arial Narrow" w:hAnsi="Arial Narrow" w:cs="Arial Narrow"/>
                <w:b/>
                <w:bCs/>
                <w:color w:val="2C9ADC"/>
                <w:sz w:val="20"/>
                <w:szCs w:val="20"/>
              </w:rPr>
              <w:t xml:space="preserve"> (% a index)</w:t>
            </w:r>
            <w:bookmarkEnd w:id="12"/>
          </w:p>
        </w:tc>
      </w:tr>
      <w:tr w:rsidR="00A1176E" w:rsidRPr="00C1586F" w14:paraId="244438F9" w14:textId="77777777" w:rsidTr="00616580">
        <w:trPr>
          <w:trHeight w:val="866"/>
        </w:trPr>
        <w:tc>
          <w:tcPr>
            <w:tcW w:w="2310" w:type="pct"/>
            <w:tcBorders>
              <w:top w:val="single" w:sz="4" w:space="0" w:color="auto"/>
              <w:left w:val="nil"/>
              <w:bottom w:val="single" w:sz="4" w:space="0" w:color="auto"/>
              <w:right w:val="nil"/>
            </w:tcBorders>
            <w:vAlign w:val="center"/>
          </w:tcPr>
          <w:p w14:paraId="5832F9C3" w14:textId="77777777" w:rsidR="00A1176E" w:rsidRPr="00C1586F" w:rsidRDefault="00A1176E" w:rsidP="00616580">
            <w:pPr>
              <w:widowControl w:val="0"/>
              <w:spacing w:before="40" w:after="40"/>
              <w:jc w:val="center"/>
              <w:rPr>
                <w:rFonts w:ascii="Arial Narrow" w:hAnsi="Arial Narrow" w:cs="Arial"/>
                <w:sz w:val="20"/>
                <w:szCs w:val="20"/>
                <w:highlight w:val="yellow"/>
              </w:rPr>
            </w:pPr>
            <w:r>
              <w:rPr>
                <w:noProof/>
                <w:lang w:eastAsia="sk-SK"/>
              </w:rPr>
              <w:drawing>
                <wp:inline distT="0" distB="0" distL="0" distR="0" wp14:anchorId="256A51F1" wp14:editId="7AD661EA">
                  <wp:extent cx="2609850" cy="1739900"/>
                  <wp:effectExtent l="0" t="0" r="0" b="0"/>
                  <wp:docPr id="6" name="Graf 6">
                    <a:extLst xmlns:a="http://schemas.openxmlformats.org/drawingml/2006/main">
                      <a:ext uri="{FF2B5EF4-FFF2-40B4-BE49-F238E27FC236}">
                        <a16:creationId xmlns:a16="http://schemas.microsoft.com/office/drawing/2014/main" id="{757AA990-AD05-4C92-86DE-EDDE31D357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80" w:type="pct"/>
            <w:tcBorders>
              <w:top w:val="nil"/>
              <w:left w:val="nil"/>
              <w:bottom w:val="nil"/>
              <w:right w:val="nil"/>
            </w:tcBorders>
            <w:vAlign w:val="center"/>
          </w:tcPr>
          <w:p w14:paraId="36A49BE9" w14:textId="77777777" w:rsidR="00A1176E" w:rsidRPr="00C1586F" w:rsidRDefault="00A1176E" w:rsidP="00616580">
            <w:pPr>
              <w:widowControl w:val="0"/>
              <w:spacing w:before="40" w:after="40"/>
              <w:jc w:val="center"/>
              <w:rPr>
                <w:rFonts w:ascii="Arial Narrow" w:hAnsi="Arial Narrow" w:cs="Arial"/>
                <w:b/>
                <w:sz w:val="20"/>
                <w:szCs w:val="20"/>
                <w:highlight w:val="yellow"/>
              </w:rPr>
            </w:pPr>
          </w:p>
        </w:tc>
        <w:tc>
          <w:tcPr>
            <w:tcW w:w="2609" w:type="pct"/>
            <w:tcBorders>
              <w:top w:val="single" w:sz="4" w:space="0" w:color="auto"/>
              <w:left w:val="nil"/>
              <w:bottom w:val="single" w:sz="4" w:space="0" w:color="auto"/>
              <w:right w:val="nil"/>
            </w:tcBorders>
            <w:vAlign w:val="bottom"/>
          </w:tcPr>
          <w:p w14:paraId="63FE0CF7" w14:textId="77777777" w:rsidR="00A1176E" w:rsidRPr="00C1586F" w:rsidRDefault="00A1176E" w:rsidP="00616580">
            <w:pPr>
              <w:widowControl w:val="0"/>
              <w:spacing w:before="40" w:after="40"/>
              <w:rPr>
                <w:rFonts w:ascii="Arial Narrow" w:hAnsi="Arial Narrow" w:cs="Arial"/>
                <w:sz w:val="20"/>
                <w:szCs w:val="20"/>
                <w:highlight w:val="yellow"/>
              </w:rPr>
            </w:pPr>
            <w:r>
              <w:rPr>
                <w:noProof/>
                <w:lang w:eastAsia="sk-SK"/>
              </w:rPr>
              <w:drawing>
                <wp:inline distT="0" distB="0" distL="0" distR="0" wp14:anchorId="0D774645" wp14:editId="0546EDAC">
                  <wp:extent cx="3001645" cy="1759933"/>
                  <wp:effectExtent l="0" t="0" r="8255" b="0"/>
                  <wp:docPr id="22" name="Graf 22">
                    <a:extLst xmlns:a="http://schemas.openxmlformats.org/drawingml/2006/main">
                      <a:ext uri="{FF2B5EF4-FFF2-40B4-BE49-F238E27FC236}">
                        <a16:creationId xmlns:a16="http://schemas.microsoft.com/office/drawing/2014/main" id="{A86DA537-AA0C-4D9E-8CB5-28DA61005C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r w:rsidR="00A1176E" w:rsidRPr="005516F4" w14:paraId="09A13B63" w14:textId="77777777" w:rsidTr="00616580">
        <w:trPr>
          <w:trHeight w:val="108"/>
        </w:trPr>
        <w:tc>
          <w:tcPr>
            <w:tcW w:w="5000" w:type="pct"/>
            <w:gridSpan w:val="3"/>
            <w:tcBorders>
              <w:top w:val="single" w:sz="4" w:space="0" w:color="auto"/>
              <w:left w:val="nil"/>
              <w:bottom w:val="nil"/>
              <w:right w:val="nil"/>
            </w:tcBorders>
          </w:tcPr>
          <w:p w14:paraId="684A68BE" w14:textId="77777777" w:rsidR="00A1176E" w:rsidRPr="005516F4" w:rsidRDefault="00A1176E" w:rsidP="00616580">
            <w:pPr>
              <w:widowControl w:val="0"/>
              <w:spacing w:before="40" w:after="40"/>
              <w:jc w:val="right"/>
              <w:rPr>
                <w:rFonts w:ascii="Arial Narrow" w:hAnsi="Arial Narrow"/>
                <w:b/>
                <w:iCs/>
                <w:color w:val="000000"/>
              </w:rPr>
            </w:pPr>
            <w:r w:rsidRPr="005516F4">
              <w:rPr>
                <w:rFonts w:ascii="Arial Narrow" w:hAnsi="Arial Narrow"/>
                <w:i/>
                <w:sz w:val="16"/>
                <w:szCs w:val="16"/>
              </w:rPr>
              <w:t>Zdroj:</w:t>
            </w:r>
            <w:r>
              <w:rPr>
                <w:rFonts w:ascii="Arial Narrow" w:hAnsi="Arial Narrow"/>
                <w:i/>
                <w:sz w:val="16"/>
                <w:szCs w:val="16"/>
              </w:rPr>
              <w:t xml:space="preserve"> Eurostat,</w:t>
            </w:r>
            <w:r w:rsidRPr="005516F4">
              <w:rPr>
                <w:rFonts w:ascii="Arial Narrow" w:hAnsi="Arial Narrow"/>
                <w:i/>
                <w:sz w:val="16"/>
                <w:szCs w:val="16"/>
              </w:rPr>
              <w:t xml:space="preserve"> MF SR</w:t>
            </w:r>
          </w:p>
        </w:tc>
      </w:tr>
    </w:tbl>
    <w:p w14:paraId="502AFBA8" w14:textId="66E6A21C" w:rsidR="00624332" w:rsidRDefault="00624332">
      <w:pPr>
        <w:rPr>
          <w:rFonts w:ascii="Arial Narrow" w:hAnsi="Arial Narrow"/>
        </w:rPr>
      </w:pPr>
    </w:p>
    <w:p w14:paraId="183466E1" w14:textId="77777777" w:rsidR="00924635" w:rsidRDefault="00924635">
      <w:pPr>
        <w:rPr>
          <w:rFonts w:ascii="Arial Narrow" w:eastAsia="Times New Roman" w:hAnsi="Arial Narrow" w:cs="Arial Narrow"/>
          <w:b/>
          <w:bCs/>
          <w:color w:val="2C9ADC"/>
          <w:sz w:val="28"/>
          <w:szCs w:val="28"/>
          <w:lang w:eastAsia="sk-SK"/>
        </w:rPr>
      </w:pPr>
      <w:r>
        <w:rPr>
          <w:rFonts w:cs="Arial Narrow"/>
          <w:color w:val="2C9ADC"/>
          <w:szCs w:val="28"/>
        </w:rPr>
        <w:br w:type="page"/>
      </w:r>
    </w:p>
    <w:p w14:paraId="7A2D2A7F" w14:textId="516F330E" w:rsidR="00924635" w:rsidRPr="00924635" w:rsidRDefault="000E1AB3" w:rsidP="002A0289">
      <w:pPr>
        <w:pStyle w:val="Nadpis1"/>
        <w:numPr>
          <w:ilvl w:val="0"/>
          <w:numId w:val="8"/>
        </w:numPr>
        <w:tabs>
          <w:tab w:val="num" w:pos="0"/>
          <w:tab w:val="num" w:pos="360"/>
        </w:tabs>
        <w:spacing w:after="0"/>
        <w:ind w:left="680" w:hanging="680"/>
        <w:rPr>
          <w:rFonts w:cs="Arial Narrow"/>
          <w:color w:val="2C9ADC"/>
          <w:szCs w:val="28"/>
        </w:rPr>
      </w:pPr>
      <w:bookmarkStart w:id="13" w:name="_Toc179814984"/>
      <w:r>
        <w:rPr>
          <w:rFonts w:cs="Arial Narrow"/>
          <w:color w:val="2C9ADC"/>
          <w:szCs w:val="28"/>
        </w:rPr>
        <w:lastRenderedPageBreak/>
        <w:t>Rozpočtové c</w:t>
      </w:r>
      <w:r w:rsidR="002A0289" w:rsidRPr="00F3615F">
        <w:rPr>
          <w:rFonts w:cs="Arial Narrow"/>
          <w:color w:val="2C9ADC"/>
          <w:szCs w:val="28"/>
        </w:rPr>
        <w:t>iele vlády a</w:t>
      </w:r>
      <w:r w:rsidR="002A0289">
        <w:rPr>
          <w:rFonts w:cs="Arial Narrow"/>
          <w:color w:val="2C9ADC"/>
          <w:szCs w:val="28"/>
        </w:rPr>
        <w:t xml:space="preserve"> zodpovedajúca</w:t>
      </w:r>
      <w:r w:rsidR="002A0289" w:rsidRPr="00F3615F">
        <w:rPr>
          <w:rFonts w:cs="Arial Narrow"/>
          <w:color w:val="2C9ADC"/>
          <w:szCs w:val="28"/>
        </w:rPr>
        <w:t xml:space="preserve"> trajektória čistých výdavkov</w:t>
      </w:r>
      <w:bookmarkEnd w:id="13"/>
    </w:p>
    <w:p w14:paraId="7E515900" w14:textId="77777777" w:rsidR="00924635" w:rsidRPr="00924635" w:rsidRDefault="00924635" w:rsidP="00924635">
      <w:pPr>
        <w:spacing w:after="0" w:line="276" w:lineRule="auto"/>
        <w:jc w:val="both"/>
        <w:rPr>
          <w:rFonts w:ascii="Arial Narrow" w:hAnsi="Arial Narrow"/>
          <w:i/>
          <w:iCs/>
        </w:rPr>
      </w:pPr>
    </w:p>
    <w:p w14:paraId="2CF8F10C" w14:textId="6C8F67C9" w:rsidR="00924635" w:rsidRPr="00A22C01" w:rsidRDefault="00924635" w:rsidP="002A0289">
      <w:pPr>
        <w:rPr>
          <w:rFonts w:ascii="Arial Narrow" w:hAnsi="Arial Narrow"/>
          <w:b/>
          <w:bCs/>
          <w:color w:val="2C9ADC"/>
          <w:lang w:eastAsia="sk-SK"/>
        </w:rPr>
      </w:pPr>
      <w:r w:rsidRPr="00A22C01">
        <w:rPr>
          <w:rFonts w:ascii="Arial Narrow" w:hAnsi="Arial Narrow"/>
          <w:b/>
          <w:bCs/>
          <w:color w:val="2C9ADC"/>
          <w:lang w:eastAsia="sk-SK"/>
        </w:rPr>
        <w:t>Aktuálny rozpočtový výhľad</w:t>
      </w:r>
    </w:p>
    <w:p w14:paraId="65347D9D" w14:textId="56FAC9CA" w:rsidR="002A0289" w:rsidRPr="00FC7B75" w:rsidRDefault="002A0289" w:rsidP="002A0289">
      <w:pPr>
        <w:spacing w:line="276" w:lineRule="auto"/>
        <w:jc w:val="both"/>
        <w:rPr>
          <w:rFonts w:ascii="Arial Narrow" w:hAnsi="Arial Narrow"/>
        </w:rPr>
      </w:pPr>
      <w:r w:rsidRPr="00672433">
        <w:rPr>
          <w:rFonts w:ascii="Arial Narrow" w:hAnsi="Arial Narrow"/>
          <w:b/>
          <w:bCs/>
        </w:rPr>
        <w:t xml:space="preserve">Vláda </w:t>
      </w:r>
      <w:r>
        <w:rPr>
          <w:rFonts w:ascii="Arial Narrow" w:hAnsi="Arial Narrow"/>
          <w:b/>
          <w:bCs/>
        </w:rPr>
        <w:t xml:space="preserve">si </w:t>
      </w:r>
      <w:r w:rsidRPr="00672433">
        <w:rPr>
          <w:rFonts w:ascii="Arial Narrow" w:hAnsi="Arial Narrow"/>
          <w:b/>
          <w:bCs/>
        </w:rPr>
        <w:t>v</w:t>
      </w:r>
      <w:r>
        <w:rPr>
          <w:rFonts w:ascii="Arial Narrow" w:hAnsi="Arial Narrow"/>
          <w:b/>
          <w:bCs/>
        </w:rPr>
        <w:t xml:space="preserve"> strednodobom </w:t>
      </w:r>
      <w:r w:rsidRPr="00672433">
        <w:rPr>
          <w:rFonts w:ascii="Arial Narrow" w:hAnsi="Arial Narrow"/>
          <w:b/>
          <w:bCs/>
        </w:rPr>
        <w:t>pláne stanovuje záväznú trajektóriu rastu čistých výdavkov</w:t>
      </w:r>
      <w:r>
        <w:rPr>
          <w:rFonts w:ascii="Arial Narrow" w:hAnsi="Arial Narrow"/>
          <w:b/>
          <w:bCs/>
        </w:rPr>
        <w:t xml:space="preserve"> na 4 roky, aby do konca volebného obdobia deficit klesol k 3 % HDP a verejný dlh sa stabilizoval. </w:t>
      </w:r>
      <w:r>
        <w:rPr>
          <w:rFonts w:ascii="Arial Narrow" w:hAnsi="Arial Narrow"/>
        </w:rPr>
        <w:t>Nové fiškálne pravidlá by umožnili Slovensku rozložiť proces ozdravenia verejných financií až na 7 rokov</w:t>
      </w:r>
      <w:r w:rsidRPr="00FA77D9">
        <w:rPr>
          <w:rFonts w:ascii="Arial Narrow" w:hAnsi="Arial Narrow"/>
        </w:rPr>
        <w:t xml:space="preserve">. To by však do najbližších rokov </w:t>
      </w:r>
      <w:r w:rsidR="00654729" w:rsidRPr="00EC0FB5">
        <w:rPr>
          <w:rFonts w:ascii="Arial Narrow" w:hAnsi="Arial Narrow"/>
        </w:rPr>
        <w:t xml:space="preserve">viedlo k ďalšiemu pokračovaniu </w:t>
      </w:r>
      <w:r w:rsidRPr="00FA77D9">
        <w:rPr>
          <w:rFonts w:ascii="Arial Narrow" w:hAnsi="Arial Narrow"/>
        </w:rPr>
        <w:t>rastu zadlženi</w:t>
      </w:r>
      <w:r w:rsidR="007B1158" w:rsidRPr="00FA77D9">
        <w:rPr>
          <w:rFonts w:ascii="Arial Narrow" w:hAnsi="Arial Narrow"/>
        </w:rPr>
        <w:t>a</w:t>
      </w:r>
      <w:r w:rsidRPr="00FA77D9">
        <w:rPr>
          <w:rFonts w:ascii="Arial Narrow" w:hAnsi="Arial Narrow"/>
        </w:rPr>
        <w:t xml:space="preserve"> a vystúpenie z procedúry nadmerného deficitu by sa tiež výrazne natiahlo</w:t>
      </w:r>
      <w:r w:rsidR="00654729" w:rsidRPr="00FA77D9">
        <w:rPr>
          <w:rFonts w:ascii="Arial Narrow" w:hAnsi="Arial Narrow"/>
        </w:rPr>
        <w:t xml:space="preserve"> (viď </w:t>
      </w:r>
      <w:r w:rsidR="00A81791" w:rsidRPr="00FA77D9">
        <w:rPr>
          <w:rFonts w:ascii="Arial Narrow" w:hAnsi="Arial Narrow"/>
          <w:b/>
          <w:bCs/>
          <w:color w:val="2C9ADC"/>
        </w:rPr>
        <w:t>GRAF</w:t>
      </w:r>
      <w:r w:rsidR="00654729" w:rsidRPr="00EC0FB5">
        <w:rPr>
          <w:rFonts w:ascii="Arial Narrow" w:hAnsi="Arial Narrow"/>
          <w:b/>
          <w:bCs/>
          <w:color w:val="2C9ADC"/>
        </w:rPr>
        <w:t xml:space="preserve"> 7 a 8</w:t>
      </w:r>
      <w:r w:rsidR="00654729" w:rsidRPr="00FA77D9">
        <w:rPr>
          <w:rFonts w:ascii="Arial Narrow" w:hAnsi="Arial Narrow"/>
        </w:rPr>
        <w:t>)</w:t>
      </w:r>
      <w:r w:rsidRPr="00FA77D9">
        <w:rPr>
          <w:rFonts w:ascii="Arial Narrow" w:hAnsi="Arial Narrow"/>
        </w:rPr>
        <w:t>. S cieľom</w:t>
      </w:r>
      <w:r>
        <w:rPr>
          <w:rFonts w:ascii="Arial Narrow" w:hAnsi="Arial Narrow"/>
        </w:rPr>
        <w:t xml:space="preserve"> naplniť </w:t>
      </w:r>
      <w:r w:rsidR="007E024D">
        <w:rPr>
          <w:rFonts w:ascii="Arial Narrow" w:hAnsi="Arial Narrow"/>
        </w:rPr>
        <w:t>záväzok stabilizácie dlhu z</w:t>
      </w:r>
      <w:r>
        <w:rPr>
          <w:rFonts w:ascii="Arial Narrow" w:hAnsi="Arial Narrow"/>
        </w:rPr>
        <w:t xml:space="preserve"> programové</w:t>
      </w:r>
      <w:r w:rsidR="007E024D">
        <w:rPr>
          <w:rFonts w:ascii="Arial Narrow" w:hAnsi="Arial Narrow"/>
        </w:rPr>
        <w:t>ho</w:t>
      </w:r>
      <w:r>
        <w:rPr>
          <w:rFonts w:ascii="Arial Narrow" w:hAnsi="Arial Narrow"/>
        </w:rPr>
        <w:t xml:space="preserve"> vyhláseni</w:t>
      </w:r>
      <w:r w:rsidR="007E024D">
        <w:rPr>
          <w:rFonts w:ascii="Arial Narrow" w:hAnsi="Arial Narrow"/>
        </w:rPr>
        <w:t>a sa</w:t>
      </w:r>
      <w:r>
        <w:rPr>
          <w:rFonts w:ascii="Arial Narrow" w:hAnsi="Arial Narrow"/>
        </w:rPr>
        <w:t xml:space="preserve"> vláda rozhodla pripraviť 4-ročný ozdravný plán</w:t>
      </w:r>
      <w:r w:rsidR="007E024D">
        <w:rPr>
          <w:rFonts w:ascii="Arial Narrow" w:hAnsi="Arial Narrow"/>
        </w:rPr>
        <w:t xml:space="preserve"> zníženia deficitu k 3 % HDP.</w:t>
      </w:r>
      <w:r>
        <w:rPr>
          <w:rFonts w:ascii="Arial Narrow" w:hAnsi="Arial Narrow"/>
        </w:rPr>
        <w:t xml:space="preserve"> </w:t>
      </w:r>
      <w:r w:rsidR="007E024D">
        <w:rPr>
          <w:rFonts w:ascii="Arial Narrow" w:hAnsi="Arial Narrow"/>
        </w:rPr>
        <w:t>Táto stratégia p</w:t>
      </w:r>
      <w:r w:rsidRPr="007B1158">
        <w:rPr>
          <w:rFonts w:ascii="Arial Narrow" w:hAnsi="Arial Narrow"/>
        </w:rPr>
        <w:t xml:space="preserve">odľa najnovších prognóz MF SR povedie k zastaveniu rastu zadlženia už </w:t>
      </w:r>
      <w:r w:rsidR="00A5624E">
        <w:rPr>
          <w:rFonts w:ascii="Arial Narrow" w:hAnsi="Arial Narrow"/>
        </w:rPr>
        <w:t>v</w:t>
      </w:r>
      <w:r w:rsidRPr="007B1158">
        <w:rPr>
          <w:rFonts w:ascii="Arial Narrow" w:hAnsi="Arial Narrow"/>
        </w:rPr>
        <w:t xml:space="preserve"> roku 2027. Pokles deficitu k 3 % HDP do konca volebného obdobia je </w:t>
      </w:r>
      <w:r w:rsidR="009A0345">
        <w:rPr>
          <w:rFonts w:ascii="Arial Narrow" w:hAnsi="Arial Narrow"/>
        </w:rPr>
        <w:t>prísnejší</w:t>
      </w:r>
      <w:r w:rsidRPr="007B1158">
        <w:rPr>
          <w:rFonts w:ascii="Arial Narrow" w:hAnsi="Arial Narrow"/>
        </w:rPr>
        <w:t xml:space="preserve"> cieľ, ako </w:t>
      </w:r>
      <w:r w:rsidR="007B1158">
        <w:rPr>
          <w:rFonts w:ascii="Arial Narrow" w:hAnsi="Arial Narrow"/>
        </w:rPr>
        <w:t>mechanicky vyplýva</w:t>
      </w:r>
      <w:r w:rsidRPr="007B1158">
        <w:rPr>
          <w:rFonts w:ascii="Arial Narrow" w:hAnsi="Arial Narrow"/>
        </w:rPr>
        <w:t xml:space="preserve"> </w:t>
      </w:r>
      <w:r w:rsidR="007B1158">
        <w:rPr>
          <w:rFonts w:ascii="Arial Narrow" w:hAnsi="Arial Narrow"/>
        </w:rPr>
        <w:t>z</w:t>
      </w:r>
      <w:r w:rsidRPr="007B1158">
        <w:rPr>
          <w:rFonts w:ascii="Arial Narrow" w:hAnsi="Arial Narrow"/>
        </w:rPr>
        <w:t xml:space="preserve"> dodržania záväznej trajektórie rastu čistých výdavkov</w:t>
      </w:r>
      <w:r w:rsidR="007305DA">
        <w:rPr>
          <w:rFonts w:ascii="Arial Narrow" w:hAnsi="Arial Narrow"/>
        </w:rPr>
        <w:t xml:space="preserve"> (kumulatívne 8,1 % do roku 2028)</w:t>
      </w:r>
      <w:r w:rsidRPr="007B1158">
        <w:rPr>
          <w:rFonts w:ascii="Arial Narrow" w:hAnsi="Arial Narrow"/>
        </w:rPr>
        <w:t>. V takom</w:t>
      </w:r>
      <w:r>
        <w:rPr>
          <w:rFonts w:ascii="Arial Narrow" w:hAnsi="Arial Narrow"/>
        </w:rPr>
        <w:t xml:space="preserve"> prípade by</w:t>
      </w:r>
      <w:r w:rsidR="007B1158">
        <w:rPr>
          <w:rFonts w:ascii="Arial Narrow" w:hAnsi="Arial Narrow"/>
        </w:rPr>
        <w:t xml:space="preserve"> deficit</w:t>
      </w:r>
      <w:r>
        <w:rPr>
          <w:rFonts w:ascii="Arial Narrow" w:hAnsi="Arial Narrow"/>
        </w:rPr>
        <w:t xml:space="preserve"> klesol na úroveň 3,6 % </w:t>
      </w:r>
      <w:r w:rsidR="00F53C49">
        <w:rPr>
          <w:rFonts w:ascii="Arial Narrow" w:hAnsi="Arial Narrow"/>
        </w:rPr>
        <w:t xml:space="preserve">HDP </w:t>
      </w:r>
      <w:r>
        <w:rPr>
          <w:rFonts w:ascii="Arial Narrow" w:hAnsi="Arial Narrow"/>
        </w:rPr>
        <w:t>v roku 2027. Vláda však</w:t>
      </w:r>
      <w:r w:rsidR="00066C60">
        <w:rPr>
          <w:rFonts w:ascii="Arial Narrow" w:hAnsi="Arial Narrow"/>
        </w:rPr>
        <w:t xml:space="preserve"> </w:t>
      </w:r>
      <w:r w:rsidR="000E1AB3">
        <w:rPr>
          <w:rFonts w:ascii="Arial Narrow" w:hAnsi="Arial Narrow"/>
        </w:rPr>
        <w:t>plánuje</w:t>
      </w:r>
      <w:r>
        <w:rPr>
          <w:rFonts w:ascii="Arial Narrow" w:hAnsi="Arial Narrow"/>
        </w:rPr>
        <w:t xml:space="preserve"> prísnejš</w:t>
      </w:r>
      <w:r w:rsidR="00066C60">
        <w:rPr>
          <w:rFonts w:ascii="Arial Narrow" w:hAnsi="Arial Narrow"/>
        </w:rPr>
        <w:t>í</w:t>
      </w:r>
      <w:r>
        <w:rPr>
          <w:rFonts w:ascii="Arial Narrow" w:hAnsi="Arial Narrow"/>
        </w:rPr>
        <w:t xml:space="preserve"> cie</w:t>
      </w:r>
      <w:r w:rsidR="00066C60">
        <w:rPr>
          <w:rFonts w:ascii="Arial Narrow" w:hAnsi="Arial Narrow"/>
        </w:rPr>
        <w:t>ľ deficitu</w:t>
      </w:r>
      <w:r>
        <w:rPr>
          <w:rFonts w:ascii="Arial Narrow" w:hAnsi="Arial Narrow"/>
        </w:rPr>
        <w:t xml:space="preserve"> dosiahnuť </w:t>
      </w:r>
      <w:r w:rsidR="00066C60">
        <w:rPr>
          <w:rFonts w:ascii="Arial Narrow" w:hAnsi="Arial Narrow"/>
        </w:rPr>
        <w:t xml:space="preserve">dodatočným úsilím, </w:t>
      </w:r>
      <w:r w:rsidR="006F56A8">
        <w:rPr>
          <w:rFonts w:ascii="Arial Narrow" w:hAnsi="Arial Narrow"/>
        </w:rPr>
        <w:t xml:space="preserve">najmä </w:t>
      </w:r>
      <w:r w:rsidR="00066C60">
        <w:rPr>
          <w:rFonts w:ascii="Arial Narrow" w:hAnsi="Arial Narrow"/>
        </w:rPr>
        <w:t>cez zlepšenie úspešnosti výberu</w:t>
      </w:r>
      <w:r w:rsidR="00183DAE">
        <w:rPr>
          <w:rFonts w:ascii="Arial Narrow" w:hAnsi="Arial Narrow"/>
        </w:rPr>
        <w:t xml:space="preserve"> daní</w:t>
      </w:r>
      <w:r>
        <w:rPr>
          <w:rFonts w:ascii="Arial Narrow" w:hAnsi="Arial Narrow"/>
        </w:rPr>
        <w:t>.</w:t>
      </w:r>
      <w:r w:rsidR="00304DD4">
        <w:rPr>
          <w:rFonts w:ascii="Arial Narrow" w:hAnsi="Arial Narrow"/>
        </w:rPr>
        <w:t xml:space="preserve"> Výsledkom by mala byť stabilizácia hrubého dlhu pri úrovni okolo 60 % HDP</w:t>
      </w:r>
      <w:r w:rsidR="00A5624E">
        <w:rPr>
          <w:rFonts w:ascii="Arial Narrow" w:hAnsi="Arial Narrow"/>
        </w:rPr>
        <w:t xml:space="preserve"> v roku 2027 a jeho pokles v roku 2028</w:t>
      </w:r>
      <w:r w:rsidR="00304DD4">
        <w:rPr>
          <w:rFonts w:ascii="Arial Narrow" w:hAnsi="Arial Narrow"/>
        </w:rPr>
        <w:t>.</w:t>
      </w:r>
      <w:r w:rsidR="00654729" w:rsidRPr="00654729" w:rsidDel="00654729">
        <w:rPr>
          <w:rFonts w:ascii="Arial Narrow" w:hAnsi="Arial Narrow"/>
          <w:highlight w:val="yellow"/>
        </w:rPr>
        <w:t xml:space="preserve"> </w:t>
      </w:r>
    </w:p>
    <w:tbl>
      <w:tblPr>
        <w:tblpPr w:leftFromText="141" w:rightFromText="141" w:vertAnchor="text" w:horzAnchor="margin" w:tblpY="61"/>
        <w:tblOverlap w:val="neve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4423"/>
        <w:gridCol w:w="146"/>
        <w:gridCol w:w="4503"/>
      </w:tblGrid>
      <w:tr w:rsidR="002A0289" w:rsidRPr="00C1586F" w14:paraId="5AA41244" w14:textId="77777777" w:rsidTr="00616580">
        <w:trPr>
          <w:trHeight w:val="339"/>
        </w:trPr>
        <w:tc>
          <w:tcPr>
            <w:tcW w:w="2477" w:type="pct"/>
            <w:tcBorders>
              <w:top w:val="nil"/>
              <w:left w:val="nil"/>
              <w:bottom w:val="single" w:sz="4" w:space="0" w:color="auto"/>
              <w:right w:val="nil"/>
            </w:tcBorders>
            <w:shd w:val="clear" w:color="auto" w:fill="auto"/>
          </w:tcPr>
          <w:p w14:paraId="29C3D1BE" w14:textId="64A01C5D" w:rsidR="002A0289" w:rsidRPr="00E20A72" w:rsidRDefault="002A0289" w:rsidP="00616580">
            <w:pPr>
              <w:widowControl w:val="0"/>
              <w:spacing w:before="40" w:after="40"/>
              <w:jc w:val="both"/>
              <w:rPr>
                <w:rFonts w:ascii="Arial Narrow" w:eastAsia="NeueHaasGroteskText W02" w:hAnsi="Arial Narrow" w:cs="Arial"/>
                <w:b/>
                <w:bCs/>
                <w:color w:val="2C9ADC"/>
                <w:sz w:val="20"/>
                <w:szCs w:val="20"/>
                <w:u w:color="2C9ADC"/>
              </w:rPr>
            </w:pPr>
            <w:bookmarkStart w:id="14" w:name="_Toc179814666"/>
            <w:r w:rsidRPr="00E20A72">
              <w:rPr>
                <w:rFonts w:ascii="Arial Narrow" w:hAnsi="Arial Narrow" w:cs="Arial Narrow"/>
                <w:b/>
                <w:bCs/>
                <w:color w:val="2C9ADC"/>
                <w:sz w:val="20"/>
                <w:szCs w:val="20"/>
              </w:rPr>
              <w:t xml:space="preserve">GRAF </w:t>
            </w:r>
            <w:r w:rsidRPr="00E20A72">
              <w:rPr>
                <w:rFonts w:ascii="Arial Narrow" w:hAnsi="Arial Narrow"/>
                <w:b/>
                <w:bCs/>
                <w:color w:val="2C9ADC"/>
                <w:sz w:val="20"/>
                <w:szCs w:val="20"/>
              </w:rPr>
              <w:fldChar w:fldCharType="begin"/>
            </w:r>
            <w:r w:rsidRPr="00E20A72">
              <w:rPr>
                <w:rFonts w:ascii="Arial Narrow" w:hAnsi="Arial Narrow"/>
                <w:b/>
                <w:bCs/>
                <w:color w:val="2C9ADC"/>
                <w:sz w:val="20"/>
                <w:szCs w:val="20"/>
              </w:rPr>
              <w:instrText xml:space="preserve"> SEQ GRAF \* ARABIC </w:instrText>
            </w:r>
            <w:r w:rsidRPr="00E20A72">
              <w:rPr>
                <w:rFonts w:ascii="Arial Narrow" w:hAnsi="Arial Narrow"/>
                <w:b/>
                <w:bCs/>
                <w:color w:val="2C9ADC"/>
                <w:sz w:val="20"/>
                <w:szCs w:val="20"/>
              </w:rPr>
              <w:fldChar w:fldCharType="separate"/>
            </w:r>
            <w:r w:rsidR="007A664D">
              <w:rPr>
                <w:rFonts w:ascii="Arial Narrow" w:hAnsi="Arial Narrow"/>
                <w:b/>
                <w:bCs/>
                <w:noProof/>
                <w:color w:val="2C9ADC"/>
                <w:sz w:val="20"/>
                <w:szCs w:val="20"/>
              </w:rPr>
              <w:t>7</w:t>
            </w:r>
            <w:r w:rsidRPr="00E20A72">
              <w:rPr>
                <w:rFonts w:ascii="Arial Narrow" w:hAnsi="Arial Narrow"/>
                <w:b/>
                <w:bCs/>
                <w:color w:val="2C9ADC"/>
                <w:sz w:val="20"/>
                <w:szCs w:val="20"/>
              </w:rPr>
              <w:fldChar w:fldCharType="end"/>
            </w:r>
            <w:r w:rsidRPr="00E20A72">
              <w:rPr>
                <w:rFonts w:ascii="Arial Narrow" w:hAnsi="Arial Narrow"/>
                <w:b/>
                <w:bCs/>
                <w:color w:val="2C9ADC"/>
                <w:sz w:val="20"/>
                <w:szCs w:val="20"/>
              </w:rPr>
              <w:t xml:space="preserve"> –</w:t>
            </w:r>
            <w:r w:rsidRPr="00E20A72">
              <w:rPr>
                <w:rFonts w:ascii="Arial Narrow" w:eastAsia="NeueHaasGroteskText W02" w:hAnsi="Arial Narrow" w:cs="Arial"/>
                <w:b/>
                <w:bCs/>
                <w:color w:val="2C9ADC"/>
                <w:sz w:val="20"/>
                <w:szCs w:val="20"/>
                <w:u w:color="2C9ADC"/>
              </w:rPr>
              <w:t> Odhadovaný vývoj deficitu</w:t>
            </w:r>
            <w:r w:rsidR="00924635">
              <w:rPr>
                <w:rFonts w:ascii="Arial Narrow" w:eastAsia="NeueHaasGroteskText W02" w:hAnsi="Arial Narrow" w:cs="Arial"/>
                <w:b/>
                <w:bCs/>
                <w:color w:val="2C9ADC"/>
                <w:sz w:val="20"/>
                <w:szCs w:val="20"/>
                <w:u w:color="2C9ADC"/>
              </w:rPr>
              <w:t xml:space="preserve"> </w:t>
            </w:r>
            <w:r w:rsidRPr="00E20A72">
              <w:rPr>
                <w:rFonts w:ascii="Arial Narrow" w:eastAsia="NeueHaasGroteskText W02" w:hAnsi="Arial Narrow" w:cs="Arial"/>
                <w:b/>
                <w:bCs/>
                <w:color w:val="2C9ADC"/>
                <w:sz w:val="20"/>
                <w:szCs w:val="20"/>
                <w:u w:color="2C9ADC"/>
              </w:rPr>
              <w:t>verejnej správy po zohľadnení najnovších prognóz MF SR (% HDP)</w:t>
            </w:r>
            <w:bookmarkEnd w:id="14"/>
          </w:p>
        </w:tc>
        <w:tc>
          <w:tcPr>
            <w:tcW w:w="80" w:type="pct"/>
            <w:tcBorders>
              <w:top w:val="nil"/>
              <w:left w:val="nil"/>
              <w:bottom w:val="nil"/>
              <w:right w:val="nil"/>
            </w:tcBorders>
            <w:shd w:val="clear" w:color="auto" w:fill="auto"/>
          </w:tcPr>
          <w:p w14:paraId="58523A77" w14:textId="77777777" w:rsidR="002A0289" w:rsidRPr="00E20A72" w:rsidRDefault="002A0289" w:rsidP="00616580">
            <w:pPr>
              <w:widowControl w:val="0"/>
              <w:spacing w:before="60" w:after="60"/>
              <w:rPr>
                <w:rFonts w:ascii="Arial Narrow" w:hAnsi="Arial Narrow" w:cs="Arial"/>
                <w:b/>
                <w:bCs/>
                <w:color w:val="2C9ADC"/>
                <w:sz w:val="20"/>
                <w:szCs w:val="20"/>
              </w:rPr>
            </w:pPr>
          </w:p>
        </w:tc>
        <w:tc>
          <w:tcPr>
            <w:tcW w:w="2443" w:type="pct"/>
            <w:tcBorders>
              <w:top w:val="nil"/>
              <w:left w:val="nil"/>
              <w:bottom w:val="single" w:sz="4" w:space="0" w:color="auto"/>
              <w:right w:val="nil"/>
            </w:tcBorders>
            <w:shd w:val="clear" w:color="auto" w:fill="auto"/>
          </w:tcPr>
          <w:p w14:paraId="6599DC44" w14:textId="3D5A31A4" w:rsidR="002A0289" w:rsidRPr="00E20A72" w:rsidRDefault="002A0289" w:rsidP="00616580">
            <w:pPr>
              <w:widowControl w:val="0"/>
              <w:spacing w:before="40" w:after="40"/>
              <w:jc w:val="both"/>
              <w:rPr>
                <w:rFonts w:ascii="Arial Narrow" w:hAnsi="Arial Narrow"/>
                <w:b/>
                <w:bCs/>
                <w:color w:val="2C9ADC"/>
                <w:sz w:val="20"/>
                <w:szCs w:val="20"/>
              </w:rPr>
            </w:pPr>
            <w:bookmarkStart w:id="15" w:name="_Toc179814667"/>
            <w:r w:rsidRPr="00E20A72">
              <w:rPr>
                <w:rFonts w:ascii="Arial Narrow" w:hAnsi="Arial Narrow"/>
                <w:b/>
                <w:bCs/>
                <w:color w:val="2C9ADC"/>
                <w:sz w:val="20"/>
                <w:szCs w:val="20"/>
              </w:rPr>
              <w:t xml:space="preserve">GRAF </w:t>
            </w:r>
            <w:r w:rsidRPr="00E20A72">
              <w:rPr>
                <w:rFonts w:ascii="Arial Narrow" w:hAnsi="Arial Narrow"/>
                <w:b/>
                <w:bCs/>
                <w:color w:val="2C9ADC"/>
                <w:sz w:val="20"/>
                <w:szCs w:val="20"/>
              </w:rPr>
              <w:fldChar w:fldCharType="begin"/>
            </w:r>
            <w:r w:rsidRPr="00E20A72">
              <w:rPr>
                <w:rFonts w:ascii="Arial Narrow" w:hAnsi="Arial Narrow"/>
                <w:b/>
                <w:bCs/>
                <w:color w:val="2C9ADC"/>
                <w:sz w:val="20"/>
                <w:szCs w:val="20"/>
              </w:rPr>
              <w:instrText xml:space="preserve"> SEQ GRAF \* ARABIC </w:instrText>
            </w:r>
            <w:r w:rsidRPr="00E20A72">
              <w:rPr>
                <w:rFonts w:ascii="Arial Narrow" w:hAnsi="Arial Narrow"/>
                <w:b/>
                <w:bCs/>
                <w:color w:val="2C9ADC"/>
                <w:sz w:val="20"/>
                <w:szCs w:val="20"/>
              </w:rPr>
              <w:fldChar w:fldCharType="separate"/>
            </w:r>
            <w:r w:rsidR="007A664D">
              <w:rPr>
                <w:rFonts w:ascii="Arial Narrow" w:hAnsi="Arial Narrow"/>
                <w:b/>
                <w:bCs/>
                <w:noProof/>
                <w:color w:val="2C9ADC"/>
                <w:sz w:val="20"/>
                <w:szCs w:val="20"/>
              </w:rPr>
              <w:t>8</w:t>
            </w:r>
            <w:r w:rsidRPr="00E20A72">
              <w:rPr>
                <w:rFonts w:ascii="Arial Narrow" w:hAnsi="Arial Narrow"/>
                <w:b/>
                <w:bCs/>
                <w:color w:val="2C9ADC"/>
                <w:sz w:val="20"/>
                <w:szCs w:val="20"/>
              </w:rPr>
              <w:fldChar w:fldCharType="end"/>
            </w:r>
            <w:r w:rsidRPr="00E20A72">
              <w:rPr>
                <w:rFonts w:ascii="Arial Narrow" w:hAnsi="Arial Narrow"/>
                <w:b/>
                <w:bCs/>
                <w:color w:val="2C9ADC"/>
                <w:sz w:val="20"/>
                <w:szCs w:val="20"/>
              </w:rPr>
              <w:t xml:space="preserve"> – Odhadovaný vývoj hrubého dlhu</w:t>
            </w:r>
            <w:r w:rsidRPr="00E20A72">
              <w:rPr>
                <w:rFonts w:ascii="Arial Narrow" w:eastAsia="NeueHaasGroteskText W02" w:hAnsi="Arial Narrow" w:cs="Arial"/>
                <w:b/>
                <w:bCs/>
                <w:color w:val="2C9ADC"/>
                <w:sz w:val="20"/>
                <w:szCs w:val="20"/>
                <w:u w:color="2C9ADC"/>
              </w:rPr>
              <w:t xml:space="preserve"> po zohľadnení najnovších prognóz MF</w:t>
            </w:r>
            <w:r w:rsidR="00E20A72">
              <w:rPr>
                <w:rFonts w:ascii="Arial Narrow" w:eastAsia="NeueHaasGroteskText W02" w:hAnsi="Arial Narrow" w:cs="Arial"/>
                <w:b/>
                <w:bCs/>
                <w:color w:val="2C9ADC"/>
                <w:sz w:val="20"/>
                <w:szCs w:val="20"/>
                <w:u w:color="2C9ADC"/>
              </w:rPr>
              <w:t xml:space="preserve"> </w:t>
            </w:r>
            <w:r w:rsidRPr="00E20A72">
              <w:rPr>
                <w:rFonts w:ascii="Arial Narrow" w:eastAsia="NeueHaasGroteskText W02" w:hAnsi="Arial Narrow" w:cs="Arial"/>
                <w:b/>
                <w:bCs/>
                <w:color w:val="2C9ADC"/>
                <w:sz w:val="20"/>
                <w:szCs w:val="20"/>
                <w:u w:color="2C9ADC"/>
              </w:rPr>
              <w:t>SR</w:t>
            </w:r>
            <w:r w:rsidRPr="00E20A72">
              <w:rPr>
                <w:rFonts w:ascii="Arial Narrow" w:hAnsi="Arial Narrow"/>
                <w:b/>
                <w:bCs/>
                <w:color w:val="2C9ADC"/>
                <w:sz w:val="20"/>
                <w:szCs w:val="20"/>
              </w:rPr>
              <w:t xml:space="preserve"> </w:t>
            </w:r>
            <w:r w:rsidRPr="00E20A72">
              <w:rPr>
                <w:rFonts w:ascii="Arial Narrow" w:eastAsia="NeueHaasGroteskText W02" w:hAnsi="Arial Narrow" w:cs="Arial"/>
                <w:b/>
                <w:bCs/>
                <w:color w:val="2C9ADC"/>
                <w:sz w:val="20"/>
                <w:szCs w:val="20"/>
                <w:u w:color="2C9ADC"/>
              </w:rPr>
              <w:t>(% HDP)</w:t>
            </w:r>
            <w:bookmarkEnd w:id="15"/>
          </w:p>
        </w:tc>
      </w:tr>
      <w:tr w:rsidR="002A0289" w:rsidRPr="00C1586F" w14:paraId="4BB9C9B5" w14:textId="77777777" w:rsidTr="00616580">
        <w:trPr>
          <w:trHeight w:val="866"/>
        </w:trPr>
        <w:tc>
          <w:tcPr>
            <w:tcW w:w="2477" w:type="pct"/>
            <w:tcBorders>
              <w:top w:val="single" w:sz="4" w:space="0" w:color="auto"/>
              <w:left w:val="nil"/>
              <w:bottom w:val="single" w:sz="4" w:space="0" w:color="auto"/>
              <w:right w:val="nil"/>
            </w:tcBorders>
            <w:vAlign w:val="center"/>
          </w:tcPr>
          <w:p w14:paraId="635D9451" w14:textId="3042B1D4" w:rsidR="002A0289" w:rsidRPr="00C1586F" w:rsidRDefault="00E71F3B" w:rsidP="00616580">
            <w:pPr>
              <w:widowControl w:val="0"/>
              <w:spacing w:before="40" w:after="40"/>
              <w:jc w:val="center"/>
              <w:rPr>
                <w:rFonts w:ascii="Arial Narrow" w:hAnsi="Arial Narrow" w:cs="Arial"/>
                <w:sz w:val="20"/>
                <w:szCs w:val="20"/>
                <w:highlight w:val="yellow"/>
              </w:rPr>
            </w:pPr>
            <w:r>
              <w:rPr>
                <w:noProof/>
                <w:lang w:eastAsia="sk-SK"/>
              </w:rPr>
              <w:drawing>
                <wp:inline distT="0" distB="0" distL="0" distR="0" wp14:anchorId="4BE1A26F" wp14:editId="2A161FF2">
                  <wp:extent cx="2764790" cy="2311603"/>
                  <wp:effectExtent l="0" t="0" r="0" b="0"/>
                  <wp:docPr id="1160490402" name="Graf 1160490402">
                    <a:extLst xmlns:a="http://schemas.openxmlformats.org/drawingml/2006/main">
                      <a:ext uri="{FF2B5EF4-FFF2-40B4-BE49-F238E27FC236}">
                        <a16:creationId xmlns:a16="http://schemas.microsoft.com/office/drawing/2014/main" id="{ABA973AC-784C-4E44-97BE-38AEABD194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80" w:type="pct"/>
            <w:tcBorders>
              <w:top w:val="nil"/>
              <w:left w:val="nil"/>
              <w:bottom w:val="nil"/>
              <w:right w:val="nil"/>
            </w:tcBorders>
            <w:vAlign w:val="center"/>
          </w:tcPr>
          <w:p w14:paraId="180FCA8F" w14:textId="77777777" w:rsidR="002A0289" w:rsidRPr="00C1586F" w:rsidRDefault="002A0289" w:rsidP="00616580">
            <w:pPr>
              <w:widowControl w:val="0"/>
              <w:spacing w:before="40" w:after="40"/>
              <w:jc w:val="center"/>
              <w:rPr>
                <w:rFonts w:ascii="Arial Narrow" w:hAnsi="Arial Narrow" w:cs="Arial"/>
                <w:b/>
                <w:sz w:val="20"/>
                <w:szCs w:val="20"/>
                <w:highlight w:val="yellow"/>
              </w:rPr>
            </w:pPr>
          </w:p>
        </w:tc>
        <w:tc>
          <w:tcPr>
            <w:tcW w:w="2443" w:type="pct"/>
            <w:tcBorders>
              <w:top w:val="single" w:sz="4" w:space="0" w:color="auto"/>
              <w:left w:val="nil"/>
              <w:bottom w:val="single" w:sz="4" w:space="0" w:color="auto"/>
              <w:right w:val="nil"/>
            </w:tcBorders>
            <w:vAlign w:val="bottom"/>
          </w:tcPr>
          <w:p w14:paraId="30DA8F57" w14:textId="5EF1E35F" w:rsidR="002A0289" w:rsidRPr="00C1586F" w:rsidRDefault="00E71F3B" w:rsidP="00616580">
            <w:pPr>
              <w:widowControl w:val="0"/>
              <w:spacing w:before="40" w:after="40"/>
              <w:rPr>
                <w:rFonts w:ascii="Arial Narrow" w:hAnsi="Arial Narrow" w:cs="Arial"/>
                <w:sz w:val="20"/>
                <w:szCs w:val="20"/>
                <w:highlight w:val="yellow"/>
              </w:rPr>
            </w:pPr>
            <w:r>
              <w:rPr>
                <w:noProof/>
                <w:lang w:eastAsia="sk-SK"/>
              </w:rPr>
              <w:drawing>
                <wp:inline distT="0" distB="0" distL="0" distR="0" wp14:anchorId="59635151" wp14:editId="14C3C766">
                  <wp:extent cx="2817089" cy="2282342"/>
                  <wp:effectExtent l="0" t="0" r="0" b="3810"/>
                  <wp:docPr id="1559833580" name="Graf 1559833580">
                    <a:extLst xmlns:a="http://schemas.openxmlformats.org/drawingml/2006/main">
                      <a:ext uri="{FF2B5EF4-FFF2-40B4-BE49-F238E27FC236}">
                        <a16:creationId xmlns:a16="http://schemas.microsoft.com/office/drawing/2014/main" id="{964F7CC3-7D23-4D85-AD01-11410F46A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r w:rsidR="002A0289" w:rsidRPr="005516F4" w14:paraId="7C5BC4F7" w14:textId="77777777" w:rsidTr="00616580">
        <w:trPr>
          <w:trHeight w:val="108"/>
        </w:trPr>
        <w:tc>
          <w:tcPr>
            <w:tcW w:w="5000" w:type="pct"/>
            <w:gridSpan w:val="3"/>
            <w:tcBorders>
              <w:top w:val="single" w:sz="4" w:space="0" w:color="auto"/>
              <w:left w:val="nil"/>
              <w:bottom w:val="nil"/>
              <w:right w:val="nil"/>
            </w:tcBorders>
          </w:tcPr>
          <w:p w14:paraId="317BFB13" w14:textId="08EC307E" w:rsidR="002A0289" w:rsidRPr="005516F4" w:rsidRDefault="00E71F3B" w:rsidP="00A22C01">
            <w:pPr>
              <w:widowControl w:val="0"/>
              <w:spacing w:before="40" w:after="40"/>
              <w:jc w:val="both"/>
              <w:rPr>
                <w:rFonts w:ascii="Arial Narrow" w:hAnsi="Arial Narrow"/>
                <w:b/>
                <w:iCs/>
                <w:color w:val="000000"/>
              </w:rPr>
            </w:pPr>
            <w:r>
              <w:rPr>
                <w:rFonts w:ascii="Arial Narrow" w:hAnsi="Arial Narrow"/>
                <w:i/>
                <w:sz w:val="16"/>
                <w:szCs w:val="16"/>
              </w:rPr>
              <w:t>Pozn</w:t>
            </w:r>
            <w:r w:rsidR="00D7640B">
              <w:rPr>
                <w:rFonts w:ascii="Arial Narrow" w:hAnsi="Arial Narrow"/>
                <w:i/>
                <w:sz w:val="16"/>
                <w:szCs w:val="16"/>
              </w:rPr>
              <w:t>.: *</w:t>
            </w:r>
            <w:r w:rsidR="00110C5F">
              <w:t xml:space="preserve"> </w:t>
            </w:r>
            <w:r w:rsidR="00110C5F" w:rsidRPr="00110C5F">
              <w:rPr>
                <w:rFonts w:ascii="Arial Narrow" w:hAnsi="Arial Narrow"/>
                <w:i/>
                <w:sz w:val="16"/>
                <w:szCs w:val="16"/>
              </w:rPr>
              <w:t>V prípade 4-ročného plánu ide o trajektóriu, ktorá nie je v jednotlivých rokoch rovnomerne fázovaná (viď. Tabuľka 2 v časti Fázovanie konsolidácie v najbližších rokoch)</w:t>
            </w:r>
            <w:r w:rsidR="00D7640B">
              <w:rPr>
                <w:rFonts w:ascii="Arial Narrow" w:hAnsi="Arial Narrow"/>
                <w:i/>
                <w:sz w:val="16"/>
                <w:szCs w:val="16"/>
              </w:rPr>
              <w:t xml:space="preserve">. </w:t>
            </w:r>
            <w:r w:rsidR="00C7734C">
              <w:rPr>
                <w:rFonts w:ascii="Arial Narrow" w:hAnsi="Arial Narrow"/>
                <w:i/>
                <w:sz w:val="16"/>
                <w:szCs w:val="16"/>
              </w:rPr>
              <w:t>*</w:t>
            </w:r>
            <w:r w:rsidR="00D7640B">
              <w:rPr>
                <w:rFonts w:ascii="Arial Narrow" w:hAnsi="Arial Narrow"/>
                <w:i/>
                <w:sz w:val="16"/>
                <w:szCs w:val="16"/>
              </w:rPr>
              <w:t>*</w:t>
            </w:r>
            <w:r w:rsidR="00C7734C">
              <w:rPr>
                <w:rFonts w:ascii="Arial Narrow" w:hAnsi="Arial Narrow"/>
                <w:i/>
                <w:sz w:val="16"/>
                <w:szCs w:val="16"/>
              </w:rPr>
              <w:t xml:space="preserve"> </w:t>
            </w:r>
            <w:r>
              <w:rPr>
                <w:rFonts w:ascii="Arial Narrow" w:hAnsi="Arial Narrow"/>
                <w:i/>
                <w:sz w:val="16"/>
                <w:szCs w:val="16"/>
              </w:rPr>
              <w:t xml:space="preserve">Hrubý dlh by </w:t>
            </w:r>
            <w:r w:rsidR="00082CCA">
              <w:rPr>
                <w:rFonts w:ascii="Arial Narrow" w:hAnsi="Arial Narrow"/>
                <w:i/>
                <w:sz w:val="16"/>
                <w:szCs w:val="16"/>
              </w:rPr>
              <w:t>sa ani do konca</w:t>
            </w:r>
            <w:r>
              <w:rPr>
                <w:rFonts w:ascii="Arial Narrow" w:hAnsi="Arial Narrow"/>
                <w:i/>
                <w:sz w:val="16"/>
                <w:szCs w:val="16"/>
              </w:rPr>
              <w:t xml:space="preserve"> 7-ročného</w:t>
            </w:r>
            <w:r w:rsidR="00E84622">
              <w:rPr>
                <w:rFonts w:ascii="Arial Narrow" w:hAnsi="Arial Narrow"/>
                <w:i/>
                <w:sz w:val="16"/>
                <w:szCs w:val="16"/>
              </w:rPr>
              <w:t xml:space="preserve"> konsolidačného</w:t>
            </w:r>
            <w:r>
              <w:rPr>
                <w:rFonts w:ascii="Arial Narrow" w:hAnsi="Arial Narrow"/>
                <w:i/>
                <w:sz w:val="16"/>
                <w:szCs w:val="16"/>
              </w:rPr>
              <w:t xml:space="preserve"> plánu </w:t>
            </w:r>
            <w:r w:rsidR="00FA77D9">
              <w:rPr>
                <w:rFonts w:ascii="Arial Narrow" w:hAnsi="Arial Narrow"/>
                <w:i/>
                <w:sz w:val="16"/>
                <w:szCs w:val="16"/>
              </w:rPr>
              <w:t>(2031)</w:t>
            </w:r>
            <w:r>
              <w:rPr>
                <w:rFonts w:ascii="Arial Narrow" w:hAnsi="Arial Narrow"/>
                <w:i/>
                <w:sz w:val="16"/>
                <w:szCs w:val="16"/>
              </w:rPr>
              <w:t xml:space="preserve"> </w:t>
            </w:r>
            <w:r w:rsidR="00082CCA">
              <w:rPr>
                <w:rFonts w:ascii="Arial Narrow" w:hAnsi="Arial Narrow"/>
                <w:i/>
                <w:sz w:val="16"/>
                <w:szCs w:val="16"/>
              </w:rPr>
              <w:t>nestabilizoval a dosiahol by</w:t>
            </w:r>
            <w:r>
              <w:rPr>
                <w:rFonts w:ascii="Arial Narrow" w:hAnsi="Arial Narrow"/>
                <w:i/>
                <w:sz w:val="16"/>
                <w:szCs w:val="16"/>
              </w:rPr>
              <w:t xml:space="preserve"> 67 % HDP.</w:t>
            </w:r>
            <w:r w:rsidR="00110C5F">
              <w:rPr>
                <w:rFonts w:ascii="Arial Narrow" w:hAnsi="Arial Narrow"/>
                <w:i/>
                <w:sz w:val="16"/>
                <w:szCs w:val="16"/>
              </w:rPr>
              <w:t xml:space="preserve">  </w:t>
            </w:r>
            <w:r w:rsidR="00D7640B">
              <w:rPr>
                <w:rFonts w:ascii="Arial Narrow" w:hAnsi="Arial Narrow"/>
                <w:i/>
                <w:sz w:val="16"/>
                <w:szCs w:val="16"/>
              </w:rPr>
              <w:t xml:space="preserve">  </w:t>
            </w:r>
            <w:r w:rsidR="002A0289" w:rsidRPr="005516F4">
              <w:rPr>
                <w:rFonts w:ascii="Arial Narrow" w:hAnsi="Arial Narrow"/>
                <w:i/>
                <w:sz w:val="16"/>
                <w:szCs w:val="16"/>
              </w:rPr>
              <w:t>Zdroj: EK,  MF SR</w:t>
            </w:r>
          </w:p>
        </w:tc>
      </w:tr>
    </w:tbl>
    <w:p w14:paraId="67A0395B" w14:textId="77777777" w:rsidR="002A0289" w:rsidRPr="00672433" w:rsidRDefault="002A0289" w:rsidP="002A0289">
      <w:pPr>
        <w:spacing w:after="0" w:line="276" w:lineRule="auto"/>
        <w:jc w:val="both"/>
        <w:rPr>
          <w:rFonts w:ascii="Arial Narrow" w:hAnsi="Arial Narrow"/>
        </w:rPr>
      </w:pPr>
    </w:p>
    <w:p w14:paraId="12C7DBC1" w14:textId="483BD12A" w:rsidR="000043A0" w:rsidRPr="00A22C01" w:rsidRDefault="000043A0" w:rsidP="000043A0">
      <w:pPr>
        <w:spacing w:line="276" w:lineRule="auto"/>
        <w:jc w:val="both"/>
        <w:rPr>
          <w:rFonts w:ascii="Arial Narrow" w:hAnsi="Arial Narrow"/>
          <w:b/>
          <w:bCs/>
          <w:color w:val="2C9ADC"/>
        </w:rPr>
      </w:pPr>
      <w:bookmarkStart w:id="16" w:name="_Hlk177984553"/>
      <w:r w:rsidRPr="00A22C01">
        <w:rPr>
          <w:rFonts w:ascii="Arial Narrow" w:hAnsi="Arial Narrow"/>
          <w:b/>
          <w:bCs/>
          <w:color w:val="2C9ADC"/>
        </w:rPr>
        <w:t>Analýza udržateľnosti dlhu (</w:t>
      </w:r>
      <w:r w:rsidR="00CF072B" w:rsidRPr="00A22C01">
        <w:rPr>
          <w:rFonts w:ascii="Arial Narrow" w:hAnsi="Arial Narrow"/>
          <w:b/>
          <w:bCs/>
          <w:color w:val="2C9ADC"/>
        </w:rPr>
        <w:t>podľa</w:t>
      </w:r>
      <w:r w:rsidRPr="00A22C01">
        <w:rPr>
          <w:rFonts w:ascii="Arial Narrow" w:hAnsi="Arial Narrow"/>
          <w:b/>
          <w:bCs/>
          <w:color w:val="2C9ADC"/>
        </w:rPr>
        <w:t xml:space="preserve"> metodik</w:t>
      </w:r>
      <w:r w:rsidR="00CF072B" w:rsidRPr="00A22C01">
        <w:rPr>
          <w:rFonts w:ascii="Arial Narrow" w:hAnsi="Arial Narrow"/>
          <w:b/>
          <w:bCs/>
          <w:color w:val="2C9ADC"/>
        </w:rPr>
        <w:t>y a progn</w:t>
      </w:r>
      <w:r w:rsidR="00A60F4E" w:rsidRPr="00A22C01">
        <w:rPr>
          <w:rFonts w:ascii="Arial Narrow" w:hAnsi="Arial Narrow"/>
          <w:b/>
          <w:bCs/>
          <w:color w:val="2C9ADC"/>
        </w:rPr>
        <w:t>ó</w:t>
      </w:r>
      <w:r w:rsidR="00CF072B" w:rsidRPr="00A22C01">
        <w:rPr>
          <w:rFonts w:ascii="Arial Narrow" w:hAnsi="Arial Narrow"/>
          <w:b/>
          <w:bCs/>
          <w:color w:val="2C9ADC"/>
        </w:rPr>
        <w:t>zy</w:t>
      </w:r>
      <w:r w:rsidRPr="00A22C01">
        <w:rPr>
          <w:rFonts w:ascii="Arial Narrow" w:hAnsi="Arial Narrow"/>
          <w:b/>
          <w:bCs/>
          <w:color w:val="2C9ADC"/>
        </w:rPr>
        <w:t xml:space="preserve"> EK</w:t>
      </w:r>
      <w:r w:rsidRPr="00A22C01">
        <w:rPr>
          <w:rStyle w:val="Odkaznapoznmkupodiarou"/>
          <w:rFonts w:ascii="Arial Narrow" w:hAnsi="Arial Narrow"/>
          <w:b/>
          <w:bCs/>
          <w:color w:val="2C9ADC"/>
        </w:rPr>
        <w:footnoteReference w:id="11"/>
      </w:r>
      <w:r w:rsidRPr="00A22C01">
        <w:rPr>
          <w:rFonts w:ascii="Arial Narrow" w:hAnsi="Arial Narrow"/>
          <w:b/>
          <w:bCs/>
          <w:color w:val="2C9ADC"/>
        </w:rPr>
        <w:t>)</w:t>
      </w:r>
    </w:p>
    <w:p w14:paraId="5A6A2683" w14:textId="02508015" w:rsidR="000043A0" w:rsidRDefault="000043A0" w:rsidP="000043A0">
      <w:pPr>
        <w:spacing w:line="276" w:lineRule="auto"/>
        <w:jc w:val="both"/>
        <w:rPr>
          <w:rFonts w:ascii="Arial Narrow" w:hAnsi="Arial Narrow"/>
        </w:rPr>
      </w:pPr>
      <w:r>
        <w:rPr>
          <w:rFonts w:ascii="Arial Narrow" w:hAnsi="Arial Narrow"/>
          <w:b/>
          <w:bCs/>
        </w:rPr>
        <w:t xml:space="preserve">Predložený plán konsolidácie </w:t>
      </w:r>
      <w:r w:rsidRPr="00672433">
        <w:rPr>
          <w:rFonts w:ascii="Arial Narrow" w:hAnsi="Arial Narrow"/>
          <w:b/>
          <w:bCs/>
        </w:rPr>
        <w:t xml:space="preserve">napĺňa </w:t>
      </w:r>
      <w:r>
        <w:rPr>
          <w:rFonts w:ascii="Arial Narrow" w:hAnsi="Arial Narrow"/>
          <w:b/>
          <w:bCs/>
        </w:rPr>
        <w:t xml:space="preserve">aj </w:t>
      </w:r>
      <w:r w:rsidRPr="00672433">
        <w:rPr>
          <w:rFonts w:ascii="Arial Narrow" w:hAnsi="Arial Narrow"/>
          <w:b/>
          <w:bCs/>
        </w:rPr>
        <w:t xml:space="preserve">hlavný </w:t>
      </w:r>
      <w:r>
        <w:rPr>
          <w:rFonts w:ascii="Arial Narrow" w:hAnsi="Arial Narrow"/>
          <w:b/>
          <w:bCs/>
        </w:rPr>
        <w:t xml:space="preserve">dlhodobý </w:t>
      </w:r>
      <w:r w:rsidRPr="00672433">
        <w:rPr>
          <w:rFonts w:ascii="Arial Narrow" w:hAnsi="Arial Narrow"/>
          <w:b/>
          <w:bCs/>
        </w:rPr>
        <w:t xml:space="preserve">cieľ pravidiel, </w:t>
      </w:r>
      <w:r>
        <w:rPr>
          <w:rFonts w:ascii="Arial Narrow" w:hAnsi="Arial Narrow"/>
          <w:b/>
          <w:bCs/>
        </w:rPr>
        <w:t>aby sa</w:t>
      </w:r>
      <w:r w:rsidRPr="00672433">
        <w:rPr>
          <w:rFonts w:ascii="Arial Narrow" w:hAnsi="Arial Narrow"/>
          <w:b/>
          <w:bCs/>
        </w:rPr>
        <w:t xml:space="preserve"> aj 10 rokov po </w:t>
      </w:r>
      <w:r w:rsidR="00A60F4E">
        <w:rPr>
          <w:rFonts w:ascii="Arial Narrow" w:hAnsi="Arial Narrow"/>
          <w:b/>
          <w:bCs/>
        </w:rPr>
        <w:t>konci horizontu</w:t>
      </w:r>
      <w:r w:rsidRPr="00672433">
        <w:rPr>
          <w:rFonts w:ascii="Arial Narrow" w:hAnsi="Arial Narrow"/>
          <w:b/>
          <w:bCs/>
        </w:rPr>
        <w:t xml:space="preserve"> plánu dlh a deficit udrž</w:t>
      </w:r>
      <w:r>
        <w:rPr>
          <w:rFonts w:ascii="Arial Narrow" w:hAnsi="Arial Narrow"/>
          <w:b/>
          <w:bCs/>
        </w:rPr>
        <w:t>ali</w:t>
      </w:r>
      <w:r w:rsidRPr="00672433">
        <w:rPr>
          <w:rFonts w:ascii="Arial Narrow" w:hAnsi="Arial Narrow"/>
          <w:b/>
          <w:bCs/>
        </w:rPr>
        <w:t xml:space="preserve"> bezpečne pod 60</w:t>
      </w:r>
      <w:r>
        <w:rPr>
          <w:rFonts w:ascii="Arial Narrow" w:hAnsi="Arial Narrow"/>
          <w:b/>
          <w:bCs/>
        </w:rPr>
        <w:t xml:space="preserve"> </w:t>
      </w:r>
      <w:r w:rsidRPr="00672433">
        <w:rPr>
          <w:rFonts w:ascii="Arial Narrow" w:hAnsi="Arial Narrow"/>
          <w:b/>
          <w:bCs/>
        </w:rPr>
        <w:t>%, resp. 3 % HDP</w:t>
      </w:r>
      <w:r>
        <w:rPr>
          <w:rFonts w:ascii="Arial Narrow" w:hAnsi="Arial Narrow"/>
          <w:b/>
          <w:bCs/>
        </w:rPr>
        <w:t>.</w:t>
      </w:r>
      <w:r w:rsidRPr="00672433">
        <w:rPr>
          <w:rFonts w:ascii="Arial Narrow" w:hAnsi="Arial Narrow"/>
          <w:b/>
          <w:bCs/>
        </w:rPr>
        <w:t xml:space="preserve"> </w:t>
      </w:r>
      <w:r>
        <w:rPr>
          <w:rFonts w:ascii="Arial Narrow" w:hAnsi="Arial Narrow"/>
        </w:rPr>
        <w:t xml:space="preserve">Nové pravidlá cielia dosiahnutie takej pozície do konca plánu, aby ozdravenie verejných financií bolo dostatočné aj v kontexte </w:t>
      </w:r>
      <w:r w:rsidR="00FA6124">
        <w:rPr>
          <w:rFonts w:ascii="Arial Narrow" w:hAnsi="Arial Narrow"/>
        </w:rPr>
        <w:t xml:space="preserve">dlhodobých </w:t>
      </w:r>
      <w:r>
        <w:rPr>
          <w:rFonts w:ascii="Arial Narrow" w:hAnsi="Arial Narrow"/>
        </w:rPr>
        <w:t>prognóz. Starnutie slovenskej populácie, ktoré sa postupne prejav</w:t>
      </w:r>
      <w:r w:rsidR="00A60F4E">
        <w:rPr>
          <w:rFonts w:ascii="Arial Narrow" w:hAnsi="Arial Narrow"/>
        </w:rPr>
        <w:t>uje</w:t>
      </w:r>
      <w:r>
        <w:rPr>
          <w:rFonts w:ascii="Arial Narrow" w:hAnsi="Arial Narrow"/>
        </w:rPr>
        <w:t xml:space="preserve"> intenzívnejšie, navýši budúce výdavky a spomalí ekonomický rast. Z tohto dôvodu na konci </w:t>
      </w:r>
      <w:r w:rsidR="00A60F4E">
        <w:rPr>
          <w:rFonts w:ascii="Arial Narrow" w:hAnsi="Arial Narrow"/>
        </w:rPr>
        <w:t xml:space="preserve">strednodobého </w:t>
      </w:r>
      <w:r>
        <w:rPr>
          <w:rFonts w:ascii="Arial Narrow" w:hAnsi="Arial Narrow"/>
        </w:rPr>
        <w:t>konsolidačného plánu už musí byť dosiahnutý deficit výraznejšie pod 3 % H</w:t>
      </w:r>
      <w:r w:rsidRPr="00205AFF">
        <w:rPr>
          <w:rFonts w:ascii="Arial Narrow" w:hAnsi="Arial Narrow"/>
        </w:rPr>
        <w:t xml:space="preserve">DP, aby sa tak vytvoril priestor na absorbovanie zvýšenia deficitu a rastu dlhu </w:t>
      </w:r>
      <w:r w:rsidRPr="009336BD">
        <w:rPr>
          <w:rFonts w:ascii="Arial Narrow" w:hAnsi="Arial Narrow"/>
        </w:rPr>
        <w:t>a to aj bez ďalších zásahov vlády.</w:t>
      </w:r>
      <w:r>
        <w:rPr>
          <w:rFonts w:ascii="Arial Narrow" w:hAnsi="Arial Narrow"/>
        </w:rPr>
        <w:t xml:space="preserve"> Analýza udržateľnosti dlhu pritom počíta aj s viacerými rizikovými scenármi, napríklad s ešte výraznejším zvyšovaním deficitu či horším makroekonomickým prostredím. </w:t>
      </w:r>
      <w:r w:rsidR="000E1AB3">
        <w:rPr>
          <w:rFonts w:ascii="Arial Narrow" w:hAnsi="Arial Narrow"/>
        </w:rPr>
        <w:t>Na základe tejto analýzy je následne určený maximálny povolený rast čistých výdavkov</w:t>
      </w:r>
      <w:r w:rsidR="00924635">
        <w:rPr>
          <w:rFonts w:ascii="Arial Narrow" w:hAnsi="Arial Narrow"/>
        </w:rPr>
        <w:t xml:space="preserve"> (viac v prílohe 3)</w:t>
      </w:r>
      <w:r w:rsidR="000E1AB3">
        <w:rPr>
          <w:rFonts w:ascii="Arial Narrow" w:hAnsi="Arial Narrow"/>
        </w:rPr>
        <w:t>.</w:t>
      </w:r>
    </w:p>
    <w:p w14:paraId="29D33F4B" w14:textId="77777777" w:rsidR="00C47164" w:rsidRDefault="00C47164" w:rsidP="000043A0">
      <w:pPr>
        <w:spacing w:line="276" w:lineRule="auto"/>
        <w:jc w:val="both"/>
        <w:rPr>
          <w:rFonts w:ascii="Arial Narrow" w:hAnsi="Arial Narrow"/>
        </w:rPr>
      </w:pPr>
    </w:p>
    <w:tbl>
      <w:tblPr>
        <w:tblpPr w:leftFromText="141" w:rightFromText="141" w:vertAnchor="text" w:horzAnchor="margin" w:tblpY="61"/>
        <w:tblOverlap w:val="neve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4485"/>
        <w:gridCol w:w="146"/>
        <w:gridCol w:w="4441"/>
      </w:tblGrid>
      <w:tr w:rsidR="000043A0" w:rsidRPr="00C1586F" w14:paraId="433CB732" w14:textId="77777777" w:rsidTr="003240A9">
        <w:trPr>
          <w:trHeight w:val="339"/>
        </w:trPr>
        <w:tc>
          <w:tcPr>
            <w:tcW w:w="2461" w:type="pct"/>
            <w:tcBorders>
              <w:top w:val="nil"/>
              <w:left w:val="nil"/>
              <w:bottom w:val="single" w:sz="4" w:space="0" w:color="auto"/>
              <w:right w:val="nil"/>
            </w:tcBorders>
            <w:shd w:val="clear" w:color="auto" w:fill="auto"/>
          </w:tcPr>
          <w:p w14:paraId="355465AE" w14:textId="3A080C02" w:rsidR="000043A0" w:rsidRPr="00E20A72" w:rsidRDefault="000043A0" w:rsidP="00616580">
            <w:pPr>
              <w:widowControl w:val="0"/>
              <w:spacing w:before="40" w:after="40"/>
              <w:jc w:val="both"/>
              <w:rPr>
                <w:rFonts w:ascii="Arial Narrow" w:eastAsia="NeueHaasGroteskText W02" w:hAnsi="Arial Narrow" w:cs="Arial"/>
                <w:b/>
                <w:bCs/>
                <w:color w:val="2C9ADC"/>
                <w:sz w:val="20"/>
                <w:szCs w:val="20"/>
                <w:highlight w:val="yellow"/>
                <w:u w:color="2C9ADC"/>
              </w:rPr>
            </w:pPr>
            <w:bookmarkStart w:id="17" w:name="_Toc179814668"/>
            <w:r w:rsidRPr="00E20A72">
              <w:rPr>
                <w:rFonts w:ascii="Arial Narrow" w:hAnsi="Arial Narrow" w:cs="Arial Narrow"/>
                <w:b/>
                <w:bCs/>
                <w:color w:val="2C9ADC"/>
                <w:sz w:val="20"/>
                <w:szCs w:val="20"/>
              </w:rPr>
              <w:t xml:space="preserve">GRAF </w:t>
            </w:r>
            <w:r w:rsidR="00E20A72" w:rsidRPr="00E20A72">
              <w:rPr>
                <w:rFonts w:ascii="Arial Narrow" w:hAnsi="Arial Narrow"/>
                <w:b/>
                <w:bCs/>
                <w:color w:val="2C9ADC"/>
                <w:sz w:val="20"/>
                <w:szCs w:val="20"/>
              </w:rPr>
              <w:fldChar w:fldCharType="begin"/>
            </w:r>
            <w:r w:rsidR="00E20A72" w:rsidRPr="00E20A72">
              <w:rPr>
                <w:rFonts w:ascii="Arial Narrow" w:hAnsi="Arial Narrow"/>
                <w:b/>
                <w:bCs/>
                <w:color w:val="2C9ADC"/>
                <w:sz w:val="20"/>
                <w:szCs w:val="20"/>
              </w:rPr>
              <w:instrText xml:space="preserve"> SEQ GRAF \* ARABIC </w:instrText>
            </w:r>
            <w:r w:rsidR="00E20A72" w:rsidRPr="00E20A72">
              <w:rPr>
                <w:rFonts w:ascii="Arial Narrow" w:hAnsi="Arial Narrow"/>
                <w:b/>
                <w:bCs/>
                <w:color w:val="2C9ADC"/>
                <w:sz w:val="20"/>
                <w:szCs w:val="20"/>
              </w:rPr>
              <w:fldChar w:fldCharType="separate"/>
            </w:r>
            <w:r w:rsidR="007A664D">
              <w:rPr>
                <w:rFonts w:ascii="Arial Narrow" w:hAnsi="Arial Narrow"/>
                <w:b/>
                <w:bCs/>
                <w:noProof/>
                <w:color w:val="2C9ADC"/>
                <w:sz w:val="20"/>
                <w:szCs w:val="20"/>
              </w:rPr>
              <w:t>9</w:t>
            </w:r>
            <w:r w:rsidR="00E20A72" w:rsidRPr="00E20A72">
              <w:rPr>
                <w:rFonts w:ascii="Arial Narrow" w:hAnsi="Arial Narrow"/>
                <w:b/>
                <w:bCs/>
                <w:color w:val="2C9ADC"/>
                <w:sz w:val="20"/>
                <w:szCs w:val="20"/>
              </w:rPr>
              <w:fldChar w:fldCharType="end"/>
            </w:r>
            <w:r w:rsidRPr="00E20A72">
              <w:rPr>
                <w:rFonts w:ascii="Arial Narrow" w:hAnsi="Arial Narrow"/>
                <w:b/>
                <w:color w:val="2C9ADC"/>
                <w:sz w:val="20"/>
                <w:szCs w:val="20"/>
              </w:rPr>
              <w:t xml:space="preserve"> –</w:t>
            </w:r>
            <w:r w:rsidRPr="00E20A72">
              <w:rPr>
                <w:rFonts w:ascii="Arial Narrow" w:hAnsi="Arial Narrow" w:cs="Arial Narrow"/>
                <w:b/>
                <w:bCs/>
                <w:color w:val="2C9ADC"/>
                <w:sz w:val="20"/>
                <w:szCs w:val="20"/>
              </w:rPr>
              <w:t xml:space="preserve"> Vývoj deficitu v základnom konsolidačnom scenári v metodike EK (% HDP)</w:t>
            </w:r>
            <w:bookmarkEnd w:id="17"/>
          </w:p>
        </w:tc>
        <w:tc>
          <w:tcPr>
            <w:tcW w:w="80" w:type="pct"/>
            <w:tcBorders>
              <w:top w:val="nil"/>
              <w:left w:val="nil"/>
              <w:bottom w:val="nil"/>
              <w:right w:val="nil"/>
            </w:tcBorders>
            <w:shd w:val="clear" w:color="auto" w:fill="auto"/>
          </w:tcPr>
          <w:p w14:paraId="01CD81E2" w14:textId="77777777" w:rsidR="000043A0" w:rsidRPr="00E20A72" w:rsidRDefault="000043A0" w:rsidP="00616580">
            <w:pPr>
              <w:widowControl w:val="0"/>
              <w:spacing w:before="60" w:after="60"/>
              <w:rPr>
                <w:rFonts w:ascii="Arial Narrow" w:hAnsi="Arial Narrow" w:cs="Arial"/>
                <w:b/>
                <w:color w:val="2C9ADC"/>
                <w:sz w:val="20"/>
                <w:szCs w:val="20"/>
                <w:highlight w:val="yellow"/>
              </w:rPr>
            </w:pPr>
          </w:p>
        </w:tc>
        <w:tc>
          <w:tcPr>
            <w:tcW w:w="2459" w:type="pct"/>
            <w:tcBorders>
              <w:top w:val="nil"/>
              <w:left w:val="nil"/>
              <w:bottom w:val="single" w:sz="4" w:space="0" w:color="auto"/>
              <w:right w:val="nil"/>
            </w:tcBorders>
            <w:shd w:val="clear" w:color="auto" w:fill="auto"/>
          </w:tcPr>
          <w:p w14:paraId="43FC5B05" w14:textId="1F07F4E5" w:rsidR="000043A0" w:rsidRPr="00E20A72" w:rsidRDefault="000043A0" w:rsidP="00616580">
            <w:pPr>
              <w:widowControl w:val="0"/>
              <w:spacing w:before="40" w:after="40"/>
              <w:jc w:val="both"/>
              <w:rPr>
                <w:rFonts w:ascii="Arial Narrow" w:hAnsi="Arial Narrow"/>
                <w:b/>
                <w:color w:val="2C9ADC"/>
                <w:sz w:val="20"/>
                <w:szCs w:val="20"/>
                <w:highlight w:val="yellow"/>
              </w:rPr>
            </w:pPr>
            <w:bookmarkStart w:id="18" w:name="_Toc179814669"/>
            <w:r w:rsidRPr="00E20A72">
              <w:rPr>
                <w:rFonts w:ascii="Arial Narrow" w:hAnsi="Arial Narrow"/>
                <w:b/>
                <w:color w:val="2C9ADC"/>
                <w:sz w:val="20"/>
                <w:szCs w:val="20"/>
              </w:rPr>
              <w:t xml:space="preserve">GRAF </w:t>
            </w:r>
            <w:r w:rsidR="00E20A72" w:rsidRPr="00E20A72">
              <w:rPr>
                <w:rFonts w:ascii="Arial Narrow" w:hAnsi="Arial Narrow"/>
                <w:b/>
                <w:bCs/>
                <w:color w:val="2C9ADC"/>
                <w:sz w:val="20"/>
                <w:szCs w:val="20"/>
              </w:rPr>
              <w:fldChar w:fldCharType="begin"/>
            </w:r>
            <w:r w:rsidR="00E20A72" w:rsidRPr="00E20A72">
              <w:rPr>
                <w:rFonts w:ascii="Arial Narrow" w:hAnsi="Arial Narrow"/>
                <w:b/>
                <w:bCs/>
                <w:color w:val="2C9ADC"/>
                <w:sz w:val="20"/>
                <w:szCs w:val="20"/>
              </w:rPr>
              <w:instrText xml:space="preserve"> SEQ GRAF \* ARABIC </w:instrText>
            </w:r>
            <w:r w:rsidR="00E20A72" w:rsidRPr="00E20A72">
              <w:rPr>
                <w:rFonts w:ascii="Arial Narrow" w:hAnsi="Arial Narrow"/>
                <w:b/>
                <w:bCs/>
                <w:color w:val="2C9ADC"/>
                <w:sz w:val="20"/>
                <w:szCs w:val="20"/>
              </w:rPr>
              <w:fldChar w:fldCharType="separate"/>
            </w:r>
            <w:r w:rsidR="007A664D">
              <w:rPr>
                <w:rFonts w:ascii="Arial Narrow" w:hAnsi="Arial Narrow"/>
                <w:b/>
                <w:bCs/>
                <w:noProof/>
                <w:color w:val="2C9ADC"/>
                <w:sz w:val="20"/>
                <w:szCs w:val="20"/>
              </w:rPr>
              <w:t>10</w:t>
            </w:r>
            <w:r w:rsidR="00E20A72" w:rsidRPr="00E20A72">
              <w:rPr>
                <w:rFonts w:ascii="Arial Narrow" w:hAnsi="Arial Narrow"/>
                <w:b/>
                <w:bCs/>
                <w:color w:val="2C9ADC"/>
                <w:sz w:val="20"/>
                <w:szCs w:val="20"/>
              </w:rPr>
              <w:fldChar w:fldCharType="end"/>
            </w:r>
            <w:r w:rsidRPr="00E20A72">
              <w:rPr>
                <w:rFonts w:ascii="Arial Narrow" w:hAnsi="Arial Narrow"/>
                <w:b/>
                <w:color w:val="2C9ADC"/>
                <w:sz w:val="20"/>
                <w:szCs w:val="20"/>
              </w:rPr>
              <w:t xml:space="preserve"> – </w:t>
            </w:r>
            <w:r w:rsidRPr="00E20A72">
              <w:rPr>
                <w:rFonts w:ascii="Arial Narrow" w:hAnsi="Arial Narrow" w:cs="Arial Narrow"/>
                <w:b/>
                <w:bCs/>
                <w:color w:val="2C9ADC"/>
                <w:sz w:val="20"/>
                <w:szCs w:val="20"/>
              </w:rPr>
              <w:t>Vývoj hrubého dlhu v nepriaznivých scenároch v metodike EK (% HDP)</w:t>
            </w:r>
            <w:bookmarkEnd w:id="18"/>
          </w:p>
        </w:tc>
      </w:tr>
      <w:tr w:rsidR="003240A9" w:rsidRPr="00C1586F" w14:paraId="101CFBB1" w14:textId="77777777" w:rsidTr="003240A9">
        <w:trPr>
          <w:trHeight w:val="866"/>
        </w:trPr>
        <w:tc>
          <w:tcPr>
            <w:tcW w:w="2461" w:type="pct"/>
            <w:tcBorders>
              <w:top w:val="single" w:sz="4" w:space="0" w:color="auto"/>
              <w:left w:val="nil"/>
              <w:bottom w:val="single" w:sz="4" w:space="0" w:color="auto"/>
              <w:right w:val="nil"/>
            </w:tcBorders>
            <w:vAlign w:val="center"/>
          </w:tcPr>
          <w:p w14:paraId="0B4CC49F" w14:textId="708F9BC3" w:rsidR="000043A0" w:rsidRPr="003240A9" w:rsidRDefault="003240A9" w:rsidP="00616580">
            <w:pPr>
              <w:widowControl w:val="0"/>
              <w:spacing w:before="40" w:after="40"/>
              <w:jc w:val="center"/>
              <w:rPr>
                <w:rFonts w:ascii="Arial Narrow" w:hAnsi="Arial Narrow" w:cs="Arial"/>
                <w:b/>
                <w:bCs/>
                <w:color w:val="2C9ADC"/>
                <w:sz w:val="20"/>
                <w:szCs w:val="20"/>
                <w:highlight w:val="yellow"/>
              </w:rPr>
            </w:pPr>
            <w:r w:rsidRPr="003240A9">
              <w:rPr>
                <w:noProof/>
                <w:color w:val="2C9ADC"/>
                <w:lang w:eastAsia="sk-SK"/>
              </w:rPr>
              <w:drawing>
                <wp:inline distT="0" distB="0" distL="0" distR="0" wp14:anchorId="50576DE4" wp14:editId="755EE387">
                  <wp:extent cx="2772136" cy="1961909"/>
                  <wp:effectExtent l="0" t="0" r="0" b="635"/>
                  <wp:docPr id="1013233070" name="Graf 1">
                    <a:extLst xmlns:a="http://schemas.openxmlformats.org/drawingml/2006/main">
                      <a:ext uri="{FF2B5EF4-FFF2-40B4-BE49-F238E27FC236}">
                        <a16:creationId xmlns:a16="http://schemas.microsoft.com/office/drawing/2014/main" id="{C55F804A-1BDB-4BF8-86CF-CBBB2DDEA6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80" w:type="pct"/>
            <w:tcBorders>
              <w:top w:val="nil"/>
              <w:left w:val="nil"/>
              <w:bottom w:val="nil"/>
              <w:right w:val="nil"/>
            </w:tcBorders>
            <w:vAlign w:val="center"/>
          </w:tcPr>
          <w:p w14:paraId="1B1FB7DE" w14:textId="77777777" w:rsidR="000043A0" w:rsidRPr="00C1586F" w:rsidRDefault="000043A0" w:rsidP="00616580">
            <w:pPr>
              <w:widowControl w:val="0"/>
              <w:spacing w:before="40" w:after="40"/>
              <w:jc w:val="center"/>
              <w:rPr>
                <w:rFonts w:ascii="Arial Narrow" w:hAnsi="Arial Narrow" w:cs="Arial"/>
                <w:b/>
                <w:sz w:val="20"/>
                <w:szCs w:val="20"/>
                <w:highlight w:val="yellow"/>
              </w:rPr>
            </w:pPr>
          </w:p>
        </w:tc>
        <w:tc>
          <w:tcPr>
            <w:tcW w:w="2459" w:type="pct"/>
            <w:tcBorders>
              <w:top w:val="single" w:sz="4" w:space="0" w:color="auto"/>
              <w:left w:val="nil"/>
              <w:bottom w:val="single" w:sz="4" w:space="0" w:color="auto"/>
              <w:right w:val="nil"/>
            </w:tcBorders>
            <w:vAlign w:val="bottom"/>
          </w:tcPr>
          <w:p w14:paraId="2ADD8AA7" w14:textId="16532628" w:rsidR="000043A0" w:rsidRPr="00C1586F" w:rsidRDefault="003E5EEF" w:rsidP="00616580">
            <w:pPr>
              <w:widowControl w:val="0"/>
              <w:spacing w:before="40" w:after="40"/>
              <w:rPr>
                <w:rFonts w:ascii="Arial Narrow" w:hAnsi="Arial Narrow" w:cs="Arial"/>
                <w:sz w:val="20"/>
                <w:szCs w:val="20"/>
                <w:highlight w:val="yellow"/>
              </w:rPr>
            </w:pPr>
            <w:r>
              <w:rPr>
                <w:noProof/>
                <w:lang w:eastAsia="sk-SK"/>
              </w:rPr>
              <w:drawing>
                <wp:inline distT="0" distB="0" distL="0" distR="0" wp14:anchorId="429FC1E8" wp14:editId="4FE8B034">
                  <wp:extent cx="2734734" cy="1968500"/>
                  <wp:effectExtent l="0" t="0" r="8890" b="0"/>
                  <wp:docPr id="1044661812" name="Graf 1">
                    <a:extLst xmlns:a="http://schemas.openxmlformats.org/drawingml/2006/main">
                      <a:ext uri="{FF2B5EF4-FFF2-40B4-BE49-F238E27FC236}">
                        <a16:creationId xmlns:a16="http://schemas.microsoft.com/office/drawing/2014/main" id="{EF5CC712-711F-428D-8D5C-DB7354A53C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r w:rsidR="000043A0" w:rsidRPr="005516F4" w14:paraId="1D6BDAE5" w14:textId="77777777" w:rsidTr="00616580">
        <w:trPr>
          <w:trHeight w:val="108"/>
        </w:trPr>
        <w:tc>
          <w:tcPr>
            <w:tcW w:w="5000" w:type="pct"/>
            <w:gridSpan w:val="3"/>
            <w:tcBorders>
              <w:top w:val="single" w:sz="4" w:space="0" w:color="auto"/>
              <w:left w:val="nil"/>
              <w:bottom w:val="nil"/>
              <w:right w:val="nil"/>
            </w:tcBorders>
          </w:tcPr>
          <w:p w14:paraId="42F072AB" w14:textId="70262CFE" w:rsidR="000043A0" w:rsidRPr="005516F4" w:rsidRDefault="000043A0" w:rsidP="00616580">
            <w:pPr>
              <w:widowControl w:val="0"/>
              <w:spacing w:before="40" w:after="40"/>
              <w:jc w:val="both"/>
              <w:rPr>
                <w:rFonts w:ascii="Arial Narrow" w:hAnsi="Arial Narrow"/>
                <w:b/>
                <w:iCs/>
                <w:color w:val="000000"/>
              </w:rPr>
            </w:pPr>
            <w:r>
              <w:rPr>
                <w:rFonts w:ascii="Arial Narrow" w:hAnsi="Arial Narrow"/>
                <w:i/>
                <w:sz w:val="16"/>
                <w:szCs w:val="16"/>
              </w:rPr>
              <w:t>Pozn.: Analýza udržateľnosti dlhu vychádza z makro-fiškálnych predpokladov a metodiky EK. Scenár finančného stresu predpokladá jednorazové zvýšenie trhových úrokových sadzieb o 1 p.</w:t>
            </w:r>
            <w:r w:rsidR="00F41131">
              <w:rPr>
                <w:rFonts w:ascii="Arial Narrow" w:hAnsi="Arial Narrow"/>
                <w:i/>
                <w:sz w:val="16"/>
                <w:szCs w:val="16"/>
              </w:rPr>
              <w:t xml:space="preserve"> </w:t>
            </w:r>
            <w:r>
              <w:rPr>
                <w:rFonts w:ascii="Arial Narrow" w:hAnsi="Arial Narrow"/>
                <w:i/>
                <w:sz w:val="16"/>
                <w:szCs w:val="16"/>
              </w:rPr>
              <w:t>b. v roku 2029. Nepriaznivý vzťah (r-g) predstavuje trvalé zvýšenie úrokových sadzieb o 0,5 p.</w:t>
            </w:r>
            <w:r w:rsidR="00F41131">
              <w:rPr>
                <w:rFonts w:ascii="Arial Narrow" w:hAnsi="Arial Narrow"/>
                <w:i/>
                <w:sz w:val="16"/>
                <w:szCs w:val="16"/>
              </w:rPr>
              <w:t xml:space="preserve"> </w:t>
            </w:r>
            <w:r>
              <w:rPr>
                <w:rFonts w:ascii="Arial Narrow" w:hAnsi="Arial Narrow"/>
                <w:i/>
                <w:sz w:val="16"/>
                <w:szCs w:val="16"/>
              </w:rPr>
              <w:t>b. a zníženie reálneho rastu HDP o 0,5 p.</w:t>
            </w:r>
            <w:r w:rsidR="00F41131">
              <w:rPr>
                <w:rFonts w:ascii="Arial Narrow" w:hAnsi="Arial Narrow"/>
                <w:i/>
                <w:sz w:val="16"/>
                <w:szCs w:val="16"/>
              </w:rPr>
              <w:t xml:space="preserve"> </w:t>
            </w:r>
            <w:r>
              <w:rPr>
                <w:rFonts w:ascii="Arial Narrow" w:hAnsi="Arial Narrow"/>
                <w:i/>
                <w:sz w:val="16"/>
                <w:szCs w:val="16"/>
              </w:rPr>
              <w:t>b. v roku 2029. Scenár horšieho primárneho štrukturálneho salda (SPB) predpokladá trvale nižší dosiahnutý prebytok SPB o 0,5 p.</w:t>
            </w:r>
            <w:r w:rsidR="00F41131">
              <w:rPr>
                <w:rFonts w:ascii="Arial Narrow" w:hAnsi="Arial Narrow"/>
                <w:i/>
                <w:sz w:val="16"/>
                <w:szCs w:val="16"/>
              </w:rPr>
              <w:t xml:space="preserve"> </w:t>
            </w:r>
            <w:r>
              <w:rPr>
                <w:rFonts w:ascii="Arial Narrow" w:hAnsi="Arial Narrow"/>
                <w:i/>
                <w:sz w:val="16"/>
                <w:szCs w:val="16"/>
              </w:rPr>
              <w:t xml:space="preserve">b.                                                                                                                                                                                                                 </w:t>
            </w:r>
            <w:r w:rsidRPr="009336BD">
              <w:rPr>
                <w:rFonts w:ascii="Arial Narrow" w:hAnsi="Arial Narrow"/>
                <w:i/>
                <w:color w:val="FFFFFF" w:themeColor="background1"/>
                <w:sz w:val="16"/>
                <w:szCs w:val="16"/>
              </w:rPr>
              <w:t>mmmmmmmmmmmmmmmmmmmmmmmmmmmmmmmmmmmmmmmmmmmmmmmmmmmmmmmmmmmmmmmmmmmmmmmm</w:t>
            </w:r>
            <w:r w:rsidRPr="005516F4">
              <w:rPr>
                <w:rFonts w:ascii="Arial Narrow" w:hAnsi="Arial Narrow"/>
                <w:i/>
                <w:sz w:val="16"/>
                <w:szCs w:val="16"/>
              </w:rPr>
              <w:t>Zdroj: EK,  MF SR</w:t>
            </w:r>
          </w:p>
        </w:tc>
      </w:tr>
    </w:tbl>
    <w:p w14:paraId="4DB955B0" w14:textId="77777777" w:rsidR="000043A0" w:rsidRPr="00672433" w:rsidRDefault="000043A0" w:rsidP="00A60F4E">
      <w:pPr>
        <w:spacing w:after="0" w:line="276" w:lineRule="auto"/>
        <w:jc w:val="both"/>
        <w:rPr>
          <w:rFonts w:ascii="Arial Narrow" w:hAnsi="Arial Narrow"/>
        </w:rPr>
      </w:pPr>
    </w:p>
    <w:p w14:paraId="49296CA1" w14:textId="1270793F" w:rsidR="002A0289" w:rsidRPr="00EC0FB5" w:rsidRDefault="000043A0" w:rsidP="000043A0">
      <w:pPr>
        <w:spacing w:line="276" w:lineRule="auto"/>
        <w:jc w:val="both"/>
        <w:rPr>
          <w:rFonts w:ascii="Arial Narrow" w:hAnsi="Arial Narrow"/>
        </w:rPr>
      </w:pPr>
      <w:r w:rsidRPr="00672433">
        <w:rPr>
          <w:rFonts w:ascii="Arial Narrow" w:hAnsi="Arial Narrow"/>
          <w:b/>
          <w:bCs/>
        </w:rPr>
        <w:t xml:space="preserve">Vzhľadom na starnutie populácie prejavujúce sa najmä po roku 2040 bude musieť </w:t>
      </w:r>
      <w:r>
        <w:rPr>
          <w:rFonts w:ascii="Arial Narrow" w:hAnsi="Arial Narrow"/>
          <w:b/>
          <w:bCs/>
        </w:rPr>
        <w:t>pokračovať v ozdravovaní verejných financií</w:t>
      </w:r>
      <w:r w:rsidRPr="00672433">
        <w:rPr>
          <w:rFonts w:ascii="Arial Narrow" w:hAnsi="Arial Narrow"/>
          <w:b/>
          <w:bCs/>
        </w:rPr>
        <w:t xml:space="preserve"> aj ďalšia vláda</w:t>
      </w:r>
      <w:r w:rsidRPr="00672433">
        <w:rPr>
          <w:rFonts w:ascii="Arial Narrow" w:hAnsi="Arial Narrow"/>
        </w:rPr>
        <w:t>. Potreb</w:t>
      </w:r>
      <w:r w:rsidR="00D273E7">
        <w:rPr>
          <w:rFonts w:ascii="Arial Narrow" w:hAnsi="Arial Narrow"/>
        </w:rPr>
        <w:t>u</w:t>
      </w:r>
      <w:r w:rsidRPr="00672433">
        <w:rPr>
          <w:rFonts w:ascii="Arial Narrow" w:hAnsi="Arial Narrow"/>
        </w:rPr>
        <w:t xml:space="preserve"> </w:t>
      </w:r>
      <w:r w:rsidR="00436914">
        <w:rPr>
          <w:rFonts w:ascii="Arial Narrow" w:hAnsi="Arial Narrow"/>
        </w:rPr>
        <w:t xml:space="preserve">ďalšej </w:t>
      </w:r>
      <w:r w:rsidRPr="00672433">
        <w:rPr>
          <w:rFonts w:ascii="Arial Narrow" w:hAnsi="Arial Narrow"/>
        </w:rPr>
        <w:t xml:space="preserve">konsolidácie aj za horizontom strednodobého rozpočtového plánu </w:t>
      </w:r>
      <w:r w:rsidR="007812ED">
        <w:rPr>
          <w:rFonts w:ascii="Arial Narrow" w:hAnsi="Arial Narrow"/>
        </w:rPr>
        <w:t xml:space="preserve">naznačuje </w:t>
      </w:r>
      <w:r w:rsidR="00D273E7">
        <w:rPr>
          <w:rFonts w:ascii="Arial Narrow" w:hAnsi="Arial Narrow"/>
        </w:rPr>
        <w:t>projekcia vývoja dlhu</w:t>
      </w:r>
      <w:r w:rsidR="00F12F5E">
        <w:rPr>
          <w:rFonts w:ascii="Arial Narrow" w:hAnsi="Arial Narrow"/>
        </w:rPr>
        <w:t>, ktorý by po roku 2038 bez zásahu vlády vzrástol nad 60 % HDP</w:t>
      </w:r>
      <w:r w:rsidR="00C05621">
        <w:rPr>
          <w:rFonts w:ascii="Arial Narrow" w:hAnsi="Arial Narrow"/>
        </w:rPr>
        <w:t xml:space="preserve"> (</w:t>
      </w:r>
      <w:r w:rsidR="00C05621" w:rsidRPr="000E1AB3">
        <w:rPr>
          <w:rFonts w:ascii="Arial Narrow" w:hAnsi="Arial Narrow"/>
          <w:b/>
          <w:bCs/>
          <w:color w:val="2C9ADC"/>
        </w:rPr>
        <w:t>GRAF 10</w:t>
      </w:r>
      <w:r w:rsidR="00C05621">
        <w:rPr>
          <w:rFonts w:ascii="Arial Narrow" w:hAnsi="Arial Narrow"/>
        </w:rPr>
        <w:t>)</w:t>
      </w:r>
      <w:r w:rsidR="00D273E7">
        <w:rPr>
          <w:rFonts w:ascii="Arial Narrow" w:hAnsi="Arial Narrow"/>
        </w:rPr>
        <w:t xml:space="preserve">. </w:t>
      </w:r>
      <w:r w:rsidR="00F12F5E">
        <w:rPr>
          <w:rFonts w:ascii="Arial Narrow" w:hAnsi="Arial Narrow"/>
        </w:rPr>
        <w:t>N</w:t>
      </w:r>
      <w:r w:rsidR="00D273E7">
        <w:rPr>
          <w:rFonts w:ascii="Arial Narrow" w:hAnsi="Arial Narrow"/>
        </w:rPr>
        <w:t xml:space="preserve">áklady na starnutie populácie </w:t>
      </w:r>
      <w:r w:rsidR="00F12F5E">
        <w:rPr>
          <w:rFonts w:ascii="Arial Narrow" w:hAnsi="Arial Narrow"/>
        </w:rPr>
        <w:t xml:space="preserve">totiž do 2042 narastú </w:t>
      </w:r>
      <w:r w:rsidR="00D273E7">
        <w:rPr>
          <w:rFonts w:ascii="Arial Narrow" w:hAnsi="Arial Narrow"/>
        </w:rPr>
        <w:t>o 0,5 % HDP</w:t>
      </w:r>
      <w:r w:rsidR="00F12F5E">
        <w:rPr>
          <w:rFonts w:ascii="Arial Narrow" w:hAnsi="Arial Narrow"/>
        </w:rPr>
        <w:t xml:space="preserve"> a podľa pravidiel ich bude </w:t>
      </w:r>
      <w:r w:rsidR="00D273E7">
        <w:rPr>
          <w:rFonts w:ascii="Arial Narrow" w:hAnsi="Arial Narrow"/>
        </w:rPr>
        <w:t xml:space="preserve">potrebné v nasledujúcom strednodobom pláne (2029-2032) </w:t>
      </w:r>
      <w:r w:rsidR="00F12F5E">
        <w:rPr>
          <w:rFonts w:ascii="Arial Narrow" w:hAnsi="Arial Narrow"/>
        </w:rPr>
        <w:t xml:space="preserve">vopred </w:t>
      </w:r>
      <w:r w:rsidR="00D273E7">
        <w:rPr>
          <w:rFonts w:ascii="Arial Narrow" w:hAnsi="Arial Narrow"/>
        </w:rPr>
        <w:t>kompenzovať</w:t>
      </w:r>
      <w:r w:rsidR="00436914">
        <w:rPr>
          <w:rFonts w:ascii="Arial Narrow" w:hAnsi="Arial Narrow"/>
        </w:rPr>
        <w:t xml:space="preserve">. </w:t>
      </w:r>
      <w:r w:rsidR="00DE4E81" w:rsidRPr="007305DA">
        <w:rPr>
          <w:rFonts w:ascii="Arial Narrow" w:hAnsi="Arial Narrow"/>
        </w:rPr>
        <w:t>Potrebné ďalšie</w:t>
      </w:r>
      <w:r w:rsidR="00436914" w:rsidRPr="007305DA">
        <w:rPr>
          <w:rFonts w:ascii="Arial Narrow" w:hAnsi="Arial Narrow"/>
        </w:rPr>
        <w:t xml:space="preserve"> znižovanie deficitu </w:t>
      </w:r>
      <w:r w:rsidR="00DE4E81" w:rsidRPr="007305DA">
        <w:rPr>
          <w:rFonts w:ascii="Arial Narrow" w:hAnsi="Arial Narrow"/>
        </w:rPr>
        <w:t>potvrdzujú</w:t>
      </w:r>
      <w:r w:rsidR="00D273E7" w:rsidRPr="007305DA">
        <w:rPr>
          <w:rFonts w:ascii="Arial Narrow" w:hAnsi="Arial Narrow"/>
        </w:rPr>
        <w:t xml:space="preserve"> aj indikátory</w:t>
      </w:r>
      <w:r w:rsidRPr="007305DA">
        <w:rPr>
          <w:rFonts w:ascii="Arial Narrow" w:hAnsi="Arial Narrow"/>
        </w:rPr>
        <w:t xml:space="preserve"> dlhodobej udržateľnosti a veľkosti implicitných záväzkov. V prípade</w:t>
      </w:r>
      <w:r w:rsidRPr="00FC4C30">
        <w:rPr>
          <w:rFonts w:ascii="Arial Narrow" w:hAnsi="Arial Narrow"/>
        </w:rPr>
        <w:t xml:space="preserve"> dodržania cieľov konsolidácie sa </w:t>
      </w:r>
      <w:r>
        <w:rPr>
          <w:rFonts w:ascii="Arial Narrow" w:hAnsi="Arial Narrow"/>
        </w:rPr>
        <w:t xml:space="preserve">totiž </w:t>
      </w:r>
      <w:r w:rsidRPr="00FC4C30">
        <w:rPr>
          <w:rFonts w:ascii="Arial Narrow" w:hAnsi="Arial Narrow"/>
        </w:rPr>
        <w:t xml:space="preserve">verejné financie </w:t>
      </w:r>
      <w:r w:rsidR="007305DA">
        <w:rPr>
          <w:rFonts w:ascii="Arial Narrow" w:hAnsi="Arial Narrow"/>
        </w:rPr>
        <w:t>ešte nedostanú do nízkeho rizika</w:t>
      </w:r>
      <w:r w:rsidRPr="00FC4C30">
        <w:rPr>
          <w:rFonts w:ascii="Arial Narrow" w:hAnsi="Arial Narrow"/>
        </w:rPr>
        <w:t xml:space="preserve"> dlhodobej udržateľnosti</w:t>
      </w:r>
      <w:r w:rsidRPr="00FC4C30">
        <w:rPr>
          <w:rFonts w:ascii="Arial Narrow" w:eastAsia="Calibri" w:hAnsi="Arial Narrow" w:cs="Times New Roman"/>
          <w:vertAlign w:val="superscript"/>
        </w:rPr>
        <w:footnoteReference w:id="12"/>
      </w:r>
      <w:r w:rsidRPr="00FC4C30">
        <w:rPr>
          <w:rFonts w:ascii="Arial Narrow" w:hAnsi="Arial Narrow"/>
        </w:rPr>
        <w:t>.</w:t>
      </w:r>
      <w:r>
        <w:rPr>
          <w:rFonts w:ascii="Arial Narrow" w:eastAsia="Calibri" w:hAnsi="Arial Narrow" w:cs="Times New Roman"/>
          <w:b/>
          <w:bCs/>
        </w:rPr>
        <w:t xml:space="preserve"> </w:t>
      </w:r>
    </w:p>
    <w:p w14:paraId="55392D43" w14:textId="0AF37E9D" w:rsidR="002A0289" w:rsidRPr="00E20A72" w:rsidRDefault="00E20A72" w:rsidP="002A0289">
      <w:pPr>
        <w:spacing w:before="120" w:after="0" w:line="276" w:lineRule="auto"/>
        <w:rPr>
          <w:rFonts w:ascii="Arial Narrow" w:eastAsia="Arial Narrow" w:hAnsi="Arial Narrow" w:cs="Arial Narrow"/>
          <w:b/>
          <w:bCs/>
          <w:i/>
          <w:iCs/>
          <w:color w:val="000000"/>
          <w:sz w:val="20"/>
          <w:szCs w:val="20"/>
        </w:rPr>
      </w:pPr>
      <w:bookmarkStart w:id="19" w:name="_Toc117765225"/>
      <w:bookmarkStart w:id="20" w:name="_Toc164684555"/>
      <w:bookmarkStart w:id="21" w:name="_Toc179814713"/>
      <w:r w:rsidRPr="00E20A72">
        <w:rPr>
          <w:rFonts w:ascii="Arial Narrow" w:eastAsia="Arial Narrow" w:hAnsi="Arial Narrow" w:cs="Arial Narrow"/>
          <w:b/>
          <w:bCs/>
          <w:noProof/>
          <w:color w:val="2C9ADC"/>
          <w:sz w:val="20"/>
          <w:szCs w:val="20"/>
          <w:bdr w:val="nil"/>
          <w:lang w:eastAsia="sk-SK"/>
        </w:rPr>
        <w:t xml:space="preserve">TABUĽKA </w:t>
      </w:r>
      <w:r w:rsidRPr="00E20A72">
        <w:rPr>
          <w:rFonts w:ascii="Arial Narrow" w:eastAsia="Arial Narrow" w:hAnsi="Arial Narrow" w:cs="Arial Narrow"/>
          <w:b/>
          <w:bCs/>
          <w:noProof/>
          <w:color w:val="2C9ADC"/>
          <w:sz w:val="20"/>
          <w:szCs w:val="20"/>
          <w:bdr w:val="nil"/>
          <w:lang w:eastAsia="sk-SK"/>
        </w:rPr>
        <w:fldChar w:fldCharType="begin"/>
      </w:r>
      <w:r w:rsidRPr="00E20A72">
        <w:rPr>
          <w:rFonts w:ascii="Arial Narrow" w:eastAsia="Arial Narrow" w:hAnsi="Arial Narrow" w:cs="Arial Narrow"/>
          <w:b/>
          <w:bCs/>
          <w:noProof/>
          <w:color w:val="2C9ADC"/>
          <w:sz w:val="20"/>
          <w:szCs w:val="20"/>
          <w:bdr w:val="nil"/>
          <w:lang w:eastAsia="sk-SK"/>
        </w:rPr>
        <w:instrText xml:space="preserve"> SEQ TABUĽKA \* ARABIC </w:instrText>
      </w:r>
      <w:r w:rsidRPr="00E20A72">
        <w:rPr>
          <w:rFonts w:ascii="Arial Narrow" w:eastAsia="Arial Narrow" w:hAnsi="Arial Narrow" w:cs="Arial Narrow"/>
          <w:b/>
          <w:bCs/>
          <w:noProof/>
          <w:color w:val="2C9ADC"/>
          <w:sz w:val="20"/>
          <w:szCs w:val="20"/>
          <w:bdr w:val="nil"/>
          <w:lang w:eastAsia="sk-SK"/>
        </w:rPr>
        <w:fldChar w:fldCharType="separate"/>
      </w:r>
      <w:r w:rsidR="007A664D">
        <w:rPr>
          <w:rFonts w:ascii="Arial Narrow" w:eastAsia="Arial Narrow" w:hAnsi="Arial Narrow" w:cs="Arial Narrow"/>
          <w:b/>
          <w:bCs/>
          <w:noProof/>
          <w:color w:val="2C9ADC"/>
          <w:sz w:val="20"/>
          <w:szCs w:val="20"/>
          <w:bdr w:val="nil"/>
          <w:lang w:eastAsia="sk-SK"/>
        </w:rPr>
        <w:t>1</w:t>
      </w:r>
      <w:r w:rsidRPr="00E20A72">
        <w:rPr>
          <w:rFonts w:ascii="Arial Narrow" w:eastAsia="Arial Narrow" w:hAnsi="Arial Narrow" w:cs="Arial Narrow"/>
          <w:b/>
          <w:bCs/>
          <w:noProof/>
          <w:color w:val="2C9ADC"/>
          <w:sz w:val="20"/>
          <w:szCs w:val="20"/>
          <w:bdr w:val="nil"/>
          <w:lang w:eastAsia="sk-SK"/>
        </w:rPr>
        <w:fldChar w:fldCharType="end"/>
      </w:r>
      <w:r w:rsidRPr="00E20A72">
        <w:rPr>
          <w:rFonts w:ascii="Arial Narrow" w:hAnsi="Arial Narrow"/>
          <w:b/>
          <w:color w:val="2C9ADC"/>
          <w:sz w:val="20"/>
          <w:szCs w:val="20"/>
        </w:rPr>
        <w:t xml:space="preserve"> </w:t>
      </w:r>
      <w:r w:rsidR="002A0289" w:rsidRPr="00E20A72">
        <w:rPr>
          <w:rFonts w:ascii="Arial Narrow" w:eastAsia="Arial Narrow" w:hAnsi="Arial Narrow" w:cs="Arial Narrow"/>
          <w:b/>
          <w:bCs/>
          <w:color w:val="2C9ADC"/>
          <w:sz w:val="20"/>
          <w:szCs w:val="20"/>
        </w:rPr>
        <w:t>– Indikátory dlhodobej udržateľnosti S1 a S2</w:t>
      </w:r>
      <w:r w:rsidR="002A0289" w:rsidRPr="00E20A72">
        <w:rPr>
          <w:rFonts w:ascii="Arial Narrow" w:eastAsia="Arial Narrow" w:hAnsi="Arial Narrow" w:cs="Arial Narrow"/>
          <w:b/>
          <w:bCs/>
          <w:color w:val="2C9ADC"/>
          <w:sz w:val="20"/>
          <w:szCs w:val="20"/>
          <w:vertAlign w:val="superscript"/>
          <w:lang w:val="en-US"/>
        </w:rPr>
        <w:footnoteReference w:id="13"/>
      </w:r>
      <w:r w:rsidR="002A0289" w:rsidRPr="00E20A72">
        <w:rPr>
          <w:rFonts w:ascii="Arial Narrow" w:eastAsia="Arial Narrow" w:hAnsi="Arial Narrow" w:cs="Arial Narrow"/>
          <w:b/>
          <w:bCs/>
          <w:color w:val="2C9ADC"/>
          <w:sz w:val="20"/>
          <w:szCs w:val="20"/>
        </w:rPr>
        <w:t xml:space="preserve"> k roku 2024 a 2028 (% HDP)</w:t>
      </w:r>
      <w:bookmarkEnd w:id="19"/>
      <w:bookmarkEnd w:id="20"/>
      <w:bookmarkEnd w:id="21"/>
    </w:p>
    <w:tbl>
      <w:tblPr>
        <w:tblW w:w="9053" w:type="dxa"/>
        <w:tblCellMar>
          <w:left w:w="70" w:type="dxa"/>
          <w:right w:w="70" w:type="dxa"/>
        </w:tblCellMar>
        <w:tblLook w:val="04A0" w:firstRow="1" w:lastRow="0" w:firstColumn="1" w:lastColumn="0" w:noHBand="0" w:noVBand="1"/>
      </w:tblPr>
      <w:tblGrid>
        <w:gridCol w:w="4777"/>
        <w:gridCol w:w="1684"/>
        <w:gridCol w:w="2592"/>
      </w:tblGrid>
      <w:tr w:rsidR="002A0289" w:rsidRPr="003D2AFD" w14:paraId="6B5FA9A0" w14:textId="77777777" w:rsidTr="00616580">
        <w:trPr>
          <w:trHeight w:val="467"/>
        </w:trPr>
        <w:tc>
          <w:tcPr>
            <w:tcW w:w="4777" w:type="dxa"/>
            <w:tcBorders>
              <w:top w:val="single" w:sz="8" w:space="0" w:color="000000"/>
              <w:left w:val="nil"/>
              <w:bottom w:val="single" w:sz="8" w:space="0" w:color="000000"/>
              <w:right w:val="nil"/>
            </w:tcBorders>
            <w:shd w:val="clear" w:color="auto" w:fill="auto"/>
            <w:vAlign w:val="center"/>
            <w:hideMark/>
          </w:tcPr>
          <w:p w14:paraId="0D8A35D7" w14:textId="77777777" w:rsidR="002A0289" w:rsidRPr="003D2AFD" w:rsidRDefault="002A0289" w:rsidP="00616580">
            <w:pPr>
              <w:spacing w:after="0" w:line="240" w:lineRule="auto"/>
              <w:rPr>
                <w:rFonts w:ascii="Times New Roman" w:eastAsia="Times New Roman" w:hAnsi="Times New Roman" w:cs="Times New Roman"/>
                <w:color w:val="000000"/>
                <w:sz w:val="14"/>
                <w:szCs w:val="14"/>
                <w:lang w:eastAsia="sk-SK"/>
              </w:rPr>
            </w:pPr>
            <w:r w:rsidRPr="003D2AFD">
              <w:rPr>
                <w:rFonts w:ascii="Times New Roman" w:eastAsia="Times New Roman" w:hAnsi="Times New Roman" w:cs="Times New Roman"/>
                <w:color w:val="000000"/>
                <w:sz w:val="14"/>
                <w:szCs w:val="14"/>
                <w:lang w:eastAsia="sk-SK"/>
              </w:rPr>
              <w:t> </w:t>
            </w:r>
          </w:p>
        </w:tc>
        <w:tc>
          <w:tcPr>
            <w:tcW w:w="1684" w:type="dxa"/>
            <w:tcBorders>
              <w:top w:val="single" w:sz="8" w:space="0" w:color="000000"/>
              <w:left w:val="nil"/>
              <w:bottom w:val="single" w:sz="8" w:space="0" w:color="000000"/>
              <w:right w:val="nil"/>
            </w:tcBorders>
            <w:shd w:val="clear" w:color="auto" w:fill="auto"/>
            <w:vAlign w:val="center"/>
            <w:hideMark/>
          </w:tcPr>
          <w:p w14:paraId="0A402C0F" w14:textId="77777777" w:rsidR="002A0289" w:rsidRPr="003D2AFD" w:rsidRDefault="002A0289" w:rsidP="00616580">
            <w:pPr>
              <w:spacing w:after="0" w:line="240" w:lineRule="auto"/>
              <w:jc w:val="center"/>
              <w:rPr>
                <w:rFonts w:ascii="Arial Narrow" w:eastAsia="Times New Roman" w:hAnsi="Arial Narrow" w:cs="Calibri"/>
                <w:b/>
                <w:bCs/>
                <w:color w:val="000000"/>
                <w:sz w:val="18"/>
                <w:szCs w:val="18"/>
                <w:lang w:eastAsia="sk-SK"/>
              </w:rPr>
            </w:pPr>
            <w:r w:rsidRPr="003D2AFD">
              <w:rPr>
                <w:rFonts w:ascii="Arial Narrow" w:eastAsia="Times New Roman" w:hAnsi="Arial Narrow" w:cs="Calibri"/>
                <w:b/>
                <w:bCs/>
                <w:color w:val="000000"/>
                <w:sz w:val="18"/>
                <w:szCs w:val="18"/>
                <w:lang w:eastAsia="sk-SK"/>
              </w:rPr>
              <w:t>2024</w:t>
            </w:r>
          </w:p>
        </w:tc>
        <w:tc>
          <w:tcPr>
            <w:tcW w:w="2592" w:type="dxa"/>
            <w:tcBorders>
              <w:top w:val="single" w:sz="8" w:space="0" w:color="000000"/>
              <w:left w:val="nil"/>
              <w:bottom w:val="single" w:sz="8" w:space="0" w:color="000000"/>
              <w:right w:val="nil"/>
            </w:tcBorders>
            <w:shd w:val="clear" w:color="auto" w:fill="auto"/>
            <w:vAlign w:val="center"/>
            <w:hideMark/>
          </w:tcPr>
          <w:p w14:paraId="5AE702B4" w14:textId="77777777" w:rsidR="002A0289" w:rsidRPr="003D2AFD" w:rsidRDefault="002A0289" w:rsidP="00616580">
            <w:pPr>
              <w:spacing w:after="0" w:line="240" w:lineRule="auto"/>
              <w:jc w:val="center"/>
              <w:rPr>
                <w:rFonts w:ascii="Arial Narrow" w:eastAsia="Times New Roman" w:hAnsi="Arial Narrow" w:cs="Calibri"/>
                <w:b/>
                <w:bCs/>
                <w:color w:val="000000"/>
                <w:sz w:val="18"/>
                <w:szCs w:val="18"/>
                <w:lang w:eastAsia="sk-SK"/>
              </w:rPr>
            </w:pPr>
            <w:r w:rsidRPr="003D2AFD">
              <w:rPr>
                <w:rFonts w:ascii="Arial Narrow" w:eastAsia="Times New Roman" w:hAnsi="Arial Narrow" w:cs="Calibri"/>
                <w:b/>
                <w:bCs/>
                <w:color w:val="000000"/>
                <w:sz w:val="18"/>
                <w:szCs w:val="18"/>
                <w:lang w:eastAsia="sk-SK"/>
              </w:rPr>
              <w:t>202</w:t>
            </w:r>
            <w:r>
              <w:rPr>
                <w:rFonts w:ascii="Arial Narrow" w:eastAsia="Times New Roman" w:hAnsi="Arial Narrow" w:cs="Calibri"/>
                <w:b/>
                <w:bCs/>
                <w:color w:val="000000"/>
                <w:sz w:val="18"/>
                <w:szCs w:val="18"/>
                <w:lang w:eastAsia="sk-SK"/>
              </w:rPr>
              <w:t>8</w:t>
            </w:r>
            <w:r w:rsidRPr="003D2AFD">
              <w:rPr>
                <w:rFonts w:ascii="Arial Narrow" w:eastAsia="Times New Roman" w:hAnsi="Arial Narrow" w:cs="Calibri"/>
                <w:b/>
                <w:bCs/>
                <w:color w:val="000000"/>
                <w:sz w:val="18"/>
                <w:szCs w:val="18"/>
                <w:lang w:eastAsia="sk-SK"/>
              </w:rPr>
              <w:br/>
              <w:t>scenár po splnení cieľov</w:t>
            </w:r>
          </w:p>
        </w:tc>
      </w:tr>
      <w:tr w:rsidR="002A0289" w:rsidRPr="003D2AFD" w14:paraId="466E9B9B" w14:textId="77777777" w:rsidTr="00616580">
        <w:trPr>
          <w:trHeight w:val="270"/>
        </w:trPr>
        <w:tc>
          <w:tcPr>
            <w:tcW w:w="4777" w:type="dxa"/>
            <w:tcBorders>
              <w:top w:val="nil"/>
              <w:left w:val="nil"/>
              <w:bottom w:val="single" w:sz="8" w:space="0" w:color="000000"/>
              <w:right w:val="nil"/>
            </w:tcBorders>
            <w:shd w:val="clear" w:color="auto" w:fill="auto"/>
            <w:vAlign w:val="center"/>
            <w:hideMark/>
          </w:tcPr>
          <w:p w14:paraId="4FFB5117" w14:textId="77777777" w:rsidR="002A0289" w:rsidRPr="003D2AFD" w:rsidRDefault="002A0289" w:rsidP="00616580">
            <w:pPr>
              <w:spacing w:after="0" w:line="240" w:lineRule="auto"/>
              <w:rPr>
                <w:rFonts w:ascii="Arial Narrow" w:eastAsia="Times New Roman" w:hAnsi="Arial Narrow" w:cs="Calibri"/>
                <w:b/>
                <w:bCs/>
                <w:color w:val="000000"/>
                <w:sz w:val="18"/>
                <w:szCs w:val="18"/>
                <w:lang w:eastAsia="sk-SK"/>
              </w:rPr>
            </w:pPr>
            <w:r w:rsidRPr="003D2AFD">
              <w:rPr>
                <w:rFonts w:ascii="Arial Narrow" w:eastAsia="Times New Roman" w:hAnsi="Arial Narrow" w:cs="Calibri"/>
                <w:b/>
                <w:bCs/>
                <w:color w:val="000000"/>
                <w:sz w:val="18"/>
                <w:szCs w:val="18"/>
                <w:lang w:eastAsia="sk-SK"/>
              </w:rPr>
              <w:t>S1 Indikátor</w:t>
            </w:r>
          </w:p>
        </w:tc>
        <w:tc>
          <w:tcPr>
            <w:tcW w:w="1684" w:type="dxa"/>
            <w:tcBorders>
              <w:top w:val="nil"/>
              <w:left w:val="nil"/>
              <w:bottom w:val="single" w:sz="8" w:space="0" w:color="000000"/>
              <w:right w:val="nil"/>
            </w:tcBorders>
            <w:shd w:val="clear" w:color="auto" w:fill="auto"/>
            <w:vAlign w:val="center"/>
            <w:hideMark/>
          </w:tcPr>
          <w:p w14:paraId="7762C3D5" w14:textId="77777777" w:rsidR="002A0289" w:rsidRPr="003D2AFD" w:rsidRDefault="002A0289" w:rsidP="00616580">
            <w:pPr>
              <w:spacing w:after="0" w:line="240" w:lineRule="auto"/>
              <w:jc w:val="center"/>
              <w:rPr>
                <w:rFonts w:ascii="Arial Narrow" w:eastAsia="Times New Roman" w:hAnsi="Arial Narrow" w:cs="Calibri"/>
                <w:b/>
                <w:bCs/>
                <w:color w:val="FF0000"/>
                <w:sz w:val="18"/>
                <w:szCs w:val="18"/>
                <w:lang w:eastAsia="sk-SK"/>
              </w:rPr>
            </w:pPr>
            <w:r w:rsidRPr="003D2AFD">
              <w:rPr>
                <w:rFonts w:ascii="Arial Narrow" w:eastAsia="Times New Roman" w:hAnsi="Arial Narrow" w:cs="Calibri"/>
                <w:b/>
                <w:bCs/>
                <w:color w:val="FF0000"/>
                <w:sz w:val="18"/>
                <w:szCs w:val="18"/>
                <w:lang w:eastAsia="sk-SK"/>
              </w:rPr>
              <w:t>7,4</w:t>
            </w:r>
          </w:p>
        </w:tc>
        <w:tc>
          <w:tcPr>
            <w:tcW w:w="2592" w:type="dxa"/>
            <w:tcBorders>
              <w:top w:val="nil"/>
              <w:left w:val="nil"/>
              <w:bottom w:val="single" w:sz="8" w:space="0" w:color="000000"/>
              <w:right w:val="nil"/>
            </w:tcBorders>
            <w:shd w:val="clear" w:color="auto" w:fill="auto"/>
            <w:vAlign w:val="center"/>
            <w:hideMark/>
          </w:tcPr>
          <w:p w14:paraId="22FFB279" w14:textId="77777777" w:rsidR="002A0289" w:rsidRPr="003D2AFD" w:rsidRDefault="002A0289" w:rsidP="00616580">
            <w:pPr>
              <w:spacing w:after="0" w:line="240" w:lineRule="auto"/>
              <w:jc w:val="center"/>
              <w:rPr>
                <w:rFonts w:ascii="Arial Narrow" w:eastAsia="Times New Roman" w:hAnsi="Arial Narrow" w:cs="Calibri"/>
                <w:b/>
                <w:bCs/>
                <w:color w:val="FFC000"/>
                <w:sz w:val="18"/>
                <w:szCs w:val="18"/>
                <w:lang w:eastAsia="sk-SK"/>
              </w:rPr>
            </w:pPr>
            <w:r>
              <w:rPr>
                <w:rFonts w:ascii="Arial Narrow" w:eastAsia="Times New Roman" w:hAnsi="Arial Narrow" w:cs="Calibri"/>
                <w:b/>
                <w:bCs/>
                <w:color w:val="FFC000"/>
                <w:sz w:val="18"/>
                <w:szCs w:val="18"/>
                <w:lang w:eastAsia="sk-SK"/>
              </w:rPr>
              <w:t>3</w:t>
            </w:r>
            <w:r w:rsidRPr="0078486D">
              <w:rPr>
                <w:rFonts w:ascii="Arial Narrow" w:eastAsia="Times New Roman" w:hAnsi="Arial Narrow" w:cs="Calibri"/>
                <w:b/>
                <w:bCs/>
                <w:color w:val="FFC000"/>
                <w:sz w:val="18"/>
                <w:szCs w:val="18"/>
                <w:lang w:eastAsia="sk-SK"/>
              </w:rPr>
              <w:t>,</w:t>
            </w:r>
            <w:r>
              <w:rPr>
                <w:rFonts w:ascii="Arial Narrow" w:eastAsia="Times New Roman" w:hAnsi="Arial Narrow" w:cs="Calibri"/>
                <w:b/>
                <w:bCs/>
                <w:color w:val="FFC000"/>
                <w:sz w:val="18"/>
                <w:szCs w:val="18"/>
                <w:lang w:eastAsia="sk-SK"/>
              </w:rPr>
              <w:t>0</w:t>
            </w:r>
          </w:p>
        </w:tc>
      </w:tr>
      <w:tr w:rsidR="002A0289" w:rsidRPr="003D2AFD" w14:paraId="5F6C540F" w14:textId="77777777" w:rsidTr="00616580">
        <w:trPr>
          <w:trHeight w:val="258"/>
        </w:trPr>
        <w:tc>
          <w:tcPr>
            <w:tcW w:w="4777" w:type="dxa"/>
            <w:tcBorders>
              <w:top w:val="nil"/>
              <w:left w:val="nil"/>
              <w:bottom w:val="nil"/>
              <w:right w:val="nil"/>
            </w:tcBorders>
            <w:shd w:val="clear" w:color="auto" w:fill="auto"/>
            <w:vAlign w:val="center"/>
            <w:hideMark/>
          </w:tcPr>
          <w:p w14:paraId="1C54665F" w14:textId="77777777" w:rsidR="002A0289" w:rsidRPr="003D2AFD" w:rsidRDefault="002A0289" w:rsidP="00616580">
            <w:pPr>
              <w:spacing w:after="0" w:line="240" w:lineRule="auto"/>
              <w:rPr>
                <w:rFonts w:ascii="Arial Narrow" w:eastAsia="Times New Roman" w:hAnsi="Arial Narrow" w:cs="Calibri"/>
                <w:color w:val="000000"/>
                <w:sz w:val="16"/>
                <w:szCs w:val="16"/>
                <w:lang w:eastAsia="sk-SK"/>
              </w:rPr>
            </w:pPr>
            <w:r w:rsidRPr="003D2AFD">
              <w:rPr>
                <w:rFonts w:ascii="Arial Narrow" w:eastAsia="Times New Roman" w:hAnsi="Arial Narrow" w:cs="Calibri"/>
                <w:color w:val="000000"/>
                <w:sz w:val="16"/>
                <w:szCs w:val="16"/>
                <w:lang w:eastAsia="sk-SK"/>
              </w:rPr>
              <w:t>z toho:</w:t>
            </w:r>
          </w:p>
        </w:tc>
        <w:tc>
          <w:tcPr>
            <w:tcW w:w="1684" w:type="dxa"/>
            <w:tcBorders>
              <w:top w:val="nil"/>
              <w:left w:val="nil"/>
              <w:bottom w:val="nil"/>
              <w:right w:val="nil"/>
            </w:tcBorders>
            <w:shd w:val="clear" w:color="auto" w:fill="auto"/>
            <w:vAlign w:val="center"/>
            <w:hideMark/>
          </w:tcPr>
          <w:p w14:paraId="6CE814EA" w14:textId="77777777" w:rsidR="002A0289" w:rsidRPr="003D2AFD" w:rsidRDefault="002A0289" w:rsidP="00616580">
            <w:pPr>
              <w:spacing w:after="0" w:line="240" w:lineRule="auto"/>
              <w:rPr>
                <w:rFonts w:ascii="Arial Narrow" w:eastAsia="Times New Roman" w:hAnsi="Arial Narrow" w:cs="Calibri"/>
                <w:color w:val="000000"/>
                <w:sz w:val="16"/>
                <w:szCs w:val="16"/>
                <w:lang w:eastAsia="sk-SK"/>
              </w:rPr>
            </w:pPr>
          </w:p>
        </w:tc>
        <w:tc>
          <w:tcPr>
            <w:tcW w:w="2592" w:type="dxa"/>
            <w:tcBorders>
              <w:top w:val="nil"/>
              <w:left w:val="nil"/>
              <w:bottom w:val="nil"/>
              <w:right w:val="nil"/>
            </w:tcBorders>
            <w:shd w:val="clear" w:color="auto" w:fill="auto"/>
            <w:vAlign w:val="center"/>
            <w:hideMark/>
          </w:tcPr>
          <w:p w14:paraId="1E773D03" w14:textId="77777777" w:rsidR="002A0289" w:rsidRPr="003D2AFD" w:rsidRDefault="002A0289" w:rsidP="00616580">
            <w:pPr>
              <w:spacing w:after="0" w:line="240" w:lineRule="auto"/>
              <w:rPr>
                <w:rFonts w:ascii="Times New Roman" w:eastAsia="Times New Roman" w:hAnsi="Times New Roman" w:cs="Times New Roman"/>
                <w:sz w:val="20"/>
                <w:szCs w:val="20"/>
                <w:lang w:eastAsia="sk-SK"/>
              </w:rPr>
            </w:pPr>
          </w:p>
        </w:tc>
      </w:tr>
      <w:tr w:rsidR="002A0289" w:rsidRPr="003D2AFD" w14:paraId="7C171537" w14:textId="77777777" w:rsidTr="00616580">
        <w:trPr>
          <w:trHeight w:val="279"/>
        </w:trPr>
        <w:tc>
          <w:tcPr>
            <w:tcW w:w="4777" w:type="dxa"/>
            <w:tcBorders>
              <w:top w:val="nil"/>
              <w:left w:val="nil"/>
              <w:bottom w:val="nil"/>
              <w:right w:val="nil"/>
            </w:tcBorders>
            <w:shd w:val="clear" w:color="auto" w:fill="auto"/>
            <w:vAlign w:val="center"/>
            <w:hideMark/>
          </w:tcPr>
          <w:p w14:paraId="59E1B796" w14:textId="51756A3F" w:rsidR="002A0289" w:rsidRPr="003D2AFD" w:rsidRDefault="002A0289" w:rsidP="00616580">
            <w:pPr>
              <w:spacing w:after="0" w:line="240" w:lineRule="auto"/>
              <w:ind w:firstLineChars="100" w:firstLine="160"/>
              <w:rPr>
                <w:rFonts w:ascii="Arial Narrow" w:eastAsia="Times New Roman" w:hAnsi="Arial Narrow" w:cs="Calibri"/>
                <w:color w:val="000000"/>
                <w:sz w:val="16"/>
                <w:szCs w:val="16"/>
                <w:lang w:eastAsia="sk-SK"/>
              </w:rPr>
            </w:pPr>
            <w:r w:rsidRPr="003D2AFD">
              <w:rPr>
                <w:rFonts w:ascii="Arial Narrow" w:eastAsia="Times New Roman" w:hAnsi="Arial Narrow" w:cs="Calibri"/>
                <w:color w:val="000000"/>
                <w:sz w:val="16"/>
                <w:szCs w:val="16"/>
                <w:lang w:eastAsia="sk-SK"/>
              </w:rPr>
              <w:t>Počiatočná rozpočtová pozícia štrukturálneho salda a</w:t>
            </w:r>
            <w:r w:rsidR="007305DA">
              <w:rPr>
                <w:rFonts w:ascii="Arial Narrow" w:eastAsia="Times New Roman" w:hAnsi="Arial Narrow" w:cs="Calibri"/>
                <w:color w:val="000000"/>
                <w:sz w:val="16"/>
                <w:szCs w:val="16"/>
                <w:lang w:eastAsia="sk-SK"/>
              </w:rPr>
              <w:t> </w:t>
            </w:r>
            <w:r w:rsidRPr="003D2AFD">
              <w:rPr>
                <w:rFonts w:ascii="Arial Narrow" w:eastAsia="Times New Roman" w:hAnsi="Arial Narrow" w:cs="Calibri"/>
                <w:color w:val="000000"/>
                <w:sz w:val="16"/>
                <w:szCs w:val="16"/>
                <w:lang w:eastAsia="sk-SK"/>
              </w:rPr>
              <w:t>dlhu</w:t>
            </w:r>
          </w:p>
        </w:tc>
        <w:tc>
          <w:tcPr>
            <w:tcW w:w="1684" w:type="dxa"/>
            <w:tcBorders>
              <w:top w:val="nil"/>
              <w:left w:val="nil"/>
              <w:bottom w:val="nil"/>
              <w:right w:val="nil"/>
            </w:tcBorders>
            <w:shd w:val="clear" w:color="auto" w:fill="auto"/>
            <w:vAlign w:val="center"/>
            <w:hideMark/>
          </w:tcPr>
          <w:p w14:paraId="434CE429" w14:textId="77777777" w:rsidR="002A0289" w:rsidRPr="003A6E47" w:rsidRDefault="002A0289" w:rsidP="00616580">
            <w:pPr>
              <w:spacing w:after="0" w:line="240" w:lineRule="auto"/>
              <w:jc w:val="center"/>
              <w:rPr>
                <w:rFonts w:ascii="Arial Narrow" w:eastAsia="Times New Roman" w:hAnsi="Arial Narrow" w:cs="Calibri"/>
                <w:color w:val="000000" w:themeColor="text1"/>
                <w:sz w:val="16"/>
                <w:szCs w:val="16"/>
                <w:lang w:eastAsia="sk-SK"/>
              </w:rPr>
            </w:pPr>
            <w:r w:rsidRPr="003A6E47">
              <w:rPr>
                <w:rFonts w:ascii="Arial Narrow" w:eastAsia="Times New Roman" w:hAnsi="Arial Narrow" w:cs="Calibri"/>
                <w:color w:val="000000" w:themeColor="text1"/>
                <w:sz w:val="16"/>
                <w:szCs w:val="16"/>
                <w:lang w:eastAsia="sk-SK"/>
              </w:rPr>
              <w:t>3,7</w:t>
            </w:r>
          </w:p>
        </w:tc>
        <w:tc>
          <w:tcPr>
            <w:tcW w:w="2592" w:type="dxa"/>
            <w:tcBorders>
              <w:top w:val="nil"/>
              <w:left w:val="nil"/>
              <w:bottom w:val="nil"/>
              <w:right w:val="nil"/>
            </w:tcBorders>
            <w:shd w:val="clear" w:color="auto" w:fill="auto"/>
            <w:vAlign w:val="center"/>
            <w:hideMark/>
          </w:tcPr>
          <w:p w14:paraId="77D9DD98" w14:textId="77777777" w:rsidR="002A0289" w:rsidRPr="003A6E47" w:rsidRDefault="002A0289" w:rsidP="00616580">
            <w:pPr>
              <w:spacing w:after="0" w:line="240" w:lineRule="auto"/>
              <w:jc w:val="center"/>
              <w:rPr>
                <w:rFonts w:ascii="Arial Narrow" w:eastAsia="Times New Roman" w:hAnsi="Arial Narrow" w:cs="Calibri"/>
                <w:color w:val="000000" w:themeColor="text1"/>
                <w:sz w:val="16"/>
                <w:szCs w:val="16"/>
                <w:lang w:eastAsia="sk-SK"/>
              </w:rPr>
            </w:pPr>
            <w:r>
              <w:rPr>
                <w:rFonts w:ascii="Arial Narrow" w:eastAsia="Times New Roman" w:hAnsi="Arial Narrow" w:cs="Calibri"/>
                <w:color w:val="000000" w:themeColor="text1"/>
                <w:sz w:val="16"/>
                <w:szCs w:val="16"/>
                <w:lang w:eastAsia="sk-SK"/>
              </w:rPr>
              <w:t>0</w:t>
            </w:r>
            <w:r w:rsidRPr="0078486D">
              <w:rPr>
                <w:rFonts w:ascii="Arial Narrow" w:eastAsia="Times New Roman" w:hAnsi="Arial Narrow" w:cs="Calibri"/>
                <w:color w:val="000000" w:themeColor="text1"/>
                <w:sz w:val="16"/>
                <w:szCs w:val="16"/>
                <w:lang w:eastAsia="sk-SK"/>
              </w:rPr>
              <w:t>,</w:t>
            </w:r>
            <w:r>
              <w:rPr>
                <w:rFonts w:ascii="Arial Narrow" w:eastAsia="Times New Roman" w:hAnsi="Arial Narrow" w:cs="Calibri"/>
                <w:color w:val="000000" w:themeColor="text1"/>
                <w:sz w:val="16"/>
                <w:szCs w:val="16"/>
                <w:lang w:eastAsia="sk-SK"/>
              </w:rPr>
              <w:t>2</w:t>
            </w:r>
          </w:p>
        </w:tc>
      </w:tr>
      <w:tr w:rsidR="002A0289" w:rsidRPr="003D2AFD" w14:paraId="340CBC94" w14:textId="77777777" w:rsidTr="00616580">
        <w:trPr>
          <w:trHeight w:val="258"/>
        </w:trPr>
        <w:tc>
          <w:tcPr>
            <w:tcW w:w="4777" w:type="dxa"/>
            <w:tcBorders>
              <w:top w:val="nil"/>
              <w:left w:val="nil"/>
              <w:bottom w:val="nil"/>
              <w:right w:val="nil"/>
            </w:tcBorders>
            <w:shd w:val="clear" w:color="auto" w:fill="auto"/>
            <w:vAlign w:val="center"/>
            <w:hideMark/>
          </w:tcPr>
          <w:p w14:paraId="1C95C8B5" w14:textId="77777777" w:rsidR="002A0289" w:rsidRPr="003D2AFD" w:rsidRDefault="002A0289" w:rsidP="00616580">
            <w:pPr>
              <w:spacing w:after="0" w:line="240" w:lineRule="auto"/>
              <w:ind w:firstLineChars="100" w:firstLine="16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Náklady na starnutie</w:t>
            </w:r>
          </w:p>
        </w:tc>
        <w:tc>
          <w:tcPr>
            <w:tcW w:w="1684" w:type="dxa"/>
            <w:tcBorders>
              <w:top w:val="nil"/>
              <w:left w:val="nil"/>
              <w:bottom w:val="nil"/>
              <w:right w:val="nil"/>
            </w:tcBorders>
            <w:shd w:val="clear" w:color="auto" w:fill="auto"/>
            <w:vAlign w:val="center"/>
            <w:hideMark/>
          </w:tcPr>
          <w:p w14:paraId="3941869F" w14:textId="77777777" w:rsidR="002A0289" w:rsidRPr="003A6E47" w:rsidRDefault="002A0289" w:rsidP="00616580">
            <w:pPr>
              <w:spacing w:after="0" w:line="240" w:lineRule="auto"/>
              <w:jc w:val="center"/>
              <w:rPr>
                <w:rFonts w:ascii="Arial Narrow" w:eastAsia="Times New Roman" w:hAnsi="Arial Narrow" w:cs="Calibri"/>
                <w:color w:val="000000" w:themeColor="text1"/>
                <w:sz w:val="16"/>
                <w:szCs w:val="16"/>
                <w:lang w:eastAsia="sk-SK"/>
              </w:rPr>
            </w:pPr>
            <w:r w:rsidRPr="003A6E47">
              <w:rPr>
                <w:rFonts w:ascii="Arial Narrow" w:eastAsia="Times New Roman" w:hAnsi="Arial Narrow" w:cs="Calibri"/>
                <w:color w:val="000000" w:themeColor="text1"/>
                <w:sz w:val="16"/>
                <w:szCs w:val="16"/>
                <w:lang w:eastAsia="sk-SK"/>
              </w:rPr>
              <w:t>3,7</w:t>
            </w:r>
          </w:p>
        </w:tc>
        <w:tc>
          <w:tcPr>
            <w:tcW w:w="2592" w:type="dxa"/>
            <w:tcBorders>
              <w:top w:val="nil"/>
              <w:left w:val="nil"/>
              <w:bottom w:val="nil"/>
              <w:right w:val="nil"/>
            </w:tcBorders>
            <w:shd w:val="clear" w:color="auto" w:fill="auto"/>
            <w:vAlign w:val="center"/>
            <w:hideMark/>
          </w:tcPr>
          <w:p w14:paraId="21D64473" w14:textId="77777777" w:rsidR="002A0289" w:rsidRPr="003A6E47" w:rsidRDefault="002A0289" w:rsidP="00616580">
            <w:pPr>
              <w:spacing w:after="0" w:line="240" w:lineRule="auto"/>
              <w:jc w:val="center"/>
              <w:rPr>
                <w:rFonts w:ascii="Arial Narrow" w:eastAsia="Times New Roman" w:hAnsi="Arial Narrow" w:cs="Calibri"/>
                <w:color w:val="000000" w:themeColor="text1"/>
                <w:sz w:val="16"/>
                <w:szCs w:val="16"/>
                <w:lang w:eastAsia="sk-SK"/>
              </w:rPr>
            </w:pPr>
            <w:r>
              <w:rPr>
                <w:rFonts w:ascii="Arial Narrow" w:eastAsia="Times New Roman" w:hAnsi="Arial Narrow" w:cs="Calibri"/>
                <w:color w:val="000000" w:themeColor="text1"/>
                <w:sz w:val="16"/>
                <w:szCs w:val="16"/>
                <w:lang w:eastAsia="sk-SK"/>
              </w:rPr>
              <w:t>2</w:t>
            </w:r>
            <w:r w:rsidRPr="0078486D">
              <w:rPr>
                <w:rFonts w:ascii="Arial Narrow" w:eastAsia="Times New Roman" w:hAnsi="Arial Narrow" w:cs="Calibri"/>
                <w:color w:val="000000" w:themeColor="text1"/>
                <w:sz w:val="16"/>
                <w:szCs w:val="16"/>
                <w:lang w:eastAsia="sk-SK"/>
              </w:rPr>
              <w:t>,</w:t>
            </w:r>
            <w:r>
              <w:rPr>
                <w:rFonts w:ascii="Arial Narrow" w:eastAsia="Times New Roman" w:hAnsi="Arial Narrow" w:cs="Calibri"/>
                <w:color w:val="000000" w:themeColor="text1"/>
                <w:sz w:val="16"/>
                <w:szCs w:val="16"/>
                <w:lang w:eastAsia="sk-SK"/>
              </w:rPr>
              <w:t>9</w:t>
            </w:r>
          </w:p>
        </w:tc>
      </w:tr>
      <w:tr w:rsidR="002A0289" w:rsidRPr="003D2AFD" w14:paraId="1551187D" w14:textId="77777777" w:rsidTr="00616580">
        <w:trPr>
          <w:trHeight w:val="270"/>
        </w:trPr>
        <w:tc>
          <w:tcPr>
            <w:tcW w:w="4777" w:type="dxa"/>
            <w:tcBorders>
              <w:top w:val="single" w:sz="8" w:space="0" w:color="000000"/>
              <w:left w:val="nil"/>
              <w:bottom w:val="single" w:sz="8" w:space="0" w:color="000000"/>
              <w:right w:val="nil"/>
            </w:tcBorders>
            <w:shd w:val="clear" w:color="auto" w:fill="auto"/>
            <w:vAlign w:val="center"/>
            <w:hideMark/>
          </w:tcPr>
          <w:p w14:paraId="67AB5A92" w14:textId="77777777" w:rsidR="002A0289" w:rsidRPr="003D2AFD" w:rsidRDefault="002A0289" w:rsidP="00616580">
            <w:pPr>
              <w:spacing w:after="0" w:line="240" w:lineRule="auto"/>
              <w:rPr>
                <w:rFonts w:ascii="Arial Narrow" w:eastAsia="Times New Roman" w:hAnsi="Arial Narrow" w:cs="Calibri"/>
                <w:b/>
                <w:bCs/>
                <w:color w:val="000000"/>
                <w:sz w:val="18"/>
                <w:szCs w:val="18"/>
                <w:lang w:eastAsia="sk-SK"/>
              </w:rPr>
            </w:pPr>
            <w:r w:rsidRPr="003D2AFD">
              <w:rPr>
                <w:rFonts w:ascii="Arial Narrow" w:eastAsia="Times New Roman" w:hAnsi="Arial Narrow" w:cs="Calibri"/>
                <w:b/>
                <w:bCs/>
                <w:color w:val="000000"/>
                <w:sz w:val="18"/>
                <w:szCs w:val="18"/>
                <w:lang w:eastAsia="sk-SK"/>
              </w:rPr>
              <w:t>S2 Indikátor</w:t>
            </w:r>
          </w:p>
        </w:tc>
        <w:tc>
          <w:tcPr>
            <w:tcW w:w="1684" w:type="dxa"/>
            <w:tcBorders>
              <w:top w:val="single" w:sz="8" w:space="0" w:color="000000"/>
              <w:left w:val="nil"/>
              <w:bottom w:val="single" w:sz="8" w:space="0" w:color="000000"/>
              <w:right w:val="nil"/>
            </w:tcBorders>
            <w:shd w:val="clear" w:color="auto" w:fill="auto"/>
            <w:vAlign w:val="center"/>
            <w:hideMark/>
          </w:tcPr>
          <w:p w14:paraId="33BE86F4" w14:textId="77777777" w:rsidR="002A0289" w:rsidRPr="003D2AFD" w:rsidRDefault="002A0289" w:rsidP="00616580">
            <w:pPr>
              <w:spacing w:after="0" w:line="240" w:lineRule="auto"/>
              <w:jc w:val="center"/>
              <w:rPr>
                <w:rFonts w:ascii="Arial Narrow" w:eastAsia="Times New Roman" w:hAnsi="Arial Narrow" w:cs="Calibri"/>
                <w:b/>
                <w:bCs/>
                <w:color w:val="FF0000"/>
                <w:sz w:val="18"/>
                <w:szCs w:val="18"/>
                <w:lang w:eastAsia="sk-SK"/>
              </w:rPr>
            </w:pPr>
            <w:r w:rsidRPr="003D2AFD">
              <w:rPr>
                <w:rFonts w:ascii="Arial Narrow" w:eastAsia="Times New Roman" w:hAnsi="Arial Narrow" w:cs="Calibri"/>
                <w:b/>
                <w:bCs/>
                <w:color w:val="FF0000"/>
                <w:sz w:val="18"/>
                <w:szCs w:val="18"/>
                <w:lang w:eastAsia="sk-SK"/>
              </w:rPr>
              <w:t>8,7</w:t>
            </w:r>
          </w:p>
        </w:tc>
        <w:tc>
          <w:tcPr>
            <w:tcW w:w="2592" w:type="dxa"/>
            <w:tcBorders>
              <w:top w:val="single" w:sz="8" w:space="0" w:color="000000"/>
              <w:left w:val="nil"/>
              <w:bottom w:val="single" w:sz="8" w:space="0" w:color="000000"/>
              <w:right w:val="nil"/>
            </w:tcBorders>
            <w:shd w:val="clear" w:color="auto" w:fill="auto"/>
            <w:vAlign w:val="center"/>
            <w:hideMark/>
          </w:tcPr>
          <w:p w14:paraId="2F4C1868" w14:textId="77777777" w:rsidR="002A0289" w:rsidRPr="003D2AFD" w:rsidRDefault="002A0289" w:rsidP="00616580">
            <w:pPr>
              <w:spacing w:after="0" w:line="240" w:lineRule="auto"/>
              <w:jc w:val="center"/>
              <w:rPr>
                <w:rFonts w:ascii="Arial Narrow" w:eastAsia="Times New Roman" w:hAnsi="Arial Narrow" w:cs="Calibri"/>
                <w:b/>
                <w:bCs/>
                <w:color w:val="FFC000"/>
                <w:sz w:val="18"/>
                <w:szCs w:val="18"/>
                <w:lang w:eastAsia="sk-SK"/>
              </w:rPr>
            </w:pPr>
            <w:r>
              <w:rPr>
                <w:rFonts w:ascii="Arial Narrow" w:eastAsia="Times New Roman" w:hAnsi="Arial Narrow" w:cs="Calibri"/>
                <w:b/>
                <w:bCs/>
                <w:color w:val="FFC000"/>
                <w:sz w:val="18"/>
                <w:szCs w:val="18"/>
                <w:lang w:eastAsia="sk-SK"/>
              </w:rPr>
              <w:t>4</w:t>
            </w:r>
            <w:r w:rsidRPr="0078486D">
              <w:rPr>
                <w:rFonts w:ascii="Arial Narrow" w:eastAsia="Times New Roman" w:hAnsi="Arial Narrow" w:cs="Calibri"/>
                <w:b/>
                <w:bCs/>
                <w:color w:val="FFC000"/>
                <w:sz w:val="18"/>
                <w:szCs w:val="18"/>
                <w:lang w:eastAsia="sk-SK"/>
              </w:rPr>
              <w:t>,</w:t>
            </w:r>
            <w:r>
              <w:rPr>
                <w:rFonts w:ascii="Arial Narrow" w:eastAsia="Times New Roman" w:hAnsi="Arial Narrow" w:cs="Calibri"/>
                <w:b/>
                <w:bCs/>
                <w:color w:val="FFC000"/>
                <w:sz w:val="18"/>
                <w:szCs w:val="18"/>
                <w:lang w:eastAsia="sk-SK"/>
              </w:rPr>
              <w:t>1</w:t>
            </w:r>
          </w:p>
        </w:tc>
      </w:tr>
      <w:tr w:rsidR="002A0289" w:rsidRPr="003D2AFD" w14:paraId="1EFCAFF9" w14:textId="77777777" w:rsidTr="00616580">
        <w:trPr>
          <w:trHeight w:val="270"/>
        </w:trPr>
        <w:tc>
          <w:tcPr>
            <w:tcW w:w="4777" w:type="dxa"/>
            <w:tcBorders>
              <w:top w:val="nil"/>
              <w:left w:val="nil"/>
              <w:bottom w:val="nil"/>
              <w:right w:val="nil"/>
            </w:tcBorders>
            <w:shd w:val="clear" w:color="auto" w:fill="auto"/>
            <w:vAlign w:val="center"/>
            <w:hideMark/>
          </w:tcPr>
          <w:p w14:paraId="63252A8E" w14:textId="77777777" w:rsidR="002A0289" w:rsidRPr="003D2AFD" w:rsidRDefault="002A0289" w:rsidP="00616580">
            <w:pPr>
              <w:spacing w:after="0" w:line="240" w:lineRule="auto"/>
              <w:rPr>
                <w:rFonts w:ascii="Arial Narrow" w:eastAsia="Times New Roman" w:hAnsi="Arial Narrow" w:cs="Calibri"/>
                <w:color w:val="000000"/>
                <w:sz w:val="16"/>
                <w:szCs w:val="16"/>
                <w:lang w:eastAsia="sk-SK"/>
              </w:rPr>
            </w:pPr>
            <w:r w:rsidRPr="003D2AFD">
              <w:rPr>
                <w:rFonts w:ascii="Arial Narrow" w:eastAsia="Times New Roman" w:hAnsi="Arial Narrow" w:cs="Calibri"/>
                <w:color w:val="000000"/>
                <w:sz w:val="16"/>
                <w:szCs w:val="16"/>
                <w:lang w:eastAsia="sk-SK"/>
              </w:rPr>
              <w:t>z toho:</w:t>
            </w:r>
          </w:p>
        </w:tc>
        <w:tc>
          <w:tcPr>
            <w:tcW w:w="1684" w:type="dxa"/>
            <w:tcBorders>
              <w:top w:val="nil"/>
              <w:left w:val="nil"/>
              <w:bottom w:val="nil"/>
              <w:right w:val="nil"/>
            </w:tcBorders>
            <w:shd w:val="clear" w:color="auto" w:fill="auto"/>
            <w:vAlign w:val="center"/>
            <w:hideMark/>
          </w:tcPr>
          <w:p w14:paraId="23DE7DCD" w14:textId="77777777" w:rsidR="002A0289" w:rsidRPr="003D2AFD" w:rsidRDefault="002A0289" w:rsidP="00616580">
            <w:pPr>
              <w:spacing w:after="0" w:line="240" w:lineRule="auto"/>
              <w:rPr>
                <w:rFonts w:ascii="Arial Narrow" w:eastAsia="Times New Roman" w:hAnsi="Arial Narrow" w:cs="Calibri"/>
                <w:color w:val="000000"/>
                <w:sz w:val="16"/>
                <w:szCs w:val="16"/>
                <w:lang w:eastAsia="sk-SK"/>
              </w:rPr>
            </w:pPr>
          </w:p>
        </w:tc>
        <w:tc>
          <w:tcPr>
            <w:tcW w:w="2592" w:type="dxa"/>
            <w:tcBorders>
              <w:top w:val="nil"/>
              <w:left w:val="nil"/>
              <w:bottom w:val="nil"/>
              <w:right w:val="nil"/>
            </w:tcBorders>
            <w:shd w:val="clear" w:color="auto" w:fill="auto"/>
            <w:vAlign w:val="center"/>
            <w:hideMark/>
          </w:tcPr>
          <w:p w14:paraId="298CF0C0" w14:textId="77777777" w:rsidR="002A0289" w:rsidRPr="003D2AFD" w:rsidRDefault="002A0289" w:rsidP="00616580">
            <w:pPr>
              <w:spacing w:after="0" w:line="240" w:lineRule="auto"/>
              <w:rPr>
                <w:rFonts w:ascii="Times New Roman" w:eastAsia="Times New Roman" w:hAnsi="Times New Roman" w:cs="Times New Roman"/>
                <w:sz w:val="20"/>
                <w:szCs w:val="20"/>
                <w:lang w:eastAsia="sk-SK"/>
              </w:rPr>
            </w:pPr>
          </w:p>
        </w:tc>
      </w:tr>
      <w:tr w:rsidR="002A0289" w:rsidRPr="003D2AFD" w14:paraId="1D7C8443" w14:textId="77777777" w:rsidTr="00616580">
        <w:trPr>
          <w:trHeight w:val="244"/>
        </w:trPr>
        <w:tc>
          <w:tcPr>
            <w:tcW w:w="4777" w:type="dxa"/>
            <w:tcBorders>
              <w:top w:val="nil"/>
              <w:left w:val="nil"/>
              <w:bottom w:val="nil"/>
              <w:right w:val="nil"/>
            </w:tcBorders>
            <w:shd w:val="clear" w:color="auto" w:fill="auto"/>
            <w:vAlign w:val="center"/>
            <w:hideMark/>
          </w:tcPr>
          <w:p w14:paraId="5EF79C1A" w14:textId="2079C22A" w:rsidR="002A0289" w:rsidRPr="003D2AFD" w:rsidRDefault="002A0289" w:rsidP="00616580">
            <w:pPr>
              <w:spacing w:after="0" w:line="240" w:lineRule="auto"/>
              <w:ind w:firstLineChars="100" w:firstLine="160"/>
              <w:rPr>
                <w:rFonts w:ascii="Arial Narrow" w:eastAsia="Times New Roman" w:hAnsi="Arial Narrow" w:cs="Calibri"/>
                <w:color w:val="000000"/>
                <w:sz w:val="16"/>
                <w:szCs w:val="16"/>
                <w:lang w:eastAsia="sk-SK"/>
              </w:rPr>
            </w:pPr>
            <w:r w:rsidRPr="003D2AFD">
              <w:rPr>
                <w:rFonts w:ascii="Arial Narrow" w:eastAsia="Times New Roman" w:hAnsi="Arial Narrow" w:cs="Calibri"/>
                <w:color w:val="000000"/>
                <w:sz w:val="16"/>
                <w:szCs w:val="16"/>
                <w:lang w:eastAsia="sk-SK"/>
              </w:rPr>
              <w:t>Počiatočná rozpočtová pozícia štrukturálneho salda a</w:t>
            </w:r>
            <w:r w:rsidR="007305DA">
              <w:rPr>
                <w:rFonts w:ascii="Arial Narrow" w:eastAsia="Times New Roman" w:hAnsi="Arial Narrow" w:cs="Calibri"/>
                <w:color w:val="000000"/>
                <w:sz w:val="16"/>
                <w:szCs w:val="16"/>
                <w:lang w:eastAsia="sk-SK"/>
              </w:rPr>
              <w:t> </w:t>
            </w:r>
            <w:r w:rsidRPr="003D2AFD">
              <w:rPr>
                <w:rFonts w:ascii="Arial Narrow" w:eastAsia="Times New Roman" w:hAnsi="Arial Narrow" w:cs="Calibri"/>
                <w:color w:val="000000"/>
                <w:sz w:val="16"/>
                <w:szCs w:val="16"/>
                <w:lang w:eastAsia="sk-SK"/>
              </w:rPr>
              <w:t>dlhu</w:t>
            </w:r>
          </w:p>
        </w:tc>
        <w:tc>
          <w:tcPr>
            <w:tcW w:w="1684" w:type="dxa"/>
            <w:tcBorders>
              <w:top w:val="nil"/>
              <w:left w:val="nil"/>
              <w:bottom w:val="nil"/>
              <w:right w:val="nil"/>
            </w:tcBorders>
            <w:shd w:val="clear" w:color="auto" w:fill="auto"/>
            <w:vAlign w:val="center"/>
            <w:hideMark/>
          </w:tcPr>
          <w:p w14:paraId="5C2C7792" w14:textId="77777777" w:rsidR="002A0289" w:rsidRPr="003A6E47" w:rsidRDefault="002A0289" w:rsidP="00616580">
            <w:pPr>
              <w:spacing w:after="0" w:line="240" w:lineRule="auto"/>
              <w:jc w:val="center"/>
              <w:rPr>
                <w:rFonts w:ascii="Arial Narrow" w:eastAsia="Times New Roman" w:hAnsi="Arial Narrow" w:cs="Calibri"/>
                <w:color w:val="000000" w:themeColor="text1"/>
                <w:sz w:val="16"/>
                <w:szCs w:val="16"/>
                <w:lang w:eastAsia="sk-SK"/>
              </w:rPr>
            </w:pPr>
            <w:r w:rsidRPr="003A6E47">
              <w:rPr>
                <w:rFonts w:ascii="Arial Narrow" w:eastAsia="Times New Roman" w:hAnsi="Arial Narrow" w:cs="Calibri"/>
                <w:color w:val="000000" w:themeColor="text1"/>
                <w:sz w:val="16"/>
                <w:szCs w:val="16"/>
                <w:lang w:eastAsia="sk-SK"/>
              </w:rPr>
              <w:t>3,9</w:t>
            </w:r>
          </w:p>
        </w:tc>
        <w:tc>
          <w:tcPr>
            <w:tcW w:w="2592" w:type="dxa"/>
            <w:tcBorders>
              <w:top w:val="nil"/>
              <w:left w:val="nil"/>
              <w:bottom w:val="nil"/>
              <w:right w:val="nil"/>
            </w:tcBorders>
            <w:shd w:val="clear" w:color="auto" w:fill="auto"/>
            <w:vAlign w:val="center"/>
            <w:hideMark/>
          </w:tcPr>
          <w:p w14:paraId="30F40BFC" w14:textId="77777777" w:rsidR="002A0289" w:rsidRPr="003A6E47" w:rsidRDefault="002A0289" w:rsidP="00616580">
            <w:pPr>
              <w:spacing w:after="0" w:line="240" w:lineRule="auto"/>
              <w:jc w:val="center"/>
              <w:rPr>
                <w:rFonts w:ascii="Arial Narrow" w:eastAsia="Times New Roman" w:hAnsi="Arial Narrow" w:cs="Calibri"/>
                <w:color w:val="000000" w:themeColor="text1"/>
                <w:sz w:val="16"/>
                <w:szCs w:val="16"/>
                <w:lang w:eastAsia="sk-SK"/>
              </w:rPr>
            </w:pPr>
            <w:r>
              <w:rPr>
                <w:rFonts w:ascii="Arial Narrow" w:eastAsia="Times New Roman" w:hAnsi="Arial Narrow" w:cs="Calibri"/>
                <w:color w:val="000000" w:themeColor="text1"/>
                <w:sz w:val="16"/>
                <w:szCs w:val="16"/>
                <w:lang w:eastAsia="sk-SK"/>
              </w:rPr>
              <w:t>0</w:t>
            </w:r>
            <w:r w:rsidRPr="0078486D">
              <w:rPr>
                <w:rFonts w:ascii="Arial Narrow" w:eastAsia="Times New Roman" w:hAnsi="Arial Narrow" w:cs="Calibri"/>
                <w:color w:val="000000" w:themeColor="text1"/>
                <w:sz w:val="16"/>
                <w:szCs w:val="16"/>
                <w:lang w:eastAsia="sk-SK"/>
              </w:rPr>
              <w:t>,</w:t>
            </w:r>
            <w:r>
              <w:rPr>
                <w:rFonts w:ascii="Arial Narrow" w:eastAsia="Times New Roman" w:hAnsi="Arial Narrow" w:cs="Calibri"/>
                <w:color w:val="000000" w:themeColor="text1"/>
                <w:sz w:val="16"/>
                <w:szCs w:val="16"/>
                <w:lang w:eastAsia="sk-SK"/>
              </w:rPr>
              <w:t>3</w:t>
            </w:r>
          </w:p>
        </w:tc>
      </w:tr>
      <w:tr w:rsidR="002A0289" w:rsidRPr="003D2AFD" w14:paraId="058CEBB6" w14:textId="77777777" w:rsidTr="00616580">
        <w:trPr>
          <w:trHeight w:val="258"/>
        </w:trPr>
        <w:tc>
          <w:tcPr>
            <w:tcW w:w="4777" w:type="dxa"/>
            <w:tcBorders>
              <w:top w:val="nil"/>
              <w:left w:val="nil"/>
              <w:bottom w:val="single" w:sz="4" w:space="0" w:color="auto"/>
              <w:right w:val="nil"/>
            </w:tcBorders>
            <w:shd w:val="clear" w:color="auto" w:fill="auto"/>
            <w:vAlign w:val="center"/>
            <w:hideMark/>
          </w:tcPr>
          <w:p w14:paraId="4CEABD47" w14:textId="77777777" w:rsidR="002A0289" w:rsidRPr="003D2AFD" w:rsidRDefault="002A0289" w:rsidP="00616580">
            <w:pPr>
              <w:spacing w:after="0" w:line="240" w:lineRule="auto"/>
              <w:ind w:firstLineChars="100" w:firstLine="160"/>
              <w:rPr>
                <w:rFonts w:ascii="Arial Narrow" w:eastAsia="Times New Roman" w:hAnsi="Arial Narrow" w:cs="Calibri"/>
                <w:color w:val="000000"/>
                <w:sz w:val="16"/>
                <w:szCs w:val="16"/>
                <w:lang w:eastAsia="sk-SK"/>
              </w:rPr>
            </w:pPr>
            <w:r>
              <w:rPr>
                <w:rFonts w:ascii="Arial Narrow" w:eastAsia="Times New Roman" w:hAnsi="Arial Narrow" w:cs="Calibri"/>
                <w:color w:val="000000"/>
                <w:sz w:val="16"/>
                <w:szCs w:val="16"/>
                <w:lang w:eastAsia="sk-SK"/>
              </w:rPr>
              <w:t>Náklady na starnutie</w:t>
            </w:r>
          </w:p>
        </w:tc>
        <w:tc>
          <w:tcPr>
            <w:tcW w:w="1684" w:type="dxa"/>
            <w:tcBorders>
              <w:top w:val="nil"/>
              <w:left w:val="nil"/>
              <w:bottom w:val="single" w:sz="4" w:space="0" w:color="auto"/>
              <w:right w:val="nil"/>
            </w:tcBorders>
            <w:shd w:val="clear" w:color="auto" w:fill="auto"/>
            <w:vAlign w:val="center"/>
            <w:hideMark/>
          </w:tcPr>
          <w:p w14:paraId="646C3CCF" w14:textId="77777777" w:rsidR="002A0289" w:rsidRPr="003A6E47" w:rsidRDefault="002A0289" w:rsidP="00616580">
            <w:pPr>
              <w:spacing w:after="0" w:line="240" w:lineRule="auto"/>
              <w:jc w:val="center"/>
              <w:rPr>
                <w:rFonts w:ascii="Arial Narrow" w:eastAsia="Times New Roman" w:hAnsi="Arial Narrow" w:cs="Calibri"/>
                <w:color w:val="000000" w:themeColor="text1"/>
                <w:sz w:val="16"/>
                <w:szCs w:val="16"/>
                <w:lang w:eastAsia="sk-SK"/>
              </w:rPr>
            </w:pPr>
            <w:r w:rsidRPr="003A6E47">
              <w:rPr>
                <w:rFonts w:ascii="Arial Narrow" w:eastAsia="Times New Roman" w:hAnsi="Arial Narrow" w:cs="Calibri"/>
                <w:color w:val="000000" w:themeColor="text1"/>
                <w:sz w:val="16"/>
                <w:szCs w:val="16"/>
                <w:lang w:eastAsia="sk-SK"/>
              </w:rPr>
              <w:t>4,8</w:t>
            </w:r>
          </w:p>
        </w:tc>
        <w:tc>
          <w:tcPr>
            <w:tcW w:w="2592" w:type="dxa"/>
            <w:tcBorders>
              <w:top w:val="nil"/>
              <w:left w:val="nil"/>
              <w:bottom w:val="single" w:sz="4" w:space="0" w:color="auto"/>
              <w:right w:val="nil"/>
            </w:tcBorders>
            <w:shd w:val="clear" w:color="auto" w:fill="auto"/>
            <w:vAlign w:val="center"/>
            <w:hideMark/>
          </w:tcPr>
          <w:p w14:paraId="2765C03F" w14:textId="77777777" w:rsidR="002A0289" w:rsidRPr="003A6E47" w:rsidRDefault="002A0289" w:rsidP="00616580">
            <w:pPr>
              <w:spacing w:after="0" w:line="240" w:lineRule="auto"/>
              <w:jc w:val="center"/>
              <w:rPr>
                <w:rFonts w:ascii="Arial Narrow" w:eastAsia="Times New Roman" w:hAnsi="Arial Narrow" w:cs="Calibri"/>
                <w:color w:val="000000" w:themeColor="text1"/>
                <w:sz w:val="16"/>
                <w:szCs w:val="16"/>
                <w:lang w:eastAsia="sk-SK"/>
              </w:rPr>
            </w:pPr>
            <w:r>
              <w:rPr>
                <w:rFonts w:ascii="Arial Narrow" w:eastAsia="Times New Roman" w:hAnsi="Arial Narrow" w:cs="Calibri"/>
                <w:color w:val="000000" w:themeColor="text1"/>
                <w:sz w:val="16"/>
                <w:szCs w:val="16"/>
                <w:lang w:eastAsia="sk-SK"/>
              </w:rPr>
              <w:t>3</w:t>
            </w:r>
            <w:r w:rsidRPr="0078486D">
              <w:rPr>
                <w:rFonts w:ascii="Arial Narrow" w:eastAsia="Times New Roman" w:hAnsi="Arial Narrow" w:cs="Calibri"/>
                <w:color w:val="000000" w:themeColor="text1"/>
                <w:sz w:val="16"/>
                <w:szCs w:val="16"/>
                <w:lang w:eastAsia="sk-SK"/>
              </w:rPr>
              <w:t>,</w:t>
            </w:r>
            <w:r>
              <w:rPr>
                <w:rFonts w:ascii="Arial Narrow" w:eastAsia="Times New Roman" w:hAnsi="Arial Narrow" w:cs="Calibri"/>
                <w:color w:val="000000" w:themeColor="text1"/>
                <w:sz w:val="16"/>
                <w:szCs w:val="16"/>
                <w:lang w:eastAsia="sk-SK"/>
              </w:rPr>
              <w:t>8</w:t>
            </w:r>
          </w:p>
        </w:tc>
      </w:tr>
      <w:tr w:rsidR="002A0289" w:rsidRPr="00343041" w14:paraId="53EE9BC9" w14:textId="77777777" w:rsidTr="00616580">
        <w:trPr>
          <w:trHeight w:val="258"/>
        </w:trPr>
        <w:tc>
          <w:tcPr>
            <w:tcW w:w="4777" w:type="dxa"/>
            <w:tcBorders>
              <w:top w:val="single" w:sz="4" w:space="0" w:color="auto"/>
              <w:left w:val="nil"/>
              <w:right w:val="nil"/>
            </w:tcBorders>
            <w:shd w:val="clear" w:color="auto" w:fill="auto"/>
            <w:vAlign w:val="center"/>
          </w:tcPr>
          <w:p w14:paraId="0A3B48C9" w14:textId="77777777" w:rsidR="002A0289" w:rsidRPr="003A6E47" w:rsidRDefault="002A0289" w:rsidP="00616580">
            <w:pPr>
              <w:spacing w:after="0" w:line="240" w:lineRule="auto"/>
              <w:ind w:firstLineChars="100" w:firstLine="160"/>
              <w:rPr>
                <w:rFonts w:ascii="Arial Narrow" w:eastAsia="Times New Roman" w:hAnsi="Arial Narrow" w:cs="Calibri"/>
                <w:i/>
                <w:iCs/>
                <w:color w:val="000000"/>
                <w:sz w:val="16"/>
                <w:szCs w:val="16"/>
                <w:lang w:eastAsia="sk-SK"/>
              </w:rPr>
            </w:pPr>
          </w:p>
        </w:tc>
        <w:tc>
          <w:tcPr>
            <w:tcW w:w="1684" w:type="dxa"/>
            <w:tcBorders>
              <w:top w:val="single" w:sz="4" w:space="0" w:color="auto"/>
              <w:left w:val="nil"/>
              <w:right w:val="nil"/>
            </w:tcBorders>
            <w:shd w:val="clear" w:color="auto" w:fill="auto"/>
            <w:vAlign w:val="center"/>
          </w:tcPr>
          <w:p w14:paraId="1F640C2E" w14:textId="77777777" w:rsidR="002A0289" w:rsidRPr="003A6E47" w:rsidRDefault="002A0289" w:rsidP="00616580">
            <w:pPr>
              <w:spacing w:after="0" w:line="240" w:lineRule="auto"/>
              <w:jc w:val="center"/>
              <w:rPr>
                <w:rFonts w:ascii="Arial Narrow" w:eastAsia="Times New Roman" w:hAnsi="Arial Narrow" w:cs="Calibri"/>
                <w:i/>
                <w:iCs/>
                <w:color w:val="000000" w:themeColor="text1"/>
                <w:sz w:val="16"/>
                <w:szCs w:val="16"/>
                <w:lang w:eastAsia="sk-SK"/>
              </w:rPr>
            </w:pPr>
          </w:p>
        </w:tc>
        <w:tc>
          <w:tcPr>
            <w:tcW w:w="2592" w:type="dxa"/>
            <w:tcBorders>
              <w:top w:val="single" w:sz="4" w:space="0" w:color="auto"/>
              <w:left w:val="nil"/>
              <w:right w:val="nil"/>
            </w:tcBorders>
            <w:shd w:val="clear" w:color="auto" w:fill="auto"/>
            <w:vAlign w:val="center"/>
          </w:tcPr>
          <w:p w14:paraId="5C340D49" w14:textId="77777777" w:rsidR="002A0289" w:rsidRPr="003A6E47" w:rsidRDefault="002A0289" w:rsidP="00616580">
            <w:pPr>
              <w:spacing w:after="0" w:line="240" w:lineRule="auto"/>
              <w:jc w:val="right"/>
              <w:rPr>
                <w:rFonts w:ascii="Arial Narrow" w:eastAsia="Times New Roman" w:hAnsi="Arial Narrow" w:cs="Calibri"/>
                <w:i/>
                <w:iCs/>
                <w:color w:val="000000" w:themeColor="text1"/>
                <w:sz w:val="16"/>
                <w:szCs w:val="16"/>
                <w:lang w:eastAsia="sk-SK"/>
              </w:rPr>
            </w:pPr>
            <w:r w:rsidRPr="003A6E47">
              <w:rPr>
                <w:rFonts w:ascii="Arial Narrow" w:eastAsia="Times New Roman" w:hAnsi="Arial Narrow" w:cs="Calibri"/>
                <w:i/>
                <w:iCs/>
                <w:color w:val="000000" w:themeColor="text1"/>
                <w:sz w:val="16"/>
                <w:szCs w:val="16"/>
                <w:lang w:eastAsia="sk-SK"/>
              </w:rPr>
              <w:t>Zdroj: MF SR</w:t>
            </w:r>
          </w:p>
        </w:tc>
      </w:tr>
      <w:bookmarkEnd w:id="16"/>
    </w:tbl>
    <w:p w14:paraId="03DB47F0" w14:textId="77777777" w:rsidR="002A0289" w:rsidRPr="004F727A" w:rsidRDefault="002A0289" w:rsidP="002A0289">
      <w:pPr>
        <w:widowControl w:val="0"/>
        <w:spacing w:before="40" w:after="40"/>
        <w:jc w:val="both"/>
        <w:rPr>
          <w:rFonts w:ascii="Arial Narrow" w:hAnsi="Arial Narrow" w:cs="Arial Narrow"/>
          <w:b/>
          <w:bCs/>
          <w:color w:val="2C9ADC"/>
          <w:sz w:val="20"/>
          <w:szCs w:val="20"/>
        </w:rPr>
      </w:pPr>
    </w:p>
    <w:p w14:paraId="0E637478" w14:textId="680CFDAE" w:rsidR="002A0289" w:rsidRPr="00A84537" w:rsidRDefault="002A0289" w:rsidP="002A0289">
      <w:pPr>
        <w:spacing w:line="276" w:lineRule="auto"/>
        <w:jc w:val="both"/>
        <w:rPr>
          <w:rFonts w:ascii="Arial Narrow" w:hAnsi="Arial Narrow"/>
          <w:b/>
          <w:bCs/>
          <w:color w:val="00B0F0"/>
        </w:rPr>
      </w:pPr>
      <w:r>
        <w:rPr>
          <w:rFonts w:ascii="Arial Narrow" w:hAnsi="Arial Narrow"/>
          <w:b/>
          <w:bCs/>
          <w:color w:val="00B0F0"/>
        </w:rPr>
        <w:t xml:space="preserve">Fázovanie </w:t>
      </w:r>
      <w:r w:rsidRPr="00A84537">
        <w:rPr>
          <w:rFonts w:ascii="Arial Narrow" w:hAnsi="Arial Narrow"/>
          <w:b/>
          <w:bCs/>
          <w:color w:val="00B0F0"/>
        </w:rPr>
        <w:t>konsolidácie</w:t>
      </w:r>
      <w:r>
        <w:rPr>
          <w:rFonts w:ascii="Arial Narrow" w:hAnsi="Arial Narrow"/>
          <w:b/>
          <w:bCs/>
          <w:color w:val="00B0F0"/>
        </w:rPr>
        <w:t xml:space="preserve"> v najbližších rokoch (</w:t>
      </w:r>
      <w:r w:rsidR="00CF072B">
        <w:rPr>
          <w:rFonts w:ascii="Arial Narrow" w:hAnsi="Arial Narrow"/>
          <w:b/>
          <w:bCs/>
          <w:color w:val="00B0F0"/>
        </w:rPr>
        <w:t>podľa metodiky a prognózy EK</w:t>
      </w:r>
      <w:r>
        <w:rPr>
          <w:rFonts w:ascii="Arial Narrow" w:hAnsi="Arial Narrow"/>
          <w:b/>
          <w:bCs/>
          <w:color w:val="00B0F0"/>
        </w:rPr>
        <w:t>)</w:t>
      </w:r>
    </w:p>
    <w:p w14:paraId="1877CE80" w14:textId="556CE6FC" w:rsidR="002A0289" w:rsidRPr="002337E1" w:rsidRDefault="002A0289" w:rsidP="002A0289">
      <w:pPr>
        <w:spacing w:line="276" w:lineRule="auto"/>
        <w:jc w:val="both"/>
        <w:rPr>
          <w:rFonts w:ascii="Arial Narrow" w:hAnsi="Arial Narrow"/>
        </w:rPr>
      </w:pPr>
      <w:r w:rsidRPr="00672433">
        <w:rPr>
          <w:rFonts w:ascii="Arial Narrow" w:hAnsi="Arial Narrow"/>
          <w:b/>
          <w:bCs/>
        </w:rPr>
        <w:t>Najvýraznejšie konsolidačné úsilie</w:t>
      </w:r>
      <w:r>
        <w:rPr>
          <w:rFonts w:ascii="Arial Narrow" w:hAnsi="Arial Narrow"/>
          <w:b/>
          <w:bCs/>
        </w:rPr>
        <w:t xml:space="preserve"> </w:t>
      </w:r>
      <w:r w:rsidRPr="00672433">
        <w:rPr>
          <w:rFonts w:ascii="Arial Narrow" w:hAnsi="Arial Narrow"/>
          <w:b/>
          <w:bCs/>
        </w:rPr>
        <w:t xml:space="preserve">plánuje vláda SR v roku 2026, keďže </w:t>
      </w:r>
      <w:r>
        <w:rPr>
          <w:rFonts w:ascii="Arial Narrow" w:hAnsi="Arial Narrow"/>
          <w:b/>
          <w:bCs/>
        </w:rPr>
        <w:t>budúci rok</w:t>
      </w:r>
      <w:r w:rsidRPr="00672433">
        <w:rPr>
          <w:rFonts w:ascii="Arial Narrow" w:hAnsi="Arial Narrow"/>
          <w:b/>
          <w:bCs/>
        </w:rPr>
        <w:t xml:space="preserve"> je </w:t>
      </w:r>
      <w:r>
        <w:rPr>
          <w:rFonts w:ascii="Arial Narrow" w:hAnsi="Arial Narrow"/>
          <w:b/>
          <w:bCs/>
        </w:rPr>
        <w:t xml:space="preserve">ešte </w:t>
      </w:r>
      <w:r w:rsidRPr="00672433">
        <w:rPr>
          <w:rFonts w:ascii="Arial Narrow" w:hAnsi="Arial Narrow"/>
          <w:b/>
          <w:bCs/>
        </w:rPr>
        <w:t>ovplyvnený vysokým nárastom obranných výdavkov.</w:t>
      </w:r>
      <w:r w:rsidR="00CF072B">
        <w:rPr>
          <w:rFonts w:ascii="Arial Narrow" w:hAnsi="Arial Narrow"/>
          <w:b/>
          <w:bCs/>
        </w:rPr>
        <w:t xml:space="preserve"> </w:t>
      </w:r>
      <w:r w:rsidR="00CF072B" w:rsidRPr="00CF072B">
        <w:rPr>
          <w:rFonts w:ascii="Arial Narrow" w:hAnsi="Arial Narrow"/>
        </w:rPr>
        <w:t>Nové rozpočtové</w:t>
      </w:r>
      <w:r w:rsidRPr="00CF072B">
        <w:rPr>
          <w:rFonts w:ascii="Arial Narrow" w:hAnsi="Arial Narrow"/>
        </w:rPr>
        <w:t xml:space="preserve"> </w:t>
      </w:r>
      <w:r w:rsidR="00CF072B" w:rsidRPr="00CF072B">
        <w:rPr>
          <w:rFonts w:ascii="Arial Narrow" w:hAnsi="Arial Narrow"/>
        </w:rPr>
        <w:t>p</w:t>
      </w:r>
      <w:r w:rsidRPr="00CF072B">
        <w:rPr>
          <w:rFonts w:ascii="Arial Narrow" w:hAnsi="Arial Narrow"/>
        </w:rPr>
        <w:t>ravidlá</w:t>
      </w:r>
      <w:r>
        <w:rPr>
          <w:rFonts w:ascii="Arial Narrow" w:hAnsi="Arial Narrow"/>
        </w:rPr>
        <w:t xml:space="preserve"> </w:t>
      </w:r>
      <w:r w:rsidR="00CF072B">
        <w:rPr>
          <w:rFonts w:ascii="Arial Narrow" w:hAnsi="Arial Narrow"/>
        </w:rPr>
        <w:t xml:space="preserve">požadujú </w:t>
      </w:r>
      <w:r>
        <w:rPr>
          <w:rFonts w:ascii="Arial Narrow" w:hAnsi="Arial Narrow"/>
        </w:rPr>
        <w:t xml:space="preserve">v princípe rovnomerné znižovanie štrukturálneho deficitu v každom roku, avšak v odôvodnených prípadoch je možné sa od tohto pravidla odkloniť. A to najmä v prípade, ak sa v rozpočte očakáva v niektorých rokoch neštandardný vývoj niektorých položiek. V prípade Slovenska </w:t>
      </w:r>
      <w:r w:rsidR="00A60F4E">
        <w:rPr>
          <w:rFonts w:ascii="Arial Narrow" w:hAnsi="Arial Narrow"/>
        </w:rPr>
        <w:t xml:space="preserve">sa takto kvalifikuje </w:t>
      </w:r>
      <w:r>
        <w:rPr>
          <w:rFonts w:ascii="Arial Narrow" w:hAnsi="Arial Narrow"/>
        </w:rPr>
        <w:t xml:space="preserve">najmä rast výdavkov v obrane koncentrovaný do roku 2025. </w:t>
      </w:r>
      <w:r w:rsidRPr="00672433">
        <w:rPr>
          <w:rFonts w:ascii="Arial Narrow" w:hAnsi="Arial Narrow"/>
        </w:rPr>
        <w:t xml:space="preserve">Výdavky do </w:t>
      </w:r>
      <w:r w:rsidRPr="00672433">
        <w:rPr>
          <w:rFonts w:ascii="Arial Narrow" w:hAnsi="Arial Narrow"/>
        </w:rPr>
        <w:lastRenderedPageBreak/>
        <w:t xml:space="preserve">obrany </w:t>
      </w:r>
      <w:r>
        <w:rPr>
          <w:rFonts w:ascii="Arial Narrow" w:hAnsi="Arial Narrow"/>
        </w:rPr>
        <w:t xml:space="preserve">v roku 2025 </w:t>
      </w:r>
      <w:r w:rsidRPr="00672433">
        <w:rPr>
          <w:rFonts w:ascii="Arial Narrow" w:hAnsi="Arial Narrow"/>
        </w:rPr>
        <w:t>rastú</w:t>
      </w:r>
      <w:r>
        <w:rPr>
          <w:rFonts w:ascii="Arial Narrow" w:hAnsi="Arial Narrow"/>
        </w:rPr>
        <w:t xml:space="preserve"> najmä </w:t>
      </w:r>
      <w:r w:rsidRPr="00672433">
        <w:rPr>
          <w:rFonts w:ascii="Arial Narrow" w:hAnsi="Arial Narrow"/>
        </w:rPr>
        <w:t xml:space="preserve">v dôsledku </w:t>
      </w:r>
      <w:r>
        <w:rPr>
          <w:rFonts w:ascii="Arial Narrow" w:hAnsi="Arial Narrow"/>
        </w:rPr>
        <w:t xml:space="preserve">neštandardne veľkého objemu </w:t>
      </w:r>
      <w:r w:rsidRPr="00672433">
        <w:rPr>
          <w:rFonts w:ascii="Arial Narrow" w:hAnsi="Arial Narrow"/>
        </w:rPr>
        <w:t>dodávok obrann</w:t>
      </w:r>
      <w:r>
        <w:rPr>
          <w:rFonts w:ascii="Arial Narrow" w:hAnsi="Arial Narrow"/>
        </w:rPr>
        <w:t>ej techniky</w:t>
      </w:r>
      <w:r w:rsidR="00CF072B">
        <w:rPr>
          <w:rFonts w:ascii="Arial Narrow" w:hAnsi="Arial Narrow"/>
        </w:rPr>
        <w:t xml:space="preserve"> (0,4</w:t>
      </w:r>
      <w:r w:rsidR="00F67FC8">
        <w:rPr>
          <w:rFonts w:ascii="Arial Narrow" w:hAnsi="Arial Narrow"/>
        </w:rPr>
        <w:t> </w:t>
      </w:r>
      <w:r w:rsidR="00CF072B">
        <w:rPr>
          <w:rFonts w:ascii="Arial Narrow" w:hAnsi="Arial Narrow"/>
        </w:rPr>
        <w:t>%</w:t>
      </w:r>
      <w:r w:rsidR="00F67FC8">
        <w:rPr>
          <w:rFonts w:ascii="Arial Narrow" w:hAnsi="Arial Narrow"/>
        </w:rPr>
        <w:t> </w:t>
      </w:r>
      <w:r w:rsidR="00CF072B">
        <w:rPr>
          <w:rFonts w:ascii="Arial Narrow" w:hAnsi="Arial Narrow"/>
        </w:rPr>
        <w:t>HDP)</w:t>
      </w:r>
      <w:r w:rsidRPr="00672433">
        <w:rPr>
          <w:rFonts w:ascii="Arial Narrow" w:hAnsi="Arial Narrow"/>
        </w:rPr>
        <w:t>.</w:t>
      </w:r>
      <w:r w:rsidRPr="00672433">
        <w:rPr>
          <w:rFonts w:ascii="Arial Narrow" w:hAnsi="Arial Narrow"/>
          <w:b/>
          <w:bCs/>
        </w:rPr>
        <w:t xml:space="preserve"> </w:t>
      </w:r>
      <w:r>
        <w:rPr>
          <w:rFonts w:ascii="Arial Narrow" w:hAnsi="Arial Narrow"/>
        </w:rPr>
        <w:t>Z tohto dôvodu sa plánuje väčšie zníženie primárneho štrukturálneho deficitu</w:t>
      </w:r>
      <w:r w:rsidR="00CF072B">
        <w:rPr>
          <w:rFonts w:ascii="Arial Narrow" w:hAnsi="Arial Narrow"/>
        </w:rPr>
        <w:t xml:space="preserve"> (a rovnako aj pomalší rast čistých výdavkov)</w:t>
      </w:r>
      <w:r>
        <w:rPr>
          <w:rFonts w:ascii="Arial Narrow" w:hAnsi="Arial Narrow"/>
        </w:rPr>
        <w:t xml:space="preserve"> v roku 2026, kedy už nárast výdavkov v obrane pominie</w:t>
      </w:r>
      <w:r w:rsidR="00CF072B">
        <w:rPr>
          <w:rFonts w:ascii="Arial Narrow" w:hAnsi="Arial Narrow"/>
        </w:rPr>
        <w:t xml:space="preserve"> (</w:t>
      </w:r>
      <w:r w:rsidR="00CF072B">
        <w:rPr>
          <w:rFonts w:ascii="Arial Narrow" w:hAnsi="Arial Narrow"/>
          <w:b/>
          <w:bCs/>
          <w:color w:val="2C9ADC"/>
        </w:rPr>
        <w:t>TABUĽKA</w:t>
      </w:r>
      <w:r w:rsidR="00CF072B" w:rsidRPr="00E37C43">
        <w:rPr>
          <w:rFonts w:ascii="Arial Narrow" w:hAnsi="Arial Narrow"/>
          <w:b/>
          <w:bCs/>
          <w:color w:val="2C9ADC"/>
        </w:rPr>
        <w:t xml:space="preserve"> </w:t>
      </w:r>
      <w:r w:rsidR="00CF072B">
        <w:rPr>
          <w:rFonts w:ascii="Arial Narrow" w:hAnsi="Arial Narrow"/>
          <w:b/>
          <w:bCs/>
          <w:color w:val="2C9ADC"/>
        </w:rPr>
        <w:t>2</w:t>
      </w:r>
      <w:r w:rsidR="00FB1A54">
        <w:rPr>
          <w:rFonts w:ascii="Arial Narrow" w:hAnsi="Arial Narrow"/>
          <w:b/>
          <w:bCs/>
          <w:color w:val="2C9ADC"/>
        </w:rPr>
        <w:t xml:space="preserve"> a GRAF 11</w:t>
      </w:r>
      <w:r w:rsidR="00CF072B">
        <w:rPr>
          <w:rFonts w:ascii="Arial Narrow" w:hAnsi="Arial Narrow"/>
        </w:rPr>
        <w:t>)</w:t>
      </w:r>
      <w:r w:rsidR="00F32508">
        <w:rPr>
          <w:rFonts w:ascii="Arial Narrow" w:hAnsi="Arial Narrow"/>
        </w:rPr>
        <w:t>.</w:t>
      </w:r>
    </w:p>
    <w:p w14:paraId="4A14003F" w14:textId="16FBEEF5" w:rsidR="007C16BD" w:rsidRDefault="00F32508" w:rsidP="002A0289">
      <w:bookmarkStart w:id="22" w:name="_Toc179814714"/>
      <w:r w:rsidRPr="00E20A72">
        <w:rPr>
          <w:rFonts w:ascii="Arial Narrow" w:eastAsia="Arial Narrow" w:hAnsi="Arial Narrow" w:cs="Arial Narrow"/>
          <w:b/>
          <w:bCs/>
          <w:noProof/>
          <w:color w:val="2C9ADC"/>
          <w:sz w:val="20"/>
          <w:szCs w:val="20"/>
          <w:bdr w:val="nil"/>
          <w:lang w:eastAsia="sk-SK"/>
        </w:rPr>
        <w:t xml:space="preserve">TABUĽKA </w:t>
      </w:r>
      <w:r w:rsidRPr="00E20A72">
        <w:rPr>
          <w:rFonts w:ascii="Arial Narrow" w:eastAsia="Arial Narrow" w:hAnsi="Arial Narrow" w:cs="Arial Narrow"/>
          <w:b/>
          <w:bCs/>
          <w:noProof/>
          <w:color w:val="2C9ADC"/>
          <w:sz w:val="20"/>
          <w:szCs w:val="20"/>
          <w:bdr w:val="nil"/>
          <w:lang w:eastAsia="sk-SK"/>
        </w:rPr>
        <w:fldChar w:fldCharType="begin"/>
      </w:r>
      <w:r w:rsidRPr="00E20A72">
        <w:rPr>
          <w:rFonts w:ascii="Arial Narrow" w:eastAsia="Arial Narrow" w:hAnsi="Arial Narrow" w:cs="Arial Narrow"/>
          <w:b/>
          <w:bCs/>
          <w:noProof/>
          <w:color w:val="2C9ADC"/>
          <w:sz w:val="20"/>
          <w:szCs w:val="20"/>
          <w:bdr w:val="nil"/>
          <w:lang w:eastAsia="sk-SK"/>
        </w:rPr>
        <w:instrText xml:space="preserve"> SEQ TABUĽKA \* ARABIC </w:instrText>
      </w:r>
      <w:r w:rsidRPr="00E20A72">
        <w:rPr>
          <w:rFonts w:ascii="Arial Narrow" w:eastAsia="Arial Narrow" w:hAnsi="Arial Narrow" w:cs="Arial Narrow"/>
          <w:b/>
          <w:bCs/>
          <w:noProof/>
          <w:color w:val="2C9ADC"/>
          <w:sz w:val="20"/>
          <w:szCs w:val="20"/>
          <w:bdr w:val="nil"/>
          <w:lang w:eastAsia="sk-SK"/>
        </w:rPr>
        <w:fldChar w:fldCharType="separate"/>
      </w:r>
      <w:r w:rsidR="007A664D">
        <w:rPr>
          <w:rFonts w:ascii="Arial Narrow" w:eastAsia="Arial Narrow" w:hAnsi="Arial Narrow" w:cs="Arial Narrow"/>
          <w:b/>
          <w:bCs/>
          <w:noProof/>
          <w:color w:val="2C9ADC"/>
          <w:sz w:val="20"/>
          <w:szCs w:val="20"/>
          <w:bdr w:val="nil"/>
          <w:lang w:eastAsia="sk-SK"/>
        </w:rPr>
        <w:t>2</w:t>
      </w:r>
      <w:r w:rsidRPr="00E20A72">
        <w:rPr>
          <w:rFonts w:ascii="Arial Narrow" w:eastAsia="Arial Narrow" w:hAnsi="Arial Narrow" w:cs="Arial Narrow"/>
          <w:b/>
          <w:bCs/>
          <w:noProof/>
          <w:color w:val="2C9ADC"/>
          <w:sz w:val="20"/>
          <w:szCs w:val="20"/>
          <w:bdr w:val="nil"/>
          <w:lang w:eastAsia="sk-SK"/>
        </w:rPr>
        <w:fldChar w:fldCharType="end"/>
      </w:r>
      <w:r w:rsidRPr="00E20A72">
        <w:rPr>
          <w:rFonts w:ascii="Arial Narrow" w:hAnsi="Arial Narrow"/>
          <w:b/>
          <w:color w:val="2C9ADC"/>
          <w:sz w:val="20"/>
          <w:szCs w:val="20"/>
        </w:rPr>
        <w:t xml:space="preserve"> </w:t>
      </w:r>
      <w:r w:rsidRPr="005516F4">
        <w:rPr>
          <w:rFonts w:ascii="Arial Narrow" w:hAnsi="Arial Narrow"/>
          <w:b/>
          <w:color w:val="2C9ADC"/>
          <w:sz w:val="20"/>
          <w:szCs w:val="20"/>
        </w:rPr>
        <w:t>–</w:t>
      </w:r>
      <w:r w:rsidRPr="005516F4">
        <w:rPr>
          <w:rFonts w:ascii="Arial Narrow" w:eastAsia="NeueHaasGroteskText W02" w:hAnsi="Arial Narrow" w:cs="Arial"/>
          <w:b/>
          <w:bCs/>
          <w:color w:val="2C9ADC"/>
          <w:sz w:val="20"/>
          <w:szCs w:val="20"/>
          <w:u w:color="2C9ADC"/>
        </w:rPr>
        <w:t> </w:t>
      </w:r>
      <w:r>
        <w:rPr>
          <w:rFonts w:ascii="Arial Narrow" w:eastAsia="NeueHaasGroteskText W02" w:hAnsi="Arial Narrow" w:cs="Arial"/>
          <w:b/>
          <w:bCs/>
          <w:color w:val="2C9ADC"/>
          <w:sz w:val="20"/>
          <w:szCs w:val="20"/>
          <w:u w:color="2C9ADC"/>
        </w:rPr>
        <w:t>Plánované konsolidačné úsilie (v zmysle metodiky EK na určenie povoleného rastu čistých výdavkov)</w:t>
      </w:r>
      <w:bookmarkEnd w:id="22"/>
    </w:p>
    <w:tbl>
      <w:tblPr>
        <w:tblW w:w="7420" w:type="dxa"/>
        <w:jc w:val="center"/>
        <w:tblCellMar>
          <w:left w:w="70" w:type="dxa"/>
          <w:right w:w="70" w:type="dxa"/>
        </w:tblCellMar>
        <w:tblLook w:val="04A0" w:firstRow="1" w:lastRow="0" w:firstColumn="1" w:lastColumn="0" w:noHBand="0" w:noVBand="1"/>
      </w:tblPr>
      <w:tblGrid>
        <w:gridCol w:w="640"/>
        <w:gridCol w:w="2440"/>
        <w:gridCol w:w="760"/>
        <w:gridCol w:w="760"/>
        <w:gridCol w:w="760"/>
        <w:gridCol w:w="760"/>
        <w:gridCol w:w="1300"/>
      </w:tblGrid>
      <w:tr w:rsidR="00F32508" w:rsidRPr="00F32508" w14:paraId="74ABF512" w14:textId="77777777" w:rsidTr="00EC0FB5">
        <w:trPr>
          <w:trHeight w:val="300"/>
          <w:jc w:val="center"/>
        </w:trPr>
        <w:tc>
          <w:tcPr>
            <w:tcW w:w="640" w:type="dxa"/>
            <w:tcBorders>
              <w:top w:val="single" w:sz="4" w:space="0" w:color="auto"/>
              <w:left w:val="nil"/>
              <w:bottom w:val="single" w:sz="4" w:space="0" w:color="000000"/>
              <w:right w:val="single" w:sz="4" w:space="0" w:color="auto"/>
            </w:tcBorders>
            <w:shd w:val="clear" w:color="auto" w:fill="auto"/>
            <w:noWrap/>
            <w:vAlign w:val="bottom"/>
            <w:hideMark/>
          </w:tcPr>
          <w:p w14:paraId="539ACBDF" w14:textId="77777777" w:rsidR="00F32508" w:rsidRPr="00F32508" w:rsidRDefault="00F32508" w:rsidP="00F32508">
            <w:pPr>
              <w:spacing w:after="0" w:line="240" w:lineRule="auto"/>
              <w:rPr>
                <w:rFonts w:ascii="Arial Narrow" w:eastAsia="Times New Roman" w:hAnsi="Arial Narrow" w:cs="Calibri"/>
                <w:color w:val="000000"/>
                <w:sz w:val="16"/>
                <w:szCs w:val="16"/>
                <w:lang w:eastAsia="sk-SK"/>
              </w:rPr>
            </w:pPr>
            <w:r w:rsidRPr="00F32508">
              <w:rPr>
                <w:rFonts w:ascii="Arial Narrow" w:eastAsia="Times New Roman" w:hAnsi="Arial Narrow" w:cs="Calibri"/>
                <w:color w:val="000000"/>
                <w:sz w:val="16"/>
                <w:szCs w:val="16"/>
                <w:lang w:eastAsia="sk-SK"/>
              </w:rPr>
              <w:t> </w:t>
            </w:r>
          </w:p>
        </w:tc>
        <w:tc>
          <w:tcPr>
            <w:tcW w:w="2440" w:type="dxa"/>
            <w:tcBorders>
              <w:top w:val="single" w:sz="4" w:space="0" w:color="auto"/>
              <w:left w:val="single" w:sz="4" w:space="0" w:color="auto"/>
              <w:bottom w:val="single" w:sz="4" w:space="0" w:color="auto"/>
              <w:right w:val="nil"/>
            </w:tcBorders>
            <w:shd w:val="clear" w:color="auto" w:fill="auto"/>
            <w:noWrap/>
            <w:vAlign w:val="bottom"/>
            <w:hideMark/>
          </w:tcPr>
          <w:p w14:paraId="748BFA68" w14:textId="77777777" w:rsidR="00F32508" w:rsidRPr="00F32508" w:rsidRDefault="00F32508" w:rsidP="00F32508">
            <w:pPr>
              <w:spacing w:after="0" w:line="240" w:lineRule="auto"/>
              <w:rPr>
                <w:rFonts w:ascii="Arial Narrow" w:eastAsia="Times New Roman" w:hAnsi="Arial Narrow" w:cs="Calibri"/>
                <w:color w:val="000000"/>
                <w:sz w:val="16"/>
                <w:szCs w:val="16"/>
                <w:lang w:eastAsia="sk-SK"/>
              </w:rPr>
            </w:pPr>
            <w:r w:rsidRPr="00F32508">
              <w:rPr>
                <w:rFonts w:ascii="Arial Narrow" w:eastAsia="Times New Roman" w:hAnsi="Arial Narrow" w:cs="Calibri"/>
                <w:color w:val="000000"/>
                <w:sz w:val="16"/>
                <w:szCs w:val="16"/>
                <w:lang w:eastAsia="sk-SK"/>
              </w:rPr>
              <w:t> </w:t>
            </w:r>
          </w:p>
        </w:tc>
        <w:tc>
          <w:tcPr>
            <w:tcW w:w="760" w:type="dxa"/>
            <w:tcBorders>
              <w:top w:val="single" w:sz="4" w:space="0" w:color="auto"/>
              <w:left w:val="nil"/>
              <w:bottom w:val="single" w:sz="4" w:space="0" w:color="auto"/>
              <w:right w:val="nil"/>
            </w:tcBorders>
            <w:shd w:val="clear" w:color="auto" w:fill="auto"/>
            <w:noWrap/>
            <w:vAlign w:val="center"/>
            <w:hideMark/>
          </w:tcPr>
          <w:p w14:paraId="3912642A" w14:textId="77777777" w:rsidR="00F32508" w:rsidRPr="00F32508" w:rsidRDefault="00F32508" w:rsidP="00F32508">
            <w:pPr>
              <w:spacing w:after="0" w:line="240" w:lineRule="auto"/>
              <w:jc w:val="center"/>
              <w:rPr>
                <w:rFonts w:ascii="Arial Narrow" w:eastAsia="Times New Roman" w:hAnsi="Arial Narrow" w:cs="Calibri"/>
                <w:b/>
                <w:bCs/>
                <w:color w:val="000000"/>
                <w:sz w:val="16"/>
                <w:szCs w:val="16"/>
                <w:lang w:eastAsia="sk-SK"/>
              </w:rPr>
            </w:pPr>
            <w:r w:rsidRPr="00F32508">
              <w:rPr>
                <w:rFonts w:ascii="Arial Narrow" w:eastAsia="Times New Roman" w:hAnsi="Arial Narrow" w:cs="Calibri"/>
                <w:b/>
                <w:bCs/>
                <w:color w:val="000000"/>
                <w:sz w:val="16"/>
                <w:szCs w:val="16"/>
                <w:lang w:eastAsia="sk-SK"/>
              </w:rPr>
              <w:t>2025</w:t>
            </w:r>
          </w:p>
        </w:tc>
        <w:tc>
          <w:tcPr>
            <w:tcW w:w="760" w:type="dxa"/>
            <w:tcBorders>
              <w:top w:val="single" w:sz="4" w:space="0" w:color="auto"/>
              <w:left w:val="nil"/>
              <w:bottom w:val="single" w:sz="4" w:space="0" w:color="auto"/>
              <w:right w:val="nil"/>
            </w:tcBorders>
            <w:shd w:val="clear" w:color="auto" w:fill="auto"/>
            <w:noWrap/>
            <w:vAlign w:val="center"/>
            <w:hideMark/>
          </w:tcPr>
          <w:p w14:paraId="119966D1" w14:textId="77777777" w:rsidR="00F32508" w:rsidRPr="00F32508" w:rsidRDefault="00F32508" w:rsidP="00F32508">
            <w:pPr>
              <w:spacing w:after="0" w:line="240" w:lineRule="auto"/>
              <w:jc w:val="center"/>
              <w:rPr>
                <w:rFonts w:ascii="Arial Narrow" w:eastAsia="Times New Roman" w:hAnsi="Arial Narrow" w:cs="Calibri"/>
                <w:b/>
                <w:bCs/>
                <w:color w:val="000000"/>
                <w:sz w:val="16"/>
                <w:szCs w:val="16"/>
                <w:lang w:eastAsia="sk-SK"/>
              </w:rPr>
            </w:pPr>
            <w:r w:rsidRPr="00F32508">
              <w:rPr>
                <w:rFonts w:ascii="Arial Narrow" w:eastAsia="Times New Roman" w:hAnsi="Arial Narrow" w:cs="Calibri"/>
                <w:b/>
                <w:bCs/>
                <w:color w:val="000000"/>
                <w:sz w:val="16"/>
                <w:szCs w:val="16"/>
                <w:lang w:eastAsia="sk-SK"/>
              </w:rPr>
              <w:t>2026</w:t>
            </w:r>
          </w:p>
        </w:tc>
        <w:tc>
          <w:tcPr>
            <w:tcW w:w="760" w:type="dxa"/>
            <w:tcBorders>
              <w:top w:val="single" w:sz="4" w:space="0" w:color="auto"/>
              <w:left w:val="nil"/>
              <w:bottom w:val="single" w:sz="4" w:space="0" w:color="auto"/>
              <w:right w:val="nil"/>
            </w:tcBorders>
            <w:shd w:val="clear" w:color="auto" w:fill="auto"/>
            <w:noWrap/>
            <w:vAlign w:val="center"/>
            <w:hideMark/>
          </w:tcPr>
          <w:p w14:paraId="450A254F" w14:textId="77777777" w:rsidR="00F32508" w:rsidRPr="00F32508" w:rsidRDefault="00F32508" w:rsidP="00F32508">
            <w:pPr>
              <w:spacing w:after="0" w:line="240" w:lineRule="auto"/>
              <w:jc w:val="center"/>
              <w:rPr>
                <w:rFonts w:ascii="Arial Narrow" w:eastAsia="Times New Roman" w:hAnsi="Arial Narrow" w:cs="Calibri"/>
                <w:b/>
                <w:bCs/>
                <w:color w:val="000000"/>
                <w:sz w:val="16"/>
                <w:szCs w:val="16"/>
                <w:lang w:eastAsia="sk-SK"/>
              </w:rPr>
            </w:pPr>
            <w:r w:rsidRPr="00F32508">
              <w:rPr>
                <w:rFonts w:ascii="Arial Narrow" w:eastAsia="Times New Roman" w:hAnsi="Arial Narrow" w:cs="Calibri"/>
                <w:b/>
                <w:bCs/>
                <w:color w:val="000000"/>
                <w:sz w:val="16"/>
                <w:szCs w:val="16"/>
                <w:lang w:eastAsia="sk-SK"/>
              </w:rPr>
              <w:t>2027</w:t>
            </w:r>
          </w:p>
        </w:tc>
        <w:tc>
          <w:tcPr>
            <w:tcW w:w="760" w:type="dxa"/>
            <w:tcBorders>
              <w:top w:val="single" w:sz="4" w:space="0" w:color="auto"/>
              <w:left w:val="nil"/>
              <w:bottom w:val="single" w:sz="4" w:space="0" w:color="auto"/>
              <w:right w:val="nil"/>
            </w:tcBorders>
            <w:shd w:val="clear" w:color="auto" w:fill="auto"/>
            <w:noWrap/>
            <w:vAlign w:val="center"/>
            <w:hideMark/>
          </w:tcPr>
          <w:p w14:paraId="3146292F" w14:textId="77777777" w:rsidR="00F32508" w:rsidRPr="00F32508" w:rsidRDefault="00F32508" w:rsidP="00F32508">
            <w:pPr>
              <w:spacing w:after="0" w:line="240" w:lineRule="auto"/>
              <w:jc w:val="center"/>
              <w:rPr>
                <w:rFonts w:ascii="Arial Narrow" w:eastAsia="Times New Roman" w:hAnsi="Arial Narrow" w:cs="Calibri"/>
                <w:b/>
                <w:bCs/>
                <w:color w:val="000000"/>
                <w:sz w:val="16"/>
                <w:szCs w:val="16"/>
                <w:lang w:eastAsia="sk-SK"/>
              </w:rPr>
            </w:pPr>
            <w:r w:rsidRPr="00F32508">
              <w:rPr>
                <w:rFonts w:ascii="Arial Narrow" w:eastAsia="Times New Roman" w:hAnsi="Arial Narrow" w:cs="Calibri"/>
                <w:b/>
                <w:bCs/>
                <w:color w:val="000000"/>
                <w:sz w:val="16"/>
                <w:szCs w:val="16"/>
                <w:lang w:eastAsia="sk-SK"/>
              </w:rPr>
              <w:t>2028</w:t>
            </w:r>
          </w:p>
        </w:tc>
        <w:tc>
          <w:tcPr>
            <w:tcW w:w="1300" w:type="dxa"/>
            <w:tcBorders>
              <w:top w:val="single" w:sz="4" w:space="0" w:color="auto"/>
              <w:left w:val="single" w:sz="4" w:space="0" w:color="auto"/>
              <w:bottom w:val="single" w:sz="4" w:space="0" w:color="auto"/>
              <w:right w:val="nil"/>
            </w:tcBorders>
            <w:shd w:val="clear" w:color="auto" w:fill="auto"/>
            <w:noWrap/>
            <w:vAlign w:val="center"/>
            <w:hideMark/>
          </w:tcPr>
          <w:p w14:paraId="210DB66E" w14:textId="77777777" w:rsidR="00F50A6F" w:rsidRDefault="00F32508" w:rsidP="00F32508">
            <w:pPr>
              <w:spacing w:after="0" w:line="240" w:lineRule="auto"/>
              <w:jc w:val="center"/>
              <w:rPr>
                <w:rFonts w:ascii="Arial Narrow" w:eastAsia="Times New Roman" w:hAnsi="Arial Narrow" w:cs="Calibri"/>
                <w:b/>
                <w:bCs/>
                <w:color w:val="000000"/>
                <w:sz w:val="16"/>
                <w:szCs w:val="16"/>
                <w:lang w:eastAsia="sk-SK"/>
              </w:rPr>
            </w:pPr>
            <w:r w:rsidRPr="00F32508">
              <w:rPr>
                <w:rFonts w:ascii="Arial Narrow" w:eastAsia="Times New Roman" w:hAnsi="Arial Narrow" w:cs="Calibri"/>
                <w:b/>
                <w:bCs/>
                <w:color w:val="000000"/>
                <w:sz w:val="16"/>
                <w:szCs w:val="16"/>
                <w:lang w:eastAsia="sk-SK"/>
              </w:rPr>
              <w:t>Kumulatívne</w:t>
            </w:r>
            <w:r w:rsidR="00382D5E">
              <w:rPr>
                <w:rFonts w:ascii="Arial Narrow" w:eastAsia="Times New Roman" w:hAnsi="Arial Narrow" w:cs="Calibri"/>
                <w:b/>
                <w:bCs/>
                <w:color w:val="000000"/>
                <w:sz w:val="16"/>
                <w:szCs w:val="16"/>
                <w:lang w:eastAsia="sk-SK"/>
              </w:rPr>
              <w:t xml:space="preserve"> </w:t>
            </w:r>
          </w:p>
          <w:p w14:paraId="6BA6AF9C" w14:textId="2A628825" w:rsidR="00F32508" w:rsidRPr="00F32508" w:rsidRDefault="00382D5E" w:rsidP="00F32508">
            <w:pPr>
              <w:spacing w:after="0" w:line="240" w:lineRule="auto"/>
              <w:jc w:val="center"/>
              <w:rPr>
                <w:rFonts w:ascii="Arial Narrow" w:eastAsia="Times New Roman" w:hAnsi="Arial Narrow" w:cs="Calibri"/>
                <w:b/>
                <w:bCs/>
                <w:color w:val="000000"/>
                <w:sz w:val="16"/>
                <w:szCs w:val="16"/>
                <w:lang w:eastAsia="sk-SK"/>
              </w:rPr>
            </w:pPr>
            <w:r>
              <w:rPr>
                <w:rFonts w:ascii="Arial Narrow" w:eastAsia="Times New Roman" w:hAnsi="Arial Narrow" w:cs="Calibri"/>
                <w:b/>
                <w:bCs/>
                <w:color w:val="000000"/>
                <w:sz w:val="16"/>
                <w:szCs w:val="16"/>
                <w:lang w:eastAsia="sk-SK"/>
              </w:rPr>
              <w:t>2025</w:t>
            </w:r>
            <w:r w:rsidR="00F50A6F">
              <w:rPr>
                <w:rFonts w:ascii="Arial Narrow" w:eastAsia="Times New Roman" w:hAnsi="Arial Narrow" w:cs="Calibri"/>
                <w:b/>
                <w:bCs/>
                <w:color w:val="000000"/>
                <w:sz w:val="16"/>
                <w:szCs w:val="16"/>
                <w:lang w:eastAsia="sk-SK"/>
              </w:rPr>
              <w:t>-2028</w:t>
            </w:r>
          </w:p>
        </w:tc>
      </w:tr>
      <w:tr w:rsidR="00F32508" w:rsidRPr="00F32508" w14:paraId="18C6EE4B" w14:textId="77777777" w:rsidTr="00EC0FB5">
        <w:trPr>
          <w:trHeight w:val="510"/>
          <w:jc w:val="center"/>
        </w:trPr>
        <w:tc>
          <w:tcPr>
            <w:tcW w:w="640" w:type="dxa"/>
            <w:vMerge w:val="restart"/>
            <w:tcBorders>
              <w:top w:val="nil"/>
              <w:left w:val="nil"/>
              <w:bottom w:val="single" w:sz="4" w:space="0" w:color="000000"/>
              <w:right w:val="single" w:sz="4" w:space="0" w:color="auto"/>
            </w:tcBorders>
            <w:shd w:val="clear" w:color="000000" w:fill="D9D9D9"/>
            <w:textDirection w:val="btLr"/>
            <w:vAlign w:val="center"/>
            <w:hideMark/>
          </w:tcPr>
          <w:p w14:paraId="03E5A80E" w14:textId="77777777" w:rsidR="00F32508" w:rsidRPr="00EC0FB5" w:rsidRDefault="00F32508" w:rsidP="00F32508">
            <w:pPr>
              <w:spacing w:after="0" w:line="240" w:lineRule="auto"/>
              <w:jc w:val="center"/>
              <w:rPr>
                <w:rFonts w:ascii="Arial Narrow" w:eastAsia="Times New Roman" w:hAnsi="Arial Narrow" w:cs="Calibri"/>
                <w:color w:val="000000"/>
                <w:sz w:val="18"/>
                <w:szCs w:val="18"/>
                <w:lang w:eastAsia="sk-SK"/>
              </w:rPr>
            </w:pPr>
            <w:r w:rsidRPr="00EC0FB5">
              <w:rPr>
                <w:rFonts w:ascii="Arial Narrow" w:eastAsia="Times New Roman" w:hAnsi="Arial Narrow" w:cs="Calibri"/>
                <w:color w:val="000000"/>
                <w:sz w:val="18"/>
                <w:szCs w:val="18"/>
                <w:lang w:eastAsia="sk-SK"/>
              </w:rPr>
              <w:t>Rovnomerná konsolidácia</w:t>
            </w:r>
          </w:p>
        </w:tc>
        <w:tc>
          <w:tcPr>
            <w:tcW w:w="2440" w:type="dxa"/>
            <w:tcBorders>
              <w:top w:val="nil"/>
              <w:left w:val="single" w:sz="4" w:space="0" w:color="auto"/>
              <w:bottom w:val="nil"/>
              <w:right w:val="nil"/>
            </w:tcBorders>
            <w:shd w:val="clear" w:color="000000" w:fill="D9D9D9"/>
            <w:vAlign w:val="center"/>
            <w:hideMark/>
          </w:tcPr>
          <w:p w14:paraId="1C6CE5F3" w14:textId="77777777" w:rsidR="00F32508" w:rsidRPr="00EC0FB5" w:rsidRDefault="00F32508" w:rsidP="00F32508">
            <w:pPr>
              <w:spacing w:after="0" w:line="240" w:lineRule="auto"/>
              <w:rPr>
                <w:rFonts w:ascii="Arial Narrow" w:eastAsia="Times New Roman" w:hAnsi="Arial Narrow" w:cs="Calibri"/>
                <w:i/>
                <w:iCs/>
                <w:color w:val="000000"/>
                <w:sz w:val="20"/>
                <w:szCs w:val="20"/>
                <w:lang w:eastAsia="sk-SK"/>
              </w:rPr>
            </w:pPr>
            <w:r w:rsidRPr="00EC0FB5">
              <w:rPr>
                <w:rFonts w:ascii="Arial Narrow" w:eastAsia="Times New Roman" w:hAnsi="Arial Narrow" w:cs="Calibri"/>
                <w:i/>
                <w:iCs/>
                <w:color w:val="000000"/>
                <w:sz w:val="20"/>
                <w:szCs w:val="20"/>
                <w:lang w:eastAsia="sk-SK"/>
              </w:rPr>
              <w:t>Zmena primárneho štrukturálneho salda (% HDP)</w:t>
            </w:r>
          </w:p>
        </w:tc>
        <w:tc>
          <w:tcPr>
            <w:tcW w:w="760" w:type="dxa"/>
            <w:tcBorders>
              <w:top w:val="nil"/>
              <w:left w:val="nil"/>
              <w:bottom w:val="nil"/>
              <w:right w:val="nil"/>
            </w:tcBorders>
            <w:shd w:val="clear" w:color="000000" w:fill="D9D9D9"/>
            <w:noWrap/>
            <w:vAlign w:val="center"/>
            <w:hideMark/>
          </w:tcPr>
          <w:p w14:paraId="18BE4BFC" w14:textId="77777777" w:rsidR="00F32508" w:rsidRPr="00EC0FB5" w:rsidRDefault="00F32508" w:rsidP="00F32508">
            <w:pPr>
              <w:spacing w:after="0" w:line="240" w:lineRule="auto"/>
              <w:jc w:val="center"/>
              <w:rPr>
                <w:rFonts w:ascii="Arial Narrow" w:eastAsia="Times New Roman" w:hAnsi="Arial Narrow" w:cs="Calibri"/>
                <w:i/>
                <w:iCs/>
                <w:color w:val="000000"/>
                <w:sz w:val="20"/>
                <w:szCs w:val="20"/>
                <w:lang w:eastAsia="sk-SK"/>
              </w:rPr>
            </w:pPr>
            <w:r w:rsidRPr="00EC0FB5">
              <w:rPr>
                <w:rFonts w:ascii="Arial Narrow" w:eastAsia="Times New Roman" w:hAnsi="Arial Narrow" w:cs="Calibri"/>
                <w:i/>
                <w:iCs/>
                <w:color w:val="000000"/>
                <w:sz w:val="20"/>
                <w:szCs w:val="20"/>
                <w:lang w:eastAsia="sk-SK"/>
              </w:rPr>
              <w:t>1,3</w:t>
            </w:r>
          </w:p>
        </w:tc>
        <w:tc>
          <w:tcPr>
            <w:tcW w:w="760" w:type="dxa"/>
            <w:tcBorders>
              <w:top w:val="nil"/>
              <w:left w:val="nil"/>
              <w:bottom w:val="nil"/>
              <w:right w:val="nil"/>
            </w:tcBorders>
            <w:shd w:val="clear" w:color="000000" w:fill="D9D9D9"/>
            <w:noWrap/>
            <w:vAlign w:val="center"/>
            <w:hideMark/>
          </w:tcPr>
          <w:p w14:paraId="5775B892" w14:textId="77777777" w:rsidR="00F32508" w:rsidRPr="00EC0FB5" w:rsidRDefault="00F32508" w:rsidP="00F32508">
            <w:pPr>
              <w:spacing w:after="0" w:line="240" w:lineRule="auto"/>
              <w:jc w:val="center"/>
              <w:rPr>
                <w:rFonts w:ascii="Arial Narrow" w:eastAsia="Times New Roman" w:hAnsi="Arial Narrow" w:cs="Calibri"/>
                <w:i/>
                <w:iCs/>
                <w:color w:val="000000"/>
                <w:sz w:val="20"/>
                <w:szCs w:val="20"/>
                <w:lang w:eastAsia="sk-SK"/>
              </w:rPr>
            </w:pPr>
            <w:r w:rsidRPr="00EC0FB5">
              <w:rPr>
                <w:rFonts w:ascii="Arial Narrow" w:eastAsia="Times New Roman" w:hAnsi="Arial Narrow" w:cs="Calibri"/>
                <w:i/>
                <w:iCs/>
                <w:color w:val="000000"/>
                <w:sz w:val="20"/>
                <w:szCs w:val="20"/>
                <w:lang w:eastAsia="sk-SK"/>
              </w:rPr>
              <w:t>1,3</w:t>
            </w:r>
          </w:p>
        </w:tc>
        <w:tc>
          <w:tcPr>
            <w:tcW w:w="760" w:type="dxa"/>
            <w:tcBorders>
              <w:top w:val="nil"/>
              <w:left w:val="nil"/>
              <w:bottom w:val="nil"/>
              <w:right w:val="nil"/>
            </w:tcBorders>
            <w:shd w:val="clear" w:color="000000" w:fill="D9D9D9"/>
            <w:noWrap/>
            <w:vAlign w:val="center"/>
            <w:hideMark/>
          </w:tcPr>
          <w:p w14:paraId="5A369174" w14:textId="77777777" w:rsidR="00F32508" w:rsidRPr="00EC0FB5" w:rsidRDefault="00F32508" w:rsidP="00F32508">
            <w:pPr>
              <w:spacing w:after="0" w:line="240" w:lineRule="auto"/>
              <w:jc w:val="center"/>
              <w:rPr>
                <w:rFonts w:ascii="Arial Narrow" w:eastAsia="Times New Roman" w:hAnsi="Arial Narrow" w:cs="Calibri"/>
                <w:i/>
                <w:iCs/>
                <w:color w:val="000000"/>
                <w:sz w:val="20"/>
                <w:szCs w:val="20"/>
                <w:lang w:eastAsia="sk-SK"/>
              </w:rPr>
            </w:pPr>
            <w:r w:rsidRPr="00EC0FB5">
              <w:rPr>
                <w:rFonts w:ascii="Arial Narrow" w:eastAsia="Times New Roman" w:hAnsi="Arial Narrow" w:cs="Calibri"/>
                <w:i/>
                <w:iCs/>
                <w:color w:val="000000"/>
                <w:sz w:val="20"/>
                <w:szCs w:val="20"/>
                <w:lang w:eastAsia="sk-SK"/>
              </w:rPr>
              <w:t>1,3</w:t>
            </w:r>
          </w:p>
        </w:tc>
        <w:tc>
          <w:tcPr>
            <w:tcW w:w="760" w:type="dxa"/>
            <w:tcBorders>
              <w:top w:val="nil"/>
              <w:left w:val="nil"/>
              <w:bottom w:val="nil"/>
              <w:right w:val="nil"/>
            </w:tcBorders>
            <w:shd w:val="clear" w:color="000000" w:fill="D9D9D9"/>
            <w:noWrap/>
            <w:vAlign w:val="center"/>
            <w:hideMark/>
          </w:tcPr>
          <w:p w14:paraId="7A76F5DD" w14:textId="77777777" w:rsidR="00F32508" w:rsidRPr="00EC0FB5" w:rsidRDefault="00F32508" w:rsidP="00F32508">
            <w:pPr>
              <w:spacing w:after="0" w:line="240" w:lineRule="auto"/>
              <w:jc w:val="center"/>
              <w:rPr>
                <w:rFonts w:ascii="Arial Narrow" w:eastAsia="Times New Roman" w:hAnsi="Arial Narrow" w:cs="Calibri"/>
                <w:i/>
                <w:iCs/>
                <w:color w:val="000000"/>
                <w:sz w:val="20"/>
                <w:szCs w:val="20"/>
                <w:lang w:eastAsia="sk-SK"/>
              </w:rPr>
            </w:pPr>
            <w:r w:rsidRPr="00EC0FB5">
              <w:rPr>
                <w:rFonts w:ascii="Arial Narrow" w:eastAsia="Times New Roman" w:hAnsi="Arial Narrow" w:cs="Calibri"/>
                <w:i/>
                <w:iCs/>
                <w:color w:val="000000"/>
                <w:sz w:val="20"/>
                <w:szCs w:val="20"/>
                <w:lang w:eastAsia="sk-SK"/>
              </w:rPr>
              <w:t>1,3</w:t>
            </w:r>
          </w:p>
        </w:tc>
        <w:tc>
          <w:tcPr>
            <w:tcW w:w="1300" w:type="dxa"/>
            <w:tcBorders>
              <w:top w:val="nil"/>
              <w:left w:val="single" w:sz="4" w:space="0" w:color="auto"/>
              <w:bottom w:val="nil"/>
              <w:right w:val="nil"/>
            </w:tcBorders>
            <w:shd w:val="clear" w:color="000000" w:fill="D9D9D9"/>
            <w:noWrap/>
            <w:vAlign w:val="center"/>
            <w:hideMark/>
          </w:tcPr>
          <w:p w14:paraId="40C3209D" w14:textId="77777777" w:rsidR="00F32508" w:rsidRPr="00EC0FB5" w:rsidRDefault="00F32508" w:rsidP="00F32508">
            <w:pPr>
              <w:spacing w:after="0" w:line="240" w:lineRule="auto"/>
              <w:jc w:val="center"/>
              <w:rPr>
                <w:rFonts w:ascii="Arial Narrow" w:eastAsia="Times New Roman" w:hAnsi="Arial Narrow" w:cs="Calibri"/>
                <w:i/>
                <w:iCs/>
                <w:color w:val="000000"/>
                <w:sz w:val="20"/>
                <w:szCs w:val="20"/>
                <w:lang w:eastAsia="sk-SK"/>
              </w:rPr>
            </w:pPr>
            <w:r w:rsidRPr="00EC0FB5">
              <w:rPr>
                <w:rFonts w:ascii="Arial Narrow" w:eastAsia="Times New Roman" w:hAnsi="Arial Narrow" w:cs="Calibri"/>
                <w:i/>
                <w:iCs/>
                <w:color w:val="000000"/>
                <w:sz w:val="20"/>
                <w:szCs w:val="20"/>
                <w:lang w:eastAsia="sk-SK"/>
              </w:rPr>
              <w:t>5,2</w:t>
            </w:r>
          </w:p>
        </w:tc>
      </w:tr>
      <w:tr w:rsidR="00F32508" w:rsidRPr="00F32508" w14:paraId="3FD0B371" w14:textId="77777777" w:rsidTr="00EC0FB5">
        <w:trPr>
          <w:trHeight w:val="510"/>
          <w:jc w:val="center"/>
        </w:trPr>
        <w:tc>
          <w:tcPr>
            <w:tcW w:w="640" w:type="dxa"/>
            <w:vMerge/>
            <w:tcBorders>
              <w:top w:val="nil"/>
              <w:left w:val="nil"/>
              <w:right w:val="single" w:sz="4" w:space="0" w:color="auto"/>
            </w:tcBorders>
            <w:vAlign w:val="center"/>
            <w:hideMark/>
          </w:tcPr>
          <w:p w14:paraId="22B0831F" w14:textId="77777777" w:rsidR="00F32508" w:rsidRPr="00EC0FB5" w:rsidRDefault="00F32508" w:rsidP="00F32508">
            <w:pPr>
              <w:spacing w:after="0" w:line="240" w:lineRule="auto"/>
              <w:rPr>
                <w:rFonts w:ascii="Arial Narrow" w:eastAsia="Times New Roman" w:hAnsi="Arial Narrow" w:cs="Calibri"/>
                <w:color w:val="000000"/>
                <w:sz w:val="18"/>
                <w:szCs w:val="18"/>
                <w:lang w:eastAsia="sk-SK"/>
              </w:rPr>
            </w:pPr>
          </w:p>
        </w:tc>
        <w:tc>
          <w:tcPr>
            <w:tcW w:w="2440" w:type="dxa"/>
            <w:tcBorders>
              <w:top w:val="nil"/>
              <w:left w:val="single" w:sz="4" w:space="0" w:color="auto"/>
              <w:right w:val="nil"/>
            </w:tcBorders>
            <w:shd w:val="clear" w:color="000000" w:fill="D9D9D9"/>
            <w:vAlign w:val="center"/>
            <w:hideMark/>
          </w:tcPr>
          <w:p w14:paraId="68A307DD" w14:textId="77777777" w:rsidR="00F32508" w:rsidRPr="00EC0FB5" w:rsidRDefault="00F32508" w:rsidP="00F32508">
            <w:pPr>
              <w:spacing w:after="0" w:line="240" w:lineRule="auto"/>
              <w:rPr>
                <w:rFonts w:ascii="Arial Narrow" w:eastAsia="Times New Roman" w:hAnsi="Arial Narrow" w:cs="Calibri"/>
                <w:i/>
                <w:iCs/>
                <w:color w:val="000000"/>
                <w:sz w:val="20"/>
                <w:szCs w:val="20"/>
                <w:lang w:eastAsia="sk-SK"/>
              </w:rPr>
            </w:pPr>
            <w:r w:rsidRPr="00EC0FB5">
              <w:rPr>
                <w:rFonts w:ascii="Arial Narrow" w:eastAsia="Times New Roman" w:hAnsi="Arial Narrow" w:cs="Calibri"/>
                <w:i/>
                <w:iCs/>
                <w:color w:val="000000"/>
                <w:sz w:val="20"/>
                <w:szCs w:val="20"/>
                <w:lang w:eastAsia="sk-SK"/>
              </w:rPr>
              <w:t>Rast čistých výdavkov (referenčná trajektória)</w:t>
            </w:r>
          </w:p>
        </w:tc>
        <w:tc>
          <w:tcPr>
            <w:tcW w:w="760" w:type="dxa"/>
            <w:tcBorders>
              <w:top w:val="nil"/>
              <w:left w:val="nil"/>
              <w:bottom w:val="nil"/>
              <w:right w:val="nil"/>
            </w:tcBorders>
            <w:shd w:val="clear" w:color="000000" w:fill="D9D9D9"/>
            <w:noWrap/>
            <w:vAlign w:val="center"/>
            <w:hideMark/>
          </w:tcPr>
          <w:p w14:paraId="51718DB0" w14:textId="6B7E7665" w:rsidR="00F32508" w:rsidRPr="00EC0FB5" w:rsidRDefault="00F32508" w:rsidP="00F32508">
            <w:pPr>
              <w:spacing w:after="0" w:line="240" w:lineRule="auto"/>
              <w:jc w:val="center"/>
              <w:rPr>
                <w:rFonts w:ascii="Arial Narrow" w:eastAsia="Times New Roman" w:hAnsi="Arial Narrow" w:cs="Calibri"/>
                <w:i/>
                <w:iCs/>
                <w:color w:val="000000"/>
                <w:sz w:val="20"/>
                <w:szCs w:val="20"/>
                <w:lang w:eastAsia="sk-SK"/>
              </w:rPr>
            </w:pPr>
            <w:r w:rsidRPr="00EC0FB5">
              <w:rPr>
                <w:rFonts w:ascii="Arial Narrow" w:eastAsia="Times New Roman" w:hAnsi="Arial Narrow" w:cs="Calibri"/>
                <w:i/>
                <w:iCs/>
                <w:color w:val="000000"/>
                <w:sz w:val="20"/>
                <w:szCs w:val="20"/>
                <w:lang w:eastAsia="sk-SK"/>
              </w:rPr>
              <w:t>2,8</w:t>
            </w:r>
            <w:r w:rsidR="00E229CF">
              <w:rPr>
                <w:rFonts w:ascii="Arial Narrow" w:eastAsia="Times New Roman" w:hAnsi="Arial Narrow" w:cs="Calibri"/>
                <w:i/>
                <w:iCs/>
                <w:color w:val="000000"/>
                <w:sz w:val="20"/>
                <w:szCs w:val="20"/>
                <w:lang w:eastAsia="sk-SK"/>
              </w:rPr>
              <w:t xml:space="preserve"> </w:t>
            </w:r>
            <w:r w:rsidRPr="00EC0FB5">
              <w:rPr>
                <w:rFonts w:ascii="Arial Narrow" w:eastAsia="Times New Roman" w:hAnsi="Arial Narrow" w:cs="Calibri"/>
                <w:i/>
                <w:iCs/>
                <w:color w:val="000000"/>
                <w:sz w:val="20"/>
                <w:szCs w:val="20"/>
                <w:lang w:eastAsia="sk-SK"/>
              </w:rPr>
              <w:t>%</w:t>
            </w:r>
          </w:p>
        </w:tc>
        <w:tc>
          <w:tcPr>
            <w:tcW w:w="760" w:type="dxa"/>
            <w:tcBorders>
              <w:top w:val="nil"/>
              <w:left w:val="nil"/>
              <w:bottom w:val="nil"/>
              <w:right w:val="nil"/>
            </w:tcBorders>
            <w:shd w:val="clear" w:color="000000" w:fill="D9D9D9"/>
            <w:noWrap/>
            <w:vAlign w:val="center"/>
            <w:hideMark/>
          </w:tcPr>
          <w:p w14:paraId="0C558211" w14:textId="10001D67" w:rsidR="00F32508" w:rsidRPr="00EC0FB5" w:rsidRDefault="00F32508" w:rsidP="00F32508">
            <w:pPr>
              <w:spacing w:after="0" w:line="240" w:lineRule="auto"/>
              <w:jc w:val="center"/>
              <w:rPr>
                <w:rFonts w:ascii="Arial Narrow" w:eastAsia="Times New Roman" w:hAnsi="Arial Narrow" w:cs="Calibri"/>
                <w:i/>
                <w:iCs/>
                <w:color w:val="000000"/>
                <w:sz w:val="20"/>
                <w:szCs w:val="20"/>
                <w:lang w:eastAsia="sk-SK"/>
              </w:rPr>
            </w:pPr>
            <w:r w:rsidRPr="00EC0FB5">
              <w:rPr>
                <w:rFonts w:ascii="Arial Narrow" w:eastAsia="Times New Roman" w:hAnsi="Arial Narrow" w:cs="Calibri"/>
                <w:i/>
                <w:iCs/>
                <w:color w:val="000000"/>
                <w:sz w:val="20"/>
                <w:szCs w:val="20"/>
                <w:lang w:eastAsia="sk-SK"/>
              </w:rPr>
              <w:t>2,0</w:t>
            </w:r>
            <w:r w:rsidR="00E229CF">
              <w:rPr>
                <w:rFonts w:ascii="Arial Narrow" w:eastAsia="Times New Roman" w:hAnsi="Arial Narrow" w:cs="Calibri"/>
                <w:i/>
                <w:iCs/>
                <w:color w:val="000000"/>
                <w:sz w:val="20"/>
                <w:szCs w:val="20"/>
                <w:lang w:eastAsia="sk-SK"/>
              </w:rPr>
              <w:t xml:space="preserve"> </w:t>
            </w:r>
            <w:r w:rsidRPr="00EC0FB5">
              <w:rPr>
                <w:rFonts w:ascii="Arial Narrow" w:eastAsia="Times New Roman" w:hAnsi="Arial Narrow" w:cs="Calibri"/>
                <w:i/>
                <w:iCs/>
                <w:color w:val="000000"/>
                <w:sz w:val="20"/>
                <w:szCs w:val="20"/>
                <w:lang w:eastAsia="sk-SK"/>
              </w:rPr>
              <w:t>%</w:t>
            </w:r>
          </w:p>
        </w:tc>
        <w:tc>
          <w:tcPr>
            <w:tcW w:w="760" w:type="dxa"/>
            <w:tcBorders>
              <w:top w:val="nil"/>
              <w:left w:val="nil"/>
              <w:bottom w:val="nil"/>
              <w:right w:val="nil"/>
            </w:tcBorders>
            <w:shd w:val="clear" w:color="000000" w:fill="D9D9D9"/>
            <w:noWrap/>
            <w:vAlign w:val="center"/>
            <w:hideMark/>
          </w:tcPr>
          <w:p w14:paraId="476B7395" w14:textId="23842D08" w:rsidR="00F32508" w:rsidRPr="00EC0FB5" w:rsidRDefault="00F32508" w:rsidP="00F32508">
            <w:pPr>
              <w:spacing w:after="0" w:line="240" w:lineRule="auto"/>
              <w:jc w:val="center"/>
              <w:rPr>
                <w:rFonts w:ascii="Arial Narrow" w:eastAsia="Times New Roman" w:hAnsi="Arial Narrow" w:cs="Calibri"/>
                <w:i/>
                <w:iCs/>
                <w:color w:val="000000"/>
                <w:sz w:val="20"/>
                <w:szCs w:val="20"/>
                <w:lang w:eastAsia="sk-SK"/>
              </w:rPr>
            </w:pPr>
            <w:r w:rsidRPr="00EC0FB5">
              <w:rPr>
                <w:rFonts w:ascii="Arial Narrow" w:eastAsia="Times New Roman" w:hAnsi="Arial Narrow" w:cs="Calibri"/>
                <w:i/>
                <w:iCs/>
                <w:color w:val="000000"/>
                <w:sz w:val="20"/>
                <w:szCs w:val="20"/>
                <w:lang w:eastAsia="sk-SK"/>
              </w:rPr>
              <w:t>1,6</w:t>
            </w:r>
            <w:r w:rsidR="00E229CF">
              <w:rPr>
                <w:rFonts w:ascii="Arial Narrow" w:eastAsia="Times New Roman" w:hAnsi="Arial Narrow" w:cs="Calibri"/>
                <w:i/>
                <w:iCs/>
                <w:color w:val="000000"/>
                <w:sz w:val="20"/>
                <w:szCs w:val="20"/>
                <w:lang w:eastAsia="sk-SK"/>
              </w:rPr>
              <w:t xml:space="preserve"> </w:t>
            </w:r>
            <w:r w:rsidRPr="00EC0FB5">
              <w:rPr>
                <w:rFonts w:ascii="Arial Narrow" w:eastAsia="Times New Roman" w:hAnsi="Arial Narrow" w:cs="Calibri"/>
                <w:i/>
                <w:iCs/>
                <w:color w:val="000000"/>
                <w:sz w:val="20"/>
                <w:szCs w:val="20"/>
                <w:lang w:eastAsia="sk-SK"/>
              </w:rPr>
              <w:t>%</w:t>
            </w:r>
          </w:p>
        </w:tc>
        <w:tc>
          <w:tcPr>
            <w:tcW w:w="760" w:type="dxa"/>
            <w:tcBorders>
              <w:top w:val="nil"/>
              <w:left w:val="nil"/>
              <w:bottom w:val="nil"/>
              <w:right w:val="nil"/>
            </w:tcBorders>
            <w:shd w:val="clear" w:color="000000" w:fill="D9D9D9"/>
            <w:noWrap/>
            <w:vAlign w:val="center"/>
            <w:hideMark/>
          </w:tcPr>
          <w:p w14:paraId="003DF7D2" w14:textId="30DD59EF" w:rsidR="00F32508" w:rsidRPr="00EC0FB5" w:rsidRDefault="00F32508" w:rsidP="00F32508">
            <w:pPr>
              <w:spacing w:after="0" w:line="240" w:lineRule="auto"/>
              <w:jc w:val="center"/>
              <w:rPr>
                <w:rFonts w:ascii="Arial Narrow" w:eastAsia="Times New Roman" w:hAnsi="Arial Narrow" w:cs="Calibri"/>
                <w:i/>
                <w:iCs/>
                <w:color w:val="000000"/>
                <w:sz w:val="20"/>
                <w:szCs w:val="20"/>
                <w:lang w:eastAsia="sk-SK"/>
              </w:rPr>
            </w:pPr>
            <w:r w:rsidRPr="00EC0FB5">
              <w:rPr>
                <w:rFonts w:ascii="Arial Narrow" w:eastAsia="Times New Roman" w:hAnsi="Arial Narrow" w:cs="Calibri"/>
                <w:i/>
                <w:iCs/>
                <w:color w:val="000000"/>
                <w:sz w:val="20"/>
                <w:szCs w:val="20"/>
                <w:lang w:eastAsia="sk-SK"/>
              </w:rPr>
              <w:t>1,5</w:t>
            </w:r>
            <w:r w:rsidR="00E229CF">
              <w:rPr>
                <w:rFonts w:ascii="Arial Narrow" w:eastAsia="Times New Roman" w:hAnsi="Arial Narrow" w:cs="Calibri"/>
                <w:i/>
                <w:iCs/>
                <w:color w:val="000000"/>
                <w:sz w:val="20"/>
                <w:szCs w:val="20"/>
                <w:lang w:eastAsia="sk-SK"/>
              </w:rPr>
              <w:t xml:space="preserve"> </w:t>
            </w:r>
            <w:r w:rsidRPr="00EC0FB5">
              <w:rPr>
                <w:rFonts w:ascii="Arial Narrow" w:eastAsia="Times New Roman" w:hAnsi="Arial Narrow" w:cs="Calibri"/>
                <w:i/>
                <w:iCs/>
                <w:color w:val="000000"/>
                <w:sz w:val="20"/>
                <w:szCs w:val="20"/>
                <w:lang w:eastAsia="sk-SK"/>
              </w:rPr>
              <w:t>%</w:t>
            </w:r>
          </w:p>
        </w:tc>
        <w:tc>
          <w:tcPr>
            <w:tcW w:w="1300" w:type="dxa"/>
            <w:tcBorders>
              <w:top w:val="nil"/>
              <w:left w:val="single" w:sz="4" w:space="0" w:color="auto"/>
              <w:bottom w:val="nil"/>
              <w:right w:val="nil"/>
            </w:tcBorders>
            <w:shd w:val="clear" w:color="000000" w:fill="D9D9D9"/>
            <w:noWrap/>
            <w:vAlign w:val="center"/>
            <w:hideMark/>
          </w:tcPr>
          <w:p w14:paraId="6458DAD9" w14:textId="421D13CF" w:rsidR="00F32508" w:rsidRPr="00EC0FB5" w:rsidRDefault="00F32508" w:rsidP="00F32508">
            <w:pPr>
              <w:spacing w:after="0" w:line="240" w:lineRule="auto"/>
              <w:jc w:val="center"/>
              <w:rPr>
                <w:rFonts w:ascii="Arial Narrow" w:eastAsia="Times New Roman" w:hAnsi="Arial Narrow" w:cs="Calibri"/>
                <w:i/>
                <w:iCs/>
                <w:color w:val="000000"/>
                <w:sz w:val="20"/>
                <w:szCs w:val="20"/>
                <w:lang w:eastAsia="sk-SK"/>
              </w:rPr>
            </w:pPr>
            <w:r w:rsidRPr="00EC0FB5">
              <w:rPr>
                <w:rFonts w:ascii="Arial Narrow" w:eastAsia="Times New Roman" w:hAnsi="Arial Narrow" w:cs="Calibri"/>
                <w:i/>
                <w:iCs/>
                <w:color w:val="000000"/>
                <w:sz w:val="20"/>
                <w:szCs w:val="20"/>
                <w:lang w:eastAsia="sk-SK"/>
              </w:rPr>
              <w:t>8,1</w:t>
            </w:r>
            <w:r w:rsidR="00E229CF">
              <w:rPr>
                <w:rFonts w:ascii="Arial Narrow" w:eastAsia="Times New Roman" w:hAnsi="Arial Narrow" w:cs="Calibri"/>
                <w:i/>
                <w:iCs/>
                <w:color w:val="000000"/>
                <w:sz w:val="20"/>
                <w:szCs w:val="20"/>
                <w:lang w:eastAsia="sk-SK"/>
              </w:rPr>
              <w:t xml:space="preserve"> </w:t>
            </w:r>
            <w:r w:rsidRPr="00EC0FB5">
              <w:rPr>
                <w:rFonts w:ascii="Arial Narrow" w:eastAsia="Times New Roman" w:hAnsi="Arial Narrow" w:cs="Calibri"/>
                <w:i/>
                <w:iCs/>
                <w:color w:val="000000"/>
                <w:sz w:val="20"/>
                <w:szCs w:val="20"/>
                <w:lang w:eastAsia="sk-SK"/>
              </w:rPr>
              <w:t>%</w:t>
            </w:r>
          </w:p>
        </w:tc>
      </w:tr>
      <w:tr w:rsidR="00F32508" w:rsidRPr="00F32508" w14:paraId="5CA61088" w14:textId="77777777" w:rsidTr="00EC0FB5">
        <w:trPr>
          <w:trHeight w:val="90"/>
          <w:jc w:val="center"/>
        </w:trPr>
        <w:tc>
          <w:tcPr>
            <w:tcW w:w="640" w:type="dxa"/>
            <w:tcBorders>
              <w:top w:val="nil"/>
              <w:left w:val="nil"/>
            </w:tcBorders>
            <w:shd w:val="clear" w:color="auto" w:fill="auto"/>
            <w:noWrap/>
            <w:vAlign w:val="bottom"/>
            <w:hideMark/>
          </w:tcPr>
          <w:p w14:paraId="4480BA89" w14:textId="77777777" w:rsidR="00F32508" w:rsidRPr="00EC0FB5" w:rsidRDefault="00F32508" w:rsidP="00F32508">
            <w:pPr>
              <w:spacing w:after="0" w:line="240" w:lineRule="auto"/>
              <w:jc w:val="center"/>
              <w:rPr>
                <w:rFonts w:ascii="Arial Narrow" w:eastAsia="Times New Roman" w:hAnsi="Arial Narrow" w:cs="Calibri"/>
                <w:i/>
                <w:iCs/>
                <w:color w:val="000000"/>
                <w:sz w:val="18"/>
                <w:szCs w:val="18"/>
                <w:lang w:eastAsia="sk-SK"/>
              </w:rPr>
            </w:pPr>
          </w:p>
        </w:tc>
        <w:tc>
          <w:tcPr>
            <w:tcW w:w="2440" w:type="dxa"/>
            <w:tcBorders>
              <w:top w:val="nil"/>
              <w:right w:val="nil"/>
            </w:tcBorders>
            <w:shd w:val="clear" w:color="auto" w:fill="auto"/>
            <w:noWrap/>
            <w:vAlign w:val="bottom"/>
            <w:hideMark/>
          </w:tcPr>
          <w:p w14:paraId="1980F45C" w14:textId="77777777" w:rsidR="00F32508" w:rsidRPr="00F32508" w:rsidRDefault="00F32508" w:rsidP="00F32508">
            <w:pPr>
              <w:spacing w:after="0" w:line="240" w:lineRule="auto"/>
              <w:rPr>
                <w:rFonts w:ascii="Times New Roman" w:eastAsia="Times New Roman" w:hAnsi="Times New Roman" w:cs="Times New Roman"/>
                <w:sz w:val="20"/>
                <w:szCs w:val="20"/>
                <w:lang w:eastAsia="sk-SK"/>
              </w:rPr>
            </w:pPr>
          </w:p>
        </w:tc>
        <w:tc>
          <w:tcPr>
            <w:tcW w:w="760" w:type="dxa"/>
            <w:tcBorders>
              <w:top w:val="nil"/>
              <w:left w:val="nil"/>
              <w:bottom w:val="nil"/>
              <w:right w:val="nil"/>
            </w:tcBorders>
            <w:shd w:val="clear" w:color="auto" w:fill="auto"/>
            <w:noWrap/>
            <w:vAlign w:val="bottom"/>
            <w:hideMark/>
          </w:tcPr>
          <w:p w14:paraId="032B380E" w14:textId="77777777" w:rsidR="00F32508" w:rsidRPr="00F32508" w:rsidRDefault="00F32508" w:rsidP="00F32508">
            <w:pPr>
              <w:spacing w:after="0" w:line="240" w:lineRule="auto"/>
              <w:rPr>
                <w:rFonts w:ascii="Times New Roman" w:eastAsia="Times New Roman" w:hAnsi="Times New Roman" w:cs="Times New Roman"/>
                <w:sz w:val="20"/>
                <w:szCs w:val="20"/>
                <w:lang w:eastAsia="sk-SK"/>
              </w:rPr>
            </w:pPr>
          </w:p>
        </w:tc>
        <w:tc>
          <w:tcPr>
            <w:tcW w:w="760" w:type="dxa"/>
            <w:tcBorders>
              <w:top w:val="nil"/>
              <w:left w:val="nil"/>
              <w:bottom w:val="nil"/>
              <w:right w:val="nil"/>
            </w:tcBorders>
            <w:shd w:val="clear" w:color="auto" w:fill="auto"/>
            <w:noWrap/>
            <w:vAlign w:val="bottom"/>
            <w:hideMark/>
          </w:tcPr>
          <w:p w14:paraId="2C122144" w14:textId="77777777" w:rsidR="00F32508" w:rsidRPr="00F32508" w:rsidRDefault="00F32508" w:rsidP="00F32508">
            <w:pPr>
              <w:spacing w:after="0" w:line="240" w:lineRule="auto"/>
              <w:rPr>
                <w:rFonts w:ascii="Times New Roman" w:eastAsia="Times New Roman" w:hAnsi="Times New Roman" w:cs="Times New Roman"/>
                <w:sz w:val="20"/>
                <w:szCs w:val="20"/>
                <w:lang w:eastAsia="sk-SK"/>
              </w:rPr>
            </w:pPr>
          </w:p>
        </w:tc>
        <w:tc>
          <w:tcPr>
            <w:tcW w:w="760" w:type="dxa"/>
            <w:tcBorders>
              <w:top w:val="nil"/>
              <w:left w:val="nil"/>
              <w:bottom w:val="nil"/>
              <w:right w:val="nil"/>
            </w:tcBorders>
            <w:shd w:val="clear" w:color="auto" w:fill="auto"/>
            <w:noWrap/>
            <w:vAlign w:val="bottom"/>
            <w:hideMark/>
          </w:tcPr>
          <w:p w14:paraId="4E92FFAD" w14:textId="77777777" w:rsidR="00F32508" w:rsidRPr="00F32508" w:rsidRDefault="00F32508" w:rsidP="00F32508">
            <w:pPr>
              <w:spacing w:after="0" w:line="240" w:lineRule="auto"/>
              <w:rPr>
                <w:rFonts w:ascii="Times New Roman" w:eastAsia="Times New Roman" w:hAnsi="Times New Roman" w:cs="Times New Roman"/>
                <w:sz w:val="20"/>
                <w:szCs w:val="20"/>
                <w:lang w:eastAsia="sk-SK"/>
              </w:rPr>
            </w:pPr>
          </w:p>
        </w:tc>
        <w:tc>
          <w:tcPr>
            <w:tcW w:w="760" w:type="dxa"/>
            <w:tcBorders>
              <w:top w:val="nil"/>
              <w:left w:val="nil"/>
              <w:bottom w:val="nil"/>
              <w:right w:val="nil"/>
            </w:tcBorders>
            <w:shd w:val="clear" w:color="auto" w:fill="auto"/>
            <w:noWrap/>
            <w:vAlign w:val="bottom"/>
            <w:hideMark/>
          </w:tcPr>
          <w:p w14:paraId="786775BF" w14:textId="77777777" w:rsidR="00F32508" w:rsidRPr="00F32508" w:rsidRDefault="00F32508" w:rsidP="00F32508">
            <w:pPr>
              <w:spacing w:after="0" w:line="240" w:lineRule="auto"/>
              <w:rPr>
                <w:rFonts w:ascii="Times New Roman" w:eastAsia="Times New Roman" w:hAnsi="Times New Roman" w:cs="Times New Roman"/>
                <w:sz w:val="20"/>
                <w:szCs w:val="20"/>
                <w:lang w:eastAsia="sk-SK"/>
              </w:rPr>
            </w:pPr>
          </w:p>
        </w:tc>
        <w:tc>
          <w:tcPr>
            <w:tcW w:w="1300" w:type="dxa"/>
            <w:tcBorders>
              <w:top w:val="nil"/>
              <w:left w:val="single" w:sz="4" w:space="0" w:color="auto"/>
              <w:bottom w:val="nil"/>
              <w:right w:val="nil"/>
            </w:tcBorders>
            <w:shd w:val="clear" w:color="auto" w:fill="auto"/>
            <w:noWrap/>
            <w:vAlign w:val="bottom"/>
            <w:hideMark/>
          </w:tcPr>
          <w:p w14:paraId="341D21CA" w14:textId="77777777" w:rsidR="00F32508" w:rsidRPr="00EC0FB5" w:rsidRDefault="00F32508" w:rsidP="00F32508">
            <w:pPr>
              <w:spacing w:after="0" w:line="240" w:lineRule="auto"/>
              <w:rPr>
                <w:rFonts w:ascii="Arial Narrow" w:eastAsia="Times New Roman" w:hAnsi="Arial Narrow" w:cs="Calibri"/>
                <w:color w:val="000000"/>
                <w:sz w:val="20"/>
                <w:szCs w:val="20"/>
                <w:lang w:eastAsia="sk-SK"/>
              </w:rPr>
            </w:pPr>
            <w:r w:rsidRPr="00EC0FB5">
              <w:rPr>
                <w:rFonts w:ascii="Arial Narrow" w:eastAsia="Times New Roman" w:hAnsi="Arial Narrow" w:cs="Calibri"/>
                <w:color w:val="000000"/>
                <w:sz w:val="20"/>
                <w:szCs w:val="20"/>
                <w:lang w:eastAsia="sk-SK"/>
              </w:rPr>
              <w:t> </w:t>
            </w:r>
          </w:p>
        </w:tc>
      </w:tr>
      <w:tr w:rsidR="00F32508" w:rsidRPr="00F32508" w14:paraId="388793D0" w14:textId="77777777" w:rsidTr="00EC0FB5">
        <w:trPr>
          <w:trHeight w:val="510"/>
          <w:jc w:val="center"/>
        </w:trPr>
        <w:tc>
          <w:tcPr>
            <w:tcW w:w="640" w:type="dxa"/>
            <w:vMerge w:val="restart"/>
            <w:tcBorders>
              <w:left w:val="nil"/>
              <w:bottom w:val="single" w:sz="4" w:space="0" w:color="000000"/>
              <w:right w:val="single" w:sz="4" w:space="0" w:color="auto"/>
            </w:tcBorders>
            <w:shd w:val="clear" w:color="000000" w:fill="DDEBF7"/>
            <w:textDirection w:val="btLr"/>
            <w:vAlign w:val="center"/>
            <w:hideMark/>
          </w:tcPr>
          <w:p w14:paraId="69D51C8D" w14:textId="77777777" w:rsidR="00F32508" w:rsidRPr="00EC0FB5" w:rsidRDefault="00F32508" w:rsidP="00F32508">
            <w:pPr>
              <w:spacing w:after="0" w:line="240" w:lineRule="auto"/>
              <w:jc w:val="center"/>
              <w:rPr>
                <w:rFonts w:ascii="Arial Narrow" w:eastAsia="Times New Roman" w:hAnsi="Arial Narrow" w:cs="Calibri"/>
                <w:color w:val="000000"/>
                <w:sz w:val="18"/>
                <w:szCs w:val="18"/>
                <w:lang w:eastAsia="sk-SK"/>
              </w:rPr>
            </w:pPr>
            <w:r w:rsidRPr="00EC0FB5">
              <w:rPr>
                <w:rFonts w:ascii="Arial Narrow" w:eastAsia="Times New Roman" w:hAnsi="Arial Narrow" w:cs="Calibri"/>
                <w:color w:val="000000"/>
                <w:sz w:val="18"/>
                <w:szCs w:val="18"/>
                <w:lang w:eastAsia="sk-SK"/>
              </w:rPr>
              <w:t>Zvolená konsolidácia</w:t>
            </w:r>
          </w:p>
        </w:tc>
        <w:tc>
          <w:tcPr>
            <w:tcW w:w="2440" w:type="dxa"/>
            <w:tcBorders>
              <w:left w:val="single" w:sz="4" w:space="0" w:color="auto"/>
              <w:bottom w:val="nil"/>
              <w:right w:val="nil"/>
            </w:tcBorders>
            <w:shd w:val="clear" w:color="000000" w:fill="DDEBF7"/>
            <w:vAlign w:val="center"/>
            <w:hideMark/>
          </w:tcPr>
          <w:p w14:paraId="2FB543B0" w14:textId="77777777" w:rsidR="00F32508" w:rsidRPr="00EC0FB5" w:rsidRDefault="00F32508" w:rsidP="00F32508">
            <w:pPr>
              <w:spacing w:after="0" w:line="240" w:lineRule="auto"/>
              <w:rPr>
                <w:rFonts w:ascii="Arial Narrow" w:eastAsia="Times New Roman" w:hAnsi="Arial Narrow" w:cs="Calibri"/>
                <w:i/>
                <w:iCs/>
                <w:color w:val="000000"/>
                <w:sz w:val="20"/>
                <w:szCs w:val="20"/>
                <w:lang w:eastAsia="sk-SK"/>
              </w:rPr>
            </w:pPr>
            <w:r w:rsidRPr="00EC0FB5">
              <w:rPr>
                <w:rFonts w:ascii="Arial Narrow" w:eastAsia="Times New Roman" w:hAnsi="Arial Narrow" w:cs="Calibri"/>
                <w:i/>
                <w:iCs/>
                <w:color w:val="000000"/>
                <w:sz w:val="20"/>
                <w:szCs w:val="20"/>
                <w:lang w:eastAsia="sk-SK"/>
              </w:rPr>
              <w:t>Zmena primárneho štrukturálneho salda (% HDP)</w:t>
            </w:r>
          </w:p>
        </w:tc>
        <w:tc>
          <w:tcPr>
            <w:tcW w:w="760" w:type="dxa"/>
            <w:tcBorders>
              <w:top w:val="nil"/>
              <w:left w:val="nil"/>
              <w:bottom w:val="nil"/>
              <w:right w:val="nil"/>
            </w:tcBorders>
            <w:shd w:val="clear" w:color="000000" w:fill="DDEBF7"/>
            <w:noWrap/>
            <w:vAlign w:val="center"/>
            <w:hideMark/>
          </w:tcPr>
          <w:p w14:paraId="57F27115" w14:textId="77777777" w:rsidR="00F32508" w:rsidRPr="00EC0FB5" w:rsidRDefault="00F32508" w:rsidP="00F32508">
            <w:pPr>
              <w:spacing w:after="0" w:line="240" w:lineRule="auto"/>
              <w:jc w:val="center"/>
              <w:rPr>
                <w:rFonts w:ascii="Arial Narrow" w:eastAsia="Times New Roman" w:hAnsi="Arial Narrow" w:cs="Calibri"/>
                <w:i/>
                <w:iCs/>
                <w:color w:val="000000"/>
                <w:sz w:val="20"/>
                <w:szCs w:val="20"/>
                <w:lang w:eastAsia="sk-SK"/>
              </w:rPr>
            </w:pPr>
            <w:r w:rsidRPr="00EC0FB5">
              <w:rPr>
                <w:rFonts w:ascii="Arial Narrow" w:eastAsia="Times New Roman" w:hAnsi="Arial Narrow" w:cs="Calibri"/>
                <w:i/>
                <w:iCs/>
                <w:color w:val="000000"/>
                <w:sz w:val="20"/>
                <w:szCs w:val="20"/>
                <w:lang w:eastAsia="sk-SK"/>
              </w:rPr>
              <w:t>0,8</w:t>
            </w:r>
          </w:p>
        </w:tc>
        <w:tc>
          <w:tcPr>
            <w:tcW w:w="760" w:type="dxa"/>
            <w:tcBorders>
              <w:top w:val="nil"/>
              <w:left w:val="nil"/>
              <w:bottom w:val="nil"/>
              <w:right w:val="nil"/>
            </w:tcBorders>
            <w:shd w:val="clear" w:color="000000" w:fill="DDEBF7"/>
            <w:noWrap/>
            <w:vAlign w:val="center"/>
            <w:hideMark/>
          </w:tcPr>
          <w:p w14:paraId="0AE90AAC" w14:textId="77777777" w:rsidR="00F32508" w:rsidRPr="00EC0FB5" w:rsidRDefault="00F32508" w:rsidP="00F32508">
            <w:pPr>
              <w:spacing w:after="0" w:line="240" w:lineRule="auto"/>
              <w:jc w:val="center"/>
              <w:rPr>
                <w:rFonts w:ascii="Arial Narrow" w:eastAsia="Times New Roman" w:hAnsi="Arial Narrow" w:cs="Calibri"/>
                <w:i/>
                <w:iCs/>
                <w:color w:val="000000"/>
                <w:sz w:val="20"/>
                <w:szCs w:val="20"/>
                <w:lang w:eastAsia="sk-SK"/>
              </w:rPr>
            </w:pPr>
            <w:r w:rsidRPr="00EC0FB5">
              <w:rPr>
                <w:rFonts w:ascii="Arial Narrow" w:eastAsia="Times New Roman" w:hAnsi="Arial Narrow" w:cs="Calibri"/>
                <w:i/>
                <w:iCs/>
                <w:color w:val="000000"/>
                <w:sz w:val="20"/>
                <w:szCs w:val="20"/>
                <w:lang w:eastAsia="sk-SK"/>
              </w:rPr>
              <w:t>1,8</w:t>
            </w:r>
          </w:p>
        </w:tc>
        <w:tc>
          <w:tcPr>
            <w:tcW w:w="760" w:type="dxa"/>
            <w:tcBorders>
              <w:top w:val="nil"/>
              <w:left w:val="nil"/>
              <w:bottom w:val="nil"/>
              <w:right w:val="nil"/>
            </w:tcBorders>
            <w:shd w:val="clear" w:color="000000" w:fill="DDEBF7"/>
            <w:noWrap/>
            <w:vAlign w:val="center"/>
            <w:hideMark/>
          </w:tcPr>
          <w:p w14:paraId="294B2C5F" w14:textId="77777777" w:rsidR="00F32508" w:rsidRPr="00EC0FB5" w:rsidRDefault="00F32508" w:rsidP="00F32508">
            <w:pPr>
              <w:spacing w:after="0" w:line="240" w:lineRule="auto"/>
              <w:jc w:val="center"/>
              <w:rPr>
                <w:rFonts w:ascii="Arial Narrow" w:eastAsia="Times New Roman" w:hAnsi="Arial Narrow" w:cs="Calibri"/>
                <w:i/>
                <w:iCs/>
                <w:color w:val="000000"/>
                <w:sz w:val="20"/>
                <w:szCs w:val="20"/>
                <w:lang w:eastAsia="sk-SK"/>
              </w:rPr>
            </w:pPr>
            <w:r w:rsidRPr="00EC0FB5">
              <w:rPr>
                <w:rFonts w:ascii="Arial Narrow" w:eastAsia="Times New Roman" w:hAnsi="Arial Narrow" w:cs="Calibri"/>
                <w:i/>
                <w:iCs/>
                <w:color w:val="000000"/>
                <w:sz w:val="20"/>
                <w:szCs w:val="20"/>
                <w:lang w:eastAsia="sk-SK"/>
              </w:rPr>
              <w:t>1,3</w:t>
            </w:r>
          </w:p>
        </w:tc>
        <w:tc>
          <w:tcPr>
            <w:tcW w:w="760" w:type="dxa"/>
            <w:tcBorders>
              <w:top w:val="nil"/>
              <w:left w:val="nil"/>
              <w:bottom w:val="nil"/>
              <w:right w:val="nil"/>
            </w:tcBorders>
            <w:shd w:val="clear" w:color="000000" w:fill="DDEBF7"/>
            <w:noWrap/>
            <w:vAlign w:val="center"/>
            <w:hideMark/>
          </w:tcPr>
          <w:p w14:paraId="43F201B7" w14:textId="77777777" w:rsidR="00F32508" w:rsidRPr="00EC0FB5" w:rsidRDefault="00F32508" w:rsidP="00F32508">
            <w:pPr>
              <w:spacing w:after="0" w:line="240" w:lineRule="auto"/>
              <w:jc w:val="center"/>
              <w:rPr>
                <w:rFonts w:ascii="Arial Narrow" w:eastAsia="Times New Roman" w:hAnsi="Arial Narrow" w:cs="Calibri"/>
                <w:i/>
                <w:iCs/>
                <w:color w:val="000000"/>
                <w:sz w:val="20"/>
                <w:szCs w:val="20"/>
                <w:lang w:eastAsia="sk-SK"/>
              </w:rPr>
            </w:pPr>
            <w:r w:rsidRPr="00EC0FB5">
              <w:rPr>
                <w:rFonts w:ascii="Arial Narrow" w:eastAsia="Times New Roman" w:hAnsi="Arial Narrow" w:cs="Calibri"/>
                <w:i/>
                <w:iCs/>
                <w:color w:val="000000"/>
                <w:sz w:val="20"/>
                <w:szCs w:val="20"/>
                <w:lang w:eastAsia="sk-SK"/>
              </w:rPr>
              <w:t>1,3</w:t>
            </w:r>
          </w:p>
        </w:tc>
        <w:tc>
          <w:tcPr>
            <w:tcW w:w="1300" w:type="dxa"/>
            <w:tcBorders>
              <w:top w:val="nil"/>
              <w:left w:val="single" w:sz="4" w:space="0" w:color="auto"/>
              <w:bottom w:val="nil"/>
              <w:right w:val="nil"/>
            </w:tcBorders>
            <w:shd w:val="clear" w:color="000000" w:fill="DDEBF7"/>
            <w:noWrap/>
            <w:vAlign w:val="center"/>
            <w:hideMark/>
          </w:tcPr>
          <w:p w14:paraId="3638B514" w14:textId="77777777" w:rsidR="00F32508" w:rsidRPr="00EC0FB5" w:rsidRDefault="00F32508" w:rsidP="00F32508">
            <w:pPr>
              <w:spacing w:after="0" w:line="240" w:lineRule="auto"/>
              <w:jc w:val="center"/>
              <w:rPr>
                <w:rFonts w:ascii="Arial Narrow" w:eastAsia="Times New Roman" w:hAnsi="Arial Narrow" w:cs="Calibri"/>
                <w:i/>
                <w:iCs/>
                <w:color w:val="000000"/>
                <w:sz w:val="20"/>
                <w:szCs w:val="20"/>
                <w:lang w:eastAsia="sk-SK"/>
              </w:rPr>
            </w:pPr>
            <w:r w:rsidRPr="00EC0FB5">
              <w:rPr>
                <w:rFonts w:ascii="Arial Narrow" w:eastAsia="Times New Roman" w:hAnsi="Arial Narrow" w:cs="Calibri"/>
                <w:i/>
                <w:iCs/>
                <w:color w:val="000000"/>
                <w:sz w:val="20"/>
                <w:szCs w:val="20"/>
                <w:lang w:eastAsia="sk-SK"/>
              </w:rPr>
              <w:t>5,2</w:t>
            </w:r>
          </w:p>
        </w:tc>
      </w:tr>
      <w:tr w:rsidR="00F32508" w:rsidRPr="00F32508" w14:paraId="42B388AF" w14:textId="77777777" w:rsidTr="00EC0FB5">
        <w:trPr>
          <w:trHeight w:val="510"/>
          <w:jc w:val="center"/>
        </w:trPr>
        <w:tc>
          <w:tcPr>
            <w:tcW w:w="640" w:type="dxa"/>
            <w:vMerge/>
            <w:tcBorders>
              <w:top w:val="nil"/>
              <w:left w:val="nil"/>
              <w:bottom w:val="single" w:sz="4" w:space="0" w:color="000000"/>
              <w:right w:val="single" w:sz="4" w:space="0" w:color="auto"/>
            </w:tcBorders>
            <w:vAlign w:val="center"/>
            <w:hideMark/>
          </w:tcPr>
          <w:p w14:paraId="443E5A58" w14:textId="77777777" w:rsidR="00F32508" w:rsidRPr="00EC0FB5" w:rsidRDefault="00F32508" w:rsidP="00F32508">
            <w:pPr>
              <w:spacing w:after="0" w:line="240" w:lineRule="auto"/>
              <w:rPr>
                <w:rFonts w:ascii="Arial Narrow" w:eastAsia="Times New Roman" w:hAnsi="Arial Narrow" w:cs="Calibri"/>
                <w:color w:val="000000"/>
                <w:sz w:val="20"/>
                <w:szCs w:val="20"/>
                <w:lang w:eastAsia="sk-SK"/>
              </w:rPr>
            </w:pPr>
          </w:p>
        </w:tc>
        <w:tc>
          <w:tcPr>
            <w:tcW w:w="2440" w:type="dxa"/>
            <w:tcBorders>
              <w:top w:val="nil"/>
              <w:left w:val="single" w:sz="4" w:space="0" w:color="auto"/>
              <w:bottom w:val="single" w:sz="4" w:space="0" w:color="auto"/>
              <w:right w:val="nil"/>
            </w:tcBorders>
            <w:shd w:val="clear" w:color="000000" w:fill="DDEBF7"/>
            <w:vAlign w:val="center"/>
            <w:hideMark/>
          </w:tcPr>
          <w:p w14:paraId="271CBC42" w14:textId="77777777" w:rsidR="00F32508" w:rsidRPr="00EC0FB5" w:rsidRDefault="00F32508" w:rsidP="00F32508">
            <w:pPr>
              <w:spacing w:after="0" w:line="240" w:lineRule="auto"/>
              <w:rPr>
                <w:rFonts w:ascii="Arial Narrow" w:eastAsia="Times New Roman" w:hAnsi="Arial Narrow" w:cs="Calibri"/>
                <w:b/>
                <w:bCs/>
                <w:i/>
                <w:iCs/>
                <w:color w:val="000000"/>
                <w:sz w:val="20"/>
                <w:szCs w:val="20"/>
                <w:lang w:eastAsia="sk-SK"/>
              </w:rPr>
            </w:pPr>
            <w:r w:rsidRPr="00EC0FB5">
              <w:rPr>
                <w:rFonts w:ascii="Arial Narrow" w:eastAsia="Times New Roman" w:hAnsi="Arial Narrow" w:cs="Calibri"/>
                <w:b/>
                <w:bCs/>
                <w:i/>
                <w:iCs/>
                <w:color w:val="000000"/>
                <w:sz w:val="20"/>
                <w:szCs w:val="20"/>
                <w:lang w:eastAsia="sk-SK"/>
              </w:rPr>
              <w:t>Rast čistých výdavkov (fiškálna trajektória)</w:t>
            </w:r>
          </w:p>
        </w:tc>
        <w:tc>
          <w:tcPr>
            <w:tcW w:w="760" w:type="dxa"/>
            <w:tcBorders>
              <w:top w:val="nil"/>
              <w:left w:val="nil"/>
              <w:bottom w:val="single" w:sz="4" w:space="0" w:color="auto"/>
              <w:right w:val="nil"/>
            </w:tcBorders>
            <w:shd w:val="clear" w:color="000000" w:fill="DDEBF7"/>
            <w:noWrap/>
            <w:vAlign w:val="center"/>
            <w:hideMark/>
          </w:tcPr>
          <w:p w14:paraId="146F0519" w14:textId="2DE3B8A6" w:rsidR="00F32508" w:rsidRPr="00EC0FB5" w:rsidRDefault="00F32508" w:rsidP="00F32508">
            <w:pPr>
              <w:spacing w:after="0" w:line="240" w:lineRule="auto"/>
              <w:jc w:val="center"/>
              <w:rPr>
                <w:rFonts w:ascii="Arial Narrow" w:eastAsia="Times New Roman" w:hAnsi="Arial Narrow" w:cs="Calibri"/>
                <w:b/>
                <w:bCs/>
                <w:i/>
                <w:iCs/>
                <w:color w:val="000000"/>
                <w:sz w:val="20"/>
                <w:szCs w:val="20"/>
                <w:lang w:eastAsia="sk-SK"/>
              </w:rPr>
            </w:pPr>
            <w:r w:rsidRPr="00EC0FB5">
              <w:rPr>
                <w:rFonts w:ascii="Arial Narrow" w:eastAsia="Times New Roman" w:hAnsi="Arial Narrow" w:cs="Calibri"/>
                <w:b/>
                <w:bCs/>
                <w:i/>
                <w:iCs/>
                <w:color w:val="000000"/>
                <w:sz w:val="20"/>
                <w:szCs w:val="20"/>
                <w:lang w:eastAsia="sk-SK"/>
              </w:rPr>
              <w:t>3,8</w:t>
            </w:r>
            <w:r w:rsidR="00E229CF">
              <w:rPr>
                <w:rFonts w:ascii="Arial Narrow" w:eastAsia="Times New Roman" w:hAnsi="Arial Narrow" w:cs="Calibri"/>
                <w:b/>
                <w:bCs/>
                <w:i/>
                <w:iCs/>
                <w:color w:val="000000"/>
                <w:sz w:val="20"/>
                <w:szCs w:val="20"/>
                <w:lang w:eastAsia="sk-SK"/>
              </w:rPr>
              <w:t xml:space="preserve"> </w:t>
            </w:r>
            <w:r w:rsidRPr="00EC0FB5">
              <w:rPr>
                <w:rFonts w:ascii="Arial Narrow" w:eastAsia="Times New Roman" w:hAnsi="Arial Narrow" w:cs="Calibri"/>
                <w:b/>
                <w:bCs/>
                <w:i/>
                <w:iCs/>
                <w:color w:val="000000"/>
                <w:sz w:val="20"/>
                <w:szCs w:val="20"/>
                <w:lang w:eastAsia="sk-SK"/>
              </w:rPr>
              <w:t>%</w:t>
            </w:r>
          </w:p>
        </w:tc>
        <w:tc>
          <w:tcPr>
            <w:tcW w:w="760" w:type="dxa"/>
            <w:tcBorders>
              <w:top w:val="nil"/>
              <w:left w:val="nil"/>
              <w:bottom w:val="single" w:sz="4" w:space="0" w:color="auto"/>
              <w:right w:val="nil"/>
            </w:tcBorders>
            <w:shd w:val="clear" w:color="000000" w:fill="DDEBF7"/>
            <w:noWrap/>
            <w:vAlign w:val="center"/>
            <w:hideMark/>
          </w:tcPr>
          <w:p w14:paraId="022350C0" w14:textId="4010F588" w:rsidR="00F32508" w:rsidRPr="00EC0FB5" w:rsidRDefault="00F32508" w:rsidP="00F32508">
            <w:pPr>
              <w:spacing w:after="0" w:line="240" w:lineRule="auto"/>
              <w:jc w:val="center"/>
              <w:rPr>
                <w:rFonts w:ascii="Arial Narrow" w:eastAsia="Times New Roman" w:hAnsi="Arial Narrow" w:cs="Calibri"/>
                <w:b/>
                <w:bCs/>
                <w:i/>
                <w:iCs/>
                <w:color w:val="000000"/>
                <w:sz w:val="20"/>
                <w:szCs w:val="20"/>
                <w:lang w:eastAsia="sk-SK"/>
              </w:rPr>
            </w:pPr>
            <w:r w:rsidRPr="00EC0FB5">
              <w:rPr>
                <w:rFonts w:ascii="Arial Narrow" w:eastAsia="Times New Roman" w:hAnsi="Arial Narrow" w:cs="Calibri"/>
                <w:b/>
                <w:bCs/>
                <w:i/>
                <w:iCs/>
                <w:color w:val="000000"/>
                <w:sz w:val="20"/>
                <w:szCs w:val="20"/>
                <w:lang w:eastAsia="sk-SK"/>
              </w:rPr>
              <w:t>0,9</w:t>
            </w:r>
            <w:r w:rsidR="00E229CF">
              <w:rPr>
                <w:rFonts w:ascii="Arial Narrow" w:eastAsia="Times New Roman" w:hAnsi="Arial Narrow" w:cs="Calibri"/>
                <w:b/>
                <w:bCs/>
                <w:i/>
                <w:iCs/>
                <w:color w:val="000000"/>
                <w:sz w:val="20"/>
                <w:szCs w:val="20"/>
                <w:lang w:eastAsia="sk-SK"/>
              </w:rPr>
              <w:t xml:space="preserve"> </w:t>
            </w:r>
            <w:r w:rsidRPr="00EC0FB5">
              <w:rPr>
                <w:rFonts w:ascii="Arial Narrow" w:eastAsia="Times New Roman" w:hAnsi="Arial Narrow" w:cs="Calibri"/>
                <w:b/>
                <w:bCs/>
                <w:i/>
                <w:iCs/>
                <w:color w:val="000000"/>
                <w:sz w:val="20"/>
                <w:szCs w:val="20"/>
                <w:lang w:eastAsia="sk-SK"/>
              </w:rPr>
              <w:t>%</w:t>
            </w:r>
          </w:p>
        </w:tc>
        <w:tc>
          <w:tcPr>
            <w:tcW w:w="760" w:type="dxa"/>
            <w:tcBorders>
              <w:top w:val="nil"/>
              <w:left w:val="nil"/>
              <w:bottom w:val="single" w:sz="4" w:space="0" w:color="auto"/>
              <w:right w:val="nil"/>
            </w:tcBorders>
            <w:shd w:val="clear" w:color="000000" w:fill="DDEBF7"/>
            <w:noWrap/>
            <w:vAlign w:val="center"/>
            <w:hideMark/>
          </w:tcPr>
          <w:p w14:paraId="1FDD7FDD" w14:textId="4C1BF566" w:rsidR="00F32508" w:rsidRPr="00EC0FB5" w:rsidRDefault="00F32508" w:rsidP="00F32508">
            <w:pPr>
              <w:spacing w:after="0" w:line="240" w:lineRule="auto"/>
              <w:jc w:val="center"/>
              <w:rPr>
                <w:rFonts w:ascii="Arial Narrow" w:eastAsia="Times New Roman" w:hAnsi="Arial Narrow" w:cs="Calibri"/>
                <w:b/>
                <w:bCs/>
                <w:i/>
                <w:iCs/>
                <w:color w:val="000000"/>
                <w:sz w:val="20"/>
                <w:szCs w:val="20"/>
                <w:lang w:eastAsia="sk-SK"/>
              </w:rPr>
            </w:pPr>
            <w:r w:rsidRPr="00EC0FB5">
              <w:rPr>
                <w:rFonts w:ascii="Arial Narrow" w:eastAsia="Times New Roman" w:hAnsi="Arial Narrow" w:cs="Calibri"/>
                <w:b/>
                <w:bCs/>
                <w:i/>
                <w:iCs/>
                <w:color w:val="000000"/>
                <w:sz w:val="20"/>
                <w:szCs w:val="20"/>
                <w:lang w:eastAsia="sk-SK"/>
              </w:rPr>
              <w:t>1,6</w:t>
            </w:r>
            <w:r w:rsidR="00E229CF">
              <w:rPr>
                <w:rFonts w:ascii="Arial Narrow" w:eastAsia="Times New Roman" w:hAnsi="Arial Narrow" w:cs="Calibri"/>
                <w:b/>
                <w:bCs/>
                <w:i/>
                <w:iCs/>
                <w:color w:val="000000"/>
                <w:sz w:val="20"/>
                <w:szCs w:val="20"/>
                <w:lang w:eastAsia="sk-SK"/>
              </w:rPr>
              <w:t xml:space="preserve"> </w:t>
            </w:r>
            <w:r w:rsidRPr="00EC0FB5">
              <w:rPr>
                <w:rFonts w:ascii="Arial Narrow" w:eastAsia="Times New Roman" w:hAnsi="Arial Narrow" w:cs="Calibri"/>
                <w:b/>
                <w:bCs/>
                <w:i/>
                <w:iCs/>
                <w:color w:val="000000"/>
                <w:sz w:val="20"/>
                <w:szCs w:val="20"/>
                <w:lang w:eastAsia="sk-SK"/>
              </w:rPr>
              <w:t>%</w:t>
            </w:r>
          </w:p>
        </w:tc>
        <w:tc>
          <w:tcPr>
            <w:tcW w:w="760" w:type="dxa"/>
            <w:tcBorders>
              <w:top w:val="nil"/>
              <w:left w:val="nil"/>
              <w:bottom w:val="single" w:sz="4" w:space="0" w:color="auto"/>
              <w:right w:val="nil"/>
            </w:tcBorders>
            <w:shd w:val="clear" w:color="000000" w:fill="DDEBF7"/>
            <w:noWrap/>
            <w:vAlign w:val="center"/>
            <w:hideMark/>
          </w:tcPr>
          <w:p w14:paraId="0F7EF7EA" w14:textId="69345A86" w:rsidR="00F32508" w:rsidRPr="00EC0FB5" w:rsidRDefault="00F32508" w:rsidP="00F32508">
            <w:pPr>
              <w:spacing w:after="0" w:line="240" w:lineRule="auto"/>
              <w:jc w:val="center"/>
              <w:rPr>
                <w:rFonts w:ascii="Arial Narrow" w:eastAsia="Times New Roman" w:hAnsi="Arial Narrow" w:cs="Calibri"/>
                <w:b/>
                <w:bCs/>
                <w:i/>
                <w:iCs/>
                <w:color w:val="000000"/>
                <w:sz w:val="20"/>
                <w:szCs w:val="20"/>
                <w:lang w:eastAsia="sk-SK"/>
              </w:rPr>
            </w:pPr>
            <w:r w:rsidRPr="00EC0FB5">
              <w:rPr>
                <w:rFonts w:ascii="Arial Narrow" w:eastAsia="Times New Roman" w:hAnsi="Arial Narrow" w:cs="Calibri"/>
                <w:b/>
                <w:bCs/>
                <w:i/>
                <w:iCs/>
                <w:color w:val="000000"/>
                <w:sz w:val="20"/>
                <w:szCs w:val="20"/>
                <w:lang w:eastAsia="sk-SK"/>
              </w:rPr>
              <w:t>1,5</w:t>
            </w:r>
            <w:r w:rsidR="00E229CF">
              <w:rPr>
                <w:rFonts w:ascii="Arial Narrow" w:eastAsia="Times New Roman" w:hAnsi="Arial Narrow" w:cs="Calibri"/>
                <w:b/>
                <w:bCs/>
                <w:i/>
                <w:iCs/>
                <w:color w:val="000000"/>
                <w:sz w:val="20"/>
                <w:szCs w:val="20"/>
                <w:lang w:eastAsia="sk-SK"/>
              </w:rPr>
              <w:t xml:space="preserve"> </w:t>
            </w:r>
            <w:r w:rsidRPr="00EC0FB5">
              <w:rPr>
                <w:rFonts w:ascii="Arial Narrow" w:eastAsia="Times New Roman" w:hAnsi="Arial Narrow" w:cs="Calibri"/>
                <w:b/>
                <w:bCs/>
                <w:i/>
                <w:iCs/>
                <w:color w:val="000000"/>
                <w:sz w:val="20"/>
                <w:szCs w:val="20"/>
                <w:lang w:eastAsia="sk-SK"/>
              </w:rPr>
              <w:t>%</w:t>
            </w:r>
          </w:p>
        </w:tc>
        <w:tc>
          <w:tcPr>
            <w:tcW w:w="1300" w:type="dxa"/>
            <w:tcBorders>
              <w:top w:val="nil"/>
              <w:left w:val="single" w:sz="4" w:space="0" w:color="auto"/>
              <w:bottom w:val="single" w:sz="4" w:space="0" w:color="auto"/>
              <w:right w:val="nil"/>
            </w:tcBorders>
            <w:shd w:val="clear" w:color="000000" w:fill="DDEBF7"/>
            <w:noWrap/>
            <w:vAlign w:val="center"/>
            <w:hideMark/>
          </w:tcPr>
          <w:p w14:paraId="14F98016" w14:textId="24C312C7" w:rsidR="00F32508" w:rsidRPr="00EC0FB5" w:rsidRDefault="00F32508" w:rsidP="00F32508">
            <w:pPr>
              <w:spacing w:after="0" w:line="240" w:lineRule="auto"/>
              <w:jc w:val="center"/>
              <w:rPr>
                <w:rFonts w:ascii="Arial Narrow" w:eastAsia="Times New Roman" w:hAnsi="Arial Narrow" w:cs="Calibri"/>
                <w:b/>
                <w:bCs/>
                <w:i/>
                <w:iCs/>
                <w:color w:val="000000"/>
                <w:sz w:val="20"/>
                <w:szCs w:val="20"/>
                <w:lang w:eastAsia="sk-SK"/>
              </w:rPr>
            </w:pPr>
            <w:r w:rsidRPr="00EC0FB5">
              <w:rPr>
                <w:rFonts w:ascii="Arial Narrow" w:eastAsia="Times New Roman" w:hAnsi="Arial Narrow" w:cs="Calibri"/>
                <w:b/>
                <w:bCs/>
                <w:i/>
                <w:iCs/>
                <w:color w:val="000000"/>
                <w:sz w:val="20"/>
                <w:szCs w:val="20"/>
                <w:lang w:eastAsia="sk-SK"/>
              </w:rPr>
              <w:t>8,1</w:t>
            </w:r>
            <w:r w:rsidR="00E229CF">
              <w:rPr>
                <w:rFonts w:ascii="Arial Narrow" w:eastAsia="Times New Roman" w:hAnsi="Arial Narrow" w:cs="Calibri"/>
                <w:b/>
                <w:bCs/>
                <w:i/>
                <w:iCs/>
                <w:color w:val="000000"/>
                <w:sz w:val="20"/>
                <w:szCs w:val="20"/>
                <w:lang w:eastAsia="sk-SK"/>
              </w:rPr>
              <w:t xml:space="preserve"> </w:t>
            </w:r>
            <w:r w:rsidRPr="00EC0FB5">
              <w:rPr>
                <w:rFonts w:ascii="Arial Narrow" w:eastAsia="Times New Roman" w:hAnsi="Arial Narrow" w:cs="Calibri"/>
                <w:b/>
                <w:bCs/>
                <w:i/>
                <w:iCs/>
                <w:color w:val="000000"/>
                <w:sz w:val="20"/>
                <w:szCs w:val="20"/>
                <w:lang w:eastAsia="sk-SK"/>
              </w:rPr>
              <w:t>%</w:t>
            </w:r>
          </w:p>
        </w:tc>
      </w:tr>
    </w:tbl>
    <w:p w14:paraId="7CD2B14C" w14:textId="24C87CA5" w:rsidR="00F32508" w:rsidRDefault="00F32508" w:rsidP="00C36AA2">
      <w:pPr>
        <w:widowControl w:val="0"/>
        <w:spacing w:before="40" w:after="40"/>
        <w:ind w:left="5664" w:firstLine="708"/>
        <w:jc w:val="center"/>
      </w:pPr>
      <w:r w:rsidRPr="00EC0FB5">
        <w:rPr>
          <w:rFonts w:ascii="Arial Narrow" w:hAnsi="Arial Narrow"/>
          <w:i/>
          <w:sz w:val="16"/>
          <w:szCs w:val="16"/>
        </w:rPr>
        <w:t>Zdroj: EK, MF SR</w:t>
      </w:r>
    </w:p>
    <w:p w14:paraId="7F845BB0" w14:textId="77777777" w:rsidR="00F32508" w:rsidRDefault="00F32508" w:rsidP="00F32508">
      <w:pPr>
        <w:spacing w:line="276" w:lineRule="auto"/>
        <w:rPr>
          <w:rFonts w:ascii="Arial Narrow" w:hAnsi="Arial Narrow"/>
          <w:b/>
          <w:color w:val="2C9ADC"/>
          <w:sz w:val="20"/>
          <w:szCs w:val="20"/>
        </w:rPr>
      </w:pPr>
    </w:p>
    <w:p w14:paraId="5E5EBB68" w14:textId="05F40D75" w:rsidR="00F32508" w:rsidRDefault="00F32508" w:rsidP="00EC0FB5">
      <w:pPr>
        <w:spacing w:line="276" w:lineRule="auto"/>
        <w:rPr>
          <w:rFonts w:ascii="Arial Narrow" w:hAnsi="Arial Narrow"/>
          <w:i/>
          <w:sz w:val="16"/>
          <w:szCs w:val="16"/>
        </w:rPr>
      </w:pPr>
      <w:bookmarkStart w:id="23" w:name="_Toc179814670"/>
      <w:r w:rsidRPr="005516F4">
        <w:rPr>
          <w:rFonts w:ascii="Arial Narrow" w:hAnsi="Arial Narrow"/>
          <w:b/>
          <w:color w:val="2C9ADC"/>
          <w:sz w:val="20"/>
          <w:szCs w:val="20"/>
        </w:rPr>
        <w:t xml:space="preserve">GRAF </w:t>
      </w:r>
      <w:r w:rsidRPr="005516F4">
        <w:rPr>
          <w:rFonts w:ascii="Arial Narrow" w:hAnsi="Arial Narrow"/>
          <w:b/>
          <w:color w:val="2C9ADC"/>
          <w:sz w:val="20"/>
          <w:szCs w:val="20"/>
        </w:rPr>
        <w:fldChar w:fldCharType="begin"/>
      </w:r>
      <w:r w:rsidRPr="005516F4">
        <w:rPr>
          <w:rFonts w:ascii="Arial Narrow" w:hAnsi="Arial Narrow"/>
          <w:b/>
          <w:color w:val="2C9ADC"/>
          <w:sz w:val="20"/>
          <w:szCs w:val="20"/>
        </w:rPr>
        <w:instrText xml:space="preserve"> SEQ GRAF \* ARABIC </w:instrText>
      </w:r>
      <w:r w:rsidRPr="005516F4">
        <w:rPr>
          <w:rFonts w:ascii="Arial Narrow" w:hAnsi="Arial Narrow"/>
          <w:b/>
          <w:color w:val="2C9ADC"/>
          <w:sz w:val="20"/>
          <w:szCs w:val="20"/>
        </w:rPr>
        <w:fldChar w:fldCharType="separate"/>
      </w:r>
      <w:r w:rsidR="007A664D">
        <w:rPr>
          <w:rFonts w:ascii="Arial Narrow" w:hAnsi="Arial Narrow"/>
          <w:b/>
          <w:noProof/>
          <w:color w:val="2C9ADC"/>
          <w:sz w:val="20"/>
          <w:szCs w:val="20"/>
        </w:rPr>
        <w:t>11</w:t>
      </w:r>
      <w:r w:rsidRPr="005516F4">
        <w:rPr>
          <w:rFonts w:ascii="Arial Narrow" w:hAnsi="Arial Narrow"/>
          <w:b/>
          <w:color w:val="2C9ADC"/>
          <w:sz w:val="20"/>
          <w:szCs w:val="20"/>
        </w:rPr>
        <w:fldChar w:fldCharType="end"/>
      </w:r>
      <w:r w:rsidRPr="005516F4">
        <w:rPr>
          <w:rFonts w:ascii="Arial Narrow" w:hAnsi="Arial Narrow"/>
          <w:b/>
          <w:color w:val="2C9ADC"/>
          <w:sz w:val="20"/>
          <w:szCs w:val="20"/>
        </w:rPr>
        <w:t xml:space="preserve"> – </w:t>
      </w:r>
      <w:r>
        <w:rPr>
          <w:rFonts w:ascii="Arial Narrow" w:hAnsi="Arial Narrow"/>
          <w:b/>
          <w:color w:val="2C9ADC"/>
          <w:sz w:val="20"/>
          <w:szCs w:val="20"/>
        </w:rPr>
        <w:t xml:space="preserve">Národné </w:t>
      </w:r>
      <w:r w:rsidR="00C01132">
        <w:rPr>
          <w:rFonts w:ascii="Arial Narrow" w:hAnsi="Arial Narrow"/>
          <w:b/>
          <w:color w:val="2C9ADC"/>
          <w:sz w:val="20"/>
          <w:szCs w:val="20"/>
        </w:rPr>
        <w:t>výdavky*</w:t>
      </w:r>
      <w:r w:rsidR="00C01132">
        <w:rPr>
          <w:rFonts w:ascii="Arial Narrow" w:eastAsia="NeueHaasGroteskText W02" w:hAnsi="Arial Narrow" w:cs="Arial"/>
          <w:b/>
          <w:bCs/>
          <w:color w:val="2C9ADC"/>
          <w:sz w:val="20"/>
          <w:szCs w:val="20"/>
          <w:u w:color="2C9ADC"/>
        </w:rPr>
        <w:t xml:space="preserve"> </w:t>
      </w:r>
      <w:r>
        <w:rPr>
          <w:rFonts w:ascii="Arial Narrow" w:eastAsia="NeueHaasGroteskText W02" w:hAnsi="Arial Narrow" w:cs="Arial"/>
          <w:b/>
          <w:bCs/>
          <w:color w:val="2C9ADC"/>
          <w:sz w:val="20"/>
          <w:szCs w:val="20"/>
          <w:u w:color="2C9ADC"/>
        </w:rPr>
        <w:t>do obrany do roku 2027</w:t>
      </w:r>
      <w:r w:rsidRPr="005516F4">
        <w:rPr>
          <w:rFonts w:ascii="Arial Narrow" w:eastAsia="NeueHaasGroteskText W02" w:hAnsi="Arial Narrow" w:cs="Arial"/>
          <w:b/>
          <w:bCs/>
          <w:color w:val="2C9ADC"/>
          <w:sz w:val="20"/>
          <w:szCs w:val="20"/>
          <w:u w:color="2C9ADC"/>
        </w:rPr>
        <w:t xml:space="preserve"> (</w:t>
      </w:r>
      <w:r>
        <w:rPr>
          <w:rFonts w:ascii="Arial Narrow" w:eastAsia="NeueHaasGroteskText W02" w:hAnsi="Arial Narrow" w:cs="Arial"/>
          <w:b/>
          <w:bCs/>
          <w:color w:val="2C9ADC"/>
          <w:sz w:val="20"/>
          <w:szCs w:val="20"/>
          <w:u w:color="2C9ADC"/>
        </w:rPr>
        <w:t xml:space="preserve">ESA 2010, </w:t>
      </w:r>
      <w:r w:rsidRPr="005516F4">
        <w:rPr>
          <w:rFonts w:ascii="Arial Narrow" w:eastAsia="NeueHaasGroteskText W02" w:hAnsi="Arial Narrow" w:cs="Arial"/>
          <w:b/>
          <w:bCs/>
          <w:color w:val="2C9ADC"/>
          <w:sz w:val="20"/>
          <w:szCs w:val="20"/>
          <w:u w:color="2C9ADC"/>
        </w:rPr>
        <w:t>% HDP)</w:t>
      </w:r>
      <w:r w:rsidRPr="00F32508">
        <w:rPr>
          <w:noProof/>
        </w:rPr>
        <w:t xml:space="preserve"> </w:t>
      </w:r>
      <w:r>
        <w:rPr>
          <w:noProof/>
          <w:lang w:eastAsia="sk-SK"/>
        </w:rPr>
        <w:drawing>
          <wp:inline distT="0" distB="0" distL="0" distR="0" wp14:anchorId="68CA7268" wp14:editId="600D8F04">
            <wp:extent cx="5501030" cy="2128723"/>
            <wp:effectExtent l="0" t="0" r="4445" b="5080"/>
            <wp:docPr id="1873455455" name="Graf 1873455455">
              <a:extLst xmlns:a="http://schemas.openxmlformats.org/drawingml/2006/main">
                <a:ext uri="{FF2B5EF4-FFF2-40B4-BE49-F238E27FC236}">
                  <a16:creationId xmlns:a16="http://schemas.microsoft.com/office/drawing/2014/main" id="{9F4E1951-F5DA-0267-CE4E-6ED7250269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bookmarkEnd w:id="23"/>
    </w:p>
    <w:p w14:paraId="7A2B870A" w14:textId="29356A86" w:rsidR="00F6360F" w:rsidRDefault="00F6360F" w:rsidP="00F6360F">
      <w:pPr>
        <w:spacing w:after="0"/>
        <w:jc w:val="right"/>
        <w:rPr>
          <w:rFonts w:ascii="Arial Narrow" w:hAnsi="Arial Narrow"/>
          <w:i/>
          <w:iCs/>
          <w:sz w:val="16"/>
          <w:szCs w:val="16"/>
        </w:rPr>
      </w:pPr>
      <w:r>
        <w:rPr>
          <w:rFonts w:ascii="Arial Narrow" w:hAnsi="Arial Narrow"/>
          <w:i/>
          <w:iCs/>
          <w:sz w:val="16"/>
          <w:szCs w:val="16"/>
        </w:rPr>
        <w:t>Zdroj: MF SR</w:t>
      </w:r>
    </w:p>
    <w:p w14:paraId="040031BA" w14:textId="4DE6252B" w:rsidR="00F32508" w:rsidRDefault="00C01132" w:rsidP="00F6360F">
      <w:pPr>
        <w:jc w:val="both"/>
        <w:rPr>
          <w:rFonts w:ascii="Arial Narrow" w:hAnsi="Arial Narrow"/>
          <w:i/>
          <w:iCs/>
          <w:sz w:val="16"/>
          <w:szCs w:val="16"/>
        </w:rPr>
      </w:pPr>
      <w:r w:rsidRPr="00F6360F">
        <w:rPr>
          <w:rFonts w:ascii="Arial Narrow" w:hAnsi="Arial Narrow"/>
          <w:i/>
          <w:iCs/>
          <w:sz w:val="16"/>
          <w:szCs w:val="16"/>
        </w:rPr>
        <w:t>* Akrualizácia</w:t>
      </w:r>
      <w:r w:rsidR="008479D3" w:rsidRPr="00F6360F">
        <w:rPr>
          <w:rFonts w:ascii="Arial Narrow" w:hAnsi="Arial Narrow"/>
          <w:i/>
          <w:iCs/>
          <w:sz w:val="16"/>
          <w:szCs w:val="16"/>
        </w:rPr>
        <w:t xml:space="preserve"> vyjadruje rozdiel medzi akruálnymi (v metodike </w:t>
      </w:r>
      <w:r w:rsidRPr="00F6360F">
        <w:rPr>
          <w:rFonts w:ascii="Arial Narrow" w:hAnsi="Arial Narrow"/>
          <w:i/>
          <w:iCs/>
          <w:sz w:val="16"/>
          <w:szCs w:val="16"/>
        </w:rPr>
        <w:t>ESA 2010</w:t>
      </w:r>
      <w:r w:rsidR="008479D3" w:rsidRPr="00F6360F">
        <w:rPr>
          <w:rFonts w:ascii="Arial Narrow" w:hAnsi="Arial Narrow"/>
          <w:i/>
          <w:iCs/>
          <w:sz w:val="16"/>
          <w:szCs w:val="16"/>
        </w:rPr>
        <w:t>)</w:t>
      </w:r>
      <w:r w:rsidRPr="00F6360F">
        <w:rPr>
          <w:rFonts w:ascii="Arial Narrow" w:hAnsi="Arial Narrow"/>
          <w:i/>
          <w:iCs/>
          <w:sz w:val="16"/>
          <w:szCs w:val="16"/>
        </w:rPr>
        <w:t xml:space="preserve"> </w:t>
      </w:r>
      <w:r w:rsidR="008479D3" w:rsidRPr="00F6360F">
        <w:rPr>
          <w:rFonts w:ascii="Arial Narrow" w:hAnsi="Arial Narrow"/>
          <w:i/>
          <w:iCs/>
          <w:sz w:val="16"/>
          <w:szCs w:val="16"/>
        </w:rPr>
        <w:t xml:space="preserve">a hotovostnými </w:t>
      </w:r>
      <w:r w:rsidRPr="00F6360F">
        <w:rPr>
          <w:rFonts w:ascii="Arial Narrow" w:hAnsi="Arial Narrow"/>
          <w:i/>
          <w:iCs/>
          <w:sz w:val="16"/>
          <w:szCs w:val="16"/>
        </w:rPr>
        <w:t>výdavk</w:t>
      </w:r>
      <w:r w:rsidR="008479D3" w:rsidRPr="00F6360F">
        <w:rPr>
          <w:rFonts w:ascii="Arial Narrow" w:hAnsi="Arial Narrow"/>
          <w:i/>
          <w:iCs/>
          <w:sz w:val="16"/>
          <w:szCs w:val="16"/>
        </w:rPr>
        <w:t>ami</w:t>
      </w:r>
      <w:r w:rsidRPr="00F6360F">
        <w:rPr>
          <w:rFonts w:ascii="Arial Narrow" w:hAnsi="Arial Narrow"/>
          <w:i/>
          <w:iCs/>
          <w:sz w:val="16"/>
          <w:szCs w:val="16"/>
        </w:rPr>
        <w:t xml:space="preserve"> na vojenskú techniku (</w:t>
      </w:r>
      <w:r w:rsidR="008479D3" w:rsidRPr="00F6360F">
        <w:rPr>
          <w:rFonts w:ascii="Arial Narrow" w:hAnsi="Arial Narrow"/>
          <w:i/>
          <w:iCs/>
          <w:sz w:val="16"/>
          <w:szCs w:val="16"/>
        </w:rPr>
        <w:t>detailnejšie</w:t>
      </w:r>
      <w:r w:rsidRPr="00F6360F">
        <w:rPr>
          <w:rFonts w:ascii="Arial Narrow" w:hAnsi="Arial Narrow"/>
          <w:i/>
          <w:iCs/>
          <w:sz w:val="16"/>
          <w:szCs w:val="16"/>
        </w:rPr>
        <w:t xml:space="preserve"> členenie na kapitálové a bežné </w:t>
      </w:r>
      <w:r w:rsidR="008479D3" w:rsidRPr="00F6360F">
        <w:rPr>
          <w:rFonts w:ascii="Arial Narrow" w:hAnsi="Arial Narrow"/>
          <w:i/>
          <w:iCs/>
          <w:sz w:val="16"/>
          <w:szCs w:val="16"/>
        </w:rPr>
        <w:t xml:space="preserve">výdavky </w:t>
      </w:r>
      <w:r w:rsidRPr="00F6360F">
        <w:rPr>
          <w:rFonts w:ascii="Arial Narrow" w:hAnsi="Arial Narrow"/>
          <w:i/>
          <w:iCs/>
          <w:sz w:val="16"/>
          <w:szCs w:val="16"/>
        </w:rPr>
        <w:t xml:space="preserve">nie </w:t>
      </w:r>
      <w:r w:rsidR="008479D3" w:rsidRPr="00F6360F">
        <w:rPr>
          <w:rFonts w:ascii="Arial Narrow" w:hAnsi="Arial Narrow"/>
          <w:i/>
          <w:iCs/>
          <w:sz w:val="16"/>
          <w:szCs w:val="16"/>
        </w:rPr>
        <w:t xml:space="preserve">je </w:t>
      </w:r>
      <w:r w:rsidRPr="00F6360F">
        <w:rPr>
          <w:rFonts w:ascii="Arial Narrow" w:hAnsi="Arial Narrow"/>
          <w:i/>
          <w:iCs/>
          <w:sz w:val="16"/>
          <w:szCs w:val="16"/>
        </w:rPr>
        <w:t xml:space="preserve">z dôvodu citlivosti informácii sprístupnené, ale vecne sa </w:t>
      </w:r>
      <w:r w:rsidR="008479D3" w:rsidRPr="00F6360F">
        <w:rPr>
          <w:rFonts w:ascii="Arial Narrow" w:hAnsi="Arial Narrow"/>
          <w:i/>
          <w:iCs/>
          <w:sz w:val="16"/>
          <w:szCs w:val="16"/>
        </w:rPr>
        <w:t xml:space="preserve">rozdiel z akrualizácie </w:t>
      </w:r>
      <w:r w:rsidRPr="00F6360F">
        <w:rPr>
          <w:rFonts w:ascii="Arial Narrow" w:hAnsi="Arial Narrow"/>
          <w:i/>
          <w:iCs/>
          <w:sz w:val="16"/>
          <w:szCs w:val="16"/>
        </w:rPr>
        <w:t>týka kapitálových výdavkov). Pri tomto zjednodušení kapitálové výdavky v sektore obrany rastú medzi rokom 2024 a 2025 o 1,035 mld</w:t>
      </w:r>
      <w:r w:rsidR="008479D3" w:rsidRPr="00F6360F">
        <w:rPr>
          <w:rFonts w:ascii="Arial Narrow" w:hAnsi="Arial Narrow"/>
          <w:i/>
          <w:iCs/>
          <w:sz w:val="16"/>
          <w:szCs w:val="16"/>
        </w:rPr>
        <w:t>.</w:t>
      </w:r>
      <w:r w:rsidRPr="00F6360F">
        <w:rPr>
          <w:rFonts w:ascii="Arial Narrow" w:hAnsi="Arial Narrow"/>
          <w:i/>
          <w:iCs/>
          <w:sz w:val="16"/>
          <w:szCs w:val="16"/>
        </w:rPr>
        <w:t xml:space="preserve"> eur, a teda približne vysvetľujú celý nárast výdavkov v obrane.</w:t>
      </w:r>
    </w:p>
    <w:p w14:paraId="6D7446E6" w14:textId="20D0D354" w:rsidR="00F6360F" w:rsidRDefault="00F6360F">
      <w:pPr>
        <w:rPr>
          <w:rFonts w:ascii="Arial Narrow" w:hAnsi="Arial Narrow"/>
          <w:i/>
          <w:iCs/>
          <w:sz w:val="16"/>
          <w:szCs w:val="16"/>
        </w:rPr>
      </w:pPr>
      <w:r>
        <w:rPr>
          <w:rFonts w:ascii="Arial Narrow" w:hAnsi="Arial Narrow"/>
          <w:i/>
          <w:iCs/>
          <w:sz w:val="16"/>
          <w:szCs w:val="16"/>
        </w:rPr>
        <w:br w:type="page"/>
      </w:r>
    </w:p>
    <w:p w14:paraId="5C7209E2" w14:textId="1E0988D7" w:rsidR="002A0289" w:rsidRDefault="002A0289" w:rsidP="002A0289">
      <w:pPr>
        <w:pStyle w:val="Nadpis1"/>
        <w:numPr>
          <w:ilvl w:val="0"/>
          <w:numId w:val="8"/>
        </w:numPr>
        <w:tabs>
          <w:tab w:val="num" w:pos="0"/>
          <w:tab w:val="num" w:pos="360"/>
        </w:tabs>
        <w:spacing w:after="0"/>
        <w:ind w:left="680" w:hanging="680"/>
        <w:rPr>
          <w:rFonts w:cs="Arial Narrow"/>
          <w:color w:val="2C9ADC"/>
          <w:szCs w:val="28"/>
        </w:rPr>
      </w:pPr>
      <w:bookmarkStart w:id="24" w:name="_Toc179197928"/>
      <w:bookmarkStart w:id="25" w:name="_Toc179814985"/>
      <w:bookmarkEnd w:id="24"/>
      <w:r>
        <w:rPr>
          <w:rFonts w:cs="Arial Narrow"/>
          <w:color w:val="2C9ADC"/>
          <w:szCs w:val="28"/>
        </w:rPr>
        <w:lastRenderedPageBreak/>
        <w:t>Špecifikácia opatren</w:t>
      </w:r>
      <w:r w:rsidR="00F67FC8">
        <w:rPr>
          <w:rFonts w:cs="Arial Narrow"/>
          <w:color w:val="2C9ADC"/>
          <w:szCs w:val="28"/>
        </w:rPr>
        <w:t>í</w:t>
      </w:r>
      <w:r>
        <w:rPr>
          <w:rFonts w:cs="Arial Narrow"/>
          <w:color w:val="2C9ADC"/>
          <w:szCs w:val="28"/>
        </w:rPr>
        <w:t xml:space="preserve"> na dosiahnutie cieľov vlády</w:t>
      </w:r>
      <w:bookmarkEnd w:id="25"/>
    </w:p>
    <w:p w14:paraId="1DF21392" w14:textId="77777777" w:rsidR="002A0289" w:rsidRPr="00F3615F" w:rsidRDefault="002A0289" w:rsidP="002A0289">
      <w:pPr>
        <w:rPr>
          <w:lang w:eastAsia="sk-SK"/>
        </w:rPr>
      </w:pPr>
    </w:p>
    <w:p w14:paraId="47F5B965" w14:textId="2D62AE7E" w:rsidR="00C36AA2" w:rsidRDefault="00C36AA2" w:rsidP="00C36AA2">
      <w:pPr>
        <w:spacing w:after="0" w:line="276" w:lineRule="auto"/>
        <w:jc w:val="both"/>
        <w:rPr>
          <w:rFonts w:ascii="Arial Narrow" w:hAnsi="Arial Narrow"/>
          <w:color w:val="00B0F0"/>
        </w:rPr>
      </w:pPr>
      <w:r>
        <w:rPr>
          <w:rFonts w:ascii="Arial Narrow" w:eastAsia="Times New Roman" w:hAnsi="Arial Narrow"/>
          <w:b/>
          <w:bCs/>
        </w:rPr>
        <w:t xml:space="preserve">Aktuálny strednodobý plán špecifikuje približne tretinu potrebnej konsolidácie zo svojho 4-ročného horizontu. </w:t>
      </w:r>
      <w:r>
        <w:rPr>
          <w:rFonts w:ascii="Arial Narrow" w:eastAsia="Times New Roman" w:hAnsi="Arial Narrow"/>
        </w:rPr>
        <w:t>V scenári bez ďalších opatrení by deficit v strednodobom horizonte postupne narastal nad 6 % HDP (</w:t>
      </w:r>
      <w:r>
        <w:rPr>
          <w:rFonts w:ascii="Arial Narrow" w:hAnsi="Arial Narrow"/>
          <w:b/>
          <w:bCs/>
          <w:color w:val="2C9ADC"/>
        </w:rPr>
        <w:t>GRAF 12</w:t>
      </w:r>
      <w:r>
        <w:rPr>
          <w:rFonts w:ascii="Arial Narrow" w:eastAsia="Times New Roman" w:hAnsi="Arial Narrow"/>
        </w:rPr>
        <w:t>). To je spôsobené najmä očakávaným postupným pomalším rastom príjmov v porovnaní s rastom HDP, čo neplatí pre vývoj výdavkov</w:t>
      </w:r>
      <w:r>
        <w:rPr>
          <w:rStyle w:val="Odkaznapoznmkupodiarou"/>
          <w:rFonts w:ascii="Arial Narrow" w:eastAsia="Times New Roman" w:hAnsi="Arial Narrow"/>
        </w:rPr>
        <w:footnoteReference w:id="14"/>
      </w:r>
      <w:r w:rsidR="005004E2">
        <w:rPr>
          <w:rFonts w:ascii="Arial Narrow" w:eastAsia="Times New Roman" w:hAnsi="Arial Narrow"/>
        </w:rPr>
        <w:t>.</w:t>
      </w:r>
      <w:r w:rsidR="006F017E">
        <w:rPr>
          <w:rFonts w:ascii="Arial Narrow" w:eastAsia="Times New Roman" w:hAnsi="Arial Narrow"/>
        </w:rPr>
        <w:t xml:space="preserve"> Ich rast navyšujú aj dávnejšie prijaté politiky ako napríklad školský zákon či zvýšenie výdavkov na vedu a výskum</w:t>
      </w:r>
      <w:r>
        <w:rPr>
          <w:rFonts w:ascii="Arial Narrow" w:eastAsia="Times New Roman" w:hAnsi="Arial Narrow"/>
        </w:rPr>
        <w:t>. Navyše, v strednodobom horizonte negatívne pôsobia aj rastúce výdavky na obsluhu dlhu, čo pramení z potreby financovania vysokých deficitov v súčasnosti, ako aj potreby refinancovania starších dlhopisov s vyššími úrokmi (</w:t>
      </w:r>
      <w:r>
        <w:rPr>
          <w:rFonts w:ascii="Arial Narrow" w:hAnsi="Arial Narrow"/>
          <w:b/>
          <w:bCs/>
          <w:color w:val="2C9ADC"/>
        </w:rPr>
        <w:t>GRAF 13</w:t>
      </w:r>
      <w:r>
        <w:rPr>
          <w:rFonts w:ascii="Arial Narrow" w:eastAsia="Times New Roman" w:hAnsi="Arial Narrow"/>
        </w:rPr>
        <w:t>). A v neposlednom rade, objem potrebných konsolidačných opatrení sa zvyšuje aj v dôsledku uvažovaného rastu obranných výdavkov (</w:t>
      </w:r>
      <w:r>
        <w:rPr>
          <w:rFonts w:ascii="Arial Narrow" w:hAnsi="Arial Narrow"/>
          <w:b/>
          <w:bCs/>
          <w:color w:val="2C9ADC"/>
        </w:rPr>
        <w:t xml:space="preserve">GRAF 11 </w:t>
      </w:r>
      <w:r>
        <w:rPr>
          <w:rFonts w:ascii="Arial Narrow" w:eastAsia="Times New Roman" w:hAnsi="Arial Narrow"/>
        </w:rPr>
        <w:t>v predchádzajúcej kapitole). Tieto faktory naopak</w:t>
      </w:r>
      <w:r w:rsidR="006F017E">
        <w:rPr>
          <w:rFonts w:ascii="Arial Narrow" w:eastAsia="Times New Roman" w:hAnsi="Arial Narrow"/>
        </w:rPr>
        <w:t xml:space="preserve"> z väčšej časti </w:t>
      </w:r>
      <w:r>
        <w:rPr>
          <w:rFonts w:ascii="Arial Narrow" w:eastAsia="Times New Roman" w:hAnsi="Arial Narrow"/>
        </w:rPr>
        <w:t xml:space="preserve">kompenzuje odznenie </w:t>
      </w:r>
      <w:r w:rsidR="006F017E">
        <w:rPr>
          <w:rFonts w:ascii="Arial Narrow" w:eastAsia="Times New Roman" w:hAnsi="Arial Narrow"/>
        </w:rPr>
        <w:t>opatrení súvisiaci</w:t>
      </w:r>
      <w:r w:rsidR="005004E2">
        <w:rPr>
          <w:rFonts w:ascii="Arial Narrow" w:eastAsia="Times New Roman" w:hAnsi="Arial Narrow"/>
        </w:rPr>
        <w:t>ch</w:t>
      </w:r>
      <w:r>
        <w:rPr>
          <w:rFonts w:ascii="Arial Narrow" w:eastAsia="Times New Roman" w:hAnsi="Arial Narrow"/>
        </w:rPr>
        <w:t xml:space="preserve"> </w:t>
      </w:r>
      <w:r w:rsidR="006F017E">
        <w:rPr>
          <w:rFonts w:ascii="Arial Narrow" w:eastAsia="Times New Roman" w:hAnsi="Arial Narrow"/>
        </w:rPr>
        <w:t xml:space="preserve">s vysokými cenami </w:t>
      </w:r>
      <w:r>
        <w:rPr>
          <w:rFonts w:ascii="Arial Narrow" w:eastAsia="Times New Roman" w:hAnsi="Arial Narrow"/>
        </w:rPr>
        <w:t xml:space="preserve">energií. Na plánované zníženie deficitu na 2,2 % HDP do roku 2028 je preto potrebný celkový objem konsolidačných opatrení až vo výške 4,4 % HDP. Vláda v rámci celkovej potreby konsolidácie už predstavila opatrenia s vplyvom na rok 2028 v objeme </w:t>
      </w:r>
      <w:r w:rsidRPr="00C84223">
        <w:rPr>
          <w:rFonts w:ascii="Arial Narrow" w:eastAsia="Times New Roman" w:hAnsi="Arial Narrow"/>
        </w:rPr>
        <w:t>1,6 %</w:t>
      </w:r>
      <w:r>
        <w:rPr>
          <w:rFonts w:ascii="Arial Narrow" w:eastAsia="Times New Roman" w:hAnsi="Arial Narrow"/>
        </w:rPr>
        <w:t xml:space="preserve"> HDP. Teda približne tretinu celkového objemu opatrení.</w:t>
      </w:r>
    </w:p>
    <w:p w14:paraId="4268F164" w14:textId="77777777" w:rsidR="00F67FC8" w:rsidRDefault="00F67FC8" w:rsidP="002A0289">
      <w:pPr>
        <w:spacing w:after="0" w:line="276" w:lineRule="auto"/>
        <w:jc w:val="both"/>
        <w:rPr>
          <w:rFonts w:ascii="Arial Narrow" w:hAnsi="Arial Narrow"/>
          <w:color w:val="00B0F0"/>
        </w:rPr>
      </w:pPr>
    </w:p>
    <w:tbl>
      <w:tblPr>
        <w:tblpPr w:leftFromText="141" w:rightFromText="141" w:vertAnchor="text" w:horzAnchor="margin" w:tblpY="61"/>
        <w:tblOverlap w:val="neve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4245"/>
        <w:gridCol w:w="146"/>
        <w:gridCol w:w="4681"/>
      </w:tblGrid>
      <w:tr w:rsidR="002A0289" w:rsidRPr="00C1586F" w14:paraId="60F48AB4" w14:textId="77777777" w:rsidTr="00616580">
        <w:trPr>
          <w:trHeight w:val="339"/>
        </w:trPr>
        <w:tc>
          <w:tcPr>
            <w:tcW w:w="2180" w:type="pct"/>
            <w:tcBorders>
              <w:top w:val="nil"/>
              <w:left w:val="nil"/>
              <w:bottom w:val="single" w:sz="4" w:space="0" w:color="auto"/>
              <w:right w:val="nil"/>
            </w:tcBorders>
            <w:shd w:val="clear" w:color="auto" w:fill="auto"/>
          </w:tcPr>
          <w:p w14:paraId="242D119F" w14:textId="1F1A848F" w:rsidR="002A0289" w:rsidRPr="00C1586F" w:rsidRDefault="002A0289" w:rsidP="00616580">
            <w:pPr>
              <w:widowControl w:val="0"/>
              <w:spacing w:before="40" w:after="40"/>
              <w:jc w:val="both"/>
              <w:rPr>
                <w:rFonts w:ascii="Arial Narrow" w:eastAsia="NeueHaasGroteskText W02" w:hAnsi="Arial Narrow" w:cs="Arial"/>
                <w:b/>
                <w:bCs/>
                <w:color w:val="2C9ADC"/>
                <w:sz w:val="20"/>
                <w:szCs w:val="20"/>
                <w:highlight w:val="yellow"/>
                <w:u w:color="2C9ADC"/>
              </w:rPr>
            </w:pPr>
            <w:bookmarkStart w:id="26" w:name="_Toc179814671"/>
            <w:r w:rsidRPr="005516F4">
              <w:rPr>
                <w:rFonts w:ascii="Arial Narrow" w:hAnsi="Arial Narrow" w:cs="Arial Narrow"/>
                <w:b/>
                <w:bCs/>
                <w:color w:val="2C9ADC"/>
                <w:sz w:val="20"/>
                <w:szCs w:val="20"/>
              </w:rPr>
              <w:t xml:space="preserve">GRAF </w:t>
            </w:r>
            <w:r w:rsidRPr="005516F4">
              <w:rPr>
                <w:rFonts w:ascii="Arial Narrow" w:hAnsi="Arial Narrow"/>
                <w:b/>
                <w:color w:val="2C9ADC"/>
                <w:sz w:val="20"/>
                <w:szCs w:val="20"/>
              </w:rPr>
              <w:fldChar w:fldCharType="begin"/>
            </w:r>
            <w:r w:rsidRPr="005516F4">
              <w:rPr>
                <w:rFonts w:ascii="Arial Narrow" w:hAnsi="Arial Narrow"/>
                <w:b/>
                <w:color w:val="2C9ADC"/>
                <w:sz w:val="20"/>
                <w:szCs w:val="20"/>
              </w:rPr>
              <w:instrText xml:space="preserve"> SEQ GRAF \* ARABIC </w:instrText>
            </w:r>
            <w:r w:rsidRPr="005516F4">
              <w:rPr>
                <w:rFonts w:ascii="Arial Narrow" w:hAnsi="Arial Narrow"/>
                <w:b/>
                <w:color w:val="2C9ADC"/>
                <w:sz w:val="20"/>
                <w:szCs w:val="20"/>
              </w:rPr>
              <w:fldChar w:fldCharType="separate"/>
            </w:r>
            <w:r w:rsidR="007A664D">
              <w:rPr>
                <w:rFonts w:ascii="Arial Narrow" w:hAnsi="Arial Narrow"/>
                <w:b/>
                <w:noProof/>
                <w:color w:val="2C9ADC"/>
                <w:sz w:val="20"/>
                <w:szCs w:val="20"/>
              </w:rPr>
              <w:t>12</w:t>
            </w:r>
            <w:r w:rsidRPr="005516F4">
              <w:rPr>
                <w:rFonts w:ascii="Arial Narrow" w:hAnsi="Arial Narrow"/>
                <w:b/>
                <w:color w:val="2C9ADC"/>
                <w:sz w:val="20"/>
                <w:szCs w:val="20"/>
              </w:rPr>
              <w:fldChar w:fldCharType="end"/>
            </w:r>
            <w:r w:rsidRPr="005516F4">
              <w:rPr>
                <w:rFonts w:ascii="Arial Narrow" w:hAnsi="Arial Narrow"/>
                <w:b/>
                <w:color w:val="2C9ADC"/>
                <w:sz w:val="20"/>
                <w:szCs w:val="20"/>
              </w:rPr>
              <w:t xml:space="preserve"> –</w:t>
            </w:r>
            <w:r>
              <w:t xml:space="preserve"> </w:t>
            </w:r>
            <w:r w:rsidRPr="00842A9A">
              <w:rPr>
                <w:rFonts w:ascii="Arial Narrow" w:eastAsia="NeueHaasGroteskText W02" w:hAnsi="Arial Narrow" w:cs="Arial"/>
                <w:b/>
                <w:bCs/>
                <w:color w:val="2C9ADC"/>
                <w:sz w:val="20"/>
                <w:szCs w:val="20"/>
                <w:u w:color="2C9ADC"/>
              </w:rPr>
              <w:t>Vývoj d</w:t>
            </w:r>
            <w:r w:rsidRPr="00E01EC5">
              <w:rPr>
                <w:rFonts w:ascii="Arial Narrow" w:eastAsia="NeueHaasGroteskText W02" w:hAnsi="Arial Narrow" w:cs="Arial"/>
                <w:b/>
                <w:bCs/>
                <w:color w:val="2C9ADC"/>
                <w:sz w:val="20"/>
                <w:szCs w:val="20"/>
                <w:u w:color="2C9ADC"/>
              </w:rPr>
              <w:t>eficit</w:t>
            </w:r>
            <w:r>
              <w:rPr>
                <w:rFonts w:ascii="Arial Narrow" w:eastAsia="NeueHaasGroteskText W02" w:hAnsi="Arial Narrow" w:cs="Arial"/>
                <w:b/>
                <w:bCs/>
                <w:color w:val="2C9ADC"/>
                <w:sz w:val="20"/>
                <w:szCs w:val="20"/>
                <w:u w:color="2C9ADC"/>
              </w:rPr>
              <w:t>u bez prijatých opatrení vlády, s prijatými opatreniami a po dosiahnutí cieľov</w:t>
            </w:r>
            <w:r w:rsidRPr="00E01EC5">
              <w:rPr>
                <w:rFonts w:ascii="Arial Narrow" w:eastAsia="NeueHaasGroteskText W02" w:hAnsi="Arial Narrow" w:cs="Arial"/>
                <w:b/>
                <w:bCs/>
                <w:color w:val="2C9ADC"/>
                <w:sz w:val="20"/>
                <w:szCs w:val="20"/>
                <w:u w:color="2C9ADC"/>
              </w:rPr>
              <w:t xml:space="preserve"> </w:t>
            </w:r>
            <w:r>
              <w:rPr>
                <w:rFonts w:ascii="Arial Narrow" w:eastAsia="NeueHaasGroteskText W02" w:hAnsi="Arial Narrow" w:cs="Arial"/>
                <w:b/>
                <w:bCs/>
                <w:color w:val="2C9ADC"/>
                <w:sz w:val="20"/>
                <w:szCs w:val="20"/>
                <w:u w:color="2C9ADC"/>
              </w:rPr>
              <w:t>(% HDP)</w:t>
            </w:r>
            <w:bookmarkEnd w:id="26"/>
          </w:p>
        </w:tc>
        <w:tc>
          <w:tcPr>
            <w:tcW w:w="80" w:type="pct"/>
            <w:tcBorders>
              <w:top w:val="nil"/>
              <w:left w:val="nil"/>
              <w:bottom w:val="nil"/>
              <w:right w:val="nil"/>
            </w:tcBorders>
            <w:shd w:val="clear" w:color="auto" w:fill="auto"/>
          </w:tcPr>
          <w:p w14:paraId="7009B7C2" w14:textId="77777777" w:rsidR="002A0289" w:rsidRPr="00C1586F" w:rsidRDefault="002A0289" w:rsidP="00616580">
            <w:pPr>
              <w:widowControl w:val="0"/>
              <w:spacing w:before="60" w:after="60"/>
              <w:rPr>
                <w:rFonts w:ascii="Arial Narrow" w:hAnsi="Arial Narrow" w:cs="Arial"/>
                <w:b/>
                <w:color w:val="2C9ADC"/>
                <w:sz w:val="20"/>
                <w:szCs w:val="20"/>
                <w:highlight w:val="yellow"/>
              </w:rPr>
            </w:pPr>
          </w:p>
        </w:tc>
        <w:tc>
          <w:tcPr>
            <w:tcW w:w="2740" w:type="pct"/>
            <w:tcBorders>
              <w:top w:val="nil"/>
              <w:left w:val="nil"/>
              <w:bottom w:val="single" w:sz="4" w:space="0" w:color="auto"/>
              <w:right w:val="nil"/>
            </w:tcBorders>
            <w:shd w:val="clear" w:color="auto" w:fill="auto"/>
          </w:tcPr>
          <w:p w14:paraId="3FDB73C1" w14:textId="441DFACA" w:rsidR="002A0289" w:rsidRPr="00C1586F" w:rsidRDefault="002A0289" w:rsidP="00616580">
            <w:pPr>
              <w:widowControl w:val="0"/>
              <w:spacing w:before="40" w:after="40"/>
              <w:jc w:val="both"/>
              <w:rPr>
                <w:rFonts w:ascii="Arial Narrow" w:hAnsi="Arial Narrow"/>
                <w:b/>
                <w:color w:val="2C9ADC"/>
                <w:sz w:val="20"/>
                <w:szCs w:val="20"/>
                <w:highlight w:val="yellow"/>
              </w:rPr>
            </w:pPr>
            <w:bookmarkStart w:id="27" w:name="_Toc179814672"/>
            <w:r w:rsidRPr="005516F4">
              <w:rPr>
                <w:rFonts w:ascii="Arial Narrow" w:hAnsi="Arial Narrow"/>
                <w:b/>
                <w:color w:val="2C9ADC"/>
                <w:sz w:val="20"/>
                <w:szCs w:val="20"/>
              </w:rPr>
              <w:t xml:space="preserve">GRAF </w:t>
            </w:r>
            <w:r w:rsidRPr="005516F4">
              <w:rPr>
                <w:rFonts w:ascii="Arial Narrow" w:hAnsi="Arial Narrow"/>
                <w:b/>
                <w:color w:val="2C9ADC"/>
                <w:sz w:val="20"/>
                <w:szCs w:val="20"/>
              </w:rPr>
              <w:fldChar w:fldCharType="begin"/>
            </w:r>
            <w:r w:rsidRPr="005516F4">
              <w:rPr>
                <w:rFonts w:ascii="Arial Narrow" w:hAnsi="Arial Narrow"/>
                <w:b/>
                <w:color w:val="2C9ADC"/>
                <w:sz w:val="20"/>
                <w:szCs w:val="20"/>
              </w:rPr>
              <w:instrText xml:space="preserve"> SEQ GRAF \* ARABIC </w:instrText>
            </w:r>
            <w:r w:rsidRPr="005516F4">
              <w:rPr>
                <w:rFonts w:ascii="Arial Narrow" w:hAnsi="Arial Narrow"/>
                <w:b/>
                <w:color w:val="2C9ADC"/>
                <w:sz w:val="20"/>
                <w:szCs w:val="20"/>
              </w:rPr>
              <w:fldChar w:fldCharType="separate"/>
            </w:r>
            <w:r w:rsidR="007A664D">
              <w:rPr>
                <w:rFonts w:ascii="Arial Narrow" w:hAnsi="Arial Narrow"/>
                <w:b/>
                <w:noProof/>
                <w:color w:val="2C9ADC"/>
                <w:sz w:val="20"/>
                <w:szCs w:val="20"/>
              </w:rPr>
              <w:t>13</w:t>
            </w:r>
            <w:r w:rsidRPr="005516F4">
              <w:rPr>
                <w:rFonts w:ascii="Arial Narrow" w:hAnsi="Arial Narrow"/>
                <w:b/>
                <w:color w:val="2C9ADC"/>
                <w:sz w:val="20"/>
                <w:szCs w:val="20"/>
              </w:rPr>
              <w:fldChar w:fldCharType="end"/>
            </w:r>
            <w:r w:rsidRPr="005516F4">
              <w:rPr>
                <w:rFonts w:ascii="Arial Narrow" w:hAnsi="Arial Narrow"/>
                <w:b/>
                <w:color w:val="2C9ADC"/>
                <w:sz w:val="20"/>
                <w:szCs w:val="20"/>
              </w:rPr>
              <w:t xml:space="preserve"> – </w:t>
            </w:r>
            <w:r w:rsidR="0089619D">
              <w:rPr>
                <w:rFonts w:ascii="Arial Narrow" w:hAnsi="Arial Narrow"/>
                <w:b/>
                <w:color w:val="2C9ADC"/>
                <w:sz w:val="20"/>
                <w:szCs w:val="20"/>
              </w:rPr>
              <w:t>Hlavné faktory vysvetľujúce nárast deficitu bez opatrení vlády</w:t>
            </w:r>
            <w:r>
              <w:rPr>
                <w:rFonts w:ascii="Arial Narrow" w:hAnsi="Arial Narrow"/>
                <w:b/>
                <w:color w:val="2C9ADC"/>
                <w:sz w:val="20"/>
                <w:szCs w:val="20"/>
              </w:rPr>
              <w:t xml:space="preserve"> </w:t>
            </w:r>
            <w:r w:rsidRPr="005516F4">
              <w:rPr>
                <w:rFonts w:ascii="Arial Narrow" w:eastAsia="NeueHaasGroteskText W02" w:hAnsi="Arial Narrow" w:cs="Arial"/>
                <w:b/>
                <w:bCs/>
                <w:color w:val="2C9ADC"/>
                <w:sz w:val="20"/>
                <w:szCs w:val="20"/>
                <w:u w:color="2C9ADC"/>
              </w:rPr>
              <w:t>(% HDP)</w:t>
            </w:r>
            <w:bookmarkEnd w:id="27"/>
          </w:p>
        </w:tc>
      </w:tr>
      <w:tr w:rsidR="002A0289" w:rsidRPr="00C1586F" w14:paraId="5E5850D4" w14:textId="77777777" w:rsidTr="00255A27">
        <w:trPr>
          <w:trHeight w:val="866"/>
        </w:trPr>
        <w:tc>
          <w:tcPr>
            <w:tcW w:w="2180" w:type="pct"/>
            <w:tcBorders>
              <w:top w:val="single" w:sz="4" w:space="0" w:color="auto"/>
              <w:left w:val="nil"/>
              <w:bottom w:val="single" w:sz="4" w:space="0" w:color="auto"/>
              <w:right w:val="nil"/>
            </w:tcBorders>
            <w:vAlign w:val="center"/>
          </w:tcPr>
          <w:p w14:paraId="207A0232" w14:textId="008CA267" w:rsidR="002A0289" w:rsidRPr="00C1586F" w:rsidRDefault="00255A27" w:rsidP="00616580">
            <w:pPr>
              <w:widowControl w:val="0"/>
              <w:spacing w:before="40" w:after="40"/>
              <w:jc w:val="center"/>
              <w:rPr>
                <w:rFonts w:ascii="Arial Narrow" w:hAnsi="Arial Narrow" w:cs="Arial"/>
                <w:sz w:val="20"/>
                <w:szCs w:val="20"/>
                <w:highlight w:val="yellow"/>
              </w:rPr>
            </w:pPr>
            <w:r>
              <w:rPr>
                <w:noProof/>
                <w:lang w:eastAsia="sk-SK"/>
              </w:rPr>
              <w:drawing>
                <wp:inline distT="0" distB="0" distL="0" distR="0" wp14:anchorId="2E3F0630" wp14:editId="3DCCD7FD">
                  <wp:extent cx="2673927" cy="2846705"/>
                  <wp:effectExtent l="0" t="0" r="12700" b="0"/>
                  <wp:docPr id="12" name="Graf 12">
                    <a:extLst xmlns:a="http://schemas.openxmlformats.org/drawingml/2006/main">
                      <a:ext uri="{FF2B5EF4-FFF2-40B4-BE49-F238E27FC236}">
                        <a16:creationId xmlns:a16="http://schemas.microsoft.com/office/drawing/2014/main" id="{F812B4F1-9109-F585-FEA3-FD41A121ED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c>
          <w:tcPr>
            <w:tcW w:w="80" w:type="pct"/>
            <w:tcBorders>
              <w:top w:val="nil"/>
              <w:left w:val="nil"/>
              <w:bottom w:val="nil"/>
              <w:right w:val="nil"/>
            </w:tcBorders>
            <w:vAlign w:val="center"/>
          </w:tcPr>
          <w:p w14:paraId="03B2F3BC" w14:textId="77777777" w:rsidR="002A0289" w:rsidRPr="00C1586F" w:rsidRDefault="002A0289" w:rsidP="00616580">
            <w:pPr>
              <w:widowControl w:val="0"/>
              <w:spacing w:before="40" w:after="40"/>
              <w:jc w:val="center"/>
              <w:rPr>
                <w:rFonts w:ascii="Arial Narrow" w:hAnsi="Arial Narrow" w:cs="Arial"/>
                <w:b/>
                <w:sz w:val="20"/>
                <w:szCs w:val="20"/>
                <w:highlight w:val="yellow"/>
              </w:rPr>
            </w:pPr>
          </w:p>
        </w:tc>
        <w:tc>
          <w:tcPr>
            <w:tcW w:w="2740" w:type="pct"/>
            <w:tcBorders>
              <w:top w:val="single" w:sz="4" w:space="0" w:color="auto"/>
              <w:left w:val="nil"/>
              <w:bottom w:val="single" w:sz="4" w:space="0" w:color="auto"/>
              <w:right w:val="nil"/>
            </w:tcBorders>
            <w:vAlign w:val="bottom"/>
          </w:tcPr>
          <w:p w14:paraId="033D3649" w14:textId="77777777" w:rsidR="002A0289" w:rsidRPr="00C1586F" w:rsidRDefault="002A0289" w:rsidP="00616580">
            <w:pPr>
              <w:widowControl w:val="0"/>
              <w:spacing w:before="40" w:after="40"/>
              <w:rPr>
                <w:rFonts w:ascii="Arial Narrow" w:hAnsi="Arial Narrow" w:cs="Arial"/>
                <w:sz w:val="20"/>
                <w:szCs w:val="20"/>
                <w:highlight w:val="yellow"/>
              </w:rPr>
            </w:pPr>
            <w:r>
              <w:rPr>
                <w:noProof/>
                <w:lang w:eastAsia="sk-SK"/>
              </w:rPr>
              <w:drawing>
                <wp:inline distT="0" distB="0" distL="0" distR="0" wp14:anchorId="2D060CFD" wp14:editId="5D121695">
                  <wp:extent cx="2963545" cy="2861166"/>
                  <wp:effectExtent l="0" t="0" r="8255" b="0"/>
                  <wp:docPr id="33" name="Graf 33">
                    <a:extLst xmlns:a="http://schemas.openxmlformats.org/drawingml/2006/main">
                      <a:ext uri="{FF2B5EF4-FFF2-40B4-BE49-F238E27FC236}">
                        <a16:creationId xmlns:a16="http://schemas.microsoft.com/office/drawing/2014/main" id="{82A3D986-7711-735A-DFAC-6FC4D8B96A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r>
      <w:tr w:rsidR="002A0289" w:rsidRPr="005516F4" w14:paraId="0B1B3E2E" w14:textId="77777777" w:rsidTr="00616580">
        <w:trPr>
          <w:trHeight w:val="108"/>
        </w:trPr>
        <w:tc>
          <w:tcPr>
            <w:tcW w:w="5000" w:type="pct"/>
            <w:gridSpan w:val="3"/>
            <w:tcBorders>
              <w:top w:val="single" w:sz="4" w:space="0" w:color="auto"/>
              <w:left w:val="nil"/>
              <w:bottom w:val="nil"/>
              <w:right w:val="nil"/>
            </w:tcBorders>
          </w:tcPr>
          <w:p w14:paraId="14909E72" w14:textId="1F6CDB5E" w:rsidR="002A0289" w:rsidRPr="005516F4" w:rsidRDefault="00385D46" w:rsidP="00C84223">
            <w:pPr>
              <w:widowControl w:val="0"/>
              <w:spacing w:before="40" w:after="40"/>
              <w:jc w:val="both"/>
              <w:rPr>
                <w:rFonts w:ascii="Arial Narrow" w:hAnsi="Arial Narrow"/>
                <w:b/>
                <w:iCs/>
                <w:color w:val="000000"/>
              </w:rPr>
            </w:pPr>
            <w:r>
              <w:rPr>
                <w:rFonts w:ascii="Arial Narrow" w:hAnsi="Arial Narrow"/>
                <w:i/>
                <w:sz w:val="16"/>
                <w:szCs w:val="16"/>
              </w:rPr>
              <w:t>Pozn.</w:t>
            </w:r>
            <w:r w:rsidR="002A0289">
              <w:rPr>
                <w:rFonts w:ascii="Arial Narrow" w:hAnsi="Arial Narrow"/>
                <w:i/>
                <w:sz w:val="16"/>
                <w:szCs w:val="16"/>
              </w:rPr>
              <w:t xml:space="preserve">: </w:t>
            </w:r>
            <w:r w:rsidR="008646FC">
              <w:rPr>
                <w:rFonts w:ascii="Arial Narrow" w:hAnsi="Arial Narrow"/>
                <w:i/>
                <w:sz w:val="16"/>
                <w:szCs w:val="16"/>
              </w:rPr>
              <w:t>S</w:t>
            </w:r>
            <w:r w:rsidR="002A0289">
              <w:rPr>
                <w:rFonts w:ascii="Arial Narrow" w:hAnsi="Arial Narrow"/>
                <w:i/>
                <w:sz w:val="16"/>
                <w:szCs w:val="16"/>
              </w:rPr>
              <w:t>chodok hospodárenia</w:t>
            </w:r>
            <w:r w:rsidR="008646FC">
              <w:rPr>
                <w:rFonts w:ascii="Arial Narrow" w:hAnsi="Arial Narrow"/>
                <w:i/>
                <w:sz w:val="16"/>
                <w:szCs w:val="16"/>
              </w:rPr>
              <w:t xml:space="preserve"> bez opatrení vlády</w:t>
            </w:r>
            <w:r w:rsidR="002A0289">
              <w:rPr>
                <w:rFonts w:ascii="Arial Narrow" w:hAnsi="Arial Narrow"/>
                <w:i/>
                <w:sz w:val="16"/>
                <w:szCs w:val="16"/>
              </w:rPr>
              <w:t xml:space="preserve"> vychádza z aktuálneho výhľadu rozpočtu (FR RVS) upraveného o konsolidačné opatrenia a nové expanzívne opatrenia vlády prijaté od Programu stability z apríla 2024. Od roku 2028 sú k deficitu pripočítané náklady na starnutie z Ageing reportu (AWG 2024). </w:t>
            </w:r>
            <w:r>
              <w:rPr>
                <w:rFonts w:ascii="Arial Narrow" w:hAnsi="Arial Narrow"/>
                <w:i/>
                <w:sz w:val="16"/>
                <w:szCs w:val="16"/>
              </w:rPr>
              <w:t xml:space="preserve">                                                                                                                                                                                                         </w:t>
            </w:r>
            <w:r w:rsidR="002A0289" w:rsidRPr="005516F4">
              <w:rPr>
                <w:rFonts w:ascii="Arial Narrow" w:hAnsi="Arial Narrow"/>
                <w:i/>
                <w:sz w:val="16"/>
                <w:szCs w:val="16"/>
              </w:rPr>
              <w:t xml:space="preserve">Zdroj: </w:t>
            </w:r>
            <w:r w:rsidR="002A0289">
              <w:rPr>
                <w:rFonts w:ascii="Arial Narrow" w:hAnsi="Arial Narrow"/>
                <w:i/>
                <w:sz w:val="16"/>
                <w:szCs w:val="16"/>
              </w:rPr>
              <w:t>AWG</w:t>
            </w:r>
            <w:r w:rsidR="002A0289" w:rsidRPr="005516F4">
              <w:rPr>
                <w:rFonts w:ascii="Arial Narrow" w:hAnsi="Arial Narrow"/>
                <w:i/>
                <w:sz w:val="16"/>
                <w:szCs w:val="16"/>
              </w:rPr>
              <w:t>,  MF SR</w:t>
            </w:r>
          </w:p>
        </w:tc>
      </w:tr>
    </w:tbl>
    <w:p w14:paraId="2F2D181E" w14:textId="77777777" w:rsidR="002A0289" w:rsidRPr="00EA4403" w:rsidRDefault="002A0289" w:rsidP="002A0289">
      <w:pPr>
        <w:spacing w:after="0" w:line="276" w:lineRule="auto"/>
        <w:jc w:val="both"/>
        <w:rPr>
          <w:rFonts w:ascii="Arial Narrow" w:hAnsi="Arial Narrow"/>
        </w:rPr>
      </w:pPr>
    </w:p>
    <w:p w14:paraId="773A691F" w14:textId="2A0448A6" w:rsidR="00C36AA2" w:rsidRDefault="00C36AA2" w:rsidP="00C36AA2">
      <w:pPr>
        <w:spacing w:line="276" w:lineRule="auto"/>
        <w:jc w:val="both"/>
        <w:rPr>
          <w:rFonts w:ascii="Arial Narrow" w:hAnsi="Arial Narrow"/>
        </w:rPr>
      </w:pPr>
      <w:r w:rsidRPr="00F6360F">
        <w:rPr>
          <w:rFonts w:ascii="Arial Narrow" w:hAnsi="Arial Narrow"/>
          <w:b/>
          <w:bCs/>
        </w:rPr>
        <w:t>Vláda na dosiahnutie stanoveného rastu čistých výdavkov už prijala konsolidačný balík v objeme 2,0 %</w:t>
      </w:r>
      <w:r w:rsidRPr="00F6360F">
        <w:rPr>
          <w:rFonts w:ascii="Arial Narrow" w:hAnsi="Arial Narrow"/>
        </w:rPr>
        <w:t xml:space="preserve"> </w:t>
      </w:r>
      <w:r w:rsidRPr="00F6360F">
        <w:rPr>
          <w:rFonts w:ascii="Arial Narrow" w:hAnsi="Arial Narrow"/>
          <w:b/>
          <w:bCs/>
        </w:rPr>
        <w:t>HDP na rok 2025</w:t>
      </w:r>
      <w:r w:rsidRPr="00F6360F">
        <w:rPr>
          <w:rStyle w:val="Odkaznapoznmkupodiarou"/>
          <w:rFonts w:ascii="Arial Narrow" w:hAnsi="Arial Narrow"/>
          <w:b/>
          <w:bCs/>
        </w:rPr>
        <w:footnoteReference w:id="15"/>
      </w:r>
      <w:r w:rsidRPr="00F6360F">
        <w:rPr>
          <w:rFonts w:ascii="Arial Narrow" w:hAnsi="Arial Narrow"/>
        </w:rPr>
        <w:t xml:space="preserve">. Vláda prijala </w:t>
      </w:r>
      <w:r w:rsidR="009A0345" w:rsidRPr="00F6360F">
        <w:rPr>
          <w:rFonts w:ascii="Arial Narrow" w:hAnsi="Arial Narrow"/>
        </w:rPr>
        <w:t>konsolidačné opatrenia na</w:t>
      </w:r>
      <w:r w:rsidRPr="00F6360F">
        <w:rPr>
          <w:rFonts w:ascii="Arial Narrow" w:hAnsi="Arial Narrow"/>
        </w:rPr>
        <w:t> </w:t>
      </w:r>
      <w:r w:rsidR="009A0345" w:rsidRPr="00F6360F">
        <w:rPr>
          <w:rFonts w:ascii="Arial Narrow" w:hAnsi="Arial Narrow"/>
        </w:rPr>
        <w:t xml:space="preserve">príjmovej </w:t>
      </w:r>
      <w:r w:rsidRPr="00F6360F">
        <w:rPr>
          <w:rFonts w:ascii="Arial Narrow" w:hAnsi="Arial Narrow"/>
        </w:rPr>
        <w:t xml:space="preserve">a </w:t>
      </w:r>
      <w:r w:rsidR="009A0345" w:rsidRPr="00F6360F">
        <w:rPr>
          <w:rFonts w:ascii="Arial Narrow" w:hAnsi="Arial Narrow"/>
        </w:rPr>
        <w:t>výdavkovej strane</w:t>
      </w:r>
      <w:r w:rsidRPr="00F6360F">
        <w:rPr>
          <w:rFonts w:ascii="Arial Narrow" w:hAnsi="Arial Narrow"/>
        </w:rPr>
        <w:t xml:space="preserve">. Príjmy verejnej správy sa zvýšia o 1,4 % HDP. Medzi najväčšie opatrenia patrí </w:t>
      </w:r>
      <w:r w:rsidR="00B5719A" w:rsidRPr="00F6360F">
        <w:rPr>
          <w:rFonts w:ascii="Arial Narrow" w:hAnsi="Arial Narrow"/>
        </w:rPr>
        <w:t>reforma DPH</w:t>
      </w:r>
      <w:r w:rsidR="00B5719A" w:rsidRPr="00F6360F">
        <w:rPr>
          <w:rStyle w:val="Odkaznapoznmkupodiarou"/>
          <w:rFonts w:ascii="Arial Narrow" w:hAnsi="Arial Narrow"/>
        </w:rPr>
        <w:footnoteReference w:id="16"/>
      </w:r>
      <w:r w:rsidRPr="00F6360F">
        <w:rPr>
          <w:rFonts w:ascii="Arial Narrow" w:hAnsi="Arial Narrow"/>
        </w:rPr>
        <w:t xml:space="preserve">, zavedenie dane z finančných transakcií </w:t>
      </w:r>
      <w:r w:rsidRPr="00F6360F">
        <w:rPr>
          <w:rFonts w:ascii="Arial Narrow" w:hAnsi="Arial Narrow"/>
        </w:rPr>
        <w:lastRenderedPageBreak/>
        <w:t>pre podnikateľov a SZČO, či zavedenie, resp. zvýšenie sektorových daní. Vláda zvyšuje aj spotrebné dane cez novú daň zo sladených nápojov a zdanením elektronických cigariet. Zvýši sa daňové zaťaženie firiem s tržbami nad 5</w:t>
      </w:r>
      <w:r w:rsidR="00072111" w:rsidRPr="00F6360F">
        <w:rPr>
          <w:rFonts w:ascii="Arial Narrow" w:hAnsi="Arial Narrow"/>
        </w:rPr>
        <w:t> </w:t>
      </w:r>
      <w:r w:rsidRPr="00F6360F">
        <w:rPr>
          <w:rFonts w:ascii="Arial Narrow" w:hAnsi="Arial Narrow"/>
        </w:rPr>
        <w:t xml:space="preserve">mil. eur, poplatky za diaľničné známky a cestné mýto, ako aj odvodové zaťaženie </w:t>
      </w:r>
      <w:r w:rsidR="003E568D" w:rsidRPr="00F6360F">
        <w:rPr>
          <w:rFonts w:ascii="Arial Narrow" w:hAnsi="Arial Narrow"/>
        </w:rPr>
        <w:t>vysokopríjmovým zamestnancom</w:t>
      </w:r>
      <w:r w:rsidRPr="00F6360F">
        <w:rPr>
          <w:rFonts w:ascii="Arial Narrow" w:hAnsi="Arial Narrow"/>
        </w:rPr>
        <w:t xml:space="preserve">. Konsolidačné opatrenia na výdavkovej strane </w:t>
      </w:r>
      <w:r w:rsidRPr="00F6360F">
        <w:rPr>
          <w:rFonts w:ascii="Arial Narrow" w:hAnsi="Arial Narrow"/>
          <w:bCs/>
        </w:rPr>
        <w:t>predstavujú 0,6 % HDP.</w:t>
      </w:r>
      <w:r w:rsidRPr="00F6360F">
        <w:rPr>
          <w:rFonts w:ascii="Arial Narrow" w:hAnsi="Arial Narrow"/>
        </w:rPr>
        <w:t xml:space="preserve"> </w:t>
      </w:r>
      <w:r w:rsidRPr="00F6360F">
        <w:rPr>
          <w:rFonts w:ascii="Arial Narrow" w:hAnsi="Arial Narrow"/>
          <w:bCs/>
        </w:rPr>
        <w:t>Najväčšiu úsporu prináša zacielenie časti sociálnych transferov v podobe nahradenia rodičovského dôchodku možnosťou asignovať časť dane z príjmu rodičom a krátenie daňového bonusu s rastúcim príjmom. Rast výdavkov sa bude tlmiť aj  opatreniami na mzdovej obálke, keď mzdová obálka vybraných štátnych zamestnancov a zamestnancov vo verejnom záujme sa má znížiť o</w:t>
      </w:r>
      <w:r w:rsidR="009A0345" w:rsidRPr="00F6360F">
        <w:rPr>
          <w:rFonts w:ascii="Arial Narrow" w:hAnsi="Arial Narrow"/>
          <w:bCs/>
        </w:rPr>
        <w:t> </w:t>
      </w:r>
      <w:r w:rsidRPr="00F6360F">
        <w:rPr>
          <w:rFonts w:ascii="Arial Narrow" w:hAnsi="Arial Narrow"/>
          <w:bCs/>
        </w:rPr>
        <w:t>desatinu</w:t>
      </w:r>
      <w:r w:rsidR="009A0345" w:rsidRPr="00F6360F">
        <w:rPr>
          <w:rFonts w:ascii="Arial Narrow" w:hAnsi="Arial Narrow"/>
          <w:bCs/>
        </w:rPr>
        <w:t xml:space="preserve"> a mzdy väčšiny zdravotníkov porastú pomalšie než ich platový automat</w:t>
      </w:r>
      <w:r w:rsidRPr="00F6360F">
        <w:rPr>
          <w:rFonts w:ascii="Arial Narrow" w:hAnsi="Arial Narrow"/>
        </w:rPr>
        <w:t>. Vplyv opatrení na rozpočet postupne rastie, v roku 2028 je vplyv konsolidačného balíka vo výške 2,3 % HDP.</w:t>
      </w:r>
    </w:p>
    <w:p w14:paraId="1644177B" w14:textId="713E6988" w:rsidR="00C84223" w:rsidRDefault="00C84223" w:rsidP="00C84223">
      <w:pPr>
        <w:spacing w:line="276" w:lineRule="auto"/>
        <w:jc w:val="both"/>
        <w:rPr>
          <w:rFonts w:ascii="Arial Narrow" w:eastAsia="Times New Roman" w:hAnsi="Arial Narrow"/>
        </w:rPr>
      </w:pPr>
      <w:r>
        <w:rPr>
          <w:rFonts w:ascii="Arial Narrow" w:eastAsia="Times New Roman" w:hAnsi="Arial Narrow"/>
          <w:b/>
          <w:bCs/>
        </w:rPr>
        <w:t>V</w:t>
      </w:r>
      <w:r w:rsidRPr="006F017E">
        <w:rPr>
          <w:rFonts w:ascii="Arial Narrow" w:eastAsia="Times New Roman" w:hAnsi="Arial Narrow"/>
          <w:b/>
          <w:bCs/>
        </w:rPr>
        <w:t>láda prijala aj nové výdavkové politiky</w:t>
      </w:r>
      <w:r w:rsidRPr="006F017E" w:rsidDel="0084325B">
        <w:rPr>
          <w:rFonts w:ascii="Arial Narrow" w:eastAsia="Times New Roman" w:hAnsi="Arial Narrow"/>
          <w:b/>
          <w:bCs/>
        </w:rPr>
        <w:t xml:space="preserve"> </w:t>
      </w:r>
      <w:r>
        <w:rPr>
          <w:rFonts w:ascii="Arial Narrow" w:eastAsia="Times New Roman" w:hAnsi="Arial Narrow"/>
          <w:b/>
          <w:bCs/>
        </w:rPr>
        <w:t>s vplyvom v objeme 0,</w:t>
      </w:r>
      <w:r w:rsidR="00C01132">
        <w:rPr>
          <w:rFonts w:ascii="Arial Narrow" w:eastAsia="Times New Roman" w:hAnsi="Arial Narrow"/>
          <w:b/>
          <w:bCs/>
        </w:rPr>
        <w:t xml:space="preserve">3 </w:t>
      </w:r>
      <w:r>
        <w:rPr>
          <w:rFonts w:ascii="Arial Narrow" w:eastAsia="Times New Roman" w:hAnsi="Arial Narrow"/>
          <w:b/>
          <w:bCs/>
        </w:rPr>
        <w:t>% HDP</w:t>
      </w:r>
      <w:r w:rsidRPr="006F017E">
        <w:rPr>
          <w:rStyle w:val="Odkaznapoznmkupodiarou"/>
          <w:rFonts w:ascii="Arial Narrow" w:eastAsia="Times New Roman" w:hAnsi="Arial Narrow"/>
        </w:rPr>
        <w:footnoteReference w:id="17"/>
      </w:r>
      <w:r>
        <w:rPr>
          <w:rFonts w:ascii="Arial Narrow" w:eastAsia="Times New Roman" w:hAnsi="Arial Narrow"/>
          <w:b/>
          <w:bCs/>
        </w:rPr>
        <w:t xml:space="preserve"> a r</w:t>
      </w:r>
      <w:r w:rsidRPr="006F017E">
        <w:rPr>
          <w:rFonts w:ascii="Arial Narrow" w:eastAsia="Times New Roman" w:hAnsi="Arial Narrow"/>
          <w:b/>
          <w:bCs/>
        </w:rPr>
        <w:t>ozpoč</w:t>
      </w:r>
      <w:r>
        <w:rPr>
          <w:rFonts w:ascii="Arial Narrow" w:eastAsia="Times New Roman" w:hAnsi="Arial Narrow"/>
          <w:b/>
          <w:bCs/>
        </w:rPr>
        <w:t>e</w:t>
      </w:r>
      <w:r w:rsidRPr="006F017E">
        <w:rPr>
          <w:rFonts w:ascii="Arial Narrow" w:eastAsia="Times New Roman" w:hAnsi="Arial Narrow"/>
          <w:b/>
          <w:bCs/>
        </w:rPr>
        <w:t>t</w:t>
      </w:r>
      <w:r>
        <w:rPr>
          <w:rFonts w:ascii="Arial Narrow" w:eastAsia="Times New Roman" w:hAnsi="Arial Narrow"/>
          <w:b/>
          <w:bCs/>
        </w:rPr>
        <w:t xml:space="preserve"> zároveň</w:t>
      </w:r>
      <w:r w:rsidRPr="006F017E">
        <w:rPr>
          <w:rFonts w:ascii="Arial Narrow" w:eastAsia="Times New Roman" w:hAnsi="Arial Narrow"/>
          <w:b/>
          <w:bCs/>
        </w:rPr>
        <w:t xml:space="preserve"> </w:t>
      </w:r>
      <w:r>
        <w:rPr>
          <w:rFonts w:ascii="Arial Narrow" w:eastAsia="Times New Roman" w:hAnsi="Arial Narrow"/>
          <w:b/>
          <w:bCs/>
        </w:rPr>
        <w:t xml:space="preserve">počíta s </w:t>
      </w:r>
      <w:r w:rsidRPr="006F017E">
        <w:rPr>
          <w:rFonts w:ascii="Arial Narrow" w:eastAsia="Times New Roman" w:hAnsi="Arial Narrow"/>
          <w:b/>
          <w:bCs/>
        </w:rPr>
        <w:t>rezerv</w:t>
      </w:r>
      <w:r>
        <w:rPr>
          <w:rFonts w:ascii="Arial Narrow" w:eastAsia="Times New Roman" w:hAnsi="Arial Narrow"/>
          <w:b/>
          <w:bCs/>
        </w:rPr>
        <w:t>ou</w:t>
      </w:r>
      <w:r w:rsidRPr="006F017E">
        <w:rPr>
          <w:rFonts w:ascii="Arial Narrow" w:eastAsia="Times New Roman" w:hAnsi="Arial Narrow"/>
          <w:b/>
          <w:bCs/>
        </w:rPr>
        <w:t xml:space="preserve"> na neočakávaný vývoj</w:t>
      </w:r>
      <w:r>
        <w:rPr>
          <w:rFonts w:ascii="Arial Narrow" w:eastAsia="Times New Roman" w:hAnsi="Arial Narrow"/>
          <w:b/>
          <w:bCs/>
        </w:rPr>
        <w:t xml:space="preserve"> na úrovni 0,3 % HDP. </w:t>
      </w:r>
      <w:r w:rsidRPr="00B86A89">
        <w:rPr>
          <w:rFonts w:ascii="Arial Narrow" w:eastAsia="Times New Roman" w:hAnsi="Arial Narrow"/>
          <w:bCs/>
        </w:rPr>
        <w:t>V rámci nových politík</w:t>
      </w:r>
      <w:r>
        <w:rPr>
          <w:rFonts w:ascii="Arial Narrow" w:eastAsia="Times New Roman" w:hAnsi="Arial Narrow"/>
          <w:b/>
          <w:bCs/>
        </w:rPr>
        <w:t xml:space="preserve"> </w:t>
      </w:r>
      <w:r>
        <w:rPr>
          <w:rFonts w:ascii="Arial Narrow" w:hAnsi="Arial Narrow"/>
        </w:rPr>
        <w:t>i</w:t>
      </w:r>
      <w:r w:rsidRPr="006F017E">
        <w:rPr>
          <w:rFonts w:ascii="Arial Narrow" w:hAnsi="Arial Narrow"/>
        </w:rPr>
        <w:t xml:space="preserve">de napríklad o navýšenie výdavkov na opatrovanie, vyššie výdavky spojené s presunom financovania materských škôlok formou normatívu zo štátneho rozpočtu, či kompenzačné príspevky pre členov ozbrojených zložiek. </w:t>
      </w:r>
      <w:r>
        <w:rPr>
          <w:rFonts w:ascii="Arial Narrow" w:hAnsi="Arial Narrow"/>
        </w:rPr>
        <w:t>R</w:t>
      </w:r>
      <w:r w:rsidRPr="006F017E">
        <w:rPr>
          <w:rFonts w:ascii="Arial Narrow" w:hAnsi="Arial Narrow"/>
        </w:rPr>
        <w:t xml:space="preserve">ezerva </w:t>
      </w:r>
      <w:r>
        <w:rPr>
          <w:rFonts w:ascii="Arial Narrow" w:hAnsi="Arial Narrow"/>
        </w:rPr>
        <w:t xml:space="preserve">bude </w:t>
      </w:r>
      <w:r w:rsidRPr="006F017E">
        <w:rPr>
          <w:rFonts w:ascii="Arial Narrow" w:hAnsi="Arial Narrow"/>
        </w:rPr>
        <w:t>slúži</w:t>
      </w:r>
      <w:r>
        <w:rPr>
          <w:rFonts w:ascii="Arial Narrow" w:hAnsi="Arial Narrow"/>
        </w:rPr>
        <w:t>ť</w:t>
      </w:r>
      <w:r w:rsidRPr="006F017E">
        <w:rPr>
          <w:rFonts w:ascii="Arial Narrow" w:hAnsi="Arial Narrow"/>
        </w:rPr>
        <w:t xml:space="preserve"> pre potreby krytia nevyhnutných alebo nepredvídaných výdavkov implikovaných negatívnym vývojom rozpočtu verejnej správy vyvolaného najmä makroekonomickými vplyvmi a opatreniami súvisiacimi s implementáciou nového finančného nástroja na riadenie výdavkov verejnej správy - limitu verejných výdavkov.</w:t>
      </w:r>
    </w:p>
    <w:tbl>
      <w:tblPr>
        <w:tblpPr w:leftFromText="141" w:rightFromText="141" w:vertAnchor="text" w:horzAnchor="margin" w:tblpY="61"/>
        <w:tblOverlap w:val="neve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4490"/>
        <w:gridCol w:w="146"/>
        <w:gridCol w:w="4436"/>
      </w:tblGrid>
      <w:tr w:rsidR="002A0289" w:rsidRPr="00C1586F" w14:paraId="6D212E6B" w14:textId="77777777" w:rsidTr="00616580">
        <w:trPr>
          <w:trHeight w:val="339"/>
        </w:trPr>
        <w:tc>
          <w:tcPr>
            <w:tcW w:w="2475" w:type="pct"/>
            <w:tcBorders>
              <w:top w:val="nil"/>
              <w:left w:val="nil"/>
              <w:bottom w:val="single" w:sz="4" w:space="0" w:color="auto"/>
              <w:right w:val="nil"/>
            </w:tcBorders>
            <w:shd w:val="clear" w:color="auto" w:fill="auto"/>
          </w:tcPr>
          <w:p w14:paraId="180EF21E" w14:textId="19039516" w:rsidR="002A0289" w:rsidRPr="00C1586F" w:rsidRDefault="002A0289" w:rsidP="00616580">
            <w:pPr>
              <w:widowControl w:val="0"/>
              <w:spacing w:before="40" w:after="40"/>
              <w:jc w:val="both"/>
              <w:rPr>
                <w:rFonts w:ascii="Arial Narrow" w:eastAsia="NeueHaasGroteskText W02" w:hAnsi="Arial Narrow" w:cs="Arial"/>
                <w:b/>
                <w:bCs/>
                <w:color w:val="2C9ADC"/>
                <w:sz w:val="20"/>
                <w:szCs w:val="20"/>
                <w:highlight w:val="yellow"/>
                <w:u w:color="2C9ADC"/>
              </w:rPr>
            </w:pPr>
            <w:bookmarkStart w:id="28" w:name="_Toc179814673"/>
            <w:r w:rsidRPr="005516F4">
              <w:rPr>
                <w:rFonts w:ascii="Arial Narrow" w:hAnsi="Arial Narrow" w:cs="Arial Narrow"/>
                <w:b/>
                <w:bCs/>
                <w:color w:val="2C9ADC"/>
                <w:sz w:val="20"/>
                <w:szCs w:val="20"/>
              </w:rPr>
              <w:t xml:space="preserve">GRAF </w:t>
            </w:r>
            <w:r w:rsidRPr="005516F4">
              <w:rPr>
                <w:rFonts w:ascii="Arial Narrow" w:hAnsi="Arial Narrow"/>
                <w:b/>
                <w:color w:val="2C9ADC"/>
                <w:sz w:val="20"/>
                <w:szCs w:val="20"/>
              </w:rPr>
              <w:fldChar w:fldCharType="begin"/>
            </w:r>
            <w:r w:rsidRPr="005516F4">
              <w:rPr>
                <w:rFonts w:ascii="Arial Narrow" w:hAnsi="Arial Narrow"/>
                <w:b/>
                <w:color w:val="2C9ADC"/>
                <w:sz w:val="20"/>
                <w:szCs w:val="20"/>
              </w:rPr>
              <w:instrText xml:space="preserve"> SEQ GRAF \* ARABIC </w:instrText>
            </w:r>
            <w:r w:rsidRPr="005516F4">
              <w:rPr>
                <w:rFonts w:ascii="Arial Narrow" w:hAnsi="Arial Narrow"/>
                <w:b/>
                <w:color w:val="2C9ADC"/>
                <w:sz w:val="20"/>
                <w:szCs w:val="20"/>
              </w:rPr>
              <w:fldChar w:fldCharType="separate"/>
            </w:r>
            <w:r w:rsidR="007A664D">
              <w:rPr>
                <w:rFonts w:ascii="Arial Narrow" w:hAnsi="Arial Narrow"/>
                <w:b/>
                <w:noProof/>
                <w:color w:val="2C9ADC"/>
                <w:sz w:val="20"/>
                <w:szCs w:val="20"/>
              </w:rPr>
              <w:t>14</w:t>
            </w:r>
            <w:r w:rsidRPr="005516F4">
              <w:rPr>
                <w:rFonts w:ascii="Arial Narrow" w:hAnsi="Arial Narrow"/>
                <w:b/>
                <w:color w:val="2C9ADC"/>
                <w:sz w:val="20"/>
                <w:szCs w:val="20"/>
              </w:rPr>
              <w:fldChar w:fldCharType="end"/>
            </w:r>
            <w:r w:rsidRPr="005516F4">
              <w:rPr>
                <w:rFonts w:ascii="Arial Narrow" w:hAnsi="Arial Narrow"/>
                <w:b/>
                <w:color w:val="2C9ADC"/>
                <w:sz w:val="20"/>
                <w:szCs w:val="20"/>
              </w:rPr>
              <w:t xml:space="preserve"> –</w:t>
            </w:r>
            <w:r w:rsidRPr="005516F4">
              <w:rPr>
                <w:rFonts w:ascii="Arial Narrow" w:eastAsia="NeueHaasGroteskText W02" w:hAnsi="Arial Narrow" w:cs="Arial"/>
                <w:b/>
                <w:bCs/>
                <w:color w:val="2C9ADC"/>
                <w:sz w:val="20"/>
                <w:szCs w:val="20"/>
                <w:u w:color="2C9ADC"/>
              </w:rPr>
              <w:t> </w:t>
            </w:r>
            <w:r w:rsidRPr="00A372D1">
              <w:rPr>
                <w:rFonts w:ascii="Arial Narrow" w:eastAsia="NeueHaasGroteskText W02" w:hAnsi="Arial Narrow" w:cs="Arial"/>
                <w:b/>
                <w:bCs/>
                <w:color w:val="2C9ADC"/>
                <w:sz w:val="20"/>
                <w:szCs w:val="20"/>
                <w:u w:color="2C9ADC"/>
              </w:rPr>
              <w:t xml:space="preserve">Rozdelenie opatrení </w:t>
            </w:r>
            <w:r w:rsidR="0062464C">
              <w:rPr>
                <w:rFonts w:ascii="Arial Narrow" w:eastAsia="NeueHaasGroteskText W02" w:hAnsi="Arial Narrow" w:cs="Arial"/>
                <w:b/>
                <w:bCs/>
                <w:color w:val="2C9ADC"/>
                <w:sz w:val="20"/>
                <w:szCs w:val="20"/>
                <w:u w:color="2C9ADC"/>
              </w:rPr>
              <w:t>konsolidačného balíka</w:t>
            </w:r>
            <w:r>
              <w:rPr>
                <w:rFonts w:ascii="Arial Narrow" w:eastAsia="NeueHaasGroteskText W02" w:hAnsi="Arial Narrow" w:cs="Arial"/>
                <w:b/>
                <w:bCs/>
                <w:color w:val="2C9ADC"/>
                <w:sz w:val="20"/>
                <w:szCs w:val="20"/>
                <w:u w:color="2C9ADC"/>
              </w:rPr>
              <w:t xml:space="preserve"> (% HDP)</w:t>
            </w:r>
            <w:bookmarkEnd w:id="28"/>
          </w:p>
        </w:tc>
        <w:tc>
          <w:tcPr>
            <w:tcW w:w="80" w:type="pct"/>
            <w:tcBorders>
              <w:top w:val="nil"/>
              <w:left w:val="nil"/>
              <w:bottom w:val="nil"/>
              <w:right w:val="nil"/>
            </w:tcBorders>
            <w:shd w:val="clear" w:color="auto" w:fill="auto"/>
          </w:tcPr>
          <w:p w14:paraId="106B1F00" w14:textId="77777777" w:rsidR="002A0289" w:rsidRPr="00C1586F" w:rsidRDefault="002A0289" w:rsidP="00616580">
            <w:pPr>
              <w:widowControl w:val="0"/>
              <w:spacing w:before="60" w:after="60"/>
              <w:rPr>
                <w:rFonts w:ascii="Arial Narrow" w:hAnsi="Arial Narrow" w:cs="Arial"/>
                <w:b/>
                <w:color w:val="2C9ADC"/>
                <w:sz w:val="20"/>
                <w:szCs w:val="20"/>
                <w:highlight w:val="yellow"/>
              </w:rPr>
            </w:pPr>
          </w:p>
        </w:tc>
        <w:tc>
          <w:tcPr>
            <w:tcW w:w="2445" w:type="pct"/>
            <w:tcBorders>
              <w:top w:val="nil"/>
              <w:left w:val="nil"/>
              <w:bottom w:val="single" w:sz="4" w:space="0" w:color="auto"/>
              <w:right w:val="nil"/>
            </w:tcBorders>
            <w:shd w:val="clear" w:color="auto" w:fill="auto"/>
          </w:tcPr>
          <w:p w14:paraId="7890FC04" w14:textId="3B470987" w:rsidR="002A0289" w:rsidRPr="00C1586F" w:rsidRDefault="002A0289" w:rsidP="00616580">
            <w:pPr>
              <w:widowControl w:val="0"/>
              <w:spacing w:before="40" w:after="40"/>
              <w:jc w:val="both"/>
              <w:rPr>
                <w:rFonts w:ascii="Arial Narrow" w:hAnsi="Arial Narrow"/>
                <w:b/>
                <w:color w:val="2C9ADC"/>
                <w:sz w:val="20"/>
                <w:szCs w:val="20"/>
                <w:highlight w:val="yellow"/>
              </w:rPr>
            </w:pPr>
            <w:bookmarkStart w:id="29" w:name="_Toc179814674"/>
            <w:r w:rsidRPr="005516F4">
              <w:rPr>
                <w:rFonts w:ascii="Arial Narrow" w:hAnsi="Arial Narrow"/>
                <w:b/>
                <w:color w:val="2C9ADC"/>
                <w:sz w:val="20"/>
                <w:szCs w:val="20"/>
              </w:rPr>
              <w:t xml:space="preserve">GRAF </w:t>
            </w:r>
            <w:r w:rsidRPr="005516F4">
              <w:rPr>
                <w:rFonts w:ascii="Arial Narrow" w:hAnsi="Arial Narrow"/>
                <w:b/>
                <w:color w:val="2C9ADC"/>
                <w:sz w:val="20"/>
                <w:szCs w:val="20"/>
              </w:rPr>
              <w:fldChar w:fldCharType="begin"/>
            </w:r>
            <w:r w:rsidRPr="005516F4">
              <w:rPr>
                <w:rFonts w:ascii="Arial Narrow" w:hAnsi="Arial Narrow"/>
                <w:b/>
                <w:color w:val="2C9ADC"/>
                <w:sz w:val="20"/>
                <w:szCs w:val="20"/>
              </w:rPr>
              <w:instrText xml:space="preserve"> SEQ GRAF \* ARABIC </w:instrText>
            </w:r>
            <w:r w:rsidRPr="005516F4">
              <w:rPr>
                <w:rFonts w:ascii="Arial Narrow" w:hAnsi="Arial Narrow"/>
                <w:b/>
                <w:color w:val="2C9ADC"/>
                <w:sz w:val="20"/>
                <w:szCs w:val="20"/>
              </w:rPr>
              <w:fldChar w:fldCharType="separate"/>
            </w:r>
            <w:r w:rsidR="007A664D">
              <w:rPr>
                <w:rFonts w:ascii="Arial Narrow" w:hAnsi="Arial Narrow"/>
                <w:b/>
                <w:noProof/>
                <w:color w:val="2C9ADC"/>
                <w:sz w:val="20"/>
                <w:szCs w:val="20"/>
              </w:rPr>
              <w:t>15</w:t>
            </w:r>
            <w:r w:rsidRPr="005516F4">
              <w:rPr>
                <w:rFonts w:ascii="Arial Narrow" w:hAnsi="Arial Narrow"/>
                <w:b/>
                <w:color w:val="2C9ADC"/>
                <w:sz w:val="20"/>
                <w:szCs w:val="20"/>
              </w:rPr>
              <w:fldChar w:fldCharType="end"/>
            </w:r>
            <w:r>
              <w:rPr>
                <w:rFonts w:ascii="Arial Narrow" w:hAnsi="Arial Narrow"/>
                <w:b/>
                <w:color w:val="2C9ADC"/>
                <w:sz w:val="20"/>
                <w:szCs w:val="20"/>
              </w:rPr>
              <w:t xml:space="preserve"> – Veľkosť </w:t>
            </w:r>
            <w:r w:rsidR="00B82E95">
              <w:rPr>
                <w:rFonts w:ascii="Arial Narrow" w:hAnsi="Arial Narrow"/>
                <w:b/>
                <w:color w:val="2C9ADC"/>
                <w:sz w:val="20"/>
                <w:szCs w:val="20"/>
              </w:rPr>
              <w:t>nových výdavkových politík</w:t>
            </w:r>
            <w:r>
              <w:rPr>
                <w:rFonts w:ascii="Arial Narrow" w:hAnsi="Arial Narrow"/>
                <w:b/>
                <w:color w:val="2C9ADC"/>
                <w:sz w:val="20"/>
                <w:szCs w:val="20"/>
              </w:rPr>
              <w:t xml:space="preserve"> vlády</w:t>
            </w:r>
            <w:r w:rsidR="00B82E95">
              <w:rPr>
                <w:rFonts w:ascii="Arial Narrow" w:hAnsi="Arial Narrow"/>
                <w:b/>
                <w:color w:val="2C9ADC"/>
                <w:sz w:val="20"/>
                <w:szCs w:val="20"/>
              </w:rPr>
              <w:t xml:space="preserve"> a rezervy</w:t>
            </w:r>
            <w:r>
              <w:rPr>
                <w:rFonts w:ascii="Arial Narrow" w:hAnsi="Arial Narrow"/>
                <w:b/>
                <w:color w:val="2C9ADC"/>
                <w:sz w:val="20"/>
                <w:szCs w:val="20"/>
              </w:rPr>
              <w:t xml:space="preserve"> (% HDP)</w:t>
            </w:r>
            <w:bookmarkEnd w:id="29"/>
          </w:p>
        </w:tc>
      </w:tr>
      <w:tr w:rsidR="002A0289" w:rsidRPr="00C1586F" w14:paraId="4D537CEB" w14:textId="77777777" w:rsidTr="0071717B">
        <w:trPr>
          <w:trHeight w:val="866"/>
        </w:trPr>
        <w:tc>
          <w:tcPr>
            <w:tcW w:w="2475" w:type="pct"/>
            <w:tcBorders>
              <w:top w:val="single" w:sz="4" w:space="0" w:color="auto"/>
              <w:left w:val="nil"/>
              <w:bottom w:val="single" w:sz="4" w:space="0" w:color="auto"/>
              <w:right w:val="nil"/>
            </w:tcBorders>
            <w:vAlign w:val="center"/>
          </w:tcPr>
          <w:p w14:paraId="2CFEC093" w14:textId="77777777" w:rsidR="002A0289" w:rsidRPr="00C1586F" w:rsidRDefault="002A0289" w:rsidP="00616580">
            <w:pPr>
              <w:widowControl w:val="0"/>
              <w:spacing w:before="40" w:after="40"/>
              <w:jc w:val="center"/>
              <w:rPr>
                <w:rFonts w:ascii="Arial Narrow" w:hAnsi="Arial Narrow" w:cs="Arial"/>
                <w:sz w:val="20"/>
                <w:szCs w:val="20"/>
                <w:highlight w:val="yellow"/>
              </w:rPr>
            </w:pPr>
            <w:r>
              <w:rPr>
                <w:noProof/>
                <w:lang w:eastAsia="sk-SK"/>
              </w:rPr>
              <w:drawing>
                <wp:inline distT="0" distB="0" distL="0" distR="0" wp14:anchorId="4A951582" wp14:editId="51999C08">
                  <wp:extent cx="2757830" cy="1733703"/>
                  <wp:effectExtent l="0" t="0" r="4445" b="0"/>
                  <wp:docPr id="34" name="Graf 34">
                    <a:extLst xmlns:a="http://schemas.openxmlformats.org/drawingml/2006/main">
                      <a:ext uri="{FF2B5EF4-FFF2-40B4-BE49-F238E27FC236}">
                        <a16:creationId xmlns:a16="http://schemas.microsoft.com/office/drawing/2014/main" id="{B08738DF-7B9B-AC4E-A3F9-1645B8874E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c>
          <w:tcPr>
            <w:tcW w:w="80" w:type="pct"/>
            <w:tcBorders>
              <w:top w:val="nil"/>
              <w:left w:val="nil"/>
              <w:bottom w:val="nil"/>
              <w:right w:val="nil"/>
            </w:tcBorders>
            <w:vAlign w:val="center"/>
          </w:tcPr>
          <w:p w14:paraId="442E8B10" w14:textId="77777777" w:rsidR="002A0289" w:rsidRPr="00C1586F" w:rsidRDefault="002A0289" w:rsidP="00616580">
            <w:pPr>
              <w:widowControl w:val="0"/>
              <w:spacing w:before="40" w:after="40"/>
              <w:jc w:val="center"/>
              <w:rPr>
                <w:rFonts w:ascii="Arial Narrow" w:hAnsi="Arial Narrow" w:cs="Arial"/>
                <w:b/>
                <w:sz w:val="20"/>
                <w:szCs w:val="20"/>
                <w:highlight w:val="yellow"/>
              </w:rPr>
            </w:pPr>
          </w:p>
        </w:tc>
        <w:tc>
          <w:tcPr>
            <w:tcW w:w="2445" w:type="pct"/>
            <w:tcBorders>
              <w:top w:val="single" w:sz="4" w:space="0" w:color="auto"/>
              <w:left w:val="nil"/>
              <w:bottom w:val="single" w:sz="4" w:space="0" w:color="auto"/>
              <w:right w:val="nil"/>
            </w:tcBorders>
            <w:vAlign w:val="bottom"/>
          </w:tcPr>
          <w:p w14:paraId="4899BF7A" w14:textId="690CD649" w:rsidR="002A0289" w:rsidRPr="00C1586F" w:rsidRDefault="0071717B" w:rsidP="00616580">
            <w:pPr>
              <w:widowControl w:val="0"/>
              <w:spacing w:before="40" w:after="40"/>
              <w:rPr>
                <w:rFonts w:ascii="Arial Narrow" w:hAnsi="Arial Narrow" w:cs="Arial"/>
                <w:sz w:val="20"/>
                <w:szCs w:val="20"/>
                <w:highlight w:val="yellow"/>
              </w:rPr>
            </w:pPr>
            <w:r>
              <w:rPr>
                <w:noProof/>
                <w:lang w:eastAsia="sk-SK"/>
              </w:rPr>
              <w:drawing>
                <wp:inline distT="0" distB="0" distL="0" distR="0" wp14:anchorId="2C859446" wp14:editId="6ECB9FDB">
                  <wp:extent cx="2728570" cy="1667865"/>
                  <wp:effectExtent l="0" t="0" r="0" b="8890"/>
                  <wp:docPr id="10" name="Graf 10">
                    <a:extLst xmlns:a="http://schemas.openxmlformats.org/drawingml/2006/main">
                      <a:ext uri="{FF2B5EF4-FFF2-40B4-BE49-F238E27FC236}">
                        <a16:creationId xmlns:a16="http://schemas.microsoft.com/office/drawing/2014/main" id="{C7F10A04-C4A8-40BC-A2ED-035A0F0D60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r>
      <w:tr w:rsidR="002A0289" w:rsidRPr="005516F4" w14:paraId="7A0CDF17" w14:textId="77777777" w:rsidTr="00616580">
        <w:trPr>
          <w:trHeight w:val="108"/>
        </w:trPr>
        <w:tc>
          <w:tcPr>
            <w:tcW w:w="5000" w:type="pct"/>
            <w:gridSpan w:val="3"/>
            <w:tcBorders>
              <w:top w:val="single" w:sz="4" w:space="0" w:color="auto"/>
              <w:left w:val="nil"/>
              <w:bottom w:val="nil"/>
              <w:right w:val="nil"/>
            </w:tcBorders>
          </w:tcPr>
          <w:p w14:paraId="779B493E" w14:textId="64BB2BC4" w:rsidR="000A73D3" w:rsidRDefault="00DF0C8F" w:rsidP="00C36AA2">
            <w:pPr>
              <w:widowControl w:val="0"/>
              <w:spacing w:before="40" w:after="40"/>
              <w:jc w:val="both"/>
              <w:rPr>
                <w:rFonts w:ascii="Arial Narrow" w:hAnsi="Arial Narrow"/>
                <w:i/>
                <w:sz w:val="16"/>
                <w:szCs w:val="16"/>
              </w:rPr>
            </w:pPr>
            <w:r>
              <w:rPr>
                <w:rFonts w:ascii="Arial Narrow" w:hAnsi="Arial Narrow"/>
                <w:i/>
                <w:sz w:val="16"/>
                <w:szCs w:val="16"/>
              </w:rPr>
              <w:t>Pozn.</w:t>
            </w:r>
            <w:r w:rsidR="000A73D3">
              <w:rPr>
                <w:rFonts w:ascii="Arial Narrow" w:hAnsi="Arial Narrow"/>
                <w:i/>
                <w:sz w:val="16"/>
                <w:szCs w:val="16"/>
              </w:rPr>
              <w:t>: Opatrenia znázornené v grafe vľavo majú pozitívny vplyv na hospodárenie, opatrenia v grafe vpravo</w:t>
            </w:r>
            <w:r>
              <w:rPr>
                <w:rFonts w:ascii="Arial Narrow" w:hAnsi="Arial Narrow"/>
                <w:i/>
                <w:sz w:val="16"/>
                <w:szCs w:val="16"/>
              </w:rPr>
              <w:t>,</w:t>
            </w:r>
            <w:r w:rsidR="000A73D3">
              <w:rPr>
                <w:rFonts w:ascii="Arial Narrow" w:hAnsi="Arial Narrow"/>
                <w:i/>
                <w:sz w:val="16"/>
                <w:szCs w:val="16"/>
              </w:rPr>
              <w:t xml:space="preserve"> naopak, negatívny vplyv na hospodárenie.</w:t>
            </w:r>
          </w:p>
          <w:p w14:paraId="16EC15CC" w14:textId="071CD16F" w:rsidR="002A0289" w:rsidRPr="005516F4" w:rsidRDefault="000A73D3" w:rsidP="00616580">
            <w:pPr>
              <w:widowControl w:val="0"/>
              <w:spacing w:before="40" w:after="40"/>
              <w:jc w:val="right"/>
              <w:rPr>
                <w:rFonts w:ascii="Arial Narrow" w:hAnsi="Arial Narrow"/>
                <w:b/>
                <w:iCs/>
                <w:color w:val="000000"/>
              </w:rPr>
            </w:pPr>
            <w:r>
              <w:rPr>
                <w:rFonts w:ascii="Arial Narrow" w:hAnsi="Arial Narrow"/>
                <w:i/>
                <w:sz w:val="16"/>
                <w:szCs w:val="16"/>
              </w:rPr>
              <w:t xml:space="preserve">  </w:t>
            </w:r>
            <w:r w:rsidR="002A0289" w:rsidRPr="005516F4">
              <w:rPr>
                <w:rFonts w:ascii="Arial Narrow" w:hAnsi="Arial Narrow"/>
                <w:i/>
                <w:sz w:val="16"/>
                <w:szCs w:val="16"/>
              </w:rPr>
              <w:t>Zdroj: EK,  MF SR</w:t>
            </w:r>
          </w:p>
        </w:tc>
      </w:tr>
    </w:tbl>
    <w:p w14:paraId="5AD76718" w14:textId="77777777" w:rsidR="002A0289" w:rsidRPr="00E01EC5" w:rsidRDefault="002A0289" w:rsidP="002A0289">
      <w:pPr>
        <w:spacing w:after="0" w:line="276" w:lineRule="auto"/>
        <w:jc w:val="both"/>
        <w:rPr>
          <w:rFonts w:ascii="Arial Narrow" w:hAnsi="Arial Narrow"/>
          <w:color w:val="00B0F0"/>
        </w:rPr>
      </w:pPr>
    </w:p>
    <w:p w14:paraId="149AF9BC" w14:textId="05395AB7" w:rsidR="002A0289" w:rsidRDefault="005A75F6" w:rsidP="002A0289">
      <w:pPr>
        <w:widowControl w:val="0"/>
        <w:spacing w:before="40" w:after="40"/>
        <w:jc w:val="both"/>
        <w:rPr>
          <w:rFonts w:ascii="Arial Narrow" w:eastAsia="NeueHaasGroteskText W02" w:hAnsi="Arial Narrow" w:cs="Arial"/>
          <w:b/>
          <w:bCs/>
          <w:color w:val="2C9ADC"/>
          <w:sz w:val="20"/>
          <w:szCs w:val="20"/>
          <w:u w:color="2C9ADC"/>
        </w:rPr>
      </w:pPr>
      <w:bookmarkStart w:id="30" w:name="_Toc179814715"/>
      <w:r w:rsidRPr="00E20A72">
        <w:rPr>
          <w:rFonts w:ascii="Arial Narrow" w:eastAsia="Arial Narrow" w:hAnsi="Arial Narrow" w:cs="Arial Narrow"/>
          <w:b/>
          <w:bCs/>
          <w:noProof/>
          <w:color w:val="2C9ADC"/>
          <w:sz w:val="20"/>
          <w:szCs w:val="20"/>
          <w:bdr w:val="nil"/>
          <w:lang w:eastAsia="sk-SK"/>
        </w:rPr>
        <w:t xml:space="preserve">TABUĽKA </w:t>
      </w:r>
      <w:r w:rsidRPr="00E20A72">
        <w:rPr>
          <w:rFonts w:ascii="Arial Narrow" w:eastAsia="Arial Narrow" w:hAnsi="Arial Narrow" w:cs="Arial Narrow"/>
          <w:b/>
          <w:bCs/>
          <w:noProof/>
          <w:color w:val="2C9ADC"/>
          <w:sz w:val="20"/>
          <w:szCs w:val="20"/>
          <w:bdr w:val="nil"/>
          <w:lang w:eastAsia="sk-SK"/>
        </w:rPr>
        <w:fldChar w:fldCharType="begin"/>
      </w:r>
      <w:r w:rsidRPr="00E20A72">
        <w:rPr>
          <w:rFonts w:ascii="Arial Narrow" w:eastAsia="Arial Narrow" w:hAnsi="Arial Narrow" w:cs="Arial Narrow"/>
          <w:b/>
          <w:bCs/>
          <w:noProof/>
          <w:color w:val="2C9ADC"/>
          <w:sz w:val="20"/>
          <w:szCs w:val="20"/>
          <w:bdr w:val="nil"/>
          <w:lang w:eastAsia="sk-SK"/>
        </w:rPr>
        <w:instrText xml:space="preserve"> SEQ TABUĽKA \* ARABIC </w:instrText>
      </w:r>
      <w:r w:rsidRPr="00E20A72">
        <w:rPr>
          <w:rFonts w:ascii="Arial Narrow" w:eastAsia="Arial Narrow" w:hAnsi="Arial Narrow" w:cs="Arial Narrow"/>
          <w:b/>
          <w:bCs/>
          <w:noProof/>
          <w:color w:val="2C9ADC"/>
          <w:sz w:val="20"/>
          <w:szCs w:val="20"/>
          <w:bdr w:val="nil"/>
          <w:lang w:eastAsia="sk-SK"/>
        </w:rPr>
        <w:fldChar w:fldCharType="separate"/>
      </w:r>
      <w:r w:rsidR="007A664D">
        <w:rPr>
          <w:rFonts w:ascii="Arial Narrow" w:eastAsia="Arial Narrow" w:hAnsi="Arial Narrow" w:cs="Arial Narrow"/>
          <w:b/>
          <w:bCs/>
          <w:noProof/>
          <w:color w:val="2C9ADC"/>
          <w:sz w:val="20"/>
          <w:szCs w:val="20"/>
          <w:bdr w:val="nil"/>
          <w:lang w:eastAsia="sk-SK"/>
        </w:rPr>
        <w:t>3</w:t>
      </w:r>
      <w:r w:rsidRPr="00E20A72">
        <w:rPr>
          <w:rFonts w:ascii="Arial Narrow" w:eastAsia="Arial Narrow" w:hAnsi="Arial Narrow" w:cs="Arial Narrow"/>
          <w:b/>
          <w:bCs/>
          <w:noProof/>
          <w:color w:val="2C9ADC"/>
          <w:sz w:val="20"/>
          <w:szCs w:val="20"/>
          <w:bdr w:val="nil"/>
          <w:lang w:eastAsia="sk-SK"/>
        </w:rPr>
        <w:fldChar w:fldCharType="end"/>
      </w:r>
      <w:r w:rsidR="002A0289" w:rsidRPr="00A372D1">
        <w:rPr>
          <w:rFonts w:ascii="Arial Narrow" w:eastAsia="NeueHaasGroteskText W02" w:hAnsi="Arial Narrow" w:cs="Arial"/>
          <w:b/>
          <w:bCs/>
          <w:color w:val="2C9ADC"/>
          <w:sz w:val="20"/>
          <w:szCs w:val="20"/>
          <w:u w:color="2C9ADC"/>
        </w:rPr>
        <w:t xml:space="preserve"> </w:t>
      </w:r>
      <w:r>
        <w:rPr>
          <w:rFonts w:ascii="Arial Narrow" w:eastAsia="NeueHaasGroteskText W02" w:hAnsi="Arial Narrow" w:cs="Arial"/>
          <w:b/>
          <w:bCs/>
          <w:color w:val="2C9ADC"/>
          <w:sz w:val="20"/>
          <w:szCs w:val="20"/>
          <w:u w:color="2C9ADC"/>
        </w:rPr>
        <w:t xml:space="preserve">– </w:t>
      </w:r>
      <w:r w:rsidR="002A0289" w:rsidRPr="00A372D1">
        <w:rPr>
          <w:rFonts w:ascii="Arial Narrow" w:eastAsia="NeueHaasGroteskText W02" w:hAnsi="Arial Narrow" w:cs="Arial"/>
          <w:b/>
          <w:bCs/>
          <w:color w:val="2C9ADC"/>
          <w:sz w:val="20"/>
          <w:szCs w:val="20"/>
          <w:u w:color="2C9ADC"/>
        </w:rPr>
        <w:t>Príjmové a výdavkové konsolidačné opatrenia</w:t>
      </w:r>
      <w:bookmarkEnd w:id="30"/>
    </w:p>
    <w:tbl>
      <w:tblPr>
        <w:tblW w:w="8932" w:type="dxa"/>
        <w:jc w:val="center"/>
        <w:tblLayout w:type="fixed"/>
        <w:tblCellMar>
          <w:left w:w="70" w:type="dxa"/>
          <w:right w:w="70" w:type="dxa"/>
        </w:tblCellMar>
        <w:tblLook w:val="04A0" w:firstRow="1" w:lastRow="0" w:firstColumn="1" w:lastColumn="0" w:noHBand="0" w:noVBand="1"/>
      </w:tblPr>
      <w:tblGrid>
        <w:gridCol w:w="6664"/>
        <w:gridCol w:w="567"/>
        <w:gridCol w:w="567"/>
        <w:gridCol w:w="567"/>
        <w:gridCol w:w="567"/>
      </w:tblGrid>
      <w:tr w:rsidR="002A0289" w:rsidRPr="00052011" w14:paraId="58BC1549" w14:textId="77777777" w:rsidTr="00616580">
        <w:trPr>
          <w:trHeight w:val="256"/>
          <w:jc w:val="center"/>
        </w:trPr>
        <w:tc>
          <w:tcPr>
            <w:tcW w:w="6664" w:type="dxa"/>
            <w:tcBorders>
              <w:top w:val="single" w:sz="4" w:space="0" w:color="auto"/>
              <w:left w:val="nil"/>
              <w:bottom w:val="single" w:sz="12" w:space="0" w:color="auto"/>
              <w:right w:val="nil"/>
            </w:tcBorders>
            <w:shd w:val="clear" w:color="auto" w:fill="auto"/>
            <w:vAlign w:val="center"/>
            <w:hideMark/>
          </w:tcPr>
          <w:p w14:paraId="186B57FF" w14:textId="77777777" w:rsidR="002A0289" w:rsidRPr="00052011" w:rsidRDefault="002A0289" w:rsidP="00616580">
            <w:pPr>
              <w:spacing w:after="0" w:line="240" w:lineRule="auto"/>
              <w:rPr>
                <w:rFonts w:ascii="Arial Narrow" w:eastAsia="Times New Roman" w:hAnsi="Arial Narrow" w:cs="Calibri"/>
                <w:b/>
                <w:bCs/>
                <w:color w:val="000000"/>
                <w:sz w:val="18"/>
                <w:szCs w:val="18"/>
                <w:lang w:eastAsia="sk-SK"/>
              </w:rPr>
            </w:pPr>
            <w:r w:rsidRPr="00052011">
              <w:rPr>
                <w:rFonts w:ascii="Arial Narrow" w:eastAsia="Times New Roman" w:hAnsi="Arial Narrow" w:cs="Calibri"/>
                <w:b/>
                <w:bCs/>
                <w:color w:val="000000"/>
                <w:sz w:val="18"/>
                <w:szCs w:val="18"/>
                <w:lang w:eastAsia="sk-SK"/>
              </w:rPr>
              <w:t> </w:t>
            </w:r>
          </w:p>
        </w:tc>
        <w:tc>
          <w:tcPr>
            <w:tcW w:w="567" w:type="dxa"/>
            <w:tcBorders>
              <w:top w:val="single" w:sz="4" w:space="0" w:color="auto"/>
              <w:left w:val="nil"/>
              <w:bottom w:val="single" w:sz="12" w:space="0" w:color="auto"/>
              <w:right w:val="nil"/>
            </w:tcBorders>
            <w:shd w:val="clear" w:color="auto" w:fill="auto"/>
            <w:vAlign w:val="center"/>
            <w:hideMark/>
          </w:tcPr>
          <w:p w14:paraId="691B9C0A" w14:textId="77777777" w:rsidR="002A0289" w:rsidRPr="00052011" w:rsidRDefault="002A0289" w:rsidP="00616580">
            <w:pPr>
              <w:spacing w:after="0" w:line="240" w:lineRule="auto"/>
              <w:jc w:val="center"/>
              <w:rPr>
                <w:rFonts w:ascii="Arial Narrow" w:eastAsia="Times New Roman" w:hAnsi="Arial Narrow" w:cs="Calibri"/>
                <w:b/>
                <w:bCs/>
                <w:color w:val="000000"/>
                <w:sz w:val="18"/>
                <w:szCs w:val="18"/>
                <w:lang w:eastAsia="sk-SK"/>
              </w:rPr>
            </w:pPr>
            <w:r w:rsidRPr="00052011">
              <w:rPr>
                <w:rFonts w:ascii="Arial Narrow" w:eastAsia="Times New Roman" w:hAnsi="Arial Narrow" w:cs="Calibri"/>
                <w:b/>
                <w:bCs/>
                <w:color w:val="000000"/>
                <w:sz w:val="18"/>
                <w:szCs w:val="18"/>
                <w:lang w:eastAsia="sk-SK"/>
              </w:rPr>
              <w:t>202</w:t>
            </w:r>
            <w:r>
              <w:rPr>
                <w:rFonts w:ascii="Arial Narrow" w:eastAsia="Times New Roman" w:hAnsi="Arial Narrow" w:cs="Calibri"/>
                <w:b/>
                <w:bCs/>
                <w:color w:val="000000"/>
                <w:sz w:val="18"/>
                <w:szCs w:val="18"/>
                <w:lang w:eastAsia="sk-SK"/>
              </w:rPr>
              <w:t>5</w:t>
            </w:r>
          </w:p>
        </w:tc>
        <w:tc>
          <w:tcPr>
            <w:tcW w:w="567" w:type="dxa"/>
            <w:tcBorders>
              <w:top w:val="single" w:sz="4" w:space="0" w:color="auto"/>
              <w:left w:val="nil"/>
              <w:bottom w:val="single" w:sz="12" w:space="0" w:color="auto"/>
              <w:right w:val="nil"/>
            </w:tcBorders>
            <w:shd w:val="clear" w:color="auto" w:fill="auto"/>
            <w:vAlign w:val="center"/>
            <w:hideMark/>
          </w:tcPr>
          <w:p w14:paraId="633E13A2" w14:textId="77777777" w:rsidR="002A0289" w:rsidRPr="00052011" w:rsidRDefault="002A0289" w:rsidP="00616580">
            <w:pPr>
              <w:spacing w:after="0" w:line="240" w:lineRule="auto"/>
              <w:jc w:val="center"/>
              <w:rPr>
                <w:rFonts w:ascii="Arial Narrow" w:eastAsia="Times New Roman" w:hAnsi="Arial Narrow" w:cs="Calibri"/>
                <w:b/>
                <w:bCs/>
                <w:color w:val="000000"/>
                <w:sz w:val="18"/>
                <w:szCs w:val="18"/>
                <w:lang w:eastAsia="sk-SK"/>
              </w:rPr>
            </w:pPr>
            <w:r w:rsidRPr="00052011">
              <w:rPr>
                <w:rFonts w:ascii="Arial Narrow" w:eastAsia="Times New Roman" w:hAnsi="Arial Narrow" w:cs="Calibri"/>
                <w:b/>
                <w:bCs/>
                <w:color w:val="000000"/>
                <w:sz w:val="18"/>
                <w:szCs w:val="18"/>
                <w:lang w:eastAsia="sk-SK"/>
              </w:rPr>
              <w:t>202</w:t>
            </w:r>
            <w:r>
              <w:rPr>
                <w:rFonts w:ascii="Arial Narrow" w:eastAsia="Times New Roman" w:hAnsi="Arial Narrow" w:cs="Calibri"/>
                <w:b/>
                <w:bCs/>
                <w:color w:val="000000"/>
                <w:sz w:val="18"/>
                <w:szCs w:val="18"/>
                <w:lang w:eastAsia="sk-SK"/>
              </w:rPr>
              <w:t>6</w:t>
            </w:r>
          </w:p>
        </w:tc>
        <w:tc>
          <w:tcPr>
            <w:tcW w:w="567" w:type="dxa"/>
            <w:tcBorders>
              <w:top w:val="single" w:sz="4" w:space="0" w:color="auto"/>
              <w:left w:val="nil"/>
              <w:bottom w:val="single" w:sz="12" w:space="0" w:color="auto"/>
              <w:right w:val="nil"/>
            </w:tcBorders>
            <w:shd w:val="clear" w:color="auto" w:fill="auto"/>
            <w:vAlign w:val="center"/>
            <w:hideMark/>
          </w:tcPr>
          <w:p w14:paraId="5F840C2F" w14:textId="77777777" w:rsidR="002A0289" w:rsidRPr="00052011" w:rsidRDefault="002A0289" w:rsidP="00616580">
            <w:pPr>
              <w:spacing w:after="0" w:line="240" w:lineRule="auto"/>
              <w:jc w:val="center"/>
              <w:rPr>
                <w:rFonts w:ascii="Arial Narrow" w:eastAsia="Times New Roman" w:hAnsi="Arial Narrow" w:cs="Calibri"/>
                <w:b/>
                <w:bCs/>
                <w:color w:val="000000"/>
                <w:sz w:val="18"/>
                <w:szCs w:val="18"/>
                <w:lang w:eastAsia="sk-SK"/>
              </w:rPr>
            </w:pPr>
            <w:r w:rsidRPr="00052011">
              <w:rPr>
                <w:rFonts w:ascii="Arial Narrow" w:eastAsia="Times New Roman" w:hAnsi="Arial Narrow" w:cs="Calibri"/>
                <w:b/>
                <w:bCs/>
                <w:color w:val="000000"/>
                <w:sz w:val="18"/>
                <w:szCs w:val="18"/>
                <w:lang w:eastAsia="sk-SK"/>
              </w:rPr>
              <w:t>202</w:t>
            </w:r>
            <w:r>
              <w:rPr>
                <w:rFonts w:ascii="Arial Narrow" w:eastAsia="Times New Roman" w:hAnsi="Arial Narrow" w:cs="Calibri"/>
                <w:b/>
                <w:bCs/>
                <w:color w:val="000000"/>
                <w:sz w:val="18"/>
                <w:szCs w:val="18"/>
                <w:lang w:eastAsia="sk-SK"/>
              </w:rPr>
              <w:t>7</w:t>
            </w:r>
          </w:p>
        </w:tc>
        <w:tc>
          <w:tcPr>
            <w:tcW w:w="567" w:type="dxa"/>
            <w:tcBorders>
              <w:top w:val="single" w:sz="4" w:space="0" w:color="auto"/>
              <w:left w:val="nil"/>
              <w:bottom w:val="single" w:sz="12" w:space="0" w:color="auto"/>
              <w:right w:val="nil"/>
            </w:tcBorders>
            <w:shd w:val="clear" w:color="auto" w:fill="auto"/>
            <w:vAlign w:val="center"/>
            <w:hideMark/>
          </w:tcPr>
          <w:p w14:paraId="67D45B36" w14:textId="77777777" w:rsidR="002A0289" w:rsidRPr="00052011" w:rsidRDefault="002A0289" w:rsidP="00616580">
            <w:pPr>
              <w:spacing w:after="0" w:line="240" w:lineRule="auto"/>
              <w:jc w:val="center"/>
              <w:rPr>
                <w:rFonts w:ascii="Arial Narrow" w:eastAsia="Times New Roman" w:hAnsi="Arial Narrow" w:cs="Calibri"/>
                <w:b/>
                <w:bCs/>
                <w:color w:val="000000"/>
                <w:sz w:val="18"/>
                <w:szCs w:val="18"/>
                <w:lang w:eastAsia="sk-SK"/>
              </w:rPr>
            </w:pPr>
            <w:r w:rsidRPr="00052011">
              <w:rPr>
                <w:rFonts w:ascii="Arial Narrow" w:eastAsia="Times New Roman" w:hAnsi="Arial Narrow" w:cs="Calibri"/>
                <w:b/>
                <w:bCs/>
                <w:color w:val="000000"/>
                <w:sz w:val="18"/>
                <w:szCs w:val="18"/>
                <w:lang w:eastAsia="sk-SK"/>
              </w:rPr>
              <w:t>202</w:t>
            </w:r>
            <w:r>
              <w:rPr>
                <w:rFonts w:ascii="Arial Narrow" w:eastAsia="Times New Roman" w:hAnsi="Arial Narrow" w:cs="Calibri"/>
                <w:b/>
                <w:bCs/>
                <w:color w:val="000000"/>
                <w:sz w:val="18"/>
                <w:szCs w:val="18"/>
                <w:lang w:eastAsia="sk-SK"/>
              </w:rPr>
              <w:t>8</w:t>
            </w:r>
          </w:p>
        </w:tc>
      </w:tr>
      <w:tr w:rsidR="002A0289" w:rsidRPr="00406B45" w14:paraId="37DFCE9C" w14:textId="77777777" w:rsidTr="00616580">
        <w:trPr>
          <w:trHeight w:val="256"/>
          <w:jc w:val="center"/>
        </w:trPr>
        <w:tc>
          <w:tcPr>
            <w:tcW w:w="6664" w:type="dxa"/>
            <w:tcBorders>
              <w:top w:val="single" w:sz="12" w:space="0" w:color="auto"/>
              <w:left w:val="nil"/>
              <w:bottom w:val="single" w:sz="4" w:space="0" w:color="auto"/>
              <w:right w:val="nil"/>
            </w:tcBorders>
            <w:shd w:val="clear" w:color="auto" w:fill="auto"/>
            <w:vAlign w:val="center"/>
            <w:hideMark/>
          </w:tcPr>
          <w:p w14:paraId="42897639" w14:textId="77777777" w:rsidR="002A0289" w:rsidRPr="00406B45" w:rsidRDefault="002A0289" w:rsidP="00616580">
            <w:pPr>
              <w:spacing w:after="0" w:line="240" w:lineRule="auto"/>
              <w:contextualSpacing/>
              <w:rPr>
                <w:rFonts w:ascii="Arial Narrow" w:eastAsia="Times New Roman" w:hAnsi="Arial Narrow" w:cs="Calibri"/>
                <w:b/>
                <w:bCs/>
                <w:color w:val="000000"/>
                <w:sz w:val="18"/>
                <w:szCs w:val="18"/>
                <w:lang w:eastAsia="sk-SK"/>
              </w:rPr>
            </w:pPr>
            <w:r w:rsidRPr="00406B45">
              <w:rPr>
                <w:rFonts w:ascii="Arial Narrow" w:eastAsia="Times New Roman" w:hAnsi="Arial Narrow" w:cs="Calibri"/>
                <w:b/>
                <w:bCs/>
                <w:color w:val="000000"/>
                <w:sz w:val="18"/>
                <w:szCs w:val="18"/>
                <w:lang w:eastAsia="sk-SK"/>
              </w:rPr>
              <w:t>Opatrenia na príjmoch spolu</w:t>
            </w:r>
          </w:p>
        </w:tc>
        <w:tc>
          <w:tcPr>
            <w:tcW w:w="567" w:type="dxa"/>
            <w:tcBorders>
              <w:top w:val="single" w:sz="12" w:space="0" w:color="auto"/>
              <w:left w:val="nil"/>
              <w:bottom w:val="single" w:sz="4" w:space="0" w:color="auto"/>
              <w:right w:val="nil"/>
            </w:tcBorders>
            <w:shd w:val="clear" w:color="auto" w:fill="auto"/>
            <w:vAlign w:val="center"/>
            <w:hideMark/>
          </w:tcPr>
          <w:p w14:paraId="2E894758" w14:textId="77777777" w:rsidR="002A0289" w:rsidRPr="00406B45" w:rsidRDefault="002A0289" w:rsidP="00616580">
            <w:pPr>
              <w:pStyle w:val="Bezriadkovania"/>
              <w:jc w:val="center"/>
              <w:rPr>
                <w:b/>
                <w:sz w:val="18"/>
                <w:szCs w:val="18"/>
              </w:rPr>
            </w:pPr>
            <w:r>
              <w:rPr>
                <w:rFonts w:cs="Calibri"/>
                <w:b/>
                <w:bCs/>
                <w:color w:val="000000"/>
                <w:sz w:val="18"/>
                <w:szCs w:val="18"/>
              </w:rPr>
              <w:t>1 904</w:t>
            </w:r>
          </w:p>
        </w:tc>
        <w:tc>
          <w:tcPr>
            <w:tcW w:w="567" w:type="dxa"/>
            <w:tcBorders>
              <w:top w:val="single" w:sz="12" w:space="0" w:color="auto"/>
              <w:left w:val="nil"/>
              <w:bottom w:val="single" w:sz="4" w:space="0" w:color="auto"/>
              <w:right w:val="nil"/>
            </w:tcBorders>
            <w:shd w:val="clear" w:color="auto" w:fill="auto"/>
            <w:vAlign w:val="center"/>
            <w:hideMark/>
          </w:tcPr>
          <w:p w14:paraId="6382BE41" w14:textId="77777777" w:rsidR="002A0289" w:rsidRPr="00406B45" w:rsidRDefault="002A0289" w:rsidP="00616580">
            <w:pPr>
              <w:pStyle w:val="Bezriadkovania"/>
              <w:jc w:val="center"/>
              <w:rPr>
                <w:b/>
                <w:sz w:val="18"/>
                <w:szCs w:val="18"/>
              </w:rPr>
            </w:pPr>
            <w:r>
              <w:rPr>
                <w:rFonts w:cs="Calibri"/>
                <w:b/>
                <w:bCs/>
                <w:color w:val="000000"/>
                <w:sz w:val="18"/>
                <w:szCs w:val="18"/>
              </w:rPr>
              <w:t>2 445</w:t>
            </w:r>
          </w:p>
        </w:tc>
        <w:tc>
          <w:tcPr>
            <w:tcW w:w="567" w:type="dxa"/>
            <w:tcBorders>
              <w:top w:val="single" w:sz="12" w:space="0" w:color="auto"/>
              <w:left w:val="nil"/>
              <w:bottom w:val="single" w:sz="4" w:space="0" w:color="auto"/>
              <w:right w:val="nil"/>
            </w:tcBorders>
            <w:shd w:val="clear" w:color="auto" w:fill="auto"/>
            <w:vAlign w:val="center"/>
            <w:hideMark/>
          </w:tcPr>
          <w:p w14:paraId="29C9A1CD" w14:textId="77777777" w:rsidR="002A0289" w:rsidRPr="00406B45" w:rsidRDefault="002A0289" w:rsidP="00616580">
            <w:pPr>
              <w:pStyle w:val="Bezriadkovania"/>
              <w:jc w:val="center"/>
              <w:rPr>
                <w:b/>
                <w:sz w:val="18"/>
                <w:szCs w:val="18"/>
              </w:rPr>
            </w:pPr>
            <w:r>
              <w:rPr>
                <w:rFonts w:cs="Calibri"/>
                <w:b/>
                <w:bCs/>
                <w:color w:val="000000"/>
                <w:sz w:val="18"/>
                <w:szCs w:val="18"/>
              </w:rPr>
              <w:t>2 505</w:t>
            </w:r>
          </w:p>
        </w:tc>
        <w:tc>
          <w:tcPr>
            <w:tcW w:w="567" w:type="dxa"/>
            <w:tcBorders>
              <w:top w:val="single" w:sz="12" w:space="0" w:color="auto"/>
              <w:left w:val="nil"/>
              <w:bottom w:val="single" w:sz="4" w:space="0" w:color="auto"/>
              <w:right w:val="nil"/>
            </w:tcBorders>
            <w:shd w:val="clear" w:color="auto" w:fill="auto"/>
            <w:vAlign w:val="center"/>
            <w:hideMark/>
          </w:tcPr>
          <w:p w14:paraId="3750F550" w14:textId="77777777" w:rsidR="002A0289" w:rsidRPr="00406B45" w:rsidRDefault="002A0289" w:rsidP="00616580">
            <w:pPr>
              <w:pStyle w:val="Bezriadkovania"/>
              <w:jc w:val="center"/>
              <w:rPr>
                <w:b/>
                <w:sz w:val="18"/>
                <w:szCs w:val="18"/>
              </w:rPr>
            </w:pPr>
            <w:r>
              <w:rPr>
                <w:rFonts w:cs="Calibri"/>
                <w:b/>
                <w:bCs/>
                <w:color w:val="000000"/>
                <w:sz w:val="18"/>
                <w:szCs w:val="18"/>
              </w:rPr>
              <w:t>2 688</w:t>
            </w:r>
          </w:p>
        </w:tc>
      </w:tr>
      <w:tr w:rsidR="002A0289" w:rsidRPr="005C4DE7" w14:paraId="21139A86" w14:textId="77777777" w:rsidTr="00616580">
        <w:trPr>
          <w:trHeight w:val="256"/>
          <w:jc w:val="center"/>
        </w:trPr>
        <w:tc>
          <w:tcPr>
            <w:tcW w:w="6664" w:type="dxa"/>
            <w:tcBorders>
              <w:top w:val="nil"/>
              <w:left w:val="nil"/>
              <w:bottom w:val="nil"/>
              <w:right w:val="nil"/>
            </w:tcBorders>
            <w:shd w:val="clear" w:color="auto" w:fill="auto"/>
            <w:noWrap/>
            <w:vAlign w:val="center"/>
            <w:hideMark/>
          </w:tcPr>
          <w:p w14:paraId="20061AA1" w14:textId="02636FC2" w:rsidR="002A0289" w:rsidRPr="003318B5" w:rsidRDefault="00B5719A" w:rsidP="00616580">
            <w:pPr>
              <w:spacing w:after="0" w:line="240" w:lineRule="auto"/>
              <w:contextualSpacing/>
              <w:jc w:val="both"/>
              <w:rPr>
                <w:rFonts w:ascii="Arial Narrow" w:eastAsia="Times New Roman" w:hAnsi="Arial Narrow" w:cs="Calibri"/>
                <w:color w:val="000000"/>
                <w:sz w:val="18"/>
                <w:szCs w:val="18"/>
                <w:lang w:eastAsia="sk-SK"/>
              </w:rPr>
            </w:pPr>
            <w:r>
              <w:rPr>
                <w:rFonts w:ascii="Arial Narrow" w:eastAsia="Times New Roman" w:hAnsi="Arial Narrow" w:cs="Calibri"/>
                <w:color w:val="000000"/>
                <w:sz w:val="18"/>
                <w:szCs w:val="18"/>
                <w:lang w:eastAsia="sk-SK"/>
              </w:rPr>
              <w:t>Reforma</w:t>
            </w:r>
            <w:r w:rsidR="002A0289" w:rsidRPr="003318B5">
              <w:rPr>
                <w:rFonts w:ascii="Arial Narrow" w:eastAsia="Times New Roman" w:hAnsi="Arial Narrow" w:cs="Calibri"/>
                <w:color w:val="000000"/>
                <w:sz w:val="18"/>
                <w:szCs w:val="18"/>
                <w:lang w:eastAsia="sk-SK"/>
              </w:rPr>
              <w:t xml:space="preserve"> DPH (základná </w:t>
            </w:r>
            <w:r>
              <w:rPr>
                <w:rFonts w:ascii="Arial Narrow" w:eastAsia="Times New Roman" w:hAnsi="Arial Narrow" w:cs="Calibri"/>
                <w:color w:val="000000"/>
                <w:sz w:val="18"/>
                <w:szCs w:val="18"/>
                <w:lang w:eastAsia="sk-SK"/>
              </w:rPr>
              <w:t xml:space="preserve">sadzba </w:t>
            </w:r>
            <w:r w:rsidR="002A0289" w:rsidRPr="003318B5">
              <w:rPr>
                <w:rFonts w:ascii="Arial Narrow" w:eastAsia="Times New Roman" w:hAnsi="Arial Narrow" w:cs="Calibri"/>
                <w:color w:val="000000"/>
                <w:sz w:val="18"/>
                <w:szCs w:val="18"/>
                <w:lang w:eastAsia="sk-SK"/>
              </w:rPr>
              <w:t xml:space="preserve">23 % a dve znížené </w:t>
            </w:r>
            <w:r>
              <w:rPr>
                <w:rFonts w:ascii="Arial Narrow" w:eastAsia="Times New Roman" w:hAnsi="Arial Narrow" w:cs="Calibri"/>
                <w:color w:val="000000"/>
                <w:sz w:val="18"/>
                <w:szCs w:val="18"/>
                <w:lang w:eastAsia="sk-SK"/>
              </w:rPr>
              <w:t xml:space="preserve">sadzby </w:t>
            </w:r>
            <w:r w:rsidR="002A0289" w:rsidRPr="003318B5">
              <w:rPr>
                <w:rFonts w:ascii="Arial Narrow" w:eastAsia="Times New Roman" w:hAnsi="Arial Narrow" w:cs="Calibri"/>
                <w:color w:val="000000"/>
                <w:sz w:val="18"/>
                <w:szCs w:val="18"/>
                <w:lang w:eastAsia="sk-SK"/>
              </w:rPr>
              <w:t>– 19 % a 5 %)</w:t>
            </w:r>
          </w:p>
        </w:tc>
        <w:tc>
          <w:tcPr>
            <w:tcW w:w="567" w:type="dxa"/>
            <w:tcBorders>
              <w:top w:val="nil"/>
              <w:left w:val="nil"/>
              <w:bottom w:val="nil"/>
              <w:right w:val="nil"/>
            </w:tcBorders>
            <w:shd w:val="clear" w:color="auto" w:fill="auto"/>
            <w:vAlign w:val="center"/>
            <w:hideMark/>
          </w:tcPr>
          <w:p w14:paraId="253851CE" w14:textId="77777777" w:rsidR="002A0289" w:rsidRPr="002567D5" w:rsidRDefault="002A0289" w:rsidP="00616580">
            <w:pPr>
              <w:pStyle w:val="Bezriadkovania"/>
              <w:jc w:val="center"/>
              <w:rPr>
                <w:sz w:val="18"/>
                <w:szCs w:val="18"/>
              </w:rPr>
            </w:pPr>
            <w:r w:rsidRPr="002567D5">
              <w:rPr>
                <w:rFonts w:cs="Calibri"/>
                <w:color w:val="000000"/>
                <w:sz w:val="18"/>
                <w:szCs w:val="18"/>
              </w:rPr>
              <w:t>756</w:t>
            </w:r>
          </w:p>
        </w:tc>
        <w:tc>
          <w:tcPr>
            <w:tcW w:w="567" w:type="dxa"/>
            <w:tcBorders>
              <w:top w:val="nil"/>
              <w:left w:val="nil"/>
              <w:bottom w:val="nil"/>
              <w:right w:val="nil"/>
            </w:tcBorders>
            <w:shd w:val="clear" w:color="auto" w:fill="auto"/>
            <w:vAlign w:val="center"/>
            <w:hideMark/>
          </w:tcPr>
          <w:p w14:paraId="7CA711F7" w14:textId="77777777" w:rsidR="002A0289" w:rsidRPr="002567D5" w:rsidRDefault="002A0289" w:rsidP="00616580">
            <w:pPr>
              <w:pStyle w:val="Bezriadkovania"/>
              <w:jc w:val="center"/>
              <w:rPr>
                <w:sz w:val="18"/>
                <w:szCs w:val="18"/>
              </w:rPr>
            </w:pPr>
            <w:r w:rsidRPr="002567D5">
              <w:rPr>
                <w:rFonts w:cs="Calibri"/>
                <w:color w:val="000000"/>
                <w:sz w:val="18"/>
                <w:szCs w:val="18"/>
              </w:rPr>
              <w:t>793</w:t>
            </w:r>
          </w:p>
        </w:tc>
        <w:tc>
          <w:tcPr>
            <w:tcW w:w="567" w:type="dxa"/>
            <w:tcBorders>
              <w:top w:val="nil"/>
              <w:left w:val="nil"/>
              <w:bottom w:val="nil"/>
              <w:right w:val="nil"/>
            </w:tcBorders>
            <w:shd w:val="clear" w:color="auto" w:fill="auto"/>
            <w:vAlign w:val="center"/>
            <w:hideMark/>
          </w:tcPr>
          <w:p w14:paraId="30693189" w14:textId="77777777" w:rsidR="002A0289" w:rsidRPr="002567D5" w:rsidRDefault="002A0289" w:rsidP="00616580">
            <w:pPr>
              <w:pStyle w:val="Bezriadkovania"/>
              <w:jc w:val="center"/>
              <w:rPr>
                <w:sz w:val="18"/>
                <w:szCs w:val="18"/>
              </w:rPr>
            </w:pPr>
            <w:r w:rsidRPr="002567D5">
              <w:rPr>
                <w:rFonts w:cs="Calibri"/>
                <w:color w:val="000000"/>
                <w:sz w:val="18"/>
                <w:szCs w:val="18"/>
              </w:rPr>
              <w:t>760</w:t>
            </w:r>
          </w:p>
        </w:tc>
        <w:tc>
          <w:tcPr>
            <w:tcW w:w="567" w:type="dxa"/>
            <w:tcBorders>
              <w:top w:val="nil"/>
              <w:left w:val="nil"/>
              <w:bottom w:val="nil"/>
              <w:right w:val="nil"/>
            </w:tcBorders>
            <w:shd w:val="clear" w:color="auto" w:fill="auto"/>
            <w:vAlign w:val="center"/>
            <w:hideMark/>
          </w:tcPr>
          <w:p w14:paraId="4E9E1189" w14:textId="77777777" w:rsidR="002A0289" w:rsidRPr="002567D5" w:rsidRDefault="002A0289" w:rsidP="00616580">
            <w:pPr>
              <w:pStyle w:val="Bezriadkovania"/>
              <w:jc w:val="center"/>
              <w:rPr>
                <w:sz w:val="18"/>
                <w:szCs w:val="18"/>
              </w:rPr>
            </w:pPr>
            <w:r w:rsidRPr="002567D5">
              <w:rPr>
                <w:rFonts w:cs="Calibri"/>
                <w:color w:val="000000"/>
                <w:sz w:val="18"/>
                <w:szCs w:val="18"/>
              </w:rPr>
              <w:t>774</w:t>
            </w:r>
          </w:p>
        </w:tc>
      </w:tr>
      <w:tr w:rsidR="002A0289" w:rsidRPr="005C4DE7" w14:paraId="238A0E0A" w14:textId="77777777" w:rsidTr="00616580">
        <w:trPr>
          <w:trHeight w:val="256"/>
          <w:jc w:val="center"/>
        </w:trPr>
        <w:tc>
          <w:tcPr>
            <w:tcW w:w="6664" w:type="dxa"/>
            <w:tcBorders>
              <w:top w:val="nil"/>
              <w:left w:val="nil"/>
              <w:bottom w:val="nil"/>
              <w:right w:val="nil"/>
            </w:tcBorders>
            <w:shd w:val="clear" w:color="auto" w:fill="auto"/>
            <w:noWrap/>
            <w:hideMark/>
          </w:tcPr>
          <w:p w14:paraId="081BD3C9" w14:textId="74BE676E" w:rsidR="002A0289" w:rsidRPr="003318B5" w:rsidRDefault="002A0289" w:rsidP="00616580">
            <w:pPr>
              <w:spacing w:after="0" w:line="240" w:lineRule="auto"/>
              <w:contextualSpacing/>
              <w:jc w:val="both"/>
              <w:rPr>
                <w:rFonts w:ascii="Arial Narrow" w:eastAsia="Times New Roman" w:hAnsi="Arial Narrow" w:cs="Calibri"/>
                <w:color w:val="000000"/>
                <w:sz w:val="18"/>
                <w:szCs w:val="18"/>
                <w:lang w:eastAsia="sk-SK"/>
              </w:rPr>
            </w:pPr>
            <w:r w:rsidRPr="003318B5">
              <w:rPr>
                <w:rFonts w:ascii="Arial Narrow" w:eastAsia="Times New Roman" w:hAnsi="Arial Narrow" w:cs="Calibri"/>
                <w:color w:val="000000"/>
                <w:sz w:val="18"/>
                <w:szCs w:val="18"/>
                <w:lang w:eastAsia="sk-SK"/>
              </w:rPr>
              <w:t>Daň z finančných transakcií a posun hranice pre nižšiu sadzbu dane z</w:t>
            </w:r>
            <w:r w:rsidR="00FB1A54">
              <w:rPr>
                <w:rFonts w:ascii="Arial Narrow" w:eastAsia="Times New Roman" w:hAnsi="Arial Narrow" w:cs="Calibri"/>
                <w:color w:val="000000"/>
                <w:sz w:val="18"/>
                <w:szCs w:val="18"/>
                <w:lang w:eastAsia="sk-SK"/>
              </w:rPr>
              <w:t> </w:t>
            </w:r>
            <w:r w:rsidRPr="003318B5">
              <w:rPr>
                <w:rFonts w:ascii="Arial Narrow" w:eastAsia="Times New Roman" w:hAnsi="Arial Narrow" w:cs="Calibri"/>
                <w:color w:val="000000"/>
                <w:sz w:val="18"/>
                <w:szCs w:val="18"/>
                <w:lang w:eastAsia="sk-SK"/>
              </w:rPr>
              <w:t>príjmu</w:t>
            </w:r>
          </w:p>
        </w:tc>
        <w:tc>
          <w:tcPr>
            <w:tcW w:w="567" w:type="dxa"/>
            <w:tcBorders>
              <w:top w:val="nil"/>
              <w:left w:val="nil"/>
              <w:bottom w:val="nil"/>
              <w:right w:val="nil"/>
            </w:tcBorders>
            <w:shd w:val="clear" w:color="auto" w:fill="auto"/>
            <w:noWrap/>
            <w:vAlign w:val="center"/>
            <w:hideMark/>
          </w:tcPr>
          <w:p w14:paraId="2E9875FA" w14:textId="77777777" w:rsidR="002A0289" w:rsidRPr="002567D5" w:rsidRDefault="002A0289" w:rsidP="00616580">
            <w:pPr>
              <w:pStyle w:val="Bezriadkovania"/>
              <w:jc w:val="center"/>
              <w:rPr>
                <w:rFonts w:cs="Calibri"/>
                <w:color w:val="000000"/>
                <w:sz w:val="18"/>
                <w:szCs w:val="18"/>
                <w:lang w:eastAsia="sk-SK"/>
              </w:rPr>
            </w:pPr>
            <w:r w:rsidRPr="002567D5">
              <w:rPr>
                <w:rFonts w:cs="Calibri"/>
                <w:color w:val="000000"/>
                <w:sz w:val="18"/>
                <w:szCs w:val="18"/>
              </w:rPr>
              <w:t>468</w:t>
            </w:r>
          </w:p>
        </w:tc>
        <w:tc>
          <w:tcPr>
            <w:tcW w:w="567" w:type="dxa"/>
            <w:tcBorders>
              <w:top w:val="nil"/>
              <w:left w:val="nil"/>
              <w:bottom w:val="nil"/>
              <w:right w:val="nil"/>
            </w:tcBorders>
            <w:shd w:val="clear" w:color="auto" w:fill="auto"/>
            <w:vAlign w:val="center"/>
            <w:hideMark/>
          </w:tcPr>
          <w:p w14:paraId="29F2B4E3" w14:textId="77777777" w:rsidR="002A0289" w:rsidRPr="002567D5" w:rsidRDefault="002A0289" w:rsidP="00616580">
            <w:pPr>
              <w:pStyle w:val="Bezriadkovania"/>
              <w:jc w:val="center"/>
              <w:rPr>
                <w:rFonts w:cs="Calibri"/>
                <w:color w:val="000000"/>
                <w:sz w:val="18"/>
                <w:szCs w:val="18"/>
                <w:lang w:eastAsia="sk-SK"/>
              </w:rPr>
            </w:pPr>
            <w:r w:rsidRPr="002567D5">
              <w:rPr>
                <w:rFonts w:cs="Calibri"/>
                <w:color w:val="000000"/>
                <w:sz w:val="18"/>
                <w:szCs w:val="18"/>
              </w:rPr>
              <w:t>674</w:t>
            </w:r>
          </w:p>
        </w:tc>
        <w:tc>
          <w:tcPr>
            <w:tcW w:w="567" w:type="dxa"/>
            <w:tcBorders>
              <w:top w:val="nil"/>
              <w:left w:val="nil"/>
              <w:bottom w:val="nil"/>
              <w:right w:val="nil"/>
            </w:tcBorders>
            <w:shd w:val="clear" w:color="auto" w:fill="auto"/>
            <w:vAlign w:val="center"/>
            <w:hideMark/>
          </w:tcPr>
          <w:p w14:paraId="5F1243BA" w14:textId="77777777" w:rsidR="002A0289" w:rsidRPr="002567D5" w:rsidRDefault="002A0289" w:rsidP="00616580">
            <w:pPr>
              <w:pStyle w:val="Bezriadkovania"/>
              <w:jc w:val="center"/>
              <w:rPr>
                <w:rFonts w:cs="Calibri"/>
                <w:color w:val="000000"/>
                <w:sz w:val="18"/>
                <w:szCs w:val="18"/>
                <w:lang w:eastAsia="sk-SK"/>
              </w:rPr>
            </w:pPr>
            <w:r w:rsidRPr="002567D5">
              <w:rPr>
                <w:rFonts w:cs="Calibri"/>
                <w:color w:val="000000"/>
                <w:sz w:val="18"/>
                <w:szCs w:val="18"/>
              </w:rPr>
              <w:t>706</w:t>
            </w:r>
          </w:p>
        </w:tc>
        <w:tc>
          <w:tcPr>
            <w:tcW w:w="567" w:type="dxa"/>
            <w:tcBorders>
              <w:top w:val="nil"/>
              <w:left w:val="nil"/>
              <w:bottom w:val="nil"/>
              <w:right w:val="nil"/>
            </w:tcBorders>
            <w:shd w:val="clear" w:color="auto" w:fill="auto"/>
            <w:vAlign w:val="center"/>
            <w:hideMark/>
          </w:tcPr>
          <w:p w14:paraId="5ABD198D" w14:textId="77777777" w:rsidR="002A0289" w:rsidRPr="002567D5" w:rsidRDefault="002A0289" w:rsidP="00616580">
            <w:pPr>
              <w:pStyle w:val="Bezriadkovania"/>
              <w:jc w:val="center"/>
              <w:rPr>
                <w:rFonts w:cs="Calibri"/>
                <w:color w:val="000000"/>
                <w:sz w:val="18"/>
                <w:szCs w:val="18"/>
                <w:lang w:eastAsia="sk-SK"/>
              </w:rPr>
            </w:pPr>
            <w:r w:rsidRPr="002567D5">
              <w:rPr>
                <w:rFonts w:cs="Calibri"/>
                <w:color w:val="000000"/>
                <w:sz w:val="18"/>
                <w:szCs w:val="18"/>
              </w:rPr>
              <w:t>743</w:t>
            </w:r>
          </w:p>
        </w:tc>
      </w:tr>
      <w:tr w:rsidR="002A0289" w:rsidRPr="005C4DE7" w14:paraId="2CEC5213" w14:textId="77777777" w:rsidTr="00616580">
        <w:trPr>
          <w:trHeight w:val="256"/>
          <w:jc w:val="center"/>
        </w:trPr>
        <w:tc>
          <w:tcPr>
            <w:tcW w:w="6664" w:type="dxa"/>
            <w:tcBorders>
              <w:top w:val="nil"/>
              <w:left w:val="nil"/>
              <w:bottom w:val="nil"/>
              <w:right w:val="nil"/>
            </w:tcBorders>
            <w:shd w:val="clear" w:color="auto" w:fill="auto"/>
            <w:noWrap/>
            <w:hideMark/>
          </w:tcPr>
          <w:p w14:paraId="02496AFB" w14:textId="77777777" w:rsidR="002A0289" w:rsidRPr="003318B5" w:rsidRDefault="002A0289" w:rsidP="00616580">
            <w:pPr>
              <w:spacing w:after="0" w:line="240" w:lineRule="auto"/>
              <w:contextualSpacing/>
              <w:jc w:val="both"/>
              <w:rPr>
                <w:rFonts w:ascii="Arial Narrow" w:eastAsia="Times New Roman" w:hAnsi="Arial Narrow" w:cs="Calibri"/>
                <w:color w:val="000000"/>
                <w:sz w:val="18"/>
                <w:szCs w:val="18"/>
                <w:lang w:eastAsia="sk-SK"/>
              </w:rPr>
            </w:pPr>
            <w:r w:rsidRPr="003318B5">
              <w:rPr>
                <w:rFonts w:ascii="Arial Narrow" w:eastAsia="Times New Roman" w:hAnsi="Arial Narrow" w:cs="Calibri"/>
                <w:color w:val="000000"/>
                <w:sz w:val="18"/>
                <w:szCs w:val="18"/>
                <w:lang w:eastAsia="sk-SK"/>
              </w:rPr>
              <w:t>Osobitný odvod z podnikania v regulovaných odvetviach</w:t>
            </w:r>
          </w:p>
        </w:tc>
        <w:tc>
          <w:tcPr>
            <w:tcW w:w="567" w:type="dxa"/>
            <w:tcBorders>
              <w:top w:val="nil"/>
              <w:left w:val="nil"/>
              <w:bottom w:val="nil"/>
              <w:right w:val="nil"/>
            </w:tcBorders>
            <w:shd w:val="clear" w:color="auto" w:fill="auto"/>
            <w:noWrap/>
            <w:vAlign w:val="center"/>
            <w:hideMark/>
          </w:tcPr>
          <w:p w14:paraId="5599CE63" w14:textId="77777777" w:rsidR="002A0289" w:rsidRPr="002567D5" w:rsidRDefault="002A0289" w:rsidP="00616580">
            <w:pPr>
              <w:pStyle w:val="Bezriadkovania"/>
              <w:jc w:val="center"/>
              <w:rPr>
                <w:sz w:val="18"/>
                <w:szCs w:val="18"/>
              </w:rPr>
            </w:pPr>
            <w:r w:rsidRPr="002567D5">
              <w:rPr>
                <w:rFonts w:cs="Calibri"/>
                <w:color w:val="000000"/>
                <w:sz w:val="18"/>
                <w:szCs w:val="18"/>
              </w:rPr>
              <w:t>34</w:t>
            </w:r>
          </w:p>
        </w:tc>
        <w:tc>
          <w:tcPr>
            <w:tcW w:w="567" w:type="dxa"/>
            <w:tcBorders>
              <w:top w:val="nil"/>
              <w:left w:val="nil"/>
              <w:bottom w:val="nil"/>
              <w:right w:val="nil"/>
            </w:tcBorders>
            <w:shd w:val="clear" w:color="auto" w:fill="auto"/>
            <w:vAlign w:val="center"/>
            <w:hideMark/>
          </w:tcPr>
          <w:p w14:paraId="088F9672" w14:textId="77777777" w:rsidR="002A0289" w:rsidRPr="002567D5" w:rsidRDefault="002A0289" w:rsidP="00616580">
            <w:pPr>
              <w:pStyle w:val="Bezriadkovania"/>
              <w:jc w:val="center"/>
              <w:rPr>
                <w:sz w:val="18"/>
                <w:szCs w:val="18"/>
              </w:rPr>
            </w:pPr>
            <w:r w:rsidRPr="002567D5">
              <w:rPr>
                <w:rFonts w:cs="Calibri"/>
                <w:color w:val="000000"/>
                <w:sz w:val="18"/>
                <w:szCs w:val="18"/>
              </w:rPr>
              <w:t>32</w:t>
            </w:r>
          </w:p>
        </w:tc>
        <w:tc>
          <w:tcPr>
            <w:tcW w:w="567" w:type="dxa"/>
            <w:tcBorders>
              <w:top w:val="nil"/>
              <w:left w:val="nil"/>
              <w:bottom w:val="nil"/>
              <w:right w:val="nil"/>
            </w:tcBorders>
            <w:shd w:val="clear" w:color="auto" w:fill="auto"/>
            <w:vAlign w:val="center"/>
            <w:hideMark/>
          </w:tcPr>
          <w:p w14:paraId="078B3BCE" w14:textId="77777777" w:rsidR="002A0289" w:rsidRPr="002567D5" w:rsidRDefault="002A0289" w:rsidP="00616580">
            <w:pPr>
              <w:pStyle w:val="Bezriadkovania"/>
              <w:jc w:val="center"/>
              <w:rPr>
                <w:sz w:val="18"/>
                <w:szCs w:val="18"/>
              </w:rPr>
            </w:pPr>
            <w:r w:rsidRPr="002567D5">
              <w:rPr>
                <w:rFonts w:cs="Calibri"/>
                <w:color w:val="000000"/>
                <w:sz w:val="18"/>
                <w:szCs w:val="18"/>
              </w:rPr>
              <w:t>33</w:t>
            </w:r>
          </w:p>
        </w:tc>
        <w:tc>
          <w:tcPr>
            <w:tcW w:w="567" w:type="dxa"/>
            <w:tcBorders>
              <w:top w:val="nil"/>
              <w:left w:val="nil"/>
              <w:bottom w:val="nil"/>
              <w:right w:val="nil"/>
            </w:tcBorders>
            <w:shd w:val="clear" w:color="auto" w:fill="auto"/>
            <w:vAlign w:val="center"/>
            <w:hideMark/>
          </w:tcPr>
          <w:p w14:paraId="0381FDA5" w14:textId="77777777" w:rsidR="002A0289" w:rsidRPr="002567D5" w:rsidRDefault="002A0289" w:rsidP="00616580">
            <w:pPr>
              <w:pStyle w:val="Bezriadkovania"/>
              <w:jc w:val="center"/>
              <w:rPr>
                <w:sz w:val="18"/>
                <w:szCs w:val="18"/>
              </w:rPr>
            </w:pPr>
            <w:r w:rsidRPr="002567D5">
              <w:rPr>
                <w:rFonts w:cs="Calibri"/>
                <w:color w:val="000000"/>
                <w:sz w:val="18"/>
                <w:szCs w:val="18"/>
              </w:rPr>
              <w:t>50</w:t>
            </w:r>
          </w:p>
        </w:tc>
      </w:tr>
      <w:tr w:rsidR="002A0289" w:rsidRPr="005C4DE7" w14:paraId="7B3BCDE3" w14:textId="77777777" w:rsidTr="00616580">
        <w:trPr>
          <w:trHeight w:val="256"/>
          <w:jc w:val="center"/>
        </w:trPr>
        <w:tc>
          <w:tcPr>
            <w:tcW w:w="6664" w:type="dxa"/>
            <w:tcBorders>
              <w:top w:val="nil"/>
              <w:left w:val="nil"/>
              <w:bottom w:val="nil"/>
              <w:right w:val="nil"/>
            </w:tcBorders>
            <w:shd w:val="clear" w:color="auto" w:fill="auto"/>
            <w:noWrap/>
            <w:hideMark/>
          </w:tcPr>
          <w:p w14:paraId="0115600C" w14:textId="5DBFC043" w:rsidR="002A0289" w:rsidRPr="003318B5" w:rsidRDefault="002A0289" w:rsidP="00616580">
            <w:pPr>
              <w:spacing w:after="0" w:line="240" w:lineRule="auto"/>
              <w:contextualSpacing/>
              <w:jc w:val="both"/>
              <w:rPr>
                <w:rFonts w:ascii="Arial Narrow" w:eastAsia="Times New Roman" w:hAnsi="Arial Narrow" w:cs="Calibri"/>
                <w:color w:val="000000"/>
                <w:sz w:val="18"/>
                <w:szCs w:val="18"/>
                <w:lang w:eastAsia="sk-SK"/>
              </w:rPr>
            </w:pPr>
            <w:r w:rsidRPr="003318B5">
              <w:rPr>
                <w:rFonts w:ascii="Arial Narrow" w:eastAsia="Times New Roman" w:hAnsi="Arial Narrow" w:cs="Calibri"/>
                <w:color w:val="000000"/>
                <w:sz w:val="18"/>
                <w:szCs w:val="18"/>
                <w:lang w:eastAsia="sk-SK"/>
              </w:rPr>
              <w:t>Vyššia daň z príjmov podnikov a nižšia zrážková daň z</w:t>
            </w:r>
            <w:r w:rsidR="00A02E17">
              <w:rPr>
                <w:rFonts w:ascii="Arial Narrow" w:eastAsia="Times New Roman" w:hAnsi="Arial Narrow" w:cs="Calibri"/>
                <w:color w:val="000000"/>
                <w:sz w:val="18"/>
                <w:szCs w:val="18"/>
                <w:lang w:eastAsia="sk-SK"/>
              </w:rPr>
              <w:t> </w:t>
            </w:r>
            <w:r w:rsidRPr="003318B5">
              <w:rPr>
                <w:rFonts w:ascii="Arial Narrow" w:eastAsia="Times New Roman" w:hAnsi="Arial Narrow" w:cs="Calibri"/>
                <w:color w:val="000000"/>
                <w:sz w:val="18"/>
                <w:szCs w:val="18"/>
                <w:lang w:eastAsia="sk-SK"/>
              </w:rPr>
              <w:t>dividend</w:t>
            </w:r>
          </w:p>
        </w:tc>
        <w:tc>
          <w:tcPr>
            <w:tcW w:w="567" w:type="dxa"/>
            <w:tcBorders>
              <w:top w:val="nil"/>
              <w:left w:val="nil"/>
              <w:bottom w:val="nil"/>
              <w:right w:val="nil"/>
            </w:tcBorders>
            <w:shd w:val="clear" w:color="auto" w:fill="auto"/>
            <w:noWrap/>
            <w:vAlign w:val="center"/>
            <w:hideMark/>
          </w:tcPr>
          <w:p w14:paraId="2C12683B" w14:textId="77777777" w:rsidR="002A0289" w:rsidRPr="002567D5" w:rsidRDefault="002A0289" w:rsidP="00616580">
            <w:pPr>
              <w:pStyle w:val="Bezriadkovania"/>
              <w:jc w:val="center"/>
              <w:rPr>
                <w:sz w:val="18"/>
                <w:szCs w:val="18"/>
              </w:rPr>
            </w:pPr>
            <w:r w:rsidRPr="002567D5">
              <w:rPr>
                <w:rFonts w:cs="Calibri"/>
                <w:color w:val="000000"/>
                <w:sz w:val="18"/>
                <w:szCs w:val="18"/>
              </w:rPr>
              <w:t>483</w:t>
            </w:r>
          </w:p>
        </w:tc>
        <w:tc>
          <w:tcPr>
            <w:tcW w:w="567" w:type="dxa"/>
            <w:tcBorders>
              <w:top w:val="nil"/>
              <w:left w:val="nil"/>
              <w:bottom w:val="nil"/>
              <w:right w:val="nil"/>
            </w:tcBorders>
            <w:shd w:val="clear" w:color="auto" w:fill="auto"/>
            <w:vAlign w:val="center"/>
            <w:hideMark/>
          </w:tcPr>
          <w:p w14:paraId="593557EE" w14:textId="77777777" w:rsidR="002A0289" w:rsidRPr="002567D5" w:rsidRDefault="002A0289" w:rsidP="00616580">
            <w:pPr>
              <w:pStyle w:val="Bezriadkovania"/>
              <w:jc w:val="center"/>
              <w:rPr>
                <w:sz w:val="18"/>
                <w:szCs w:val="18"/>
              </w:rPr>
            </w:pPr>
            <w:r w:rsidRPr="002567D5">
              <w:rPr>
                <w:rFonts w:cs="Calibri"/>
                <w:color w:val="000000"/>
                <w:sz w:val="18"/>
                <w:szCs w:val="18"/>
              </w:rPr>
              <w:t>494</w:t>
            </w:r>
          </w:p>
        </w:tc>
        <w:tc>
          <w:tcPr>
            <w:tcW w:w="567" w:type="dxa"/>
            <w:tcBorders>
              <w:top w:val="nil"/>
              <w:left w:val="nil"/>
              <w:bottom w:val="nil"/>
              <w:right w:val="nil"/>
            </w:tcBorders>
            <w:shd w:val="clear" w:color="auto" w:fill="auto"/>
            <w:vAlign w:val="center"/>
            <w:hideMark/>
          </w:tcPr>
          <w:p w14:paraId="6E7B2927" w14:textId="77777777" w:rsidR="002A0289" w:rsidRPr="002567D5" w:rsidRDefault="002A0289" w:rsidP="00616580">
            <w:pPr>
              <w:pStyle w:val="Bezriadkovania"/>
              <w:jc w:val="center"/>
              <w:rPr>
                <w:sz w:val="18"/>
                <w:szCs w:val="18"/>
              </w:rPr>
            </w:pPr>
            <w:r w:rsidRPr="002567D5">
              <w:rPr>
                <w:rFonts w:cs="Calibri"/>
                <w:color w:val="000000"/>
                <w:sz w:val="18"/>
                <w:szCs w:val="18"/>
              </w:rPr>
              <w:t>495</w:t>
            </w:r>
          </w:p>
        </w:tc>
        <w:tc>
          <w:tcPr>
            <w:tcW w:w="567" w:type="dxa"/>
            <w:tcBorders>
              <w:top w:val="nil"/>
              <w:left w:val="nil"/>
              <w:bottom w:val="nil"/>
              <w:right w:val="nil"/>
            </w:tcBorders>
            <w:shd w:val="clear" w:color="auto" w:fill="auto"/>
            <w:vAlign w:val="center"/>
            <w:hideMark/>
          </w:tcPr>
          <w:p w14:paraId="05E69DAE" w14:textId="77777777" w:rsidR="002A0289" w:rsidRPr="002567D5" w:rsidRDefault="002A0289" w:rsidP="00616580">
            <w:pPr>
              <w:pStyle w:val="Bezriadkovania"/>
              <w:jc w:val="center"/>
              <w:rPr>
                <w:sz w:val="18"/>
                <w:szCs w:val="18"/>
              </w:rPr>
            </w:pPr>
            <w:r w:rsidRPr="002567D5">
              <w:rPr>
                <w:rFonts w:cs="Calibri"/>
                <w:color w:val="000000"/>
                <w:sz w:val="18"/>
                <w:szCs w:val="18"/>
              </w:rPr>
              <w:t>487</w:t>
            </w:r>
          </w:p>
        </w:tc>
      </w:tr>
      <w:tr w:rsidR="002A0289" w:rsidRPr="005C4DE7" w14:paraId="7728FB76" w14:textId="77777777" w:rsidTr="00616580">
        <w:trPr>
          <w:trHeight w:val="256"/>
          <w:jc w:val="center"/>
        </w:trPr>
        <w:tc>
          <w:tcPr>
            <w:tcW w:w="6664" w:type="dxa"/>
            <w:tcBorders>
              <w:top w:val="nil"/>
              <w:left w:val="nil"/>
              <w:bottom w:val="nil"/>
              <w:right w:val="nil"/>
            </w:tcBorders>
            <w:shd w:val="clear" w:color="auto" w:fill="auto"/>
            <w:noWrap/>
          </w:tcPr>
          <w:p w14:paraId="405667B7" w14:textId="77777777" w:rsidR="002A0289" w:rsidRPr="003318B5" w:rsidRDefault="002A0289" w:rsidP="00616580">
            <w:pPr>
              <w:spacing w:after="0" w:line="240" w:lineRule="auto"/>
              <w:contextualSpacing/>
              <w:jc w:val="both"/>
              <w:rPr>
                <w:rFonts w:ascii="Arial Narrow" w:eastAsia="Times New Roman" w:hAnsi="Arial Narrow" w:cs="Calibri"/>
                <w:color w:val="000000"/>
                <w:sz w:val="18"/>
                <w:szCs w:val="18"/>
                <w:lang w:eastAsia="sk-SK"/>
              </w:rPr>
            </w:pPr>
            <w:r w:rsidRPr="003318B5">
              <w:rPr>
                <w:rFonts w:ascii="Arial Narrow" w:eastAsia="Times New Roman" w:hAnsi="Arial Narrow" w:cs="Calibri"/>
                <w:color w:val="000000"/>
                <w:sz w:val="18"/>
                <w:szCs w:val="18"/>
                <w:lang w:eastAsia="sk-SK"/>
              </w:rPr>
              <w:t>Zvýšenie spotrebných daní (sladené nápoje, tabak)</w:t>
            </w:r>
          </w:p>
        </w:tc>
        <w:tc>
          <w:tcPr>
            <w:tcW w:w="567" w:type="dxa"/>
            <w:tcBorders>
              <w:top w:val="nil"/>
              <w:left w:val="nil"/>
              <w:bottom w:val="nil"/>
              <w:right w:val="nil"/>
            </w:tcBorders>
            <w:shd w:val="clear" w:color="auto" w:fill="auto"/>
            <w:noWrap/>
            <w:vAlign w:val="center"/>
          </w:tcPr>
          <w:p w14:paraId="4DD5A0D6" w14:textId="77777777" w:rsidR="002A0289" w:rsidRPr="003318B5" w:rsidRDefault="002A0289" w:rsidP="00616580">
            <w:pPr>
              <w:pStyle w:val="Bezriadkovania"/>
              <w:jc w:val="center"/>
              <w:rPr>
                <w:rFonts w:cs="Calibri"/>
                <w:color w:val="000000"/>
                <w:sz w:val="18"/>
                <w:szCs w:val="18"/>
                <w:lang w:eastAsia="sk-SK"/>
              </w:rPr>
            </w:pPr>
            <w:r>
              <w:rPr>
                <w:rFonts w:cs="Calibri"/>
                <w:color w:val="000000"/>
                <w:sz w:val="18"/>
                <w:szCs w:val="18"/>
              </w:rPr>
              <w:t>86</w:t>
            </w:r>
          </w:p>
        </w:tc>
        <w:tc>
          <w:tcPr>
            <w:tcW w:w="567" w:type="dxa"/>
            <w:tcBorders>
              <w:top w:val="nil"/>
              <w:left w:val="nil"/>
              <w:bottom w:val="nil"/>
              <w:right w:val="nil"/>
            </w:tcBorders>
            <w:shd w:val="clear" w:color="auto" w:fill="auto"/>
            <w:vAlign w:val="center"/>
          </w:tcPr>
          <w:p w14:paraId="178804EA" w14:textId="77777777" w:rsidR="002A0289" w:rsidRPr="003318B5" w:rsidRDefault="002A0289" w:rsidP="00616580">
            <w:pPr>
              <w:pStyle w:val="Bezriadkovania"/>
              <w:jc w:val="center"/>
              <w:rPr>
                <w:rFonts w:cs="Calibri"/>
                <w:color w:val="000000"/>
                <w:sz w:val="18"/>
                <w:szCs w:val="18"/>
                <w:lang w:eastAsia="sk-SK"/>
              </w:rPr>
            </w:pPr>
            <w:r>
              <w:rPr>
                <w:rFonts w:cs="Calibri"/>
                <w:color w:val="000000"/>
                <w:sz w:val="18"/>
                <w:szCs w:val="18"/>
              </w:rPr>
              <w:t>230</w:t>
            </w:r>
          </w:p>
        </w:tc>
        <w:tc>
          <w:tcPr>
            <w:tcW w:w="567" w:type="dxa"/>
            <w:tcBorders>
              <w:top w:val="nil"/>
              <w:left w:val="nil"/>
              <w:bottom w:val="nil"/>
              <w:right w:val="nil"/>
            </w:tcBorders>
            <w:shd w:val="clear" w:color="auto" w:fill="auto"/>
            <w:vAlign w:val="center"/>
          </w:tcPr>
          <w:p w14:paraId="5831504F" w14:textId="77777777" w:rsidR="002A0289" w:rsidRPr="003318B5" w:rsidRDefault="002A0289" w:rsidP="00616580">
            <w:pPr>
              <w:pStyle w:val="Bezriadkovania"/>
              <w:jc w:val="center"/>
              <w:rPr>
                <w:rFonts w:cs="Calibri"/>
                <w:color w:val="000000"/>
                <w:sz w:val="18"/>
                <w:szCs w:val="18"/>
                <w:lang w:eastAsia="sk-SK"/>
              </w:rPr>
            </w:pPr>
            <w:r>
              <w:rPr>
                <w:rFonts w:cs="Calibri"/>
                <w:color w:val="000000"/>
                <w:sz w:val="18"/>
                <w:szCs w:val="18"/>
              </w:rPr>
              <w:t>284</w:t>
            </w:r>
          </w:p>
        </w:tc>
        <w:tc>
          <w:tcPr>
            <w:tcW w:w="567" w:type="dxa"/>
            <w:tcBorders>
              <w:top w:val="nil"/>
              <w:left w:val="nil"/>
              <w:bottom w:val="nil"/>
              <w:right w:val="nil"/>
            </w:tcBorders>
            <w:shd w:val="clear" w:color="auto" w:fill="auto"/>
            <w:vAlign w:val="center"/>
          </w:tcPr>
          <w:p w14:paraId="76E2D597" w14:textId="77777777" w:rsidR="002A0289" w:rsidRPr="003318B5" w:rsidRDefault="002A0289" w:rsidP="00616580">
            <w:pPr>
              <w:pStyle w:val="Bezriadkovania"/>
              <w:jc w:val="center"/>
              <w:rPr>
                <w:rFonts w:cs="Calibri"/>
                <w:color w:val="000000"/>
                <w:sz w:val="18"/>
                <w:szCs w:val="18"/>
                <w:lang w:eastAsia="sk-SK"/>
              </w:rPr>
            </w:pPr>
            <w:r>
              <w:rPr>
                <w:rFonts w:cs="Calibri"/>
                <w:color w:val="000000"/>
                <w:sz w:val="18"/>
                <w:szCs w:val="18"/>
              </w:rPr>
              <w:t>407</w:t>
            </w:r>
          </w:p>
        </w:tc>
      </w:tr>
      <w:tr w:rsidR="002A0289" w:rsidRPr="005C4DE7" w14:paraId="297CC899" w14:textId="77777777" w:rsidTr="00616580">
        <w:trPr>
          <w:trHeight w:val="256"/>
          <w:jc w:val="center"/>
        </w:trPr>
        <w:tc>
          <w:tcPr>
            <w:tcW w:w="6664" w:type="dxa"/>
            <w:tcBorders>
              <w:top w:val="nil"/>
              <w:left w:val="nil"/>
              <w:bottom w:val="nil"/>
              <w:right w:val="nil"/>
            </w:tcBorders>
            <w:shd w:val="clear" w:color="auto" w:fill="auto"/>
            <w:noWrap/>
          </w:tcPr>
          <w:p w14:paraId="7A43D693" w14:textId="77777777" w:rsidR="002A0289" w:rsidRPr="003318B5" w:rsidRDefault="002A0289" w:rsidP="00616580">
            <w:pPr>
              <w:spacing w:after="0" w:line="240" w:lineRule="auto"/>
              <w:contextualSpacing/>
              <w:jc w:val="both"/>
              <w:rPr>
                <w:rFonts w:ascii="Arial Narrow" w:eastAsia="Times New Roman" w:hAnsi="Arial Narrow" w:cs="Calibri"/>
                <w:color w:val="000000"/>
                <w:sz w:val="18"/>
                <w:szCs w:val="18"/>
                <w:lang w:eastAsia="sk-SK"/>
              </w:rPr>
            </w:pPr>
            <w:r w:rsidRPr="003318B5">
              <w:rPr>
                <w:rFonts w:ascii="Arial Narrow" w:eastAsia="Times New Roman" w:hAnsi="Arial Narrow" w:cs="Calibri"/>
                <w:color w:val="000000"/>
                <w:sz w:val="18"/>
                <w:szCs w:val="18"/>
                <w:lang w:eastAsia="sk-SK"/>
              </w:rPr>
              <w:t>Úprava cien diaľničnej známky, mýta a daní z motorových vozidiel</w:t>
            </w:r>
          </w:p>
        </w:tc>
        <w:tc>
          <w:tcPr>
            <w:tcW w:w="567" w:type="dxa"/>
            <w:tcBorders>
              <w:top w:val="nil"/>
              <w:left w:val="nil"/>
              <w:bottom w:val="nil"/>
              <w:right w:val="nil"/>
            </w:tcBorders>
            <w:shd w:val="clear" w:color="auto" w:fill="auto"/>
            <w:noWrap/>
            <w:vAlign w:val="center"/>
          </w:tcPr>
          <w:p w14:paraId="178BB739" w14:textId="77777777" w:rsidR="002A0289" w:rsidRPr="003318B5" w:rsidRDefault="002A0289" w:rsidP="00616580">
            <w:pPr>
              <w:pStyle w:val="Bezriadkovania"/>
              <w:jc w:val="center"/>
              <w:rPr>
                <w:rFonts w:cs="Calibri"/>
                <w:color w:val="000000"/>
                <w:sz w:val="18"/>
                <w:szCs w:val="18"/>
                <w:lang w:eastAsia="sk-SK"/>
              </w:rPr>
            </w:pPr>
            <w:r>
              <w:rPr>
                <w:rFonts w:cs="Calibri"/>
                <w:color w:val="000000"/>
                <w:sz w:val="18"/>
                <w:szCs w:val="18"/>
              </w:rPr>
              <w:t>78</w:t>
            </w:r>
          </w:p>
        </w:tc>
        <w:tc>
          <w:tcPr>
            <w:tcW w:w="567" w:type="dxa"/>
            <w:tcBorders>
              <w:top w:val="nil"/>
              <w:left w:val="nil"/>
              <w:bottom w:val="nil"/>
              <w:right w:val="nil"/>
            </w:tcBorders>
            <w:shd w:val="clear" w:color="auto" w:fill="auto"/>
            <w:vAlign w:val="center"/>
          </w:tcPr>
          <w:p w14:paraId="6600B5E2" w14:textId="77777777" w:rsidR="002A0289" w:rsidRPr="003318B5" w:rsidRDefault="002A0289" w:rsidP="00616580">
            <w:pPr>
              <w:pStyle w:val="Bezriadkovania"/>
              <w:jc w:val="center"/>
              <w:rPr>
                <w:rFonts w:cs="Calibri"/>
                <w:color w:val="000000"/>
                <w:sz w:val="18"/>
                <w:szCs w:val="18"/>
                <w:lang w:eastAsia="sk-SK"/>
              </w:rPr>
            </w:pPr>
            <w:r>
              <w:rPr>
                <w:rFonts w:cs="Calibri"/>
                <w:color w:val="000000"/>
                <w:sz w:val="18"/>
                <w:szCs w:val="18"/>
              </w:rPr>
              <w:t>130</w:t>
            </w:r>
          </w:p>
        </w:tc>
        <w:tc>
          <w:tcPr>
            <w:tcW w:w="567" w:type="dxa"/>
            <w:tcBorders>
              <w:top w:val="nil"/>
              <w:left w:val="nil"/>
              <w:bottom w:val="nil"/>
              <w:right w:val="nil"/>
            </w:tcBorders>
            <w:shd w:val="clear" w:color="auto" w:fill="auto"/>
            <w:vAlign w:val="center"/>
          </w:tcPr>
          <w:p w14:paraId="444E9770" w14:textId="77777777" w:rsidR="002A0289" w:rsidRPr="003318B5" w:rsidRDefault="002A0289" w:rsidP="00616580">
            <w:pPr>
              <w:pStyle w:val="Bezriadkovania"/>
              <w:jc w:val="center"/>
              <w:rPr>
                <w:rFonts w:cs="Calibri"/>
                <w:color w:val="000000"/>
                <w:sz w:val="18"/>
                <w:szCs w:val="18"/>
                <w:lang w:eastAsia="sk-SK"/>
              </w:rPr>
            </w:pPr>
            <w:r>
              <w:rPr>
                <w:rFonts w:cs="Calibri"/>
                <w:color w:val="000000"/>
                <w:sz w:val="18"/>
                <w:szCs w:val="18"/>
              </w:rPr>
              <w:t>130</w:t>
            </w:r>
          </w:p>
        </w:tc>
        <w:tc>
          <w:tcPr>
            <w:tcW w:w="567" w:type="dxa"/>
            <w:tcBorders>
              <w:top w:val="nil"/>
              <w:left w:val="nil"/>
              <w:bottom w:val="nil"/>
              <w:right w:val="nil"/>
            </w:tcBorders>
            <w:shd w:val="clear" w:color="auto" w:fill="auto"/>
            <w:vAlign w:val="center"/>
          </w:tcPr>
          <w:p w14:paraId="16147297" w14:textId="77777777" w:rsidR="002A0289" w:rsidRPr="003318B5" w:rsidRDefault="002A0289" w:rsidP="00616580">
            <w:pPr>
              <w:pStyle w:val="Bezriadkovania"/>
              <w:jc w:val="center"/>
              <w:rPr>
                <w:rFonts w:cs="Calibri"/>
                <w:color w:val="000000"/>
                <w:sz w:val="18"/>
                <w:szCs w:val="18"/>
                <w:lang w:eastAsia="sk-SK"/>
              </w:rPr>
            </w:pPr>
            <w:r>
              <w:rPr>
                <w:rFonts w:cs="Calibri"/>
                <w:color w:val="000000"/>
                <w:sz w:val="18"/>
                <w:szCs w:val="18"/>
              </w:rPr>
              <w:t>128</w:t>
            </w:r>
          </w:p>
        </w:tc>
      </w:tr>
      <w:tr w:rsidR="002A0289" w:rsidRPr="005C4DE7" w14:paraId="0FEA83B6" w14:textId="77777777" w:rsidTr="00616580">
        <w:trPr>
          <w:trHeight w:val="256"/>
          <w:jc w:val="center"/>
        </w:trPr>
        <w:tc>
          <w:tcPr>
            <w:tcW w:w="6664" w:type="dxa"/>
            <w:tcBorders>
              <w:top w:val="nil"/>
              <w:left w:val="nil"/>
              <w:bottom w:val="nil"/>
              <w:right w:val="nil"/>
            </w:tcBorders>
            <w:shd w:val="clear" w:color="auto" w:fill="auto"/>
            <w:noWrap/>
          </w:tcPr>
          <w:p w14:paraId="332862D6" w14:textId="77777777" w:rsidR="002A0289" w:rsidRPr="003318B5" w:rsidRDefault="002A0289" w:rsidP="00616580">
            <w:pPr>
              <w:spacing w:after="0" w:line="360" w:lineRule="auto"/>
              <w:contextualSpacing/>
              <w:jc w:val="both"/>
              <w:rPr>
                <w:rFonts w:ascii="Arial Narrow" w:eastAsia="Times New Roman" w:hAnsi="Arial Narrow" w:cs="Calibri"/>
                <w:color w:val="000000"/>
                <w:sz w:val="18"/>
                <w:szCs w:val="18"/>
                <w:lang w:eastAsia="sk-SK"/>
              </w:rPr>
            </w:pPr>
            <w:r w:rsidRPr="003318B5">
              <w:rPr>
                <w:rFonts w:ascii="Arial Narrow" w:eastAsia="Times New Roman" w:hAnsi="Arial Narrow" w:cs="Calibri"/>
                <w:color w:val="000000"/>
                <w:sz w:val="18"/>
                <w:szCs w:val="18"/>
                <w:lang w:eastAsia="sk-SK"/>
              </w:rPr>
              <w:t>Zvýšenie stropov pre platenie sociálnych odvodov</w:t>
            </w:r>
          </w:p>
        </w:tc>
        <w:tc>
          <w:tcPr>
            <w:tcW w:w="567" w:type="dxa"/>
            <w:tcBorders>
              <w:top w:val="nil"/>
              <w:left w:val="nil"/>
              <w:bottom w:val="nil"/>
              <w:right w:val="nil"/>
            </w:tcBorders>
            <w:shd w:val="clear" w:color="auto" w:fill="auto"/>
            <w:noWrap/>
            <w:vAlign w:val="center"/>
          </w:tcPr>
          <w:p w14:paraId="2F6469A2" w14:textId="77777777" w:rsidR="002A0289" w:rsidRPr="003318B5" w:rsidRDefault="002A0289" w:rsidP="00616580">
            <w:pPr>
              <w:pStyle w:val="Bezriadkovania"/>
              <w:jc w:val="center"/>
              <w:rPr>
                <w:rFonts w:cs="Calibri"/>
                <w:color w:val="000000"/>
                <w:sz w:val="18"/>
                <w:szCs w:val="18"/>
                <w:lang w:eastAsia="sk-SK"/>
              </w:rPr>
            </w:pPr>
            <w:r>
              <w:rPr>
                <w:rFonts w:cs="Calibri"/>
                <w:color w:val="000000"/>
                <w:sz w:val="18"/>
                <w:szCs w:val="18"/>
              </w:rPr>
              <w:t>88</w:t>
            </w:r>
          </w:p>
        </w:tc>
        <w:tc>
          <w:tcPr>
            <w:tcW w:w="567" w:type="dxa"/>
            <w:tcBorders>
              <w:top w:val="nil"/>
              <w:left w:val="nil"/>
              <w:bottom w:val="nil"/>
              <w:right w:val="nil"/>
            </w:tcBorders>
            <w:shd w:val="clear" w:color="auto" w:fill="auto"/>
            <w:vAlign w:val="center"/>
          </w:tcPr>
          <w:p w14:paraId="3A35470A" w14:textId="77777777" w:rsidR="002A0289" w:rsidRPr="003318B5" w:rsidRDefault="002A0289" w:rsidP="00616580">
            <w:pPr>
              <w:pStyle w:val="Bezriadkovania"/>
              <w:jc w:val="center"/>
              <w:rPr>
                <w:rFonts w:cs="Calibri"/>
                <w:color w:val="000000"/>
                <w:sz w:val="18"/>
                <w:szCs w:val="18"/>
                <w:lang w:eastAsia="sk-SK"/>
              </w:rPr>
            </w:pPr>
            <w:r>
              <w:rPr>
                <w:rFonts w:cs="Calibri"/>
                <w:color w:val="000000"/>
                <w:sz w:val="18"/>
                <w:szCs w:val="18"/>
              </w:rPr>
              <w:t>92</w:t>
            </w:r>
          </w:p>
        </w:tc>
        <w:tc>
          <w:tcPr>
            <w:tcW w:w="567" w:type="dxa"/>
            <w:tcBorders>
              <w:top w:val="nil"/>
              <w:left w:val="nil"/>
              <w:bottom w:val="nil"/>
              <w:right w:val="nil"/>
            </w:tcBorders>
            <w:shd w:val="clear" w:color="auto" w:fill="auto"/>
            <w:vAlign w:val="center"/>
          </w:tcPr>
          <w:p w14:paraId="28F326A6" w14:textId="77777777" w:rsidR="002A0289" w:rsidRPr="003318B5" w:rsidRDefault="002A0289" w:rsidP="00616580">
            <w:pPr>
              <w:pStyle w:val="Bezriadkovania"/>
              <w:jc w:val="center"/>
              <w:rPr>
                <w:rFonts w:cs="Calibri"/>
                <w:color w:val="000000"/>
                <w:sz w:val="18"/>
                <w:szCs w:val="18"/>
                <w:lang w:eastAsia="sk-SK"/>
              </w:rPr>
            </w:pPr>
            <w:r>
              <w:rPr>
                <w:rFonts w:cs="Calibri"/>
                <w:color w:val="000000"/>
                <w:sz w:val="18"/>
                <w:szCs w:val="18"/>
              </w:rPr>
              <w:t>96</w:t>
            </w:r>
          </w:p>
        </w:tc>
        <w:tc>
          <w:tcPr>
            <w:tcW w:w="567" w:type="dxa"/>
            <w:tcBorders>
              <w:top w:val="nil"/>
              <w:left w:val="nil"/>
              <w:bottom w:val="nil"/>
              <w:right w:val="nil"/>
            </w:tcBorders>
            <w:shd w:val="clear" w:color="auto" w:fill="auto"/>
            <w:vAlign w:val="center"/>
          </w:tcPr>
          <w:p w14:paraId="131E63E2" w14:textId="77777777" w:rsidR="002A0289" w:rsidRPr="003318B5" w:rsidRDefault="002A0289" w:rsidP="00616580">
            <w:pPr>
              <w:pStyle w:val="Bezriadkovania"/>
              <w:jc w:val="center"/>
              <w:rPr>
                <w:rFonts w:cs="Calibri"/>
                <w:color w:val="000000"/>
                <w:sz w:val="18"/>
                <w:szCs w:val="18"/>
                <w:lang w:eastAsia="sk-SK"/>
              </w:rPr>
            </w:pPr>
            <w:r>
              <w:rPr>
                <w:rFonts w:cs="Calibri"/>
                <w:color w:val="000000"/>
                <w:sz w:val="18"/>
                <w:szCs w:val="18"/>
              </w:rPr>
              <w:t>100</w:t>
            </w:r>
          </w:p>
        </w:tc>
      </w:tr>
      <w:tr w:rsidR="002A0289" w:rsidRPr="00C35592" w14:paraId="6D51D4A8" w14:textId="77777777" w:rsidTr="00616580">
        <w:trPr>
          <w:trHeight w:val="256"/>
          <w:jc w:val="center"/>
        </w:trPr>
        <w:tc>
          <w:tcPr>
            <w:tcW w:w="6664" w:type="dxa"/>
            <w:tcBorders>
              <w:top w:val="single" w:sz="12" w:space="0" w:color="auto"/>
              <w:left w:val="nil"/>
              <w:bottom w:val="single" w:sz="4" w:space="0" w:color="auto"/>
              <w:right w:val="nil"/>
            </w:tcBorders>
            <w:shd w:val="clear" w:color="auto" w:fill="auto"/>
            <w:vAlign w:val="center"/>
            <w:hideMark/>
          </w:tcPr>
          <w:p w14:paraId="32CB8FD8" w14:textId="77777777" w:rsidR="002A0289" w:rsidRPr="00C35592" w:rsidRDefault="002A0289" w:rsidP="00616580">
            <w:pPr>
              <w:spacing w:after="0" w:line="240" w:lineRule="auto"/>
              <w:contextualSpacing/>
              <w:rPr>
                <w:rFonts w:ascii="Arial Narrow" w:eastAsia="Times New Roman" w:hAnsi="Arial Narrow" w:cs="Calibri"/>
                <w:b/>
                <w:bCs/>
                <w:color w:val="000000"/>
                <w:sz w:val="18"/>
                <w:szCs w:val="18"/>
                <w:lang w:eastAsia="sk-SK"/>
              </w:rPr>
            </w:pPr>
            <w:r w:rsidRPr="00C35592">
              <w:rPr>
                <w:rFonts w:ascii="Arial Narrow" w:eastAsia="Times New Roman" w:hAnsi="Arial Narrow" w:cs="Calibri"/>
                <w:b/>
                <w:bCs/>
                <w:color w:val="000000"/>
                <w:sz w:val="18"/>
                <w:szCs w:val="18"/>
                <w:lang w:eastAsia="sk-SK"/>
              </w:rPr>
              <w:t>Opatrenia na výdavkoch spolu</w:t>
            </w:r>
          </w:p>
        </w:tc>
        <w:tc>
          <w:tcPr>
            <w:tcW w:w="567" w:type="dxa"/>
            <w:tcBorders>
              <w:top w:val="single" w:sz="12" w:space="0" w:color="auto"/>
              <w:left w:val="nil"/>
              <w:bottom w:val="single" w:sz="4" w:space="0" w:color="auto"/>
              <w:right w:val="nil"/>
            </w:tcBorders>
            <w:shd w:val="clear" w:color="auto" w:fill="auto"/>
            <w:noWrap/>
            <w:vAlign w:val="center"/>
            <w:hideMark/>
          </w:tcPr>
          <w:p w14:paraId="465A2A2F" w14:textId="77777777" w:rsidR="002A0289" w:rsidRPr="00C35592" w:rsidRDefault="002A0289" w:rsidP="00616580">
            <w:pPr>
              <w:pStyle w:val="Bezriadkovania"/>
              <w:jc w:val="center"/>
              <w:rPr>
                <w:b/>
                <w:sz w:val="18"/>
                <w:szCs w:val="18"/>
              </w:rPr>
            </w:pPr>
            <w:r>
              <w:rPr>
                <w:rFonts w:cs="Calibri"/>
                <w:b/>
                <w:bCs/>
                <w:color w:val="000000"/>
                <w:sz w:val="18"/>
                <w:szCs w:val="18"/>
              </w:rPr>
              <w:t>789</w:t>
            </w:r>
          </w:p>
        </w:tc>
        <w:tc>
          <w:tcPr>
            <w:tcW w:w="567" w:type="dxa"/>
            <w:tcBorders>
              <w:top w:val="single" w:sz="12" w:space="0" w:color="auto"/>
              <w:left w:val="nil"/>
              <w:bottom w:val="single" w:sz="4" w:space="0" w:color="auto"/>
              <w:right w:val="nil"/>
            </w:tcBorders>
            <w:shd w:val="clear" w:color="auto" w:fill="auto"/>
            <w:noWrap/>
            <w:vAlign w:val="center"/>
            <w:hideMark/>
          </w:tcPr>
          <w:p w14:paraId="0C112950" w14:textId="77777777" w:rsidR="002A0289" w:rsidRPr="00C35592" w:rsidRDefault="002A0289" w:rsidP="00616580">
            <w:pPr>
              <w:pStyle w:val="Bezriadkovania"/>
              <w:jc w:val="center"/>
              <w:rPr>
                <w:b/>
                <w:sz w:val="18"/>
                <w:szCs w:val="18"/>
              </w:rPr>
            </w:pPr>
            <w:r>
              <w:rPr>
                <w:rFonts w:cs="Calibri"/>
                <w:b/>
                <w:bCs/>
                <w:color w:val="000000"/>
                <w:sz w:val="18"/>
                <w:szCs w:val="18"/>
              </w:rPr>
              <w:t>833</w:t>
            </w:r>
          </w:p>
        </w:tc>
        <w:tc>
          <w:tcPr>
            <w:tcW w:w="567" w:type="dxa"/>
            <w:tcBorders>
              <w:top w:val="single" w:sz="12" w:space="0" w:color="auto"/>
              <w:left w:val="nil"/>
              <w:bottom w:val="single" w:sz="4" w:space="0" w:color="auto"/>
              <w:right w:val="nil"/>
            </w:tcBorders>
            <w:shd w:val="clear" w:color="auto" w:fill="auto"/>
            <w:noWrap/>
            <w:vAlign w:val="center"/>
            <w:hideMark/>
          </w:tcPr>
          <w:p w14:paraId="096AAC8B" w14:textId="77777777" w:rsidR="002A0289" w:rsidRPr="00C35592" w:rsidRDefault="002A0289" w:rsidP="00616580">
            <w:pPr>
              <w:pStyle w:val="Bezriadkovania"/>
              <w:jc w:val="center"/>
              <w:rPr>
                <w:b/>
                <w:sz w:val="18"/>
                <w:szCs w:val="18"/>
              </w:rPr>
            </w:pPr>
            <w:r>
              <w:rPr>
                <w:rFonts w:cs="Calibri"/>
                <w:b/>
                <w:bCs/>
                <w:color w:val="000000"/>
                <w:sz w:val="18"/>
                <w:szCs w:val="18"/>
              </w:rPr>
              <w:t>865</w:t>
            </w:r>
          </w:p>
        </w:tc>
        <w:tc>
          <w:tcPr>
            <w:tcW w:w="567" w:type="dxa"/>
            <w:tcBorders>
              <w:top w:val="single" w:sz="12" w:space="0" w:color="auto"/>
              <w:left w:val="nil"/>
              <w:bottom w:val="single" w:sz="4" w:space="0" w:color="auto"/>
              <w:right w:val="nil"/>
            </w:tcBorders>
            <w:shd w:val="clear" w:color="auto" w:fill="auto"/>
            <w:noWrap/>
            <w:vAlign w:val="center"/>
            <w:hideMark/>
          </w:tcPr>
          <w:p w14:paraId="5C6A191A" w14:textId="77777777" w:rsidR="002A0289" w:rsidRPr="00C35592" w:rsidRDefault="002A0289" w:rsidP="00616580">
            <w:pPr>
              <w:pStyle w:val="Bezriadkovania"/>
              <w:jc w:val="center"/>
              <w:rPr>
                <w:b/>
                <w:sz w:val="18"/>
                <w:szCs w:val="18"/>
              </w:rPr>
            </w:pPr>
            <w:r>
              <w:rPr>
                <w:rFonts w:cs="Calibri"/>
                <w:b/>
                <w:bCs/>
                <w:color w:val="000000"/>
                <w:sz w:val="18"/>
                <w:szCs w:val="18"/>
              </w:rPr>
              <w:t>894</w:t>
            </w:r>
          </w:p>
        </w:tc>
      </w:tr>
      <w:tr w:rsidR="002A0289" w:rsidRPr="00C35592" w14:paraId="3C8DFBB8" w14:textId="77777777" w:rsidTr="00616580">
        <w:trPr>
          <w:trHeight w:val="256"/>
          <w:jc w:val="center"/>
        </w:trPr>
        <w:tc>
          <w:tcPr>
            <w:tcW w:w="6664" w:type="dxa"/>
            <w:tcBorders>
              <w:top w:val="nil"/>
              <w:left w:val="nil"/>
              <w:right w:val="nil"/>
            </w:tcBorders>
            <w:shd w:val="clear" w:color="auto" w:fill="auto"/>
            <w:vAlign w:val="center"/>
            <w:hideMark/>
          </w:tcPr>
          <w:p w14:paraId="7758258B" w14:textId="77777777" w:rsidR="002A0289" w:rsidRPr="003318B5" w:rsidRDefault="002A0289" w:rsidP="00616580">
            <w:pPr>
              <w:spacing w:after="0" w:line="240" w:lineRule="auto"/>
              <w:contextualSpacing/>
              <w:jc w:val="both"/>
              <w:rPr>
                <w:rFonts w:ascii="Arial Narrow" w:eastAsia="Times New Roman" w:hAnsi="Arial Narrow" w:cs="Calibri"/>
                <w:color w:val="000000"/>
                <w:sz w:val="18"/>
                <w:szCs w:val="18"/>
                <w:lang w:eastAsia="sk-SK"/>
              </w:rPr>
            </w:pPr>
            <w:r w:rsidRPr="003318B5">
              <w:rPr>
                <w:rFonts w:ascii="Arial Narrow" w:eastAsia="Times New Roman" w:hAnsi="Arial Narrow" w:cs="Calibri"/>
                <w:color w:val="000000"/>
                <w:sz w:val="18"/>
                <w:szCs w:val="18"/>
                <w:lang w:eastAsia="sk-SK"/>
              </w:rPr>
              <w:t>Čiastočné zacielenie sociálnych transferov</w:t>
            </w:r>
          </w:p>
        </w:tc>
        <w:tc>
          <w:tcPr>
            <w:tcW w:w="567" w:type="dxa"/>
            <w:tcBorders>
              <w:top w:val="nil"/>
              <w:left w:val="nil"/>
              <w:right w:val="nil"/>
            </w:tcBorders>
            <w:shd w:val="clear" w:color="auto" w:fill="auto"/>
            <w:vAlign w:val="center"/>
            <w:hideMark/>
          </w:tcPr>
          <w:p w14:paraId="0BA530B9" w14:textId="77777777" w:rsidR="002A0289" w:rsidRPr="003318B5" w:rsidRDefault="002A0289" w:rsidP="00616580">
            <w:pPr>
              <w:pStyle w:val="Bezriadkovania"/>
              <w:jc w:val="center"/>
              <w:rPr>
                <w:rFonts w:cs="Calibri"/>
                <w:color w:val="000000"/>
                <w:sz w:val="18"/>
                <w:szCs w:val="18"/>
                <w:lang w:eastAsia="sk-SK"/>
              </w:rPr>
            </w:pPr>
            <w:r>
              <w:rPr>
                <w:rFonts w:cs="Calibri"/>
                <w:color w:val="000000"/>
                <w:sz w:val="18"/>
                <w:szCs w:val="18"/>
              </w:rPr>
              <w:t>-521</w:t>
            </w:r>
          </w:p>
        </w:tc>
        <w:tc>
          <w:tcPr>
            <w:tcW w:w="567" w:type="dxa"/>
            <w:tcBorders>
              <w:top w:val="nil"/>
              <w:left w:val="nil"/>
              <w:right w:val="nil"/>
            </w:tcBorders>
            <w:shd w:val="clear" w:color="auto" w:fill="auto"/>
            <w:vAlign w:val="center"/>
            <w:hideMark/>
          </w:tcPr>
          <w:p w14:paraId="5B4AD9FC" w14:textId="77777777" w:rsidR="002A0289" w:rsidRPr="003318B5" w:rsidRDefault="002A0289" w:rsidP="00616580">
            <w:pPr>
              <w:pStyle w:val="Bezriadkovania"/>
              <w:jc w:val="center"/>
              <w:rPr>
                <w:rFonts w:cs="Calibri"/>
                <w:color w:val="000000"/>
                <w:sz w:val="18"/>
                <w:szCs w:val="18"/>
                <w:lang w:eastAsia="sk-SK"/>
              </w:rPr>
            </w:pPr>
            <w:r>
              <w:rPr>
                <w:rFonts w:cs="Calibri"/>
                <w:color w:val="000000"/>
                <w:sz w:val="18"/>
                <w:szCs w:val="18"/>
              </w:rPr>
              <w:t>-476</w:t>
            </w:r>
          </w:p>
        </w:tc>
        <w:tc>
          <w:tcPr>
            <w:tcW w:w="567" w:type="dxa"/>
            <w:tcBorders>
              <w:top w:val="nil"/>
              <w:left w:val="nil"/>
              <w:right w:val="nil"/>
            </w:tcBorders>
            <w:shd w:val="clear" w:color="auto" w:fill="auto"/>
            <w:vAlign w:val="center"/>
            <w:hideMark/>
          </w:tcPr>
          <w:p w14:paraId="61997BE6" w14:textId="77777777" w:rsidR="002A0289" w:rsidRPr="003318B5" w:rsidRDefault="002A0289" w:rsidP="00616580">
            <w:pPr>
              <w:pStyle w:val="Bezriadkovania"/>
              <w:jc w:val="center"/>
              <w:rPr>
                <w:rFonts w:cs="Calibri"/>
                <w:color w:val="000000"/>
                <w:sz w:val="18"/>
                <w:szCs w:val="18"/>
                <w:lang w:eastAsia="sk-SK"/>
              </w:rPr>
            </w:pPr>
            <w:r>
              <w:rPr>
                <w:rFonts w:cs="Calibri"/>
                <w:color w:val="000000"/>
                <w:sz w:val="18"/>
                <w:szCs w:val="18"/>
              </w:rPr>
              <w:t>-494</w:t>
            </w:r>
          </w:p>
        </w:tc>
        <w:tc>
          <w:tcPr>
            <w:tcW w:w="567" w:type="dxa"/>
            <w:tcBorders>
              <w:top w:val="nil"/>
              <w:left w:val="nil"/>
              <w:right w:val="nil"/>
            </w:tcBorders>
            <w:shd w:val="clear" w:color="auto" w:fill="auto"/>
            <w:vAlign w:val="center"/>
            <w:hideMark/>
          </w:tcPr>
          <w:p w14:paraId="58332136" w14:textId="77777777" w:rsidR="002A0289" w:rsidRPr="003318B5" w:rsidRDefault="002A0289" w:rsidP="00616580">
            <w:pPr>
              <w:pStyle w:val="Bezriadkovania"/>
              <w:jc w:val="center"/>
              <w:rPr>
                <w:rFonts w:cs="Calibri"/>
                <w:color w:val="000000"/>
                <w:sz w:val="18"/>
                <w:szCs w:val="18"/>
                <w:lang w:eastAsia="sk-SK"/>
              </w:rPr>
            </w:pPr>
            <w:r>
              <w:rPr>
                <w:rFonts w:cs="Calibri"/>
                <w:color w:val="000000"/>
                <w:sz w:val="18"/>
                <w:szCs w:val="18"/>
              </w:rPr>
              <w:t>-510</w:t>
            </w:r>
          </w:p>
        </w:tc>
      </w:tr>
      <w:tr w:rsidR="002A0289" w:rsidRPr="00C35592" w14:paraId="1F903D03" w14:textId="77777777" w:rsidTr="00616580">
        <w:trPr>
          <w:trHeight w:val="256"/>
          <w:jc w:val="center"/>
        </w:trPr>
        <w:tc>
          <w:tcPr>
            <w:tcW w:w="6664" w:type="dxa"/>
            <w:tcBorders>
              <w:top w:val="nil"/>
              <w:left w:val="nil"/>
              <w:bottom w:val="single" w:sz="4" w:space="0" w:color="auto"/>
              <w:right w:val="nil"/>
            </w:tcBorders>
            <w:shd w:val="clear" w:color="auto" w:fill="auto"/>
            <w:vAlign w:val="center"/>
          </w:tcPr>
          <w:p w14:paraId="2DFE9949" w14:textId="77777777" w:rsidR="002A0289" w:rsidRPr="003318B5" w:rsidRDefault="002A0289" w:rsidP="00616580">
            <w:pPr>
              <w:spacing w:after="0" w:line="240" w:lineRule="auto"/>
              <w:contextualSpacing/>
              <w:jc w:val="both"/>
              <w:rPr>
                <w:rFonts w:ascii="Arial Narrow" w:eastAsia="Times New Roman" w:hAnsi="Arial Narrow" w:cs="Calibri"/>
                <w:color w:val="000000"/>
                <w:sz w:val="18"/>
                <w:szCs w:val="18"/>
                <w:lang w:eastAsia="sk-SK"/>
              </w:rPr>
            </w:pPr>
            <w:r w:rsidRPr="003318B5">
              <w:rPr>
                <w:rFonts w:ascii="Arial Narrow" w:eastAsia="Times New Roman" w:hAnsi="Arial Narrow" w:cs="Calibri"/>
                <w:color w:val="000000"/>
                <w:sz w:val="18"/>
                <w:szCs w:val="18"/>
                <w:lang w:eastAsia="sk-SK"/>
              </w:rPr>
              <w:t>Tlmenie rastu výdavkov na mzdovej obálke</w:t>
            </w:r>
          </w:p>
        </w:tc>
        <w:tc>
          <w:tcPr>
            <w:tcW w:w="567" w:type="dxa"/>
            <w:tcBorders>
              <w:top w:val="nil"/>
              <w:left w:val="nil"/>
              <w:bottom w:val="single" w:sz="4" w:space="0" w:color="auto"/>
              <w:right w:val="nil"/>
            </w:tcBorders>
            <w:shd w:val="clear" w:color="auto" w:fill="auto"/>
            <w:noWrap/>
            <w:vAlign w:val="center"/>
          </w:tcPr>
          <w:p w14:paraId="1B4B5E63" w14:textId="77777777" w:rsidR="002A0289" w:rsidRPr="002567D5" w:rsidRDefault="002A0289" w:rsidP="00616580">
            <w:pPr>
              <w:pStyle w:val="Bezriadkovania"/>
              <w:jc w:val="center"/>
              <w:rPr>
                <w:rFonts w:cs="Calibri"/>
                <w:color w:val="000000"/>
                <w:sz w:val="18"/>
                <w:szCs w:val="18"/>
                <w:lang w:eastAsia="sk-SK"/>
              </w:rPr>
            </w:pPr>
            <w:r w:rsidRPr="002567D5">
              <w:rPr>
                <w:rFonts w:cs="Calibri"/>
                <w:color w:val="000000"/>
                <w:sz w:val="18"/>
                <w:szCs w:val="18"/>
              </w:rPr>
              <w:t>-268</w:t>
            </w:r>
          </w:p>
        </w:tc>
        <w:tc>
          <w:tcPr>
            <w:tcW w:w="567" w:type="dxa"/>
            <w:tcBorders>
              <w:top w:val="nil"/>
              <w:left w:val="nil"/>
              <w:bottom w:val="single" w:sz="4" w:space="0" w:color="auto"/>
              <w:right w:val="nil"/>
            </w:tcBorders>
            <w:shd w:val="clear" w:color="auto" w:fill="auto"/>
            <w:vAlign w:val="center"/>
          </w:tcPr>
          <w:p w14:paraId="3570BFC7" w14:textId="77777777" w:rsidR="002A0289" w:rsidRPr="002567D5" w:rsidRDefault="002A0289" w:rsidP="00616580">
            <w:pPr>
              <w:pStyle w:val="Bezriadkovania"/>
              <w:jc w:val="center"/>
              <w:rPr>
                <w:rFonts w:cs="Calibri"/>
                <w:color w:val="000000"/>
                <w:sz w:val="18"/>
                <w:szCs w:val="18"/>
                <w:lang w:eastAsia="sk-SK"/>
              </w:rPr>
            </w:pPr>
            <w:r w:rsidRPr="002567D5">
              <w:rPr>
                <w:rFonts w:cs="Calibri"/>
                <w:color w:val="000000"/>
                <w:sz w:val="18"/>
                <w:szCs w:val="18"/>
              </w:rPr>
              <w:t>-357</w:t>
            </w:r>
          </w:p>
        </w:tc>
        <w:tc>
          <w:tcPr>
            <w:tcW w:w="567" w:type="dxa"/>
            <w:tcBorders>
              <w:top w:val="nil"/>
              <w:left w:val="nil"/>
              <w:bottom w:val="single" w:sz="4" w:space="0" w:color="auto"/>
              <w:right w:val="nil"/>
            </w:tcBorders>
            <w:shd w:val="clear" w:color="auto" w:fill="auto"/>
            <w:vAlign w:val="center"/>
          </w:tcPr>
          <w:p w14:paraId="4179F788" w14:textId="77777777" w:rsidR="002A0289" w:rsidRPr="002567D5" w:rsidRDefault="002A0289" w:rsidP="00616580">
            <w:pPr>
              <w:pStyle w:val="Bezriadkovania"/>
              <w:jc w:val="center"/>
              <w:rPr>
                <w:rFonts w:cs="Calibri"/>
                <w:color w:val="000000"/>
                <w:sz w:val="18"/>
                <w:szCs w:val="18"/>
                <w:lang w:eastAsia="sk-SK"/>
              </w:rPr>
            </w:pPr>
            <w:r w:rsidRPr="002567D5">
              <w:rPr>
                <w:rFonts w:cs="Calibri"/>
                <w:color w:val="000000"/>
                <w:sz w:val="18"/>
                <w:szCs w:val="18"/>
              </w:rPr>
              <w:t>-371</w:t>
            </w:r>
          </w:p>
        </w:tc>
        <w:tc>
          <w:tcPr>
            <w:tcW w:w="567" w:type="dxa"/>
            <w:tcBorders>
              <w:top w:val="nil"/>
              <w:left w:val="nil"/>
              <w:bottom w:val="single" w:sz="4" w:space="0" w:color="auto"/>
              <w:right w:val="nil"/>
            </w:tcBorders>
            <w:shd w:val="clear" w:color="auto" w:fill="auto"/>
            <w:vAlign w:val="center"/>
          </w:tcPr>
          <w:p w14:paraId="7F19E5C2" w14:textId="77777777" w:rsidR="002A0289" w:rsidRPr="002567D5" w:rsidRDefault="002A0289" w:rsidP="00616580">
            <w:pPr>
              <w:pStyle w:val="Bezriadkovania"/>
              <w:jc w:val="center"/>
              <w:rPr>
                <w:rFonts w:cs="Calibri"/>
                <w:color w:val="000000"/>
                <w:sz w:val="18"/>
                <w:szCs w:val="18"/>
                <w:lang w:eastAsia="sk-SK"/>
              </w:rPr>
            </w:pPr>
            <w:r w:rsidRPr="002567D5">
              <w:rPr>
                <w:rFonts w:cs="Calibri"/>
                <w:color w:val="000000"/>
                <w:sz w:val="18"/>
                <w:szCs w:val="18"/>
              </w:rPr>
              <w:t>-384</w:t>
            </w:r>
          </w:p>
        </w:tc>
      </w:tr>
    </w:tbl>
    <w:p w14:paraId="7B81678A" w14:textId="77777777" w:rsidR="002A0289" w:rsidRPr="00A372D1" w:rsidRDefault="002A0289" w:rsidP="002A0289">
      <w:pPr>
        <w:widowControl w:val="0"/>
        <w:spacing w:before="40" w:after="40"/>
        <w:jc w:val="right"/>
        <w:rPr>
          <w:rFonts w:ascii="Arial Narrow" w:eastAsia="NeueHaasGroteskText W02" w:hAnsi="Arial Narrow" w:cs="Arial"/>
          <w:b/>
          <w:bCs/>
          <w:color w:val="2C9ADC"/>
          <w:sz w:val="20"/>
          <w:szCs w:val="20"/>
          <w:u w:color="2C9ADC"/>
        </w:rPr>
      </w:pPr>
      <w:r w:rsidRPr="003318B5">
        <w:rPr>
          <w:rFonts w:ascii="Arial Narrow" w:eastAsia="NeueHaasGroteskText W02" w:hAnsi="Arial Narrow" w:cs="Arial"/>
          <w:i/>
          <w:iCs/>
          <w:sz w:val="16"/>
          <w:szCs w:val="16"/>
          <w:u w:color="2C9ADC"/>
        </w:rPr>
        <w:t>Zdroj: MF SR</w:t>
      </w:r>
    </w:p>
    <w:p w14:paraId="2E6E15F7" w14:textId="5765A101" w:rsidR="002A0289" w:rsidRDefault="002A0289" w:rsidP="002A0289">
      <w:pPr>
        <w:spacing w:line="276" w:lineRule="auto"/>
        <w:jc w:val="both"/>
        <w:rPr>
          <w:rFonts w:ascii="Arial Narrow" w:hAnsi="Arial Narrow"/>
        </w:rPr>
      </w:pPr>
      <w:r w:rsidRPr="00672433">
        <w:rPr>
          <w:rFonts w:ascii="Arial Narrow" w:hAnsi="Arial Narrow"/>
          <w:b/>
          <w:bCs/>
        </w:rPr>
        <w:lastRenderedPageBreak/>
        <w:t xml:space="preserve">V ďalších rokoch vláda predstaví dodatočné </w:t>
      </w:r>
      <w:r>
        <w:rPr>
          <w:rFonts w:ascii="Arial Narrow" w:hAnsi="Arial Narrow"/>
          <w:b/>
          <w:bCs/>
        </w:rPr>
        <w:t xml:space="preserve">konsolidačné </w:t>
      </w:r>
      <w:r w:rsidRPr="00672433">
        <w:rPr>
          <w:rFonts w:ascii="Arial Narrow" w:hAnsi="Arial Narrow"/>
          <w:b/>
          <w:bCs/>
        </w:rPr>
        <w:t>opatrenia, ktorými zabezpečí</w:t>
      </w:r>
      <w:r>
        <w:rPr>
          <w:rFonts w:ascii="Arial Narrow" w:hAnsi="Arial Narrow"/>
          <w:b/>
          <w:bCs/>
        </w:rPr>
        <w:t xml:space="preserve"> plánovaný vývoj stanovených nominálnych schodkov</w:t>
      </w:r>
      <w:r w:rsidRPr="00672433">
        <w:rPr>
          <w:rFonts w:ascii="Arial Narrow" w:hAnsi="Arial Narrow"/>
          <w:b/>
          <w:bCs/>
        </w:rPr>
        <w:t xml:space="preserve"> do roku 2028</w:t>
      </w:r>
      <w:r w:rsidRPr="00672433">
        <w:rPr>
          <w:rFonts w:ascii="Arial Narrow" w:hAnsi="Arial Narrow"/>
        </w:rPr>
        <w:t xml:space="preserve">. </w:t>
      </w:r>
      <w:r>
        <w:rPr>
          <w:rFonts w:ascii="Arial Narrow" w:hAnsi="Arial Narrow"/>
        </w:rPr>
        <w:t xml:space="preserve">Bez prijatia dodatočných opatrení by rast čistých výdavkov vysoko prevyšoval stanovenú trajektóriu. Na dosiahnutie stanoveného rastu čistých výdavkov bude potrebné prijať dodatočné opatrenia na úrovni </w:t>
      </w:r>
      <w:r w:rsidRPr="001613CD">
        <w:rPr>
          <w:rFonts w:ascii="Arial Narrow" w:hAnsi="Arial Narrow"/>
        </w:rPr>
        <w:t>2,3</w:t>
      </w:r>
      <w:r>
        <w:rPr>
          <w:rFonts w:ascii="Arial Narrow" w:hAnsi="Arial Narrow"/>
        </w:rPr>
        <w:t xml:space="preserve"> % HDP. Preto vláda v </w:t>
      </w:r>
      <w:r w:rsidR="00E559A8">
        <w:rPr>
          <w:rFonts w:ascii="Arial Narrow" w:hAnsi="Arial Narrow"/>
        </w:rPr>
        <w:t xml:space="preserve">nasledujúcich </w:t>
      </w:r>
      <w:r>
        <w:rPr>
          <w:rFonts w:ascii="Arial Narrow" w:hAnsi="Arial Narrow"/>
        </w:rPr>
        <w:t xml:space="preserve">rokoch </w:t>
      </w:r>
      <w:r w:rsidR="00E559A8">
        <w:rPr>
          <w:rFonts w:ascii="Arial Narrow" w:hAnsi="Arial Narrow"/>
        </w:rPr>
        <w:t xml:space="preserve">postupne </w:t>
      </w:r>
      <w:r>
        <w:rPr>
          <w:rFonts w:ascii="Arial Narrow" w:hAnsi="Arial Narrow"/>
        </w:rPr>
        <w:t xml:space="preserve">predstaví ďalšie opatrenia v tomto objeme. Avšak na dosiahnutie stanoveného poklesu nominálneho deficitu budú podľa aktuálnych prognóz potrebné ešte </w:t>
      </w:r>
      <w:r w:rsidR="00E559A8">
        <w:rPr>
          <w:rFonts w:ascii="Arial Narrow" w:hAnsi="Arial Narrow"/>
        </w:rPr>
        <w:t xml:space="preserve">dodatočné </w:t>
      </w:r>
      <w:r>
        <w:rPr>
          <w:rFonts w:ascii="Arial Narrow" w:hAnsi="Arial Narrow"/>
        </w:rPr>
        <w:t>opatrenia navyše za 0,6 % HDP. Tie chce vláda zabezpečiť lepším výberom daní</w:t>
      </w:r>
      <w:r w:rsidR="00E559A8">
        <w:rPr>
          <w:rFonts w:ascii="Arial Narrow" w:hAnsi="Arial Narrow"/>
        </w:rPr>
        <w:t>, ktorý podporí aj konkrétnymi opatreniami v</w:t>
      </w:r>
      <w:r w:rsidR="007F4285">
        <w:rPr>
          <w:rFonts w:ascii="Arial Narrow" w:hAnsi="Arial Narrow"/>
        </w:rPr>
        <w:t xml:space="preserve"> </w:t>
      </w:r>
      <w:r w:rsidR="0040016D">
        <w:rPr>
          <w:rFonts w:ascii="Arial Narrow" w:hAnsi="Arial Narrow"/>
        </w:rPr>
        <w:t>pripravovanom</w:t>
      </w:r>
      <w:r w:rsidR="00E559A8">
        <w:rPr>
          <w:rFonts w:ascii="Arial Narrow" w:hAnsi="Arial Narrow"/>
        </w:rPr>
        <w:t xml:space="preserve"> </w:t>
      </w:r>
      <w:r w:rsidR="00E229CF">
        <w:rPr>
          <w:rFonts w:ascii="Arial Narrow" w:hAnsi="Arial Narrow"/>
        </w:rPr>
        <w:t xml:space="preserve">Akčnom </w:t>
      </w:r>
      <w:r w:rsidR="00E559A8">
        <w:rPr>
          <w:rFonts w:ascii="Arial Narrow" w:hAnsi="Arial Narrow"/>
        </w:rPr>
        <w:t>pláne boja proti daňovým únikom.</w:t>
      </w:r>
      <w:r>
        <w:rPr>
          <w:rFonts w:ascii="Arial Narrow" w:hAnsi="Arial Narrow"/>
        </w:rPr>
        <w:t xml:space="preserve"> </w:t>
      </w:r>
    </w:p>
    <w:tbl>
      <w:tblPr>
        <w:tblpPr w:leftFromText="141" w:rightFromText="141" w:vertAnchor="text" w:horzAnchor="margin" w:tblpY="61"/>
        <w:tblOverlap w:val="neve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4434"/>
        <w:gridCol w:w="146"/>
        <w:gridCol w:w="4492"/>
      </w:tblGrid>
      <w:tr w:rsidR="002A0289" w:rsidRPr="00C1586F" w14:paraId="167B5CB6" w14:textId="77777777" w:rsidTr="0062464C">
        <w:trPr>
          <w:trHeight w:val="321"/>
        </w:trPr>
        <w:tc>
          <w:tcPr>
            <w:tcW w:w="2444" w:type="pct"/>
            <w:tcBorders>
              <w:top w:val="nil"/>
              <w:left w:val="nil"/>
              <w:bottom w:val="single" w:sz="4" w:space="0" w:color="auto"/>
              <w:right w:val="nil"/>
            </w:tcBorders>
            <w:shd w:val="clear" w:color="auto" w:fill="auto"/>
          </w:tcPr>
          <w:p w14:paraId="504D6FE2" w14:textId="478AC4F1" w:rsidR="002A0289" w:rsidRPr="00C1586F" w:rsidRDefault="002A0289" w:rsidP="00616580">
            <w:pPr>
              <w:widowControl w:val="0"/>
              <w:spacing w:before="40" w:after="40"/>
              <w:jc w:val="both"/>
              <w:rPr>
                <w:rFonts w:ascii="Arial Narrow" w:eastAsia="NeueHaasGroteskText W02" w:hAnsi="Arial Narrow" w:cs="Arial"/>
                <w:b/>
                <w:bCs/>
                <w:color w:val="2C9ADC"/>
                <w:sz w:val="20"/>
                <w:szCs w:val="20"/>
                <w:highlight w:val="yellow"/>
                <w:u w:color="2C9ADC"/>
              </w:rPr>
            </w:pPr>
            <w:bookmarkStart w:id="31" w:name="_Toc179814675"/>
            <w:r w:rsidRPr="005516F4">
              <w:rPr>
                <w:rFonts w:ascii="Arial Narrow" w:hAnsi="Arial Narrow" w:cs="Arial Narrow"/>
                <w:b/>
                <w:bCs/>
                <w:color w:val="2C9ADC"/>
                <w:sz w:val="20"/>
                <w:szCs w:val="20"/>
              </w:rPr>
              <w:t xml:space="preserve">GRAF </w:t>
            </w:r>
            <w:r w:rsidRPr="005516F4">
              <w:rPr>
                <w:rFonts w:ascii="Arial Narrow" w:hAnsi="Arial Narrow"/>
                <w:b/>
                <w:color w:val="2C9ADC"/>
                <w:sz w:val="20"/>
                <w:szCs w:val="20"/>
              </w:rPr>
              <w:fldChar w:fldCharType="begin"/>
            </w:r>
            <w:r w:rsidRPr="005516F4">
              <w:rPr>
                <w:rFonts w:ascii="Arial Narrow" w:hAnsi="Arial Narrow"/>
                <w:b/>
                <w:color w:val="2C9ADC"/>
                <w:sz w:val="20"/>
                <w:szCs w:val="20"/>
              </w:rPr>
              <w:instrText xml:space="preserve"> SEQ GRAF \* ARABIC </w:instrText>
            </w:r>
            <w:r w:rsidRPr="005516F4">
              <w:rPr>
                <w:rFonts w:ascii="Arial Narrow" w:hAnsi="Arial Narrow"/>
                <w:b/>
                <w:color w:val="2C9ADC"/>
                <w:sz w:val="20"/>
                <w:szCs w:val="20"/>
              </w:rPr>
              <w:fldChar w:fldCharType="separate"/>
            </w:r>
            <w:r w:rsidR="007A664D">
              <w:rPr>
                <w:rFonts w:ascii="Arial Narrow" w:hAnsi="Arial Narrow"/>
                <w:b/>
                <w:noProof/>
                <w:color w:val="2C9ADC"/>
                <w:sz w:val="20"/>
                <w:szCs w:val="20"/>
              </w:rPr>
              <w:t>16</w:t>
            </w:r>
            <w:r w:rsidRPr="005516F4">
              <w:rPr>
                <w:rFonts w:ascii="Arial Narrow" w:hAnsi="Arial Narrow"/>
                <w:b/>
                <w:color w:val="2C9ADC"/>
                <w:sz w:val="20"/>
                <w:szCs w:val="20"/>
              </w:rPr>
              <w:fldChar w:fldCharType="end"/>
            </w:r>
            <w:r w:rsidRPr="005516F4">
              <w:rPr>
                <w:rFonts w:ascii="Arial Narrow" w:hAnsi="Arial Narrow"/>
                <w:b/>
                <w:color w:val="2C9ADC"/>
                <w:sz w:val="20"/>
                <w:szCs w:val="20"/>
              </w:rPr>
              <w:t xml:space="preserve"> –</w:t>
            </w:r>
            <w:r w:rsidRPr="005516F4">
              <w:rPr>
                <w:rFonts w:ascii="Arial Narrow" w:eastAsia="NeueHaasGroteskText W02" w:hAnsi="Arial Narrow" w:cs="Arial"/>
                <w:b/>
                <w:bCs/>
                <w:color w:val="2C9ADC"/>
                <w:sz w:val="20"/>
                <w:szCs w:val="20"/>
                <w:u w:color="2C9ADC"/>
              </w:rPr>
              <w:t> </w:t>
            </w:r>
            <w:r w:rsidR="006E0D33">
              <w:rPr>
                <w:rFonts w:ascii="Arial Narrow" w:eastAsia="NeueHaasGroteskText W02" w:hAnsi="Arial Narrow" w:cs="Arial"/>
                <w:b/>
                <w:bCs/>
                <w:color w:val="2C9ADC"/>
                <w:sz w:val="20"/>
                <w:szCs w:val="20"/>
                <w:u w:color="2C9ADC"/>
              </w:rPr>
              <w:t>Medziročný r</w:t>
            </w:r>
            <w:r w:rsidRPr="00A372D1">
              <w:rPr>
                <w:rFonts w:ascii="Arial Narrow" w:eastAsia="NeueHaasGroteskText W02" w:hAnsi="Arial Narrow" w:cs="Arial"/>
                <w:b/>
                <w:bCs/>
                <w:color w:val="2C9ADC"/>
                <w:sz w:val="20"/>
                <w:szCs w:val="20"/>
                <w:u w:color="2C9ADC"/>
              </w:rPr>
              <w:t xml:space="preserve">ast </w:t>
            </w:r>
            <w:r>
              <w:rPr>
                <w:rFonts w:ascii="Arial Narrow" w:eastAsia="NeueHaasGroteskText W02" w:hAnsi="Arial Narrow" w:cs="Arial"/>
                <w:b/>
                <w:bCs/>
                <w:color w:val="2C9ADC"/>
                <w:sz w:val="20"/>
                <w:szCs w:val="20"/>
                <w:u w:color="2C9ADC"/>
              </w:rPr>
              <w:t xml:space="preserve">čistých </w:t>
            </w:r>
            <w:r w:rsidRPr="00A372D1">
              <w:rPr>
                <w:rFonts w:ascii="Arial Narrow" w:eastAsia="NeueHaasGroteskText W02" w:hAnsi="Arial Narrow" w:cs="Arial"/>
                <w:b/>
                <w:bCs/>
                <w:color w:val="2C9ADC"/>
                <w:sz w:val="20"/>
                <w:szCs w:val="20"/>
                <w:u w:color="2C9ADC"/>
              </w:rPr>
              <w:t xml:space="preserve">výdavkov podľa stanovenej trajektórie a podľa </w:t>
            </w:r>
            <w:r>
              <w:rPr>
                <w:rFonts w:ascii="Arial Narrow" w:eastAsia="NeueHaasGroteskText W02" w:hAnsi="Arial Narrow" w:cs="Arial"/>
                <w:b/>
                <w:bCs/>
                <w:color w:val="2C9ADC"/>
                <w:sz w:val="20"/>
                <w:szCs w:val="20"/>
                <w:u w:color="2C9ADC"/>
              </w:rPr>
              <w:t>aktuálneho rozpočtového rámca (%)</w:t>
            </w:r>
            <w:bookmarkEnd w:id="31"/>
          </w:p>
        </w:tc>
        <w:tc>
          <w:tcPr>
            <w:tcW w:w="80" w:type="pct"/>
            <w:tcBorders>
              <w:top w:val="nil"/>
              <w:left w:val="nil"/>
              <w:bottom w:val="nil"/>
              <w:right w:val="nil"/>
            </w:tcBorders>
            <w:shd w:val="clear" w:color="auto" w:fill="auto"/>
          </w:tcPr>
          <w:p w14:paraId="45CA120F" w14:textId="77777777" w:rsidR="002A0289" w:rsidRPr="00C1586F" w:rsidRDefault="002A0289" w:rsidP="00616580">
            <w:pPr>
              <w:widowControl w:val="0"/>
              <w:spacing w:before="60" w:after="60"/>
              <w:rPr>
                <w:rFonts w:ascii="Arial Narrow" w:hAnsi="Arial Narrow" w:cs="Arial"/>
                <w:b/>
                <w:color w:val="2C9ADC"/>
                <w:sz w:val="20"/>
                <w:szCs w:val="20"/>
                <w:highlight w:val="yellow"/>
              </w:rPr>
            </w:pPr>
          </w:p>
        </w:tc>
        <w:tc>
          <w:tcPr>
            <w:tcW w:w="2476" w:type="pct"/>
            <w:tcBorders>
              <w:top w:val="nil"/>
              <w:left w:val="nil"/>
              <w:bottom w:val="single" w:sz="4" w:space="0" w:color="auto"/>
              <w:right w:val="nil"/>
            </w:tcBorders>
            <w:shd w:val="clear" w:color="auto" w:fill="auto"/>
          </w:tcPr>
          <w:p w14:paraId="7423A4EF" w14:textId="481F40DC" w:rsidR="002A0289" w:rsidRPr="00C1586F" w:rsidRDefault="002A0289" w:rsidP="00616580">
            <w:pPr>
              <w:widowControl w:val="0"/>
              <w:spacing w:before="40" w:after="40"/>
              <w:jc w:val="both"/>
              <w:rPr>
                <w:rFonts w:ascii="Arial Narrow" w:hAnsi="Arial Narrow"/>
                <w:b/>
                <w:color w:val="2C9ADC"/>
                <w:sz w:val="20"/>
                <w:szCs w:val="20"/>
                <w:highlight w:val="yellow"/>
              </w:rPr>
            </w:pPr>
            <w:bookmarkStart w:id="32" w:name="_Toc179814676"/>
            <w:r w:rsidRPr="005516F4">
              <w:rPr>
                <w:rFonts w:ascii="Arial Narrow" w:hAnsi="Arial Narrow"/>
                <w:b/>
                <w:color w:val="2C9ADC"/>
                <w:sz w:val="20"/>
                <w:szCs w:val="20"/>
              </w:rPr>
              <w:t xml:space="preserve">GRAF </w:t>
            </w:r>
            <w:r w:rsidRPr="005516F4">
              <w:rPr>
                <w:rFonts w:ascii="Arial Narrow" w:hAnsi="Arial Narrow"/>
                <w:b/>
                <w:color w:val="2C9ADC"/>
                <w:sz w:val="20"/>
                <w:szCs w:val="20"/>
              </w:rPr>
              <w:fldChar w:fldCharType="begin"/>
            </w:r>
            <w:r w:rsidRPr="005516F4">
              <w:rPr>
                <w:rFonts w:ascii="Arial Narrow" w:hAnsi="Arial Narrow"/>
                <w:b/>
                <w:color w:val="2C9ADC"/>
                <w:sz w:val="20"/>
                <w:szCs w:val="20"/>
              </w:rPr>
              <w:instrText xml:space="preserve"> SEQ GRAF \* ARABIC </w:instrText>
            </w:r>
            <w:r w:rsidRPr="005516F4">
              <w:rPr>
                <w:rFonts w:ascii="Arial Narrow" w:hAnsi="Arial Narrow"/>
                <w:b/>
                <w:color w:val="2C9ADC"/>
                <w:sz w:val="20"/>
                <w:szCs w:val="20"/>
              </w:rPr>
              <w:fldChar w:fldCharType="separate"/>
            </w:r>
            <w:r w:rsidR="007A664D">
              <w:rPr>
                <w:rFonts w:ascii="Arial Narrow" w:hAnsi="Arial Narrow"/>
                <w:b/>
                <w:noProof/>
                <w:color w:val="2C9ADC"/>
                <w:sz w:val="20"/>
                <w:szCs w:val="20"/>
              </w:rPr>
              <w:t>17</w:t>
            </w:r>
            <w:r w:rsidRPr="005516F4">
              <w:rPr>
                <w:rFonts w:ascii="Arial Narrow" w:hAnsi="Arial Narrow"/>
                <w:b/>
                <w:color w:val="2C9ADC"/>
                <w:sz w:val="20"/>
                <w:szCs w:val="20"/>
              </w:rPr>
              <w:fldChar w:fldCharType="end"/>
            </w:r>
            <w:r>
              <w:rPr>
                <w:rFonts w:ascii="Arial Narrow" w:hAnsi="Arial Narrow"/>
                <w:b/>
                <w:color w:val="2C9ADC"/>
                <w:sz w:val="20"/>
                <w:szCs w:val="20"/>
              </w:rPr>
              <w:t xml:space="preserve"> </w:t>
            </w:r>
            <w:r w:rsidR="00A347D8">
              <w:rPr>
                <w:rFonts w:ascii="Arial Narrow" w:hAnsi="Arial Narrow"/>
                <w:b/>
                <w:color w:val="2C9ADC"/>
                <w:sz w:val="20"/>
                <w:szCs w:val="20"/>
              </w:rPr>
              <w:t>–</w:t>
            </w:r>
            <w:r w:rsidR="00072111">
              <w:rPr>
                <w:rFonts w:ascii="Arial Narrow" w:hAnsi="Arial Narrow"/>
                <w:b/>
                <w:color w:val="2C9ADC"/>
                <w:sz w:val="20"/>
                <w:szCs w:val="20"/>
              </w:rPr>
              <w:t xml:space="preserve"> </w:t>
            </w:r>
            <w:r w:rsidR="00790F57">
              <w:rPr>
                <w:rFonts w:ascii="Arial Narrow" w:hAnsi="Arial Narrow"/>
                <w:b/>
                <w:color w:val="2C9ADC"/>
                <w:sz w:val="20"/>
                <w:szCs w:val="20"/>
              </w:rPr>
              <w:t>P</w:t>
            </w:r>
            <w:r w:rsidR="00072111">
              <w:rPr>
                <w:rFonts w:ascii="Arial Narrow" w:hAnsi="Arial Narrow"/>
                <w:b/>
                <w:color w:val="2C9ADC"/>
                <w:sz w:val="20"/>
                <w:szCs w:val="20"/>
              </w:rPr>
              <w:t>o</w:t>
            </w:r>
            <w:r w:rsidR="00790F57">
              <w:rPr>
                <w:rFonts w:ascii="Arial Narrow" w:hAnsi="Arial Narrow"/>
                <w:b/>
                <w:color w:val="2C9ADC"/>
                <w:sz w:val="20"/>
                <w:szCs w:val="20"/>
              </w:rPr>
              <w:t>treba</w:t>
            </w:r>
            <w:r w:rsidR="00025B2F">
              <w:rPr>
                <w:rFonts w:ascii="Arial Narrow" w:hAnsi="Arial Narrow"/>
                <w:b/>
                <w:color w:val="2C9ADC"/>
                <w:sz w:val="20"/>
                <w:szCs w:val="20"/>
              </w:rPr>
              <w:t xml:space="preserve"> </w:t>
            </w:r>
            <w:r w:rsidR="00790F57">
              <w:rPr>
                <w:rFonts w:ascii="Arial Narrow" w:hAnsi="Arial Narrow"/>
                <w:b/>
                <w:color w:val="2C9ADC"/>
                <w:sz w:val="20"/>
                <w:szCs w:val="20"/>
              </w:rPr>
              <w:t>dodatočných</w:t>
            </w:r>
            <w:r w:rsidR="006E0D33">
              <w:rPr>
                <w:rFonts w:ascii="Arial Narrow" w:hAnsi="Arial Narrow"/>
                <w:b/>
                <w:color w:val="2C9ADC"/>
                <w:sz w:val="20"/>
                <w:szCs w:val="20"/>
              </w:rPr>
              <w:t xml:space="preserve"> konsolidačných</w:t>
            </w:r>
            <w:r w:rsidR="00790F57">
              <w:rPr>
                <w:rFonts w:ascii="Arial Narrow" w:hAnsi="Arial Narrow"/>
                <w:b/>
                <w:color w:val="2C9ADC"/>
                <w:sz w:val="20"/>
                <w:szCs w:val="20"/>
              </w:rPr>
              <w:t xml:space="preserve"> opatrení </w:t>
            </w:r>
            <w:r w:rsidR="006E0D33">
              <w:rPr>
                <w:rFonts w:ascii="Arial Narrow" w:hAnsi="Arial Narrow"/>
                <w:b/>
                <w:color w:val="2C9ADC"/>
                <w:sz w:val="20"/>
                <w:szCs w:val="20"/>
              </w:rPr>
              <w:t xml:space="preserve">v % HDP (rozdiel medzi aktuálnym rozpočtovým rámcom </w:t>
            </w:r>
            <w:r w:rsidR="00790F57">
              <w:rPr>
                <w:rFonts w:ascii="Arial Narrow" w:hAnsi="Arial Narrow"/>
                <w:b/>
                <w:color w:val="2C9ADC"/>
                <w:sz w:val="20"/>
                <w:szCs w:val="20"/>
              </w:rPr>
              <w:t>a cieľmi vlády</w:t>
            </w:r>
            <w:r w:rsidR="006E0D33">
              <w:rPr>
                <w:rFonts w:ascii="Arial Narrow" w:hAnsi="Arial Narrow"/>
                <w:b/>
                <w:color w:val="2C9ADC"/>
                <w:sz w:val="20"/>
                <w:szCs w:val="20"/>
              </w:rPr>
              <w:t>)</w:t>
            </w:r>
            <w:bookmarkEnd w:id="32"/>
          </w:p>
        </w:tc>
      </w:tr>
      <w:tr w:rsidR="002A0289" w:rsidRPr="00C1586F" w14:paraId="0D5A3875" w14:textId="77777777" w:rsidTr="0062464C">
        <w:trPr>
          <w:trHeight w:val="820"/>
        </w:trPr>
        <w:tc>
          <w:tcPr>
            <w:tcW w:w="2444" w:type="pct"/>
            <w:tcBorders>
              <w:top w:val="single" w:sz="4" w:space="0" w:color="auto"/>
              <w:left w:val="nil"/>
              <w:bottom w:val="single" w:sz="4" w:space="0" w:color="auto"/>
              <w:right w:val="nil"/>
            </w:tcBorders>
            <w:vAlign w:val="center"/>
          </w:tcPr>
          <w:p w14:paraId="15A07D93" w14:textId="08BEA49E" w:rsidR="002A0289" w:rsidRPr="00C1586F" w:rsidRDefault="00F5650B" w:rsidP="00616580">
            <w:pPr>
              <w:widowControl w:val="0"/>
              <w:spacing w:before="40" w:after="40"/>
              <w:jc w:val="center"/>
              <w:rPr>
                <w:rFonts w:ascii="Arial Narrow" w:hAnsi="Arial Narrow" w:cs="Arial"/>
                <w:sz w:val="20"/>
                <w:szCs w:val="20"/>
                <w:highlight w:val="yellow"/>
              </w:rPr>
            </w:pPr>
            <w:r>
              <w:rPr>
                <w:noProof/>
                <w:lang w:eastAsia="sk-SK"/>
              </w:rPr>
              <w:drawing>
                <wp:inline distT="0" distB="0" distL="0" distR="0" wp14:anchorId="14BCA46D" wp14:editId="4883585E">
                  <wp:extent cx="2800350" cy="2197100"/>
                  <wp:effectExtent l="0" t="0" r="0" b="0"/>
                  <wp:docPr id="44938991" name="Graf 1">
                    <a:extLst xmlns:a="http://schemas.openxmlformats.org/drawingml/2006/main">
                      <a:ext uri="{FF2B5EF4-FFF2-40B4-BE49-F238E27FC236}">
                        <a16:creationId xmlns:a16="http://schemas.microsoft.com/office/drawing/2014/main" id="{D016622C-CAA9-43C5-8E0F-A36F4360B1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c>
          <w:tcPr>
            <w:tcW w:w="80" w:type="pct"/>
            <w:tcBorders>
              <w:top w:val="nil"/>
              <w:left w:val="nil"/>
              <w:bottom w:val="single" w:sz="4" w:space="0" w:color="auto"/>
              <w:right w:val="nil"/>
            </w:tcBorders>
            <w:vAlign w:val="center"/>
          </w:tcPr>
          <w:p w14:paraId="48FE2082" w14:textId="77777777" w:rsidR="002A0289" w:rsidRPr="00C1586F" w:rsidRDefault="002A0289" w:rsidP="00616580">
            <w:pPr>
              <w:widowControl w:val="0"/>
              <w:spacing w:before="40" w:after="40"/>
              <w:jc w:val="center"/>
              <w:rPr>
                <w:rFonts w:ascii="Arial Narrow" w:hAnsi="Arial Narrow" w:cs="Arial"/>
                <w:b/>
                <w:sz w:val="20"/>
                <w:szCs w:val="20"/>
                <w:highlight w:val="yellow"/>
              </w:rPr>
            </w:pPr>
          </w:p>
        </w:tc>
        <w:tc>
          <w:tcPr>
            <w:tcW w:w="2476" w:type="pct"/>
            <w:tcBorders>
              <w:top w:val="single" w:sz="4" w:space="0" w:color="auto"/>
              <w:left w:val="nil"/>
              <w:bottom w:val="single" w:sz="4" w:space="0" w:color="auto"/>
              <w:right w:val="nil"/>
            </w:tcBorders>
            <w:vAlign w:val="bottom"/>
          </w:tcPr>
          <w:p w14:paraId="5831E63B" w14:textId="1C8F329D" w:rsidR="002A0289" w:rsidRPr="00C1586F" w:rsidRDefault="00F07532" w:rsidP="00616580">
            <w:pPr>
              <w:widowControl w:val="0"/>
              <w:spacing w:before="40" w:after="40"/>
              <w:rPr>
                <w:rFonts w:ascii="Arial Narrow" w:hAnsi="Arial Narrow" w:cs="Arial"/>
                <w:sz w:val="20"/>
                <w:szCs w:val="20"/>
                <w:highlight w:val="yellow"/>
              </w:rPr>
            </w:pPr>
            <w:r>
              <w:rPr>
                <w:noProof/>
                <w:lang w:eastAsia="sk-SK"/>
              </w:rPr>
              <w:drawing>
                <wp:inline distT="0" distB="0" distL="0" distR="0" wp14:anchorId="7EE606D8" wp14:editId="70187F43">
                  <wp:extent cx="2830222" cy="2289810"/>
                  <wp:effectExtent l="0" t="0" r="8255" b="0"/>
                  <wp:docPr id="15" name="Graf 15">
                    <a:extLst xmlns:a="http://schemas.openxmlformats.org/drawingml/2006/main">
                      <a:ext uri="{FF2B5EF4-FFF2-40B4-BE49-F238E27FC236}">
                        <a16:creationId xmlns:a16="http://schemas.microsoft.com/office/drawing/2014/main" id="{D015A1B5-F598-0E7C-32D5-A015D85792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r>
      <w:tr w:rsidR="002A0289" w:rsidRPr="005516F4" w14:paraId="170A9245" w14:textId="77777777" w:rsidTr="00EC0FB5">
        <w:trPr>
          <w:trHeight w:val="102"/>
        </w:trPr>
        <w:tc>
          <w:tcPr>
            <w:tcW w:w="5000" w:type="pct"/>
            <w:gridSpan w:val="3"/>
            <w:tcBorders>
              <w:top w:val="single" w:sz="4" w:space="0" w:color="auto"/>
              <w:left w:val="nil"/>
              <w:bottom w:val="nil"/>
              <w:right w:val="nil"/>
            </w:tcBorders>
          </w:tcPr>
          <w:p w14:paraId="59349DDE" w14:textId="77777777" w:rsidR="002A0289" w:rsidRDefault="002A0289" w:rsidP="00616580">
            <w:pPr>
              <w:widowControl w:val="0"/>
              <w:spacing w:before="40" w:after="40"/>
              <w:jc w:val="both"/>
              <w:rPr>
                <w:rFonts w:ascii="Arial Narrow" w:hAnsi="Arial Narrow"/>
                <w:i/>
                <w:sz w:val="16"/>
                <w:szCs w:val="16"/>
              </w:rPr>
            </w:pPr>
            <w:r>
              <w:rPr>
                <w:rFonts w:ascii="Arial Narrow" w:hAnsi="Arial Narrow"/>
                <w:i/>
                <w:sz w:val="16"/>
                <w:szCs w:val="16"/>
              </w:rPr>
              <w:t>Pozn.: *</w:t>
            </w:r>
            <w:r w:rsidRPr="006E5B33">
              <w:rPr>
                <w:rFonts w:ascii="Arial Narrow" w:hAnsi="Arial Narrow"/>
                <w:i/>
                <w:sz w:val="16"/>
                <w:szCs w:val="16"/>
              </w:rPr>
              <w:t>Rast výdavkov</w:t>
            </w:r>
            <w:r>
              <w:rPr>
                <w:rFonts w:ascii="Arial Narrow" w:hAnsi="Arial Narrow"/>
                <w:i/>
                <w:sz w:val="16"/>
                <w:szCs w:val="16"/>
              </w:rPr>
              <w:t xml:space="preserve"> v rozpočte</w:t>
            </w:r>
            <w:r w:rsidRPr="006E5B33">
              <w:rPr>
                <w:rFonts w:ascii="Arial Narrow" w:hAnsi="Arial Narrow"/>
                <w:i/>
                <w:sz w:val="16"/>
                <w:szCs w:val="16"/>
              </w:rPr>
              <w:t xml:space="preserve"> v roku 2028 je </w:t>
            </w:r>
            <w:r>
              <w:rPr>
                <w:rFonts w:ascii="Arial Narrow" w:hAnsi="Arial Narrow"/>
                <w:i/>
                <w:sz w:val="16"/>
                <w:szCs w:val="16"/>
              </w:rPr>
              <w:t xml:space="preserve">expertne </w:t>
            </w:r>
            <w:r w:rsidRPr="006E5B33">
              <w:rPr>
                <w:rFonts w:ascii="Arial Narrow" w:hAnsi="Arial Narrow"/>
                <w:i/>
                <w:sz w:val="16"/>
                <w:szCs w:val="16"/>
              </w:rPr>
              <w:t>extrapolovaný</w:t>
            </w:r>
            <w:r>
              <w:rPr>
                <w:rFonts w:ascii="Arial Narrow" w:hAnsi="Arial Narrow"/>
                <w:i/>
                <w:sz w:val="16"/>
                <w:szCs w:val="16"/>
              </w:rPr>
              <w:t xml:space="preserve"> </w:t>
            </w:r>
            <w:r w:rsidRPr="006E5B33">
              <w:rPr>
                <w:rFonts w:ascii="Arial Narrow" w:hAnsi="Arial Narrow"/>
                <w:i/>
                <w:sz w:val="16"/>
                <w:szCs w:val="16"/>
              </w:rPr>
              <w:t xml:space="preserve">vzhľadom na fakt, že rámec rozpočtu sa tvorí </w:t>
            </w:r>
            <w:r>
              <w:rPr>
                <w:rFonts w:ascii="Arial Narrow" w:hAnsi="Arial Narrow"/>
                <w:i/>
                <w:sz w:val="16"/>
                <w:szCs w:val="16"/>
              </w:rPr>
              <w:t xml:space="preserve">len </w:t>
            </w:r>
            <w:r w:rsidRPr="006E5B33">
              <w:rPr>
                <w:rFonts w:ascii="Arial Narrow" w:hAnsi="Arial Narrow"/>
                <w:i/>
                <w:sz w:val="16"/>
                <w:szCs w:val="16"/>
              </w:rPr>
              <w:t>pre roky 2025 až 202</w:t>
            </w:r>
            <w:r w:rsidRPr="00BE21A5">
              <w:rPr>
                <w:rFonts w:ascii="Arial Narrow" w:hAnsi="Arial Narrow"/>
                <w:i/>
                <w:sz w:val="16"/>
                <w:szCs w:val="16"/>
              </w:rPr>
              <w:t>7.</w:t>
            </w:r>
          </w:p>
          <w:p w14:paraId="2F53D75A" w14:textId="2105E98A" w:rsidR="005F6B2F" w:rsidRDefault="002A0289" w:rsidP="00F5650B">
            <w:pPr>
              <w:widowControl w:val="0"/>
              <w:spacing w:before="40" w:after="40"/>
              <w:jc w:val="both"/>
              <w:rPr>
                <w:rFonts w:ascii="Arial Narrow" w:hAnsi="Arial Narrow"/>
                <w:i/>
                <w:sz w:val="16"/>
                <w:szCs w:val="16"/>
              </w:rPr>
            </w:pPr>
            <w:r w:rsidRPr="00BE21A5">
              <w:rPr>
                <w:rFonts w:ascii="Arial Narrow" w:hAnsi="Arial Narrow"/>
                <w:i/>
                <w:sz w:val="16"/>
                <w:szCs w:val="16"/>
              </w:rPr>
              <w:t xml:space="preserve"> </w:t>
            </w:r>
            <w:r>
              <w:rPr>
                <w:rFonts w:ascii="Arial Narrow" w:hAnsi="Arial Narrow"/>
                <w:i/>
                <w:sz w:val="16"/>
                <w:szCs w:val="16"/>
              </w:rPr>
              <w:t xml:space="preserve">** </w:t>
            </w:r>
            <w:r w:rsidR="005F6B2F" w:rsidRPr="0062464C">
              <w:rPr>
                <w:rFonts w:ascii="Arial Narrow" w:hAnsi="Arial Narrow"/>
                <w:i/>
                <w:sz w:val="16"/>
                <w:szCs w:val="16"/>
              </w:rPr>
              <w:t>Potreba opatrení zodpovedá rozdielu cielenej úrovn</w:t>
            </w:r>
            <w:r w:rsidR="001343E8" w:rsidRPr="0062464C">
              <w:rPr>
                <w:rFonts w:ascii="Arial Narrow" w:hAnsi="Arial Narrow"/>
                <w:i/>
                <w:sz w:val="16"/>
                <w:szCs w:val="16"/>
              </w:rPr>
              <w:t>i deficitu</w:t>
            </w:r>
            <w:r w:rsidR="005F6B2F" w:rsidRPr="0062464C">
              <w:rPr>
                <w:rFonts w:ascii="Arial Narrow" w:hAnsi="Arial Narrow"/>
                <w:i/>
                <w:sz w:val="16"/>
                <w:szCs w:val="16"/>
              </w:rPr>
              <w:t xml:space="preserve"> a aktuálnemu nastaveniu rozpočtu. </w:t>
            </w:r>
            <w:r w:rsidR="0081428B" w:rsidRPr="0062464C">
              <w:rPr>
                <w:rFonts w:ascii="Arial Narrow" w:hAnsi="Arial Narrow"/>
                <w:i/>
                <w:sz w:val="16"/>
                <w:szCs w:val="16"/>
              </w:rPr>
              <w:t>Na rok 2026 je potreba</w:t>
            </w:r>
            <w:r w:rsidR="008A126D" w:rsidRPr="0062464C">
              <w:rPr>
                <w:rFonts w:ascii="Arial Narrow" w:hAnsi="Arial Narrow"/>
                <w:i/>
                <w:sz w:val="16"/>
                <w:szCs w:val="16"/>
              </w:rPr>
              <w:t xml:space="preserve"> konsolidačných opatrení</w:t>
            </w:r>
            <w:r w:rsidR="0081428B" w:rsidRPr="0062464C">
              <w:rPr>
                <w:rFonts w:ascii="Arial Narrow" w:hAnsi="Arial Narrow"/>
                <w:i/>
                <w:sz w:val="16"/>
                <w:szCs w:val="16"/>
              </w:rPr>
              <w:t xml:space="preserve"> relatívne nízka, čo </w:t>
            </w:r>
            <w:r w:rsidR="00E229CF">
              <w:rPr>
                <w:rFonts w:ascii="Arial Narrow" w:hAnsi="Arial Narrow"/>
                <w:i/>
                <w:sz w:val="16"/>
                <w:szCs w:val="16"/>
              </w:rPr>
              <w:t>vyplýva</w:t>
            </w:r>
            <w:r w:rsidR="00E229CF" w:rsidRPr="0062464C">
              <w:rPr>
                <w:rFonts w:ascii="Arial Narrow" w:hAnsi="Arial Narrow"/>
                <w:i/>
                <w:sz w:val="16"/>
                <w:szCs w:val="16"/>
              </w:rPr>
              <w:t xml:space="preserve"> </w:t>
            </w:r>
            <w:r w:rsidR="0081428B" w:rsidRPr="0062464C">
              <w:rPr>
                <w:rFonts w:ascii="Arial Narrow" w:hAnsi="Arial Narrow"/>
                <w:i/>
                <w:sz w:val="16"/>
                <w:szCs w:val="16"/>
              </w:rPr>
              <w:t>hlavne</w:t>
            </w:r>
            <w:r w:rsidR="008A126D" w:rsidRPr="0062464C">
              <w:rPr>
                <w:rFonts w:ascii="Arial Narrow" w:hAnsi="Arial Narrow"/>
                <w:i/>
                <w:sz w:val="16"/>
                <w:szCs w:val="16"/>
              </w:rPr>
              <w:t xml:space="preserve"> z dôvodu</w:t>
            </w:r>
            <w:r w:rsidR="0081428B" w:rsidRPr="0062464C">
              <w:rPr>
                <w:rFonts w:ascii="Arial Narrow" w:hAnsi="Arial Narrow"/>
                <w:i/>
                <w:sz w:val="16"/>
                <w:szCs w:val="16"/>
              </w:rPr>
              <w:t xml:space="preserve"> poklesu výdavkov na obranu</w:t>
            </w:r>
            <w:r w:rsidR="008A126D" w:rsidRPr="0062464C">
              <w:rPr>
                <w:rFonts w:ascii="Arial Narrow" w:hAnsi="Arial Narrow"/>
                <w:i/>
                <w:sz w:val="16"/>
                <w:szCs w:val="16"/>
              </w:rPr>
              <w:t>,</w:t>
            </w:r>
            <w:r w:rsidR="0081428B" w:rsidRPr="0062464C">
              <w:rPr>
                <w:rFonts w:ascii="Arial Narrow" w:hAnsi="Arial Narrow"/>
                <w:i/>
                <w:sz w:val="16"/>
                <w:szCs w:val="16"/>
              </w:rPr>
              <w:t xml:space="preserve"> ako aj dodatočného vplyvu</w:t>
            </w:r>
            <w:r w:rsidR="008A126D" w:rsidRPr="0062464C">
              <w:rPr>
                <w:rFonts w:ascii="Arial Narrow" w:hAnsi="Arial Narrow"/>
                <w:i/>
                <w:sz w:val="16"/>
                <w:szCs w:val="16"/>
              </w:rPr>
              <w:t xml:space="preserve"> predstaveného</w:t>
            </w:r>
            <w:r w:rsidR="0081428B" w:rsidRPr="0062464C">
              <w:rPr>
                <w:rFonts w:ascii="Arial Narrow" w:hAnsi="Arial Narrow"/>
                <w:i/>
                <w:sz w:val="16"/>
                <w:szCs w:val="16"/>
              </w:rPr>
              <w:t xml:space="preserve"> konsolidačného balíka na rok 2026 (napr. daň z finančných transakcií sa prvý krát v celom roku prejaví až v 2026, keďže jej účinnosť je od 1. apríla 2025).</w:t>
            </w:r>
          </w:p>
          <w:p w14:paraId="5769953E" w14:textId="158377DF" w:rsidR="00A64B11" w:rsidRDefault="005F6B2F" w:rsidP="00616580">
            <w:pPr>
              <w:widowControl w:val="0"/>
              <w:spacing w:before="40" w:after="40"/>
              <w:jc w:val="both"/>
              <w:rPr>
                <w:rFonts w:ascii="Arial Narrow" w:hAnsi="Arial Narrow"/>
                <w:i/>
                <w:sz w:val="16"/>
                <w:szCs w:val="16"/>
              </w:rPr>
            </w:pPr>
            <w:r>
              <w:rPr>
                <w:rFonts w:ascii="Arial Narrow" w:hAnsi="Arial Narrow"/>
                <w:i/>
                <w:sz w:val="16"/>
                <w:szCs w:val="16"/>
              </w:rPr>
              <w:t xml:space="preserve">*** </w:t>
            </w:r>
            <w:r w:rsidR="002A0289" w:rsidRPr="00BE21A5">
              <w:rPr>
                <w:rFonts w:ascii="Arial Narrow" w:hAnsi="Arial Narrow"/>
                <w:i/>
                <w:sz w:val="16"/>
                <w:szCs w:val="16"/>
              </w:rPr>
              <w:t>Pre rok 2028 vychádzajú potrebné opatrenia</w:t>
            </w:r>
            <w:r w:rsidR="002A0289">
              <w:rPr>
                <w:rFonts w:ascii="Arial Narrow" w:hAnsi="Arial Narrow"/>
                <w:i/>
                <w:sz w:val="16"/>
                <w:szCs w:val="16"/>
              </w:rPr>
              <w:t xml:space="preserve"> z porovnania cieľového schodku pre rok 2028 a </w:t>
            </w:r>
            <w:r w:rsidR="002A0289" w:rsidRPr="00BE21A5">
              <w:rPr>
                <w:rFonts w:ascii="Arial Narrow" w:hAnsi="Arial Narrow"/>
                <w:i/>
                <w:sz w:val="16"/>
                <w:szCs w:val="16"/>
              </w:rPr>
              <w:t>z</w:t>
            </w:r>
            <w:r w:rsidR="002A0289">
              <w:rPr>
                <w:rFonts w:ascii="Arial Narrow" w:hAnsi="Arial Narrow"/>
                <w:i/>
                <w:sz w:val="16"/>
                <w:szCs w:val="16"/>
              </w:rPr>
              <w:t> odhadu</w:t>
            </w:r>
            <w:r w:rsidR="002A0289" w:rsidRPr="00BE21A5">
              <w:rPr>
                <w:rFonts w:ascii="Arial Narrow" w:hAnsi="Arial Narrow"/>
                <w:i/>
                <w:sz w:val="16"/>
                <w:szCs w:val="16"/>
              </w:rPr>
              <w:t xml:space="preserve"> schodku</w:t>
            </w:r>
            <w:r w:rsidR="002A0289">
              <w:rPr>
                <w:rFonts w:ascii="Arial Narrow" w:hAnsi="Arial Narrow"/>
                <w:i/>
                <w:sz w:val="16"/>
                <w:szCs w:val="16"/>
              </w:rPr>
              <w:t xml:space="preserve"> pre rok 2028 – vypočítaný na základe rozpočtovaného schodku pre rok </w:t>
            </w:r>
            <w:r w:rsidR="002A0289" w:rsidRPr="00BE21A5">
              <w:rPr>
                <w:rFonts w:ascii="Arial Narrow" w:hAnsi="Arial Narrow"/>
                <w:i/>
                <w:sz w:val="16"/>
                <w:szCs w:val="16"/>
              </w:rPr>
              <w:t xml:space="preserve">2027, ku ktorému </w:t>
            </w:r>
            <w:r w:rsidR="002A0289">
              <w:rPr>
                <w:rFonts w:ascii="Arial Narrow" w:hAnsi="Arial Narrow"/>
                <w:i/>
                <w:sz w:val="16"/>
                <w:szCs w:val="16"/>
              </w:rPr>
              <w:t xml:space="preserve">je </w:t>
            </w:r>
            <w:r w:rsidR="002A0289" w:rsidRPr="00BE21A5">
              <w:rPr>
                <w:rFonts w:ascii="Arial Narrow" w:hAnsi="Arial Narrow"/>
                <w:i/>
                <w:sz w:val="16"/>
                <w:szCs w:val="16"/>
              </w:rPr>
              <w:t>pripočítan</w:t>
            </w:r>
            <w:r w:rsidR="002A0289">
              <w:rPr>
                <w:rFonts w:ascii="Arial Narrow" w:hAnsi="Arial Narrow"/>
                <w:i/>
                <w:sz w:val="16"/>
                <w:szCs w:val="16"/>
              </w:rPr>
              <w:t>ý očakávaný nárast schodku v 2028 skrz</w:t>
            </w:r>
            <w:r w:rsidR="002A0289" w:rsidRPr="00BE21A5">
              <w:rPr>
                <w:rFonts w:ascii="Arial Narrow" w:hAnsi="Arial Narrow"/>
                <w:i/>
                <w:sz w:val="16"/>
                <w:szCs w:val="16"/>
              </w:rPr>
              <w:t xml:space="preserve"> </w:t>
            </w:r>
            <w:r w:rsidR="002A0289">
              <w:rPr>
                <w:rFonts w:ascii="Arial Narrow" w:hAnsi="Arial Narrow"/>
                <w:i/>
                <w:sz w:val="16"/>
                <w:szCs w:val="16"/>
              </w:rPr>
              <w:t xml:space="preserve">zvyšujúce sa </w:t>
            </w:r>
            <w:r w:rsidR="002A0289" w:rsidRPr="00BE21A5">
              <w:rPr>
                <w:rFonts w:ascii="Arial Narrow" w:hAnsi="Arial Narrow"/>
                <w:i/>
                <w:sz w:val="16"/>
                <w:szCs w:val="16"/>
              </w:rPr>
              <w:t>náklady na starnutie</w:t>
            </w:r>
            <w:r w:rsidR="002A0289">
              <w:rPr>
                <w:rFonts w:ascii="Arial Narrow" w:hAnsi="Arial Narrow"/>
                <w:i/>
                <w:sz w:val="16"/>
                <w:szCs w:val="16"/>
              </w:rPr>
              <w:t xml:space="preserve"> populácie</w:t>
            </w:r>
            <w:r w:rsidR="002A0289" w:rsidRPr="00BE21A5">
              <w:rPr>
                <w:rFonts w:ascii="Arial Narrow" w:hAnsi="Arial Narrow"/>
                <w:i/>
                <w:sz w:val="16"/>
                <w:szCs w:val="16"/>
              </w:rPr>
              <w:t xml:space="preserve"> z</w:t>
            </w:r>
            <w:r w:rsidR="00A12CB8">
              <w:rPr>
                <w:rFonts w:ascii="Arial Narrow" w:hAnsi="Arial Narrow"/>
                <w:i/>
                <w:sz w:val="16"/>
                <w:szCs w:val="16"/>
              </w:rPr>
              <w:t> </w:t>
            </w:r>
            <w:r w:rsidR="002A0289">
              <w:rPr>
                <w:rFonts w:ascii="Arial Narrow" w:hAnsi="Arial Narrow"/>
                <w:i/>
                <w:sz w:val="16"/>
                <w:szCs w:val="16"/>
              </w:rPr>
              <w:t>tzv</w:t>
            </w:r>
            <w:r w:rsidR="00A12CB8">
              <w:rPr>
                <w:rFonts w:ascii="Arial Narrow" w:hAnsi="Arial Narrow"/>
                <w:i/>
                <w:sz w:val="16"/>
                <w:szCs w:val="16"/>
              </w:rPr>
              <w:t>.</w:t>
            </w:r>
            <w:r w:rsidR="002A0289">
              <w:rPr>
                <w:rFonts w:ascii="Arial Narrow" w:hAnsi="Arial Narrow"/>
                <w:i/>
                <w:sz w:val="16"/>
                <w:szCs w:val="16"/>
              </w:rPr>
              <w:t xml:space="preserve"> </w:t>
            </w:r>
            <w:r w:rsidR="002A0289" w:rsidRPr="00BE21A5">
              <w:rPr>
                <w:rFonts w:ascii="Arial Narrow" w:hAnsi="Arial Narrow"/>
                <w:i/>
                <w:sz w:val="16"/>
                <w:szCs w:val="16"/>
              </w:rPr>
              <w:t>Ageing report (AWG 2024).</w:t>
            </w:r>
            <w:r w:rsidR="002A0289">
              <w:rPr>
                <w:rFonts w:ascii="Arial Narrow" w:hAnsi="Arial Narrow"/>
                <w:i/>
                <w:sz w:val="16"/>
                <w:szCs w:val="16"/>
              </w:rPr>
              <w:t xml:space="preserve"> </w:t>
            </w:r>
            <w:r w:rsidR="002A0289" w:rsidRPr="005516F4">
              <w:rPr>
                <w:rFonts w:ascii="Arial Narrow" w:hAnsi="Arial Narrow"/>
                <w:i/>
                <w:sz w:val="16"/>
                <w:szCs w:val="16"/>
              </w:rPr>
              <w:t xml:space="preserve"> </w:t>
            </w:r>
            <w:r w:rsidR="002A0289">
              <w:rPr>
                <w:rFonts w:ascii="Arial Narrow" w:hAnsi="Arial Narrow"/>
                <w:i/>
                <w:sz w:val="16"/>
                <w:szCs w:val="16"/>
              </w:rPr>
              <w:t xml:space="preserve">                                                                                                                                                                      </w:t>
            </w:r>
            <w:r w:rsidR="00B36A71">
              <w:rPr>
                <w:rFonts w:ascii="Arial Narrow" w:hAnsi="Arial Narrow"/>
                <w:i/>
                <w:sz w:val="16"/>
                <w:szCs w:val="16"/>
              </w:rPr>
              <w:t xml:space="preserve">          </w:t>
            </w:r>
            <w:r w:rsidR="00B36A71" w:rsidRPr="005516F4">
              <w:rPr>
                <w:rFonts w:ascii="Arial Narrow" w:hAnsi="Arial Narrow"/>
                <w:i/>
                <w:sz w:val="16"/>
                <w:szCs w:val="16"/>
              </w:rPr>
              <w:t>Zdroj:  MF SR</w:t>
            </w:r>
            <w:r w:rsidR="002A0289">
              <w:rPr>
                <w:rFonts w:ascii="Arial Narrow" w:hAnsi="Arial Narrow"/>
                <w:i/>
                <w:sz w:val="16"/>
                <w:szCs w:val="16"/>
              </w:rPr>
              <w:t xml:space="preserve">                         </w:t>
            </w:r>
          </w:p>
          <w:p w14:paraId="5CF0A584" w14:textId="6271A97A" w:rsidR="002A0289" w:rsidRPr="005516F4" w:rsidRDefault="002A0289" w:rsidP="00B36A71">
            <w:pPr>
              <w:widowControl w:val="0"/>
              <w:spacing w:before="40" w:after="40"/>
              <w:jc w:val="right"/>
              <w:rPr>
                <w:rFonts w:ascii="Arial Narrow" w:hAnsi="Arial Narrow"/>
                <w:b/>
                <w:iCs/>
                <w:color w:val="000000"/>
              </w:rPr>
            </w:pPr>
          </w:p>
        </w:tc>
      </w:tr>
      <w:tr w:rsidR="002A0289" w:rsidRPr="005516F4" w14:paraId="3409C807" w14:textId="77777777" w:rsidTr="0062464C">
        <w:trPr>
          <w:gridAfter w:val="2"/>
          <w:wAfter w:w="2556" w:type="pct"/>
          <w:trHeight w:val="102"/>
        </w:trPr>
        <w:tc>
          <w:tcPr>
            <w:tcW w:w="2444" w:type="pct"/>
            <w:tcBorders>
              <w:top w:val="single" w:sz="4" w:space="0" w:color="FFFFFF" w:themeColor="background1"/>
              <w:left w:val="nil"/>
              <w:bottom w:val="nil"/>
              <w:right w:val="nil"/>
            </w:tcBorders>
          </w:tcPr>
          <w:p w14:paraId="0B9A2854" w14:textId="77777777" w:rsidR="002A0289" w:rsidRDefault="002A0289" w:rsidP="00616580">
            <w:pPr>
              <w:widowControl w:val="0"/>
              <w:spacing w:before="40" w:after="40"/>
              <w:jc w:val="both"/>
              <w:rPr>
                <w:rFonts w:ascii="Arial Narrow" w:hAnsi="Arial Narrow"/>
                <w:i/>
                <w:sz w:val="16"/>
                <w:szCs w:val="16"/>
              </w:rPr>
            </w:pPr>
          </w:p>
        </w:tc>
      </w:tr>
    </w:tbl>
    <w:p w14:paraId="764B8025" w14:textId="77777777" w:rsidR="002A0289" w:rsidRDefault="002A0289" w:rsidP="002A0289">
      <w:r>
        <w:t xml:space="preserve"> </w:t>
      </w:r>
    </w:p>
    <w:p w14:paraId="64C24C13" w14:textId="06E69AF7" w:rsidR="002A0289" w:rsidRDefault="002A0289">
      <w:r>
        <w:br w:type="page"/>
      </w:r>
    </w:p>
    <w:p w14:paraId="7038894C" w14:textId="77777777" w:rsidR="002A0289" w:rsidRPr="005A75F6" w:rsidRDefault="002A0289" w:rsidP="002A0289">
      <w:pPr>
        <w:pStyle w:val="Nadpis1"/>
        <w:numPr>
          <w:ilvl w:val="0"/>
          <w:numId w:val="8"/>
        </w:numPr>
        <w:tabs>
          <w:tab w:val="num" w:pos="0"/>
          <w:tab w:val="num" w:pos="360"/>
        </w:tabs>
        <w:spacing w:after="0"/>
        <w:ind w:left="680" w:hanging="680"/>
        <w:rPr>
          <w:rFonts w:cs="Arial Narrow"/>
          <w:color w:val="2C9ADC"/>
          <w:szCs w:val="28"/>
        </w:rPr>
      </w:pPr>
      <w:bookmarkStart w:id="33" w:name="_Toc179814986"/>
      <w:r w:rsidRPr="005A75F6">
        <w:rPr>
          <w:rFonts w:cs="Arial Narrow"/>
          <w:color w:val="2C9ADC"/>
          <w:szCs w:val="28"/>
        </w:rPr>
        <w:lastRenderedPageBreak/>
        <w:t>Reformy a investície</w:t>
      </w:r>
      <w:bookmarkEnd w:id="33"/>
    </w:p>
    <w:p w14:paraId="43F80DEA" w14:textId="77777777" w:rsidR="002A0289" w:rsidRPr="00A72D98" w:rsidRDefault="002A0289" w:rsidP="002A0289">
      <w:pPr>
        <w:rPr>
          <w:rFonts w:ascii="Arial Narrow" w:hAnsi="Arial Narrow"/>
        </w:rPr>
      </w:pPr>
    </w:p>
    <w:p w14:paraId="19F2F98C" w14:textId="19E8EC3C" w:rsidR="009311E4" w:rsidRDefault="009311E4" w:rsidP="00F6360F">
      <w:pPr>
        <w:spacing w:line="276" w:lineRule="auto"/>
        <w:jc w:val="both"/>
        <w:rPr>
          <w:rFonts w:ascii="Arial Narrow" w:eastAsia="Arial Narrow" w:hAnsi="Arial Narrow" w:cs="Arial Narrow"/>
          <w:color w:val="000000" w:themeColor="text1"/>
        </w:rPr>
      </w:pPr>
      <w:r w:rsidRPr="5EBDC702">
        <w:rPr>
          <w:rFonts w:ascii="Arial Narrow" w:eastAsia="Arial Narrow" w:hAnsi="Arial Narrow" w:cs="Arial Narrow"/>
          <w:b/>
          <w:bCs/>
          <w:color w:val="000000" w:themeColor="text1"/>
        </w:rPr>
        <w:t>Popri intenzívnom konsolidačnom úsilí predstavenom v</w:t>
      </w:r>
      <w:r>
        <w:rPr>
          <w:rFonts w:ascii="Arial Narrow" w:eastAsia="Arial Narrow" w:hAnsi="Arial Narrow" w:cs="Arial Narrow"/>
          <w:b/>
          <w:bCs/>
          <w:color w:val="000000" w:themeColor="text1"/>
        </w:rPr>
        <w:t xml:space="preserve"> strednodobom </w:t>
      </w:r>
      <w:r w:rsidRPr="5EBDC702">
        <w:rPr>
          <w:rFonts w:ascii="Arial Narrow" w:eastAsia="Arial Narrow" w:hAnsi="Arial Narrow" w:cs="Arial Narrow"/>
          <w:b/>
          <w:bCs/>
          <w:color w:val="000000" w:themeColor="text1"/>
        </w:rPr>
        <w:t>pláne zostáva slovenská vláda odhodlaná pokračovať v realizácii politík v kľúčových štrukturálnych oblastiach</w:t>
      </w:r>
      <w:r>
        <w:rPr>
          <w:rFonts w:ascii="Arial Narrow" w:eastAsia="Arial Narrow" w:hAnsi="Arial Narrow" w:cs="Arial Narrow"/>
          <w:b/>
          <w:bCs/>
          <w:color w:val="000000" w:themeColor="text1"/>
        </w:rPr>
        <w:t xml:space="preserve"> vrátane</w:t>
      </w:r>
      <w:r w:rsidRPr="5EBDC702">
        <w:rPr>
          <w:rFonts w:ascii="Arial Narrow" w:eastAsia="Arial Narrow" w:hAnsi="Arial Narrow" w:cs="Arial Narrow"/>
          <w:b/>
          <w:bCs/>
          <w:color w:val="000000" w:themeColor="text1"/>
        </w:rPr>
        <w:t xml:space="preserve"> podpor</w:t>
      </w:r>
      <w:r>
        <w:rPr>
          <w:rFonts w:ascii="Arial Narrow" w:eastAsia="Arial Narrow" w:hAnsi="Arial Narrow" w:cs="Arial Narrow"/>
          <w:b/>
          <w:bCs/>
          <w:color w:val="000000" w:themeColor="text1"/>
        </w:rPr>
        <w:t>y</w:t>
      </w:r>
      <w:r w:rsidRPr="5EBDC702">
        <w:rPr>
          <w:rFonts w:ascii="Arial Narrow" w:eastAsia="Arial Narrow" w:hAnsi="Arial Narrow" w:cs="Arial Narrow"/>
          <w:b/>
          <w:bCs/>
          <w:color w:val="000000" w:themeColor="text1"/>
        </w:rPr>
        <w:t xml:space="preserve"> sociáln</w:t>
      </w:r>
      <w:r>
        <w:rPr>
          <w:rFonts w:ascii="Arial Narrow" w:eastAsia="Arial Narrow" w:hAnsi="Arial Narrow" w:cs="Arial Narrow"/>
          <w:b/>
          <w:bCs/>
          <w:color w:val="000000" w:themeColor="text1"/>
        </w:rPr>
        <w:t>ej</w:t>
      </w:r>
      <w:r w:rsidRPr="5EBDC702">
        <w:rPr>
          <w:rFonts w:ascii="Arial Narrow" w:eastAsia="Arial Narrow" w:hAnsi="Arial Narrow" w:cs="Arial Narrow"/>
          <w:b/>
          <w:bCs/>
          <w:color w:val="000000" w:themeColor="text1"/>
        </w:rPr>
        <w:t xml:space="preserve"> a ekonomick</w:t>
      </w:r>
      <w:r>
        <w:rPr>
          <w:rFonts w:ascii="Arial Narrow" w:eastAsia="Arial Narrow" w:hAnsi="Arial Narrow" w:cs="Arial Narrow"/>
          <w:b/>
          <w:bCs/>
          <w:color w:val="000000" w:themeColor="text1"/>
        </w:rPr>
        <w:t>ej</w:t>
      </w:r>
      <w:r w:rsidRPr="5EBDC702">
        <w:rPr>
          <w:rFonts w:ascii="Arial Narrow" w:eastAsia="Arial Narrow" w:hAnsi="Arial Narrow" w:cs="Arial Narrow"/>
          <w:b/>
          <w:bCs/>
          <w:color w:val="000000" w:themeColor="text1"/>
        </w:rPr>
        <w:t xml:space="preserve"> odolnos</w:t>
      </w:r>
      <w:r>
        <w:rPr>
          <w:rFonts w:ascii="Arial Narrow" w:eastAsia="Arial Narrow" w:hAnsi="Arial Narrow" w:cs="Arial Narrow"/>
          <w:b/>
          <w:bCs/>
          <w:color w:val="000000" w:themeColor="text1"/>
        </w:rPr>
        <w:t>ti</w:t>
      </w:r>
      <w:r w:rsidRPr="5EBDC702">
        <w:rPr>
          <w:rFonts w:ascii="Arial Narrow" w:eastAsia="Arial Narrow" w:hAnsi="Arial Narrow" w:cs="Arial Narrow"/>
          <w:b/>
          <w:bCs/>
          <w:color w:val="000000" w:themeColor="text1"/>
        </w:rPr>
        <w:t xml:space="preserve"> a smer</w:t>
      </w:r>
      <w:r>
        <w:rPr>
          <w:rFonts w:ascii="Arial Narrow" w:eastAsia="Arial Narrow" w:hAnsi="Arial Narrow" w:cs="Arial Narrow"/>
          <w:b/>
          <w:bCs/>
          <w:color w:val="000000" w:themeColor="text1"/>
        </w:rPr>
        <w:t xml:space="preserve">ovania </w:t>
      </w:r>
      <w:r w:rsidRPr="5EBDC702">
        <w:rPr>
          <w:rFonts w:ascii="Arial Narrow" w:eastAsia="Arial Narrow" w:hAnsi="Arial Narrow" w:cs="Arial Narrow"/>
          <w:b/>
          <w:bCs/>
          <w:color w:val="000000" w:themeColor="text1"/>
        </w:rPr>
        <w:t xml:space="preserve">k spravodlivej zelenej a digitálnej spoločnosti. </w:t>
      </w:r>
      <w:r w:rsidRPr="5EBDC702">
        <w:rPr>
          <w:rFonts w:ascii="Arial Narrow" w:eastAsia="Arial Narrow" w:hAnsi="Arial Narrow" w:cs="Arial Narrow"/>
          <w:color w:val="000000" w:themeColor="text1"/>
        </w:rPr>
        <w:t xml:space="preserve">Značná časť slovenského reformného </w:t>
      </w:r>
      <w:r w:rsidRPr="00C36AA2">
        <w:rPr>
          <w:rFonts w:ascii="Arial Narrow" w:eastAsia="Arial Narrow" w:hAnsi="Arial Narrow" w:cs="Arial Narrow"/>
          <w:color w:val="000000" w:themeColor="text1"/>
        </w:rPr>
        <w:t>úsilia je sústredená v ambicióznom slovenskom Pláne obnovy a odolnosti SR, ktorý reaguje na významnú časť kľúčových štrukturálnych oblastí obsiahnutých v špecifických odporúčaniach Rady EÚ pre Slovensko a v spoločných prioritách EÚ. Vo viacerých prípadoch boli zároveň poznatky a skúsenosti zo zavádzania reforiem využité na pokračovanie predchádzajúceho reformného úsilia a rozšírenie reforiem nad rámec záväzkov stanovených v Pláne obnovy a odolnosti SR.</w:t>
      </w:r>
      <w:r>
        <w:rPr>
          <w:rFonts w:ascii="Arial Narrow" w:eastAsia="Arial Narrow" w:hAnsi="Arial Narrow" w:cs="Arial Narrow"/>
          <w:color w:val="000000" w:themeColor="text1"/>
        </w:rPr>
        <w:t xml:space="preserve"> </w:t>
      </w:r>
    </w:p>
    <w:p w14:paraId="195C3CAA" w14:textId="77777777" w:rsidR="009311E4" w:rsidRDefault="009311E4" w:rsidP="00F6360F">
      <w:pPr>
        <w:spacing w:line="276" w:lineRule="auto"/>
        <w:jc w:val="both"/>
        <w:rPr>
          <w:rFonts w:ascii="Arial Narrow" w:eastAsia="Arial Narrow" w:hAnsi="Arial Narrow" w:cs="Arial Narrow"/>
          <w:color w:val="000000" w:themeColor="text1"/>
        </w:rPr>
      </w:pPr>
      <w:r w:rsidRPr="00F658D2">
        <w:rPr>
          <w:rFonts w:ascii="Arial Narrow" w:eastAsia="Arial Narrow" w:hAnsi="Arial Narrow" w:cs="Arial Narrow"/>
          <w:b/>
          <w:bCs/>
          <w:color w:val="000000" w:themeColor="text1"/>
        </w:rPr>
        <w:t>Nad rámec POO sa na horizonte strednodobého plánu zamýšľajú a realizujú aj nové opatrenia</w:t>
      </w:r>
      <w:r>
        <w:rPr>
          <w:rFonts w:ascii="Arial Narrow" w:eastAsia="Arial Narrow" w:hAnsi="Arial Narrow" w:cs="Arial Narrow"/>
          <w:color w:val="000000" w:themeColor="text1"/>
        </w:rPr>
        <w:t xml:space="preserve"> najmä v oblasti školstva, vedy a výskumu, posilnenia bezpečnosti a digitalizácie. Ďalšie opatrenia sa týkajú zefektívnenia administrácie výberu daní a ozdravovania verejných financií, pričom majú presah aj na riešenie makroekonomických nerovnováh v slovenskej ekonomike. </w:t>
      </w:r>
    </w:p>
    <w:p w14:paraId="02900035" w14:textId="77777777" w:rsidR="009311E4" w:rsidRPr="005A75F6" w:rsidRDefault="009311E4" w:rsidP="00F6360F">
      <w:pPr>
        <w:spacing w:line="276" w:lineRule="auto"/>
        <w:jc w:val="both"/>
        <w:rPr>
          <w:rFonts w:ascii="Arial Narrow" w:eastAsiaTheme="majorEastAsia" w:hAnsi="Arial Narrow" w:cstheme="majorBidi"/>
          <w:b/>
          <w:color w:val="2C9ADC"/>
          <w:szCs w:val="20"/>
        </w:rPr>
      </w:pPr>
      <w:r w:rsidRPr="005A75F6">
        <w:rPr>
          <w:rFonts w:ascii="Arial Narrow" w:eastAsiaTheme="majorEastAsia" w:hAnsi="Arial Narrow" w:cstheme="majorBidi"/>
          <w:b/>
          <w:color w:val="2C9ADC"/>
          <w:szCs w:val="20"/>
        </w:rPr>
        <w:t>Verejné financie</w:t>
      </w:r>
    </w:p>
    <w:p w14:paraId="69649870" w14:textId="77777777" w:rsidR="009311E4" w:rsidRDefault="009311E4" w:rsidP="00F6360F">
      <w:pPr>
        <w:spacing w:line="276" w:lineRule="auto"/>
        <w:jc w:val="both"/>
        <w:rPr>
          <w:rFonts w:ascii="Arial Narrow" w:eastAsia="Arial Narrow" w:hAnsi="Arial Narrow" w:cs="Arial Narrow"/>
          <w:color w:val="000000" w:themeColor="text1"/>
        </w:rPr>
      </w:pPr>
      <w:r w:rsidRPr="5EBDC702">
        <w:rPr>
          <w:rFonts w:ascii="Arial Narrow" w:eastAsia="Arial Narrow" w:hAnsi="Arial Narrow" w:cs="Arial Narrow"/>
          <w:b/>
          <w:bCs/>
          <w:color w:val="000000" w:themeColor="text1"/>
        </w:rPr>
        <w:t>Novými opatreniami prijatými v tomto roku vláda</w:t>
      </w:r>
      <w:r>
        <w:rPr>
          <w:rFonts w:ascii="Arial Narrow" w:eastAsia="Arial Narrow" w:hAnsi="Arial Narrow" w:cs="Arial Narrow"/>
          <w:b/>
          <w:bCs/>
          <w:color w:val="000000" w:themeColor="text1"/>
        </w:rPr>
        <w:t xml:space="preserve"> SR</w:t>
      </w:r>
      <w:r w:rsidRPr="5EBDC702">
        <w:rPr>
          <w:rFonts w:ascii="Arial Narrow" w:eastAsia="Arial Narrow" w:hAnsi="Arial Narrow" w:cs="Arial Narrow"/>
          <w:b/>
          <w:bCs/>
          <w:color w:val="000000" w:themeColor="text1"/>
        </w:rPr>
        <w:t xml:space="preserve"> napĺňa svoj záväzok návratu k zdravým verejným financiám a smeruje k riešeniu štrukturálnych výziev a makroekonomických nerovnováh v slovenskej ekonomike. </w:t>
      </w:r>
      <w:r w:rsidRPr="5EBDC702">
        <w:rPr>
          <w:rFonts w:ascii="Arial Narrow" w:eastAsia="Arial Narrow" w:hAnsi="Arial Narrow" w:cs="Arial Narrow"/>
          <w:color w:val="000000" w:themeColor="text1"/>
        </w:rPr>
        <w:t xml:space="preserve">Súčasťou konsolidačného úsilia je </w:t>
      </w:r>
      <w:r>
        <w:rPr>
          <w:rFonts w:ascii="Arial Narrow" w:eastAsia="Arial Narrow" w:hAnsi="Arial Narrow" w:cs="Arial Narrow"/>
          <w:color w:val="000000" w:themeColor="text1"/>
        </w:rPr>
        <w:t>aj obmedzenie plošných a neadresných výdavkov v súlade s odporúčaniami udelenými v rámci Procedúry makroekonomických nerovností (MIP).</w:t>
      </w:r>
      <w:r w:rsidRPr="5EBDC702">
        <w:rPr>
          <w:rFonts w:ascii="Arial Narrow" w:eastAsia="Arial Narrow" w:hAnsi="Arial Narrow" w:cs="Arial Narrow"/>
          <w:color w:val="000000" w:themeColor="text1"/>
        </w:rPr>
        <w:t xml:space="preserve"> </w:t>
      </w:r>
      <w:r>
        <w:rPr>
          <w:rFonts w:ascii="Arial Narrow" w:eastAsia="Arial Narrow" w:hAnsi="Arial Narrow" w:cs="Arial Narrow"/>
          <w:color w:val="000000" w:themeColor="text1"/>
        </w:rPr>
        <w:t xml:space="preserve">K zníženiu výdavkov dôjde najmä </w:t>
      </w:r>
      <w:r w:rsidRPr="5EBDC702">
        <w:rPr>
          <w:rFonts w:ascii="Arial Narrow" w:eastAsia="Arial Narrow" w:hAnsi="Arial Narrow" w:cs="Arial Narrow"/>
          <w:color w:val="000000" w:themeColor="text1"/>
        </w:rPr>
        <w:t>prostredníctvom lepšieho zacielenia daňového bonusu</w:t>
      </w:r>
      <w:r>
        <w:rPr>
          <w:rFonts w:ascii="Arial Narrow" w:eastAsia="Arial Narrow" w:hAnsi="Arial Narrow" w:cs="Arial Narrow"/>
          <w:color w:val="000000" w:themeColor="text1"/>
        </w:rPr>
        <w:t xml:space="preserve"> na deti</w:t>
      </w:r>
      <w:r w:rsidRPr="5EBDC702">
        <w:rPr>
          <w:rFonts w:ascii="Arial Narrow" w:eastAsia="Arial Narrow" w:hAnsi="Arial Narrow" w:cs="Arial Narrow"/>
          <w:color w:val="000000" w:themeColor="text1"/>
        </w:rPr>
        <w:t>, zníženia výdavkov na rodičovský dôchodok a spomaleni</w:t>
      </w:r>
      <w:r>
        <w:rPr>
          <w:rFonts w:ascii="Arial Narrow" w:eastAsia="Arial Narrow" w:hAnsi="Arial Narrow" w:cs="Arial Narrow"/>
          <w:color w:val="000000" w:themeColor="text1"/>
        </w:rPr>
        <w:t>a</w:t>
      </w:r>
      <w:r w:rsidRPr="5EBDC702">
        <w:rPr>
          <w:rFonts w:ascii="Arial Narrow" w:eastAsia="Arial Narrow" w:hAnsi="Arial Narrow" w:cs="Arial Narrow"/>
          <w:color w:val="000000" w:themeColor="text1"/>
        </w:rPr>
        <w:t xml:space="preserve"> rastu mzdových nákladov u</w:t>
      </w:r>
      <w:r>
        <w:rPr>
          <w:rFonts w:ascii="Arial Narrow" w:eastAsia="Arial Narrow" w:hAnsi="Arial Narrow" w:cs="Arial Narrow"/>
          <w:color w:val="000000" w:themeColor="text1"/>
        </w:rPr>
        <w:t xml:space="preserve"> vybraných </w:t>
      </w:r>
      <w:r w:rsidRPr="5EBDC702">
        <w:rPr>
          <w:rFonts w:ascii="Arial Narrow" w:eastAsia="Arial Narrow" w:hAnsi="Arial Narrow" w:cs="Arial Narrow"/>
          <w:color w:val="000000" w:themeColor="text1"/>
        </w:rPr>
        <w:t xml:space="preserve">zamestnancov štátu. </w:t>
      </w:r>
    </w:p>
    <w:p w14:paraId="533900D1" w14:textId="026C6BB5" w:rsidR="009311E4" w:rsidRDefault="009311E4" w:rsidP="00F6360F">
      <w:pPr>
        <w:spacing w:line="276" w:lineRule="auto"/>
        <w:jc w:val="both"/>
        <w:rPr>
          <w:rFonts w:ascii="Arial Narrow" w:eastAsia="Arial Narrow" w:hAnsi="Arial Narrow" w:cs="Arial Narrow"/>
          <w:color w:val="000000" w:themeColor="text1"/>
        </w:rPr>
      </w:pPr>
      <w:r w:rsidRPr="001613CD">
        <w:rPr>
          <w:rFonts w:ascii="Arial Narrow" w:eastAsia="Arial Narrow" w:hAnsi="Arial Narrow" w:cs="Arial Narrow"/>
          <w:b/>
          <w:bCs/>
          <w:color w:val="000000" w:themeColor="text1"/>
        </w:rPr>
        <w:t>Znížením výdavkov na rodičovský dôchodok</w:t>
      </w:r>
      <w:r>
        <w:rPr>
          <w:rFonts w:ascii="Arial Narrow" w:eastAsia="Arial Narrow" w:hAnsi="Arial Narrow" w:cs="Arial Narrow"/>
          <w:b/>
          <w:bCs/>
          <w:color w:val="000000" w:themeColor="text1"/>
        </w:rPr>
        <w:t>, ktorý po novom nahradí možnosť asignácie zaplatenej dane rodičom</w:t>
      </w:r>
      <w:r w:rsidR="00F6276C">
        <w:rPr>
          <w:rFonts w:ascii="Arial Narrow" w:eastAsia="Arial Narrow" w:hAnsi="Arial Narrow" w:cs="Arial Narrow"/>
          <w:b/>
          <w:bCs/>
          <w:color w:val="000000" w:themeColor="text1"/>
        </w:rPr>
        <w:t>,</w:t>
      </w:r>
      <w:r w:rsidRPr="001613CD">
        <w:rPr>
          <w:rFonts w:ascii="Arial Narrow" w:eastAsia="Arial Narrow" w:hAnsi="Arial Narrow" w:cs="Arial Narrow"/>
          <w:b/>
          <w:bCs/>
          <w:color w:val="000000" w:themeColor="text1"/>
        </w:rPr>
        <w:t xml:space="preserve"> slovenská vláda</w:t>
      </w:r>
      <w:r>
        <w:rPr>
          <w:rFonts w:ascii="Arial Narrow" w:eastAsia="Arial Narrow" w:hAnsi="Arial Narrow" w:cs="Arial Narrow"/>
          <w:b/>
          <w:bCs/>
          <w:color w:val="000000" w:themeColor="text1"/>
        </w:rPr>
        <w:t xml:space="preserve"> </w:t>
      </w:r>
      <w:r w:rsidRPr="001613CD">
        <w:rPr>
          <w:rFonts w:ascii="Arial Narrow" w:eastAsia="Arial Narrow" w:hAnsi="Arial Narrow" w:cs="Arial Narrow"/>
          <w:b/>
          <w:bCs/>
          <w:color w:val="000000" w:themeColor="text1"/>
        </w:rPr>
        <w:t>nadväzuje na cieľ penzijnej reformy prijatej v roku 2022, ktorá bola súčasťou POO</w:t>
      </w:r>
      <w:r w:rsidRPr="5EBDC702">
        <w:rPr>
          <w:rFonts w:ascii="Arial Narrow" w:eastAsia="Arial Narrow" w:hAnsi="Arial Narrow" w:cs="Arial Narrow"/>
          <w:color w:val="000000" w:themeColor="text1"/>
        </w:rPr>
        <w:t xml:space="preserve">. Reforma mala za cieľ znížiť </w:t>
      </w:r>
      <w:r>
        <w:rPr>
          <w:rFonts w:ascii="Arial Narrow" w:eastAsia="Arial Narrow" w:hAnsi="Arial Narrow" w:cs="Arial Narrow"/>
          <w:color w:val="000000" w:themeColor="text1"/>
        </w:rPr>
        <w:t xml:space="preserve">rast výdavkov </w:t>
      </w:r>
      <w:r w:rsidRPr="5EBDC702">
        <w:rPr>
          <w:rFonts w:ascii="Arial Narrow" w:eastAsia="Arial Narrow" w:hAnsi="Arial Narrow" w:cs="Arial Narrow"/>
          <w:color w:val="000000" w:themeColor="text1"/>
        </w:rPr>
        <w:t>citlivých na starnutie v </w:t>
      </w:r>
      <w:r w:rsidR="00FD40F6" w:rsidRPr="5EBDC702">
        <w:rPr>
          <w:rFonts w:ascii="Arial Narrow" w:eastAsia="Arial Narrow" w:hAnsi="Arial Narrow" w:cs="Arial Narrow"/>
          <w:color w:val="000000" w:themeColor="text1"/>
        </w:rPr>
        <w:t>dlh</w:t>
      </w:r>
      <w:r w:rsidR="00FD40F6">
        <w:rPr>
          <w:rFonts w:ascii="Arial Narrow" w:eastAsia="Arial Narrow" w:hAnsi="Arial Narrow" w:cs="Arial Narrow"/>
          <w:color w:val="000000" w:themeColor="text1"/>
        </w:rPr>
        <w:t>šom</w:t>
      </w:r>
      <w:r w:rsidR="00FD40F6" w:rsidRPr="5EBDC702">
        <w:rPr>
          <w:rFonts w:ascii="Arial Narrow" w:eastAsia="Arial Narrow" w:hAnsi="Arial Narrow" w:cs="Arial Narrow"/>
          <w:color w:val="000000" w:themeColor="text1"/>
        </w:rPr>
        <w:t xml:space="preserve"> </w:t>
      </w:r>
      <w:r w:rsidRPr="5EBDC702">
        <w:rPr>
          <w:rFonts w:ascii="Arial Narrow" w:eastAsia="Arial Narrow" w:hAnsi="Arial Narrow" w:cs="Arial Narrow"/>
          <w:color w:val="000000" w:themeColor="text1"/>
        </w:rPr>
        <w:t>období, ale jej súčasťou boli aj prvky, ktoré naopak vytvárali tlak na verejné financie v strednom období. Už v priebehu roku 2024 boli sprísnené podmienky novozavedenej možnosti skoršieho odchodu do dôchodku</w:t>
      </w:r>
      <w:r>
        <w:rPr>
          <w:rFonts w:ascii="Arial Narrow" w:eastAsia="Arial Narrow" w:hAnsi="Arial Narrow" w:cs="Arial Narrow"/>
          <w:color w:val="000000" w:themeColor="text1"/>
        </w:rPr>
        <w:t xml:space="preserve">, ktoré sa tak zjednotili s podmienkami možnosti skoršieho odchodu do dôchodku dva roky pred dovŕšením dôchodkového veku. </w:t>
      </w:r>
      <w:r w:rsidRPr="5EBDC702">
        <w:rPr>
          <w:rFonts w:ascii="Arial Narrow" w:eastAsia="Arial Narrow" w:hAnsi="Arial Narrow" w:cs="Arial Narrow"/>
          <w:color w:val="000000" w:themeColor="text1"/>
        </w:rPr>
        <w:t>Znížením výdavkov na rodičovský dôchodok dôjde</w:t>
      </w:r>
      <w:r>
        <w:rPr>
          <w:rFonts w:ascii="Arial Narrow" w:eastAsia="Arial Narrow" w:hAnsi="Arial Narrow" w:cs="Arial Narrow"/>
          <w:color w:val="000000" w:themeColor="text1"/>
        </w:rPr>
        <w:t xml:space="preserve"> k</w:t>
      </w:r>
      <w:r w:rsidRPr="5EBDC702">
        <w:rPr>
          <w:rFonts w:ascii="Arial Narrow" w:eastAsia="Arial Narrow" w:hAnsi="Arial Narrow" w:cs="Arial Narrow"/>
          <w:color w:val="000000" w:themeColor="text1"/>
        </w:rPr>
        <w:t xml:space="preserve"> zníženiu výdavkov citlivých na starnutie a k zlepšeniu dlhodobej udržateľnosti penzijného systému.</w:t>
      </w:r>
    </w:p>
    <w:p w14:paraId="4CE133A2" w14:textId="3BC327F0" w:rsidR="009311E4" w:rsidRDefault="009311E4" w:rsidP="00F6360F">
      <w:pPr>
        <w:spacing w:line="276" w:lineRule="auto"/>
        <w:jc w:val="both"/>
        <w:rPr>
          <w:rFonts w:ascii="Arial Narrow" w:eastAsia="Arial Narrow" w:hAnsi="Arial Narrow" w:cs="Arial Narrow"/>
          <w:color w:val="000000" w:themeColor="text1"/>
        </w:rPr>
      </w:pPr>
      <w:r w:rsidRPr="001613CD">
        <w:rPr>
          <w:rFonts w:ascii="Arial Narrow" w:eastAsia="Arial Narrow" w:hAnsi="Arial Narrow" w:cs="Arial Narrow"/>
          <w:b/>
          <w:bCs/>
          <w:color w:val="000000" w:themeColor="text1"/>
        </w:rPr>
        <w:t>S cieľom znížiť výdavky na neadresné dávky došlo aj k úprave nastavenia daňového bonusu</w:t>
      </w:r>
      <w:r>
        <w:rPr>
          <w:rFonts w:ascii="Arial Narrow" w:eastAsia="Arial Narrow" w:hAnsi="Arial Narrow" w:cs="Arial Narrow"/>
          <w:b/>
          <w:bCs/>
          <w:color w:val="000000" w:themeColor="text1"/>
        </w:rPr>
        <w:t xml:space="preserve"> na dieťa</w:t>
      </w:r>
      <w:r w:rsidRPr="5EBDC702">
        <w:rPr>
          <w:rFonts w:ascii="Arial Narrow" w:eastAsia="Arial Narrow" w:hAnsi="Arial Narrow" w:cs="Arial Narrow"/>
          <w:color w:val="000000" w:themeColor="text1"/>
        </w:rPr>
        <w:t xml:space="preserve">. Opatrenie zvyšuje hranice, ktoré obmedzovali výšku </w:t>
      </w:r>
      <w:r>
        <w:rPr>
          <w:rFonts w:ascii="Arial Narrow" w:eastAsia="Arial Narrow" w:hAnsi="Arial Narrow" w:cs="Arial Narrow"/>
          <w:color w:val="000000" w:themeColor="text1"/>
        </w:rPr>
        <w:t xml:space="preserve">uplatnenia plného nároku na </w:t>
      </w:r>
      <w:r w:rsidRPr="5EBDC702">
        <w:rPr>
          <w:rFonts w:ascii="Arial Narrow" w:eastAsia="Arial Narrow" w:hAnsi="Arial Narrow" w:cs="Arial Narrow"/>
          <w:color w:val="000000" w:themeColor="text1"/>
        </w:rPr>
        <w:t>daňov</w:t>
      </w:r>
      <w:r>
        <w:rPr>
          <w:rFonts w:ascii="Arial Narrow" w:eastAsia="Arial Narrow" w:hAnsi="Arial Narrow" w:cs="Arial Narrow"/>
          <w:color w:val="000000" w:themeColor="text1"/>
        </w:rPr>
        <w:t>ý</w:t>
      </w:r>
      <w:r w:rsidRPr="5EBDC702">
        <w:rPr>
          <w:rFonts w:ascii="Arial Narrow" w:eastAsia="Arial Narrow" w:hAnsi="Arial Narrow" w:cs="Arial Narrow"/>
          <w:color w:val="000000" w:themeColor="text1"/>
        </w:rPr>
        <w:t xml:space="preserve"> bonus pre ľudí s nižším príjmom</w:t>
      </w:r>
      <w:r>
        <w:rPr>
          <w:rFonts w:ascii="Arial Narrow" w:eastAsia="Arial Narrow" w:hAnsi="Arial Narrow" w:cs="Arial Narrow"/>
          <w:color w:val="000000" w:themeColor="text1"/>
        </w:rPr>
        <w:t>, čo zvýši disponibilné príjm</w:t>
      </w:r>
      <w:r w:rsidR="001F6281">
        <w:rPr>
          <w:rFonts w:ascii="Arial Narrow" w:eastAsia="Arial Narrow" w:hAnsi="Arial Narrow" w:cs="Arial Narrow"/>
          <w:color w:val="000000" w:themeColor="text1"/>
        </w:rPr>
        <w:t>y</w:t>
      </w:r>
      <w:r>
        <w:rPr>
          <w:rFonts w:ascii="Arial Narrow" w:eastAsia="Arial Narrow" w:hAnsi="Arial Narrow" w:cs="Arial Narrow"/>
          <w:color w:val="000000" w:themeColor="text1"/>
        </w:rPr>
        <w:t xml:space="preserve"> tejto skupiny obyvateľstva.</w:t>
      </w:r>
      <w:r w:rsidRPr="5EBDC702">
        <w:rPr>
          <w:rFonts w:ascii="Arial Narrow" w:eastAsia="Arial Narrow" w:hAnsi="Arial Narrow" w:cs="Arial Narrow"/>
          <w:color w:val="000000" w:themeColor="text1"/>
        </w:rPr>
        <w:t xml:space="preserve"> </w:t>
      </w:r>
      <w:r>
        <w:rPr>
          <w:rFonts w:ascii="Arial Narrow" w:eastAsia="Arial Narrow" w:hAnsi="Arial Narrow" w:cs="Arial Narrow"/>
          <w:color w:val="000000" w:themeColor="text1"/>
        </w:rPr>
        <w:t>Na druhej strane, výška daňového bonusu pre vyššie príjmové skupiny bude po novom klesať v závislosti od výšky daňovej povinnosti a nárok na daňový bonus zanikne pre ľudí s platom vyšším ako približne 2,</w:t>
      </w:r>
      <w:r w:rsidR="002A5C0B">
        <w:rPr>
          <w:rFonts w:ascii="Arial Narrow" w:eastAsia="Arial Narrow" w:hAnsi="Arial Narrow" w:cs="Arial Narrow"/>
          <w:color w:val="000000" w:themeColor="text1"/>
        </w:rPr>
        <w:t>24</w:t>
      </w:r>
      <w:r>
        <w:rPr>
          <w:rFonts w:ascii="Arial Narrow" w:eastAsia="Arial Narrow" w:hAnsi="Arial Narrow" w:cs="Arial Narrow"/>
          <w:color w:val="000000" w:themeColor="text1"/>
        </w:rPr>
        <w:t xml:space="preserve"> násobok</w:t>
      </w:r>
      <w:r w:rsidR="0057743E">
        <w:rPr>
          <w:rFonts w:ascii="Arial Narrow" w:eastAsia="Arial Narrow" w:hAnsi="Arial Narrow" w:cs="Arial Narrow"/>
          <w:color w:val="000000" w:themeColor="text1"/>
        </w:rPr>
        <w:t xml:space="preserve"> odhadovanej hrubej</w:t>
      </w:r>
      <w:r>
        <w:rPr>
          <w:rFonts w:ascii="Arial Narrow" w:eastAsia="Arial Narrow" w:hAnsi="Arial Narrow" w:cs="Arial Narrow"/>
          <w:color w:val="000000" w:themeColor="text1"/>
        </w:rPr>
        <w:t xml:space="preserve"> priemernej mzdy</w:t>
      </w:r>
      <w:r w:rsidR="0057743E">
        <w:rPr>
          <w:rFonts w:ascii="Arial Narrow" w:eastAsia="Arial Narrow" w:hAnsi="Arial Narrow" w:cs="Arial Narrow"/>
          <w:color w:val="000000" w:themeColor="text1"/>
        </w:rPr>
        <w:t xml:space="preserve"> pre rok 2025</w:t>
      </w:r>
      <w:r w:rsidR="00EF6E2F">
        <w:rPr>
          <w:rStyle w:val="Odkaznapoznmkupodiarou"/>
          <w:rFonts w:ascii="Arial Narrow" w:eastAsia="Arial Narrow" w:hAnsi="Arial Narrow" w:cs="Arial Narrow"/>
          <w:color w:val="000000" w:themeColor="text1"/>
        </w:rPr>
        <w:footnoteReference w:id="18"/>
      </w:r>
      <w:r>
        <w:rPr>
          <w:rFonts w:ascii="Arial Narrow" w:eastAsia="Arial Narrow" w:hAnsi="Arial Narrow" w:cs="Arial Narrow"/>
          <w:color w:val="000000" w:themeColor="text1"/>
        </w:rPr>
        <w:t xml:space="preserve">. Opatrením dôjde zároveň k zrušeniu nároku daňového bonusu pre deti od 18 rokov a vyššie. </w:t>
      </w:r>
    </w:p>
    <w:p w14:paraId="7686A24B" w14:textId="7A9D5FAD" w:rsidR="009311E4" w:rsidRDefault="009311E4" w:rsidP="00F6360F">
      <w:pPr>
        <w:spacing w:line="276" w:lineRule="auto"/>
        <w:jc w:val="both"/>
        <w:rPr>
          <w:rFonts w:ascii="Arial Narrow" w:eastAsiaTheme="majorEastAsia" w:hAnsi="Arial Narrow" w:cstheme="majorBidi"/>
          <w:b/>
          <w:color w:val="00B0F0"/>
          <w:szCs w:val="20"/>
        </w:rPr>
      </w:pPr>
      <w:r w:rsidRPr="001613CD">
        <w:rPr>
          <w:rFonts w:ascii="Arial Narrow" w:eastAsia="Arial Narrow" w:hAnsi="Arial Narrow" w:cs="Arial Narrow"/>
          <w:b/>
          <w:bCs/>
          <w:color w:val="000000" w:themeColor="text1"/>
        </w:rPr>
        <w:t>Vláda SR vníma dlhodobé odporúčanie na zmenu v štruktúre daňového zaťaženia</w:t>
      </w:r>
      <w:r>
        <w:rPr>
          <w:rFonts w:ascii="Arial Narrow" w:eastAsia="Arial Narrow" w:hAnsi="Arial Narrow" w:cs="Arial Narrow"/>
          <w:b/>
          <w:bCs/>
          <w:color w:val="000000" w:themeColor="text1"/>
        </w:rPr>
        <w:t xml:space="preserve"> (tzv. daňový mix)</w:t>
      </w:r>
      <w:r w:rsidRPr="001613CD">
        <w:rPr>
          <w:rFonts w:ascii="Arial Narrow" w:eastAsia="Arial Narrow" w:hAnsi="Arial Narrow" w:cs="Arial Narrow"/>
          <w:b/>
          <w:bCs/>
          <w:color w:val="000000" w:themeColor="text1"/>
        </w:rPr>
        <w:t>, prostredníctvom ktorej by malo dôjsť k presunu časti daňového zaťaženia z práce na daňové zaťaženie spotreby a majetku</w:t>
      </w:r>
      <w:r w:rsidRPr="4DFF178F">
        <w:rPr>
          <w:rFonts w:ascii="Arial Narrow" w:eastAsia="Arial Narrow" w:hAnsi="Arial Narrow" w:cs="Arial Narrow"/>
          <w:color w:val="000000" w:themeColor="text1"/>
        </w:rPr>
        <w:t xml:space="preserve">. V súčasnej situácií, ktorá </w:t>
      </w:r>
      <w:r>
        <w:rPr>
          <w:rFonts w:ascii="Arial Narrow" w:eastAsia="Arial Narrow" w:hAnsi="Arial Narrow" w:cs="Arial Narrow"/>
          <w:color w:val="000000" w:themeColor="text1"/>
        </w:rPr>
        <w:t xml:space="preserve">si vyžadovala </w:t>
      </w:r>
      <w:r w:rsidRPr="4DFF178F">
        <w:rPr>
          <w:rFonts w:ascii="Arial Narrow" w:eastAsia="Arial Narrow" w:hAnsi="Arial Narrow" w:cs="Arial Narrow"/>
          <w:color w:val="000000" w:themeColor="text1"/>
        </w:rPr>
        <w:t xml:space="preserve">významné konsolidačné úsilie, </w:t>
      </w:r>
      <w:r>
        <w:rPr>
          <w:rFonts w:ascii="Arial Narrow" w:eastAsia="Arial Narrow" w:hAnsi="Arial Narrow" w:cs="Arial Narrow"/>
          <w:color w:val="000000" w:themeColor="text1"/>
        </w:rPr>
        <w:t>bol</w:t>
      </w:r>
      <w:r w:rsidRPr="4DFF178F">
        <w:rPr>
          <w:rFonts w:ascii="Arial Narrow" w:eastAsia="Arial Narrow" w:hAnsi="Arial Narrow" w:cs="Arial Narrow"/>
          <w:color w:val="000000" w:themeColor="text1"/>
        </w:rPr>
        <w:t xml:space="preserve"> priestor pre uskutočnenie fiškálne neutrálnej zmeny daňového zaťaženia značne obmedzený. Napriek tomu, v opatreniach na ozdravenie verejných financií</w:t>
      </w:r>
      <w:r>
        <w:rPr>
          <w:rFonts w:ascii="Arial Narrow" w:eastAsia="Arial Narrow" w:hAnsi="Arial Narrow" w:cs="Arial Narrow"/>
          <w:color w:val="000000" w:themeColor="text1"/>
        </w:rPr>
        <w:t xml:space="preserve"> </w:t>
      </w:r>
      <w:r w:rsidRPr="4DFF178F">
        <w:rPr>
          <w:rFonts w:ascii="Arial Narrow" w:eastAsia="Arial Narrow" w:hAnsi="Arial Narrow" w:cs="Arial Narrow"/>
          <w:color w:val="000000" w:themeColor="text1"/>
        </w:rPr>
        <w:t>sa vláda</w:t>
      </w:r>
      <w:r>
        <w:rPr>
          <w:rFonts w:ascii="Arial Narrow" w:eastAsia="Arial Narrow" w:hAnsi="Arial Narrow" w:cs="Arial Narrow"/>
          <w:color w:val="000000" w:themeColor="text1"/>
        </w:rPr>
        <w:t xml:space="preserve"> SR</w:t>
      </w:r>
      <w:r w:rsidRPr="4DFF178F">
        <w:rPr>
          <w:rFonts w:ascii="Arial Narrow" w:eastAsia="Arial Narrow" w:hAnsi="Arial Narrow" w:cs="Arial Narrow"/>
          <w:color w:val="000000" w:themeColor="text1"/>
        </w:rPr>
        <w:t xml:space="preserve"> vyvarovala výraznejšiemu zvyšovaniu daňového zaťaženia práce, obzvlášť nízkopríjmových domácností</w:t>
      </w:r>
      <w:r>
        <w:rPr>
          <w:rFonts w:ascii="Arial Narrow" w:eastAsia="Arial Narrow" w:hAnsi="Arial Narrow" w:cs="Arial Narrow"/>
          <w:color w:val="000000" w:themeColor="text1"/>
        </w:rPr>
        <w:t>, na ktoré naopak cielila zvýšenie adresnosti daňového bonusu</w:t>
      </w:r>
      <w:r w:rsidRPr="4DFF178F">
        <w:rPr>
          <w:rFonts w:ascii="Arial Narrow" w:eastAsia="Arial Narrow" w:hAnsi="Arial Narrow" w:cs="Arial Narrow"/>
          <w:color w:val="000000" w:themeColor="text1"/>
        </w:rPr>
        <w:t xml:space="preserve">. </w:t>
      </w:r>
      <w:r>
        <w:rPr>
          <w:rFonts w:ascii="Arial Narrow" w:eastAsia="Arial Narrow" w:hAnsi="Arial Narrow" w:cs="Arial Narrow"/>
          <w:color w:val="000000" w:themeColor="text1"/>
        </w:rPr>
        <w:t xml:space="preserve">Obmedzenie a strata nároku na daňový bonus pre vyššie príjmových a zvýšenie stropov pre platenie sociálnych odvodov zvýšia </w:t>
      </w:r>
      <w:r>
        <w:rPr>
          <w:rFonts w:ascii="Arial Narrow" w:eastAsia="Arial Narrow" w:hAnsi="Arial Narrow" w:cs="Arial Narrow"/>
          <w:color w:val="000000" w:themeColor="text1"/>
        </w:rPr>
        <w:lastRenderedPageBreak/>
        <w:t xml:space="preserve">progresivitu zdanenia práce. </w:t>
      </w:r>
      <w:r w:rsidRPr="4DFF178F">
        <w:rPr>
          <w:rFonts w:ascii="Arial Narrow" w:eastAsia="Arial Narrow" w:hAnsi="Arial Narrow" w:cs="Arial Narrow"/>
          <w:color w:val="000000" w:themeColor="text1"/>
        </w:rPr>
        <w:t xml:space="preserve">Naopak, značnú časť dodatočných príjmov </w:t>
      </w:r>
      <w:r>
        <w:rPr>
          <w:rFonts w:ascii="Arial Narrow" w:eastAsia="Arial Narrow" w:hAnsi="Arial Narrow" w:cs="Arial Narrow"/>
          <w:color w:val="000000" w:themeColor="text1"/>
        </w:rPr>
        <w:t xml:space="preserve">z konsolidácie </w:t>
      </w:r>
      <w:r w:rsidRPr="4DFF178F">
        <w:rPr>
          <w:rFonts w:ascii="Arial Narrow" w:eastAsia="Arial Narrow" w:hAnsi="Arial Narrow" w:cs="Arial Narrow"/>
          <w:color w:val="000000" w:themeColor="text1"/>
        </w:rPr>
        <w:t xml:space="preserve">je možné pripísať opatreniam, ktoré zaťažujú spotrebu, resp. spotrebu spojenú s externalitami ako je zvýšenie </w:t>
      </w:r>
      <w:r w:rsidR="00E17140">
        <w:rPr>
          <w:rFonts w:ascii="Arial Narrow" w:eastAsia="Arial Narrow" w:hAnsi="Arial Narrow" w:cs="Arial Narrow"/>
          <w:color w:val="000000" w:themeColor="text1"/>
        </w:rPr>
        <w:t xml:space="preserve">spotrebnej </w:t>
      </w:r>
      <w:r w:rsidRPr="4DFF178F">
        <w:rPr>
          <w:rFonts w:ascii="Arial Narrow" w:eastAsia="Arial Narrow" w:hAnsi="Arial Narrow" w:cs="Arial Narrow"/>
          <w:color w:val="000000" w:themeColor="text1"/>
        </w:rPr>
        <w:t>dane z tabakových výrobkov</w:t>
      </w:r>
      <w:r w:rsidR="00E17140">
        <w:rPr>
          <w:rFonts w:ascii="Arial Narrow" w:eastAsia="Arial Narrow" w:hAnsi="Arial Narrow" w:cs="Arial Narrow"/>
          <w:color w:val="000000" w:themeColor="text1"/>
        </w:rPr>
        <w:t>,</w:t>
      </w:r>
      <w:r w:rsidR="00E17140" w:rsidRPr="4DFF178F">
        <w:rPr>
          <w:rFonts w:ascii="Arial Narrow" w:eastAsia="Arial Narrow" w:hAnsi="Arial Narrow" w:cs="Arial Narrow"/>
          <w:color w:val="000000" w:themeColor="text1"/>
        </w:rPr>
        <w:t xml:space="preserve"> </w:t>
      </w:r>
      <w:r w:rsidR="00E17140">
        <w:rPr>
          <w:rFonts w:ascii="Arial Narrow" w:eastAsia="Arial Narrow" w:hAnsi="Arial Narrow" w:cs="Arial Narrow"/>
          <w:color w:val="000000" w:themeColor="text1"/>
        </w:rPr>
        <w:t xml:space="preserve">zdanenie </w:t>
      </w:r>
      <w:r w:rsidRPr="4DFF178F">
        <w:rPr>
          <w:rFonts w:ascii="Arial Narrow" w:eastAsia="Arial Narrow" w:hAnsi="Arial Narrow" w:cs="Arial Narrow"/>
          <w:color w:val="000000" w:themeColor="text1"/>
        </w:rPr>
        <w:t>sladených nápojov alebo zdanenie motorových vozidiel a</w:t>
      </w:r>
      <w:r>
        <w:rPr>
          <w:rFonts w:ascii="Arial Narrow" w:eastAsia="Arial Narrow" w:hAnsi="Arial Narrow" w:cs="Arial Narrow"/>
          <w:color w:val="000000" w:themeColor="text1"/>
        </w:rPr>
        <w:t> </w:t>
      </w:r>
      <w:r w:rsidRPr="4DFF178F">
        <w:rPr>
          <w:rFonts w:ascii="Arial Narrow" w:eastAsia="Arial Narrow" w:hAnsi="Arial Narrow" w:cs="Arial Narrow"/>
          <w:color w:val="000000" w:themeColor="text1"/>
        </w:rPr>
        <w:t>dopravy</w:t>
      </w:r>
      <w:r>
        <w:rPr>
          <w:rFonts w:ascii="Arial Narrow" w:eastAsia="Arial Narrow" w:hAnsi="Arial Narrow" w:cs="Arial Narrow"/>
          <w:color w:val="000000" w:themeColor="text1"/>
        </w:rPr>
        <w:t>, kde sa zvýšil dôraz poplatku za emisie CO</w:t>
      </w:r>
      <w:r w:rsidRPr="00F658D2">
        <w:rPr>
          <w:rFonts w:ascii="Arial Narrow" w:eastAsia="Arial Narrow" w:hAnsi="Arial Narrow" w:cs="Arial Narrow"/>
          <w:color w:val="000000" w:themeColor="text1"/>
          <w:vertAlign w:val="subscript"/>
        </w:rPr>
        <w:t>2</w:t>
      </w:r>
      <w:r>
        <w:rPr>
          <w:rFonts w:ascii="Arial Narrow" w:eastAsia="Arial Narrow" w:hAnsi="Arial Narrow" w:cs="Arial Narrow"/>
          <w:color w:val="000000" w:themeColor="text1"/>
        </w:rPr>
        <w:t xml:space="preserve"> vo výpočte celkovej výšky mýta</w:t>
      </w:r>
      <w:r w:rsidRPr="4DFF178F">
        <w:rPr>
          <w:rFonts w:ascii="Arial Narrow" w:eastAsia="Arial Narrow" w:hAnsi="Arial Narrow" w:cs="Arial Narrow"/>
          <w:color w:val="000000" w:themeColor="text1"/>
        </w:rPr>
        <w:t>.</w:t>
      </w:r>
      <w:r>
        <w:rPr>
          <w:rFonts w:ascii="Arial Narrow" w:eastAsia="Arial Narrow" w:hAnsi="Arial Narrow" w:cs="Arial Narrow"/>
          <w:color w:val="000000" w:themeColor="text1"/>
        </w:rPr>
        <w:t xml:space="preserve"> V ďalšom období strednodobého plánu navyše vláda v rámci konsolidácie plánuje výraznejší príklon k zdaňovaniu majetku, kde zváži o.</w:t>
      </w:r>
      <w:r w:rsidR="00FD40F6">
        <w:rPr>
          <w:rFonts w:ascii="Arial Narrow" w:eastAsia="Arial Narrow" w:hAnsi="Arial Narrow" w:cs="Arial Narrow"/>
          <w:color w:val="000000" w:themeColor="text1"/>
        </w:rPr>
        <w:t xml:space="preserve"> </w:t>
      </w:r>
      <w:r>
        <w:rPr>
          <w:rFonts w:ascii="Arial Narrow" w:eastAsia="Arial Narrow" w:hAnsi="Arial Narrow" w:cs="Arial Narrow"/>
          <w:color w:val="000000" w:themeColor="text1"/>
        </w:rPr>
        <w:t>i. zavedenie transakčnej dane a environmentálnym daniam, kde zváži úpravy v registračnom poplatku motorových vozidiel, ktorý by mal zohľadňovať množstvo vyprodukovaných emisií.</w:t>
      </w:r>
    </w:p>
    <w:p w14:paraId="260D0C49" w14:textId="77777777" w:rsidR="009311E4" w:rsidRPr="005A75F6" w:rsidRDefault="009311E4" w:rsidP="00F6360F">
      <w:pPr>
        <w:spacing w:line="276" w:lineRule="auto"/>
        <w:jc w:val="both"/>
        <w:rPr>
          <w:rFonts w:ascii="Arial Narrow" w:eastAsiaTheme="majorEastAsia" w:hAnsi="Arial Narrow" w:cstheme="majorBidi"/>
          <w:b/>
          <w:color w:val="2C9ADC"/>
          <w:szCs w:val="20"/>
        </w:rPr>
      </w:pPr>
      <w:r w:rsidRPr="005A75F6">
        <w:rPr>
          <w:rFonts w:ascii="Arial Narrow" w:eastAsiaTheme="majorEastAsia" w:hAnsi="Arial Narrow" w:cstheme="majorBidi"/>
          <w:b/>
          <w:color w:val="2C9ADC"/>
          <w:szCs w:val="20"/>
        </w:rPr>
        <w:t>Zelená transformácia, energetická bezpečnosť a udržateľná doprava</w:t>
      </w:r>
    </w:p>
    <w:p w14:paraId="5D9D1BDE" w14:textId="04A87938" w:rsidR="009311E4" w:rsidRPr="00F475E2" w:rsidRDefault="009311E4" w:rsidP="00F6360F">
      <w:pPr>
        <w:spacing w:line="276" w:lineRule="auto"/>
        <w:jc w:val="both"/>
        <w:rPr>
          <w:rFonts w:ascii="Arial Narrow" w:eastAsia="Times New Roman" w:hAnsi="Arial Narrow"/>
        </w:rPr>
      </w:pPr>
      <w:r w:rsidRPr="00F475E2">
        <w:rPr>
          <w:rFonts w:ascii="Arial Narrow" w:eastAsia="Times New Roman" w:hAnsi="Arial Narrow"/>
          <w:b/>
          <w:bCs/>
        </w:rPr>
        <w:t xml:space="preserve">Slovensko </w:t>
      </w:r>
      <w:r>
        <w:rPr>
          <w:rFonts w:ascii="Arial Narrow" w:eastAsia="Times New Roman" w:hAnsi="Arial Narrow"/>
          <w:b/>
          <w:bCs/>
        </w:rPr>
        <w:t>pokračuje v napĺňaní cieľov</w:t>
      </w:r>
      <w:r w:rsidRPr="00F475E2">
        <w:rPr>
          <w:rFonts w:ascii="Arial Narrow" w:eastAsia="Times New Roman" w:hAnsi="Arial Narrow"/>
          <w:b/>
          <w:bCs/>
        </w:rPr>
        <w:t xml:space="preserve"> v oblasti spravodlivej </w:t>
      </w:r>
      <w:r>
        <w:rPr>
          <w:rFonts w:ascii="Arial Narrow" w:eastAsia="Times New Roman" w:hAnsi="Arial Narrow"/>
          <w:b/>
          <w:bCs/>
        </w:rPr>
        <w:t xml:space="preserve">zelenej </w:t>
      </w:r>
      <w:r w:rsidRPr="00F475E2">
        <w:rPr>
          <w:rFonts w:ascii="Arial Narrow" w:eastAsia="Times New Roman" w:hAnsi="Arial Narrow"/>
          <w:b/>
          <w:bCs/>
        </w:rPr>
        <w:t xml:space="preserve">transformácie realizáciou </w:t>
      </w:r>
      <w:r>
        <w:rPr>
          <w:rFonts w:ascii="Arial Narrow" w:eastAsia="Times New Roman" w:hAnsi="Arial Narrow"/>
          <w:b/>
          <w:bCs/>
        </w:rPr>
        <w:t>kľúčových</w:t>
      </w:r>
      <w:r w:rsidRPr="00F475E2">
        <w:rPr>
          <w:rFonts w:ascii="Arial Narrow" w:eastAsia="Times New Roman" w:hAnsi="Arial Narrow"/>
          <w:b/>
          <w:bCs/>
        </w:rPr>
        <w:t xml:space="preserve"> reforiem a investícií s cieľom diverzifikovať zdroje energie a zvýšiť energetickú bezpečnosť</w:t>
      </w:r>
      <w:r w:rsidRPr="00F475E2">
        <w:rPr>
          <w:rFonts w:ascii="Arial Narrow" w:eastAsia="Times New Roman" w:hAnsi="Arial Narrow"/>
        </w:rPr>
        <w:t xml:space="preserve">. </w:t>
      </w:r>
      <w:r w:rsidRPr="005F3FE9">
        <w:rPr>
          <w:rFonts w:ascii="Arial Narrow" w:eastAsia="Times New Roman" w:hAnsi="Arial Narrow"/>
        </w:rPr>
        <w:t>Kľúčovou súčasťou tohto úsilia</w:t>
      </w:r>
      <w:r>
        <w:rPr>
          <w:rFonts w:ascii="Arial Narrow" w:eastAsia="Times New Roman" w:hAnsi="Arial Narrow"/>
        </w:rPr>
        <w:t xml:space="preserve"> je pokračujúca implementácia rozsiahlych investícií do obnoviteľných zdrojov energie, ktoré sú súčasťou POO vrátane </w:t>
      </w:r>
      <w:r w:rsidR="00353DDE">
        <w:rPr>
          <w:rFonts w:ascii="Arial Narrow" w:eastAsia="Times New Roman" w:hAnsi="Arial Narrow"/>
        </w:rPr>
        <w:t>REPowerEU</w:t>
      </w:r>
      <w:r>
        <w:rPr>
          <w:rFonts w:ascii="Arial Narrow" w:eastAsia="Times New Roman" w:hAnsi="Arial Narrow"/>
        </w:rPr>
        <w:t xml:space="preserve">. V rámci širšieho súboru opatrení sa plánuje </w:t>
      </w:r>
      <w:r w:rsidRPr="007722FE">
        <w:rPr>
          <w:rFonts w:ascii="Arial Narrow" w:eastAsia="Times New Roman" w:hAnsi="Arial Narrow"/>
        </w:rPr>
        <w:t xml:space="preserve">zvýšenie kapacity výroby elektrickej energie prostredníctvom nových zariadení na výrobu energie z obnoviteľných zdrojov. </w:t>
      </w:r>
      <w:r>
        <w:rPr>
          <w:rFonts w:ascii="Arial Narrow" w:eastAsia="Times New Roman" w:hAnsi="Arial Narrow"/>
        </w:rPr>
        <w:t>Zároveň</w:t>
      </w:r>
      <w:r w:rsidRPr="007722FE">
        <w:rPr>
          <w:rFonts w:ascii="Arial Narrow" w:eastAsia="Times New Roman" w:hAnsi="Arial Narrow"/>
        </w:rPr>
        <w:t xml:space="preserve"> je</w:t>
      </w:r>
      <w:r>
        <w:rPr>
          <w:rFonts w:ascii="Arial Narrow" w:eastAsia="Times New Roman" w:hAnsi="Arial Narrow"/>
        </w:rPr>
        <w:t xml:space="preserve"> plánovaná</w:t>
      </w:r>
      <w:r w:rsidRPr="007722FE">
        <w:rPr>
          <w:rFonts w:ascii="Arial Narrow" w:eastAsia="Times New Roman" w:hAnsi="Arial Narrow"/>
        </w:rPr>
        <w:t xml:space="preserve"> modernizácia distribučných systémov, </w:t>
      </w:r>
      <w:r>
        <w:rPr>
          <w:rFonts w:ascii="Arial Narrow" w:eastAsia="Times New Roman" w:hAnsi="Arial Narrow"/>
        </w:rPr>
        <w:t>ktorá je</w:t>
      </w:r>
      <w:r w:rsidRPr="5B8D63CF">
        <w:rPr>
          <w:rFonts w:ascii="Arial Narrow" w:eastAsia="Times New Roman" w:hAnsi="Arial Narrow"/>
        </w:rPr>
        <w:t xml:space="preserve"> </w:t>
      </w:r>
      <w:r w:rsidRPr="00786774">
        <w:rPr>
          <w:rFonts w:ascii="Arial Narrow" w:eastAsia="Times New Roman" w:hAnsi="Arial Narrow"/>
        </w:rPr>
        <w:t>kľúčová na riešenie obmedzení siete a optimalizáciu technických možností na integráciu energie z obnoviteľných zdrojov</w:t>
      </w:r>
      <w:r>
        <w:rPr>
          <w:rFonts w:ascii="Arial Narrow" w:eastAsia="Times New Roman" w:hAnsi="Arial Narrow"/>
        </w:rPr>
        <w:t xml:space="preserve">. </w:t>
      </w:r>
      <w:r w:rsidRPr="00F475E2">
        <w:rPr>
          <w:rFonts w:ascii="Arial Narrow" w:eastAsia="Times New Roman" w:hAnsi="Arial Narrow"/>
        </w:rPr>
        <w:t xml:space="preserve">Tieto modernizácie sú v súlade s </w:t>
      </w:r>
      <w:r>
        <w:rPr>
          <w:rFonts w:ascii="Arial Narrow" w:eastAsia="Times New Roman" w:hAnsi="Arial Narrow"/>
        </w:rPr>
        <w:t>odporúčaniami</w:t>
      </w:r>
      <w:r w:rsidRPr="00F475E2">
        <w:rPr>
          <w:rFonts w:ascii="Arial Narrow" w:eastAsia="Times New Roman" w:hAnsi="Arial Narrow"/>
        </w:rPr>
        <w:t xml:space="preserve"> na zníženie závislosti krajiny od fosílnych palív a posilnenie odolnosti voči geopolitickým energetickým výzvam. Investície z </w:t>
      </w:r>
      <w:r>
        <w:rPr>
          <w:rFonts w:ascii="Arial Narrow" w:eastAsia="Times New Roman" w:hAnsi="Arial Narrow"/>
        </w:rPr>
        <w:t>POO</w:t>
      </w:r>
      <w:r w:rsidRPr="00F475E2">
        <w:rPr>
          <w:rFonts w:ascii="Arial Narrow" w:eastAsia="Times New Roman" w:hAnsi="Arial Narrow"/>
        </w:rPr>
        <w:t xml:space="preserve"> smerujú aj na podporu výskumných a inovačných projektov zameraných na riešenie výziev spojených s</w:t>
      </w:r>
      <w:r>
        <w:rPr>
          <w:rFonts w:ascii="Arial Narrow" w:eastAsia="Times New Roman" w:hAnsi="Arial Narrow"/>
        </w:rPr>
        <w:t xml:space="preserve">o zelenou </w:t>
      </w:r>
      <w:r w:rsidRPr="00742EAA">
        <w:rPr>
          <w:rFonts w:ascii="Arial Narrow" w:eastAsia="Times New Roman" w:hAnsi="Arial Narrow"/>
        </w:rPr>
        <w:t>transformáciou a dekarbonizáciou.</w:t>
      </w:r>
    </w:p>
    <w:p w14:paraId="6F42FB32" w14:textId="77777777" w:rsidR="009311E4" w:rsidRPr="00F475E2" w:rsidRDefault="009311E4" w:rsidP="00F6360F">
      <w:pPr>
        <w:spacing w:line="276" w:lineRule="auto"/>
        <w:jc w:val="both"/>
        <w:rPr>
          <w:rFonts w:ascii="Arial Narrow" w:eastAsia="Times New Roman" w:hAnsi="Arial Narrow"/>
        </w:rPr>
      </w:pPr>
      <w:r w:rsidRPr="6B2E2BE0">
        <w:rPr>
          <w:rFonts w:ascii="Arial Narrow" w:eastAsia="Times New Roman" w:hAnsi="Arial Narrow"/>
          <w:b/>
        </w:rPr>
        <w:t>Zelen</w:t>
      </w:r>
      <w:r>
        <w:rPr>
          <w:rFonts w:ascii="Arial Narrow" w:eastAsia="Times New Roman" w:hAnsi="Arial Narrow"/>
          <w:b/>
        </w:rPr>
        <w:t>ú</w:t>
      </w:r>
      <w:r w:rsidRPr="6B2E2BE0">
        <w:rPr>
          <w:rFonts w:ascii="Arial Narrow" w:eastAsia="Times New Roman" w:hAnsi="Arial Narrow"/>
          <w:b/>
        </w:rPr>
        <w:t xml:space="preserve"> transformáci</w:t>
      </w:r>
      <w:r>
        <w:rPr>
          <w:rFonts w:ascii="Arial Narrow" w:eastAsia="Times New Roman" w:hAnsi="Arial Narrow"/>
          <w:b/>
        </w:rPr>
        <w:t>u</w:t>
      </w:r>
      <w:r w:rsidRPr="6B2E2BE0">
        <w:rPr>
          <w:rFonts w:ascii="Arial Narrow" w:eastAsia="Times New Roman" w:hAnsi="Arial Narrow"/>
          <w:b/>
        </w:rPr>
        <w:t xml:space="preserve"> podpor</w:t>
      </w:r>
      <w:r>
        <w:rPr>
          <w:rFonts w:ascii="Arial Narrow" w:eastAsia="Times New Roman" w:hAnsi="Arial Narrow"/>
          <w:b/>
        </w:rPr>
        <w:t>í</w:t>
      </w:r>
      <w:r w:rsidRPr="6B2E2BE0">
        <w:rPr>
          <w:rFonts w:ascii="Arial Narrow" w:eastAsia="Times New Roman" w:hAnsi="Arial Narrow"/>
          <w:b/>
        </w:rPr>
        <w:t xml:space="preserve"> aj realizáci</w:t>
      </w:r>
      <w:r>
        <w:rPr>
          <w:rFonts w:ascii="Arial Narrow" w:eastAsia="Times New Roman" w:hAnsi="Arial Narrow"/>
          <w:b/>
        </w:rPr>
        <w:t>a</w:t>
      </w:r>
      <w:r w:rsidRPr="6B2E2BE0">
        <w:rPr>
          <w:rFonts w:ascii="Arial Narrow" w:eastAsia="Times New Roman" w:hAnsi="Arial Narrow"/>
          <w:b/>
        </w:rPr>
        <w:t xml:space="preserve"> reforiem a investícií do udržateľnej dopravy a obehového hospodárstva. </w:t>
      </w:r>
      <w:r w:rsidRPr="6B2E2BE0">
        <w:rPr>
          <w:rFonts w:ascii="Arial Narrow" w:eastAsia="Times New Roman" w:hAnsi="Arial Narrow"/>
        </w:rPr>
        <w:t xml:space="preserve">Úsilie o modernizáciu ekologickej železničnej infraštruktúry so zameraním na nízkoemisné dopravné systémy je tiež kľúčové pre znižovanie emisií skleníkových plynov a podporu udržateľnej mobility. Modernizácia železničnej siete reaguje na príslušné odporúčania podporou energeticky </w:t>
      </w:r>
      <w:r w:rsidRPr="25401FF1">
        <w:rPr>
          <w:rFonts w:ascii="Arial Narrow" w:eastAsia="Times New Roman" w:hAnsi="Arial Narrow"/>
        </w:rPr>
        <w:t>úsporných</w:t>
      </w:r>
      <w:r w:rsidRPr="6B2E2BE0">
        <w:rPr>
          <w:rFonts w:ascii="Arial Narrow" w:eastAsia="Times New Roman" w:hAnsi="Arial Narrow"/>
        </w:rPr>
        <w:t xml:space="preserve"> možností dopravy, znižovaním závislosti od </w:t>
      </w:r>
      <w:r w:rsidRPr="5790530E">
        <w:rPr>
          <w:rFonts w:ascii="Arial Narrow" w:eastAsia="Times New Roman" w:hAnsi="Arial Narrow"/>
        </w:rPr>
        <w:t>fosílnych palív</w:t>
      </w:r>
      <w:r w:rsidRPr="6CE434D1">
        <w:rPr>
          <w:rFonts w:ascii="Arial Narrow" w:eastAsia="Times New Roman" w:hAnsi="Arial Narrow"/>
        </w:rPr>
        <w:t xml:space="preserve"> </w:t>
      </w:r>
      <w:r w:rsidRPr="6B2E2BE0">
        <w:rPr>
          <w:rFonts w:ascii="Arial Narrow" w:eastAsia="Times New Roman" w:hAnsi="Arial Narrow"/>
        </w:rPr>
        <w:t xml:space="preserve">a posilňovaním </w:t>
      </w:r>
      <w:r w:rsidRPr="226040A5">
        <w:rPr>
          <w:rFonts w:ascii="Arial Narrow" w:eastAsia="Times New Roman" w:hAnsi="Arial Narrow"/>
        </w:rPr>
        <w:t xml:space="preserve">udržateľnosti </w:t>
      </w:r>
      <w:r w:rsidRPr="6A4A993C">
        <w:rPr>
          <w:rFonts w:ascii="Arial Narrow" w:eastAsia="Times New Roman" w:hAnsi="Arial Narrow"/>
        </w:rPr>
        <w:t>dopravnej infraštruktúry</w:t>
      </w:r>
      <w:r w:rsidRPr="6A4A993C">
        <w:rPr>
          <w:rFonts w:ascii="Arial Narrow" w:eastAsia="Times New Roman" w:hAnsi="Arial Narrow"/>
          <w:b/>
          <w:bCs/>
        </w:rPr>
        <w:t>.</w:t>
      </w:r>
      <w:r w:rsidRPr="6B2E2BE0">
        <w:rPr>
          <w:rFonts w:ascii="Arial Narrow" w:eastAsia="Times New Roman" w:hAnsi="Arial Narrow"/>
          <w:b/>
        </w:rPr>
        <w:t xml:space="preserve"> </w:t>
      </w:r>
      <w:r w:rsidRPr="6B2E2BE0">
        <w:rPr>
          <w:rFonts w:ascii="Arial Narrow" w:eastAsia="Times New Roman" w:hAnsi="Arial Narrow"/>
        </w:rPr>
        <w:t>Slovenský zákon o odpadoch podporuje obehové hospodárstvo tým, že nariaďuje recykláciu a opätovné použitie najmenej 70 % stavebného a demolačného odpadu, ktorý nie je klasifikovaný ako nebezpečný. Táto legislatívna reforma zavádza vyššie poplatky za skládkovanie a podporuje zelené verejné obstarávanie, čím prispieva k udržateľnému hospodáreniu so zdrojmi</w:t>
      </w:r>
      <w:r>
        <w:rPr>
          <w:rFonts w:ascii="Arial Narrow" w:eastAsia="Times New Roman" w:hAnsi="Arial Narrow"/>
        </w:rPr>
        <w:t>.</w:t>
      </w:r>
    </w:p>
    <w:p w14:paraId="77ABAE6A" w14:textId="4E805C61" w:rsidR="009311E4" w:rsidRPr="00F475E2" w:rsidRDefault="009311E4" w:rsidP="00F6360F">
      <w:pPr>
        <w:spacing w:line="276" w:lineRule="auto"/>
        <w:jc w:val="both"/>
        <w:rPr>
          <w:rFonts w:ascii="Arial Narrow" w:eastAsia="Times New Roman" w:hAnsi="Arial Narrow"/>
        </w:rPr>
      </w:pPr>
      <w:r w:rsidRPr="00F475E2">
        <w:rPr>
          <w:rFonts w:ascii="Arial Narrow" w:eastAsia="Times New Roman" w:hAnsi="Arial Narrow"/>
          <w:b/>
          <w:bCs/>
        </w:rPr>
        <w:t xml:space="preserve">Slovenské environmentálne reformy sú zamerané na ochranu biodiverzity a zlepšenie odolnosti voči zmene klímy. </w:t>
      </w:r>
      <w:r w:rsidRPr="00F475E2">
        <w:rPr>
          <w:rFonts w:ascii="Arial Narrow" w:eastAsia="Times New Roman" w:hAnsi="Arial Narrow"/>
        </w:rPr>
        <w:t xml:space="preserve">Uplatňovanie legislatívnych zmien v oblasti ochrany prírody a vodného hospodárstva je v súlade s najnovšími </w:t>
      </w:r>
      <w:r>
        <w:rPr>
          <w:rFonts w:ascii="Arial Narrow" w:eastAsia="Times New Roman" w:hAnsi="Arial Narrow"/>
        </w:rPr>
        <w:t>odporúčaniami</w:t>
      </w:r>
      <w:r w:rsidRPr="00F475E2">
        <w:rPr>
          <w:rFonts w:ascii="Arial Narrow" w:eastAsia="Times New Roman" w:hAnsi="Arial Narrow"/>
        </w:rPr>
        <w:t xml:space="preserve"> zavedením nového systému zonácie národných parkov</w:t>
      </w:r>
      <w:r w:rsidR="000F7A1F">
        <w:rPr>
          <w:rFonts w:ascii="Arial Narrow" w:eastAsia="Times New Roman" w:hAnsi="Arial Narrow"/>
        </w:rPr>
        <w:t>, ktorá však bude v rámci implementácie zohľadňovať záujmy dotknutých subjektov a komunít,</w:t>
      </w:r>
      <w:r w:rsidRPr="00F475E2">
        <w:rPr>
          <w:rFonts w:ascii="Arial Narrow" w:eastAsia="Times New Roman" w:hAnsi="Arial Narrow"/>
        </w:rPr>
        <w:t xml:space="preserve"> a revitalizáciou vodných tokov s cieľom zmierniť povodňové riziká. Tieto snahy zvyšujú </w:t>
      </w:r>
      <w:r>
        <w:rPr>
          <w:rFonts w:ascii="Arial Narrow" w:eastAsia="Times New Roman" w:hAnsi="Arial Narrow"/>
        </w:rPr>
        <w:t xml:space="preserve">schopnosť zachytávania uhlíka </w:t>
      </w:r>
      <w:r w:rsidRPr="00F475E2">
        <w:rPr>
          <w:rFonts w:ascii="Arial Narrow" w:eastAsia="Times New Roman" w:hAnsi="Arial Narrow"/>
        </w:rPr>
        <w:t>a</w:t>
      </w:r>
      <w:r>
        <w:rPr>
          <w:rFonts w:ascii="Arial Narrow" w:eastAsia="Times New Roman" w:hAnsi="Arial Narrow"/>
        </w:rPr>
        <w:t xml:space="preserve"> zároveň </w:t>
      </w:r>
      <w:r w:rsidRPr="00F475E2">
        <w:rPr>
          <w:rFonts w:ascii="Arial Narrow" w:eastAsia="Times New Roman" w:hAnsi="Arial Narrow"/>
        </w:rPr>
        <w:t xml:space="preserve">podporujú ochranu ekosystémov prostredníctvom udržateľného riadenia prírodných zdrojov. </w:t>
      </w:r>
    </w:p>
    <w:p w14:paraId="104EFF16" w14:textId="77777777" w:rsidR="009311E4" w:rsidRPr="005A75F6" w:rsidRDefault="009311E4" w:rsidP="00F6360F">
      <w:pPr>
        <w:spacing w:line="276" w:lineRule="auto"/>
        <w:jc w:val="both"/>
        <w:rPr>
          <w:rFonts w:ascii="Arial Narrow" w:eastAsiaTheme="majorEastAsia" w:hAnsi="Arial Narrow" w:cstheme="majorBidi"/>
          <w:b/>
          <w:color w:val="2C9ADC"/>
          <w:szCs w:val="20"/>
        </w:rPr>
      </w:pPr>
      <w:r w:rsidRPr="005A75F6">
        <w:rPr>
          <w:rFonts w:ascii="Arial Narrow" w:eastAsiaTheme="majorEastAsia" w:hAnsi="Arial Narrow" w:cstheme="majorBidi"/>
          <w:b/>
          <w:color w:val="2C9ADC"/>
          <w:szCs w:val="20"/>
        </w:rPr>
        <w:t>Sociálna odolnosť a vzdelávanie</w:t>
      </w:r>
    </w:p>
    <w:p w14:paraId="34E8BB0A" w14:textId="658DB26E" w:rsidR="009311E4" w:rsidRPr="00F475E2" w:rsidRDefault="009311E4" w:rsidP="00F6360F">
      <w:pPr>
        <w:spacing w:line="276" w:lineRule="auto"/>
        <w:jc w:val="both"/>
        <w:rPr>
          <w:rFonts w:ascii="Arial Narrow" w:eastAsia="Calibri" w:hAnsi="Arial Narrow"/>
        </w:rPr>
      </w:pPr>
      <w:r w:rsidRPr="5CFC2F9C">
        <w:rPr>
          <w:rFonts w:ascii="Arial Narrow" w:eastAsia="Calibri" w:hAnsi="Arial Narrow"/>
          <w:b/>
          <w:bCs/>
        </w:rPr>
        <w:t xml:space="preserve">Na </w:t>
      </w:r>
      <w:r w:rsidRPr="5CFC2F9C">
        <w:rPr>
          <w:rFonts w:ascii="Arial Narrow" w:hAnsi="Arial Narrow"/>
          <w:b/>
          <w:bCs/>
        </w:rPr>
        <w:t>posilnenie</w:t>
      </w:r>
      <w:r w:rsidRPr="5CFC2F9C">
        <w:rPr>
          <w:rFonts w:ascii="Arial Narrow" w:eastAsia="Calibri" w:hAnsi="Arial Narrow"/>
          <w:b/>
          <w:bCs/>
        </w:rPr>
        <w:t xml:space="preserve"> sociálnej a hospodárskej odolnosti bol zavedený komplexný balík reforiem a investícií, v súlade s princípmi Európskeho piliera sociálnych práv. </w:t>
      </w:r>
      <w:r w:rsidRPr="5CFC2F9C">
        <w:rPr>
          <w:rFonts w:ascii="Arial Narrow" w:eastAsia="Calibri" w:hAnsi="Arial Narrow"/>
        </w:rPr>
        <w:t xml:space="preserve">Značný pokrok bol dosiahnutý v oblasti posilnenia predškolského vzdelávania a starostlivosti. Cieľom prijatia právnych predpisov o predškolskom vzdelávaní a podpory rozvoja kapacít materských škôl je zvýšiť počet detí v predprimárnom vzdelávaní, a tým zlepšiť ich študijné výsledky, podporiť sociálnu súdržnosť a znížiť nerovnosti. Účelom tohto úsilia je zlepšiť prístup k cenovo dostupnému a kvalitnému vzdelávaniu, najmä pre znevýhodnené komunity, a podporiť kognitívny a sociálny rozvoj od útleho veku. Investície do vzdelávacej infraštruktúry aj </w:t>
      </w:r>
      <w:r w:rsidR="0019411E">
        <w:rPr>
          <w:rFonts w:ascii="Arial Narrow" w:eastAsia="Calibri" w:hAnsi="Arial Narrow"/>
        </w:rPr>
        <w:t xml:space="preserve">kurikulárna </w:t>
      </w:r>
      <w:r w:rsidRPr="5CFC2F9C">
        <w:rPr>
          <w:rFonts w:ascii="Arial Narrow" w:eastAsia="Calibri" w:hAnsi="Arial Narrow"/>
        </w:rPr>
        <w:t>reforma sú kľúčové pre položenie základov pre rozvoj zručností, ktoré sú nevyhnutné pre budovanie konkurencieschopnej pracovnej sily v digitálnom veku. Tieto opatrenia zodpovedajú viacerým odporúčaniam pre Slovensko, najmä tým, ktoré sa zameriavajú na zlepšenie kvality a</w:t>
      </w:r>
      <w:r w:rsidR="00FD40F6">
        <w:rPr>
          <w:rFonts w:ascii="Arial Narrow" w:eastAsia="Calibri" w:hAnsi="Arial Narrow"/>
        </w:rPr>
        <w:t> </w:t>
      </w:r>
      <w:r w:rsidR="00FD40F6" w:rsidRPr="5CFC2F9C">
        <w:rPr>
          <w:rFonts w:ascii="Arial Narrow" w:eastAsia="Calibri" w:hAnsi="Arial Narrow"/>
        </w:rPr>
        <w:t>inkl</w:t>
      </w:r>
      <w:r w:rsidR="00FD40F6">
        <w:rPr>
          <w:rFonts w:ascii="Arial Narrow" w:eastAsia="Calibri" w:hAnsi="Arial Narrow"/>
        </w:rPr>
        <w:t>úzie vo</w:t>
      </w:r>
      <w:r w:rsidR="00FD40F6" w:rsidRPr="5CFC2F9C">
        <w:rPr>
          <w:rFonts w:ascii="Arial Narrow" w:eastAsia="Calibri" w:hAnsi="Arial Narrow"/>
        </w:rPr>
        <w:t xml:space="preserve"> vzdelávan</w:t>
      </w:r>
      <w:r w:rsidR="00FD40F6">
        <w:rPr>
          <w:rFonts w:ascii="Arial Narrow" w:eastAsia="Calibri" w:hAnsi="Arial Narrow"/>
        </w:rPr>
        <w:t>í</w:t>
      </w:r>
      <w:r w:rsidRPr="5CFC2F9C">
        <w:rPr>
          <w:rFonts w:ascii="Arial Narrow" w:eastAsia="Calibri" w:hAnsi="Arial Narrow"/>
        </w:rPr>
        <w:t xml:space="preserve">, zvýšenie prístupu k vzdelávaniu v ranom veku a zabezpečenie rovnosti príležitostí pre všetkých žiakov. Z dlhodobého hľadiska tieto zlepšenia vo vzdelávaní podporia rast produktivity prípravou </w:t>
      </w:r>
      <w:r w:rsidRPr="5CFC2F9C">
        <w:rPr>
          <w:rFonts w:ascii="Arial Narrow" w:eastAsia="Calibri" w:hAnsi="Arial Narrow"/>
        </w:rPr>
        <w:lastRenderedPageBreak/>
        <w:t>pracovnej sily s potrebnými zručnosťami na prispôsobenie sa budúcim hospodárskym výzvam a technologickému pokroku.</w:t>
      </w:r>
    </w:p>
    <w:p w14:paraId="71245EB2" w14:textId="77777777" w:rsidR="00F6360F" w:rsidRDefault="009311E4" w:rsidP="00F6360F">
      <w:pPr>
        <w:spacing w:line="276" w:lineRule="auto"/>
        <w:jc w:val="both"/>
        <w:rPr>
          <w:rFonts w:ascii="Arial Narrow" w:eastAsia="Calibri" w:hAnsi="Arial Narrow" w:cs="Times New Roman"/>
        </w:rPr>
      </w:pPr>
      <w:r w:rsidRPr="00D80038">
        <w:rPr>
          <w:rFonts w:ascii="Arial Narrow" w:hAnsi="Arial Narrow"/>
          <w:b/>
          <w:bCs/>
        </w:rPr>
        <w:t>Iniciatívy</w:t>
      </w:r>
      <w:r w:rsidRPr="00F475E2">
        <w:rPr>
          <w:rFonts w:ascii="Arial Narrow" w:eastAsia="Calibri" w:hAnsi="Arial Narrow" w:cs="Times New Roman"/>
          <w:b/>
          <w:bCs/>
        </w:rPr>
        <w:t xml:space="preserve"> na obnovu </w:t>
      </w:r>
      <w:r>
        <w:rPr>
          <w:rFonts w:ascii="Arial Narrow" w:eastAsia="Calibri" w:hAnsi="Arial Narrow" w:cs="Times New Roman"/>
          <w:b/>
          <w:bCs/>
        </w:rPr>
        <w:t xml:space="preserve">domov </w:t>
      </w:r>
      <w:r w:rsidR="00057AE5">
        <w:rPr>
          <w:rFonts w:ascii="Arial Narrow" w:eastAsia="Calibri" w:hAnsi="Arial Narrow" w:cs="Times New Roman"/>
          <w:b/>
          <w:bCs/>
        </w:rPr>
        <w:t>domácností ohrozených energetickou chudobou</w:t>
      </w:r>
      <w:r w:rsidRPr="00F475E2">
        <w:rPr>
          <w:rFonts w:ascii="Arial Narrow" w:eastAsia="Calibri" w:hAnsi="Arial Narrow" w:cs="Times New Roman"/>
          <w:b/>
          <w:bCs/>
        </w:rPr>
        <w:t xml:space="preserve"> </w:t>
      </w:r>
      <w:r w:rsidRPr="00F475E2">
        <w:rPr>
          <w:rFonts w:ascii="Arial Narrow" w:eastAsia="Calibri" w:hAnsi="Arial Narrow" w:cs="Times New Roman"/>
          <w:b/>
        </w:rPr>
        <w:t>prispievajú k sociálnej odolnosti aj</w:t>
      </w:r>
      <w:r w:rsidR="004800AB">
        <w:rPr>
          <w:rFonts w:ascii="Arial Narrow" w:eastAsia="Calibri" w:hAnsi="Arial Narrow" w:cs="Times New Roman"/>
          <w:b/>
        </w:rPr>
        <w:t xml:space="preserve"> </w:t>
      </w:r>
      <w:r w:rsidRPr="00F475E2">
        <w:rPr>
          <w:rFonts w:ascii="Arial Narrow" w:eastAsia="Calibri" w:hAnsi="Arial Narrow" w:cs="Times New Roman"/>
          <w:b/>
        </w:rPr>
        <w:t xml:space="preserve">k ekologickému prechodu. </w:t>
      </w:r>
      <w:r w:rsidRPr="00F475E2">
        <w:rPr>
          <w:rFonts w:ascii="Arial Narrow" w:eastAsia="Calibri" w:hAnsi="Arial Narrow" w:cs="Times New Roman"/>
        </w:rPr>
        <w:t xml:space="preserve">V súlade s odporúčaniami vydanými v rokoch 2019 až 2023 sa v opatrení kladie dôraz na zlepšenie energetickej </w:t>
      </w:r>
      <w:r w:rsidR="00057AE5">
        <w:rPr>
          <w:rFonts w:ascii="Arial Narrow" w:eastAsia="Calibri" w:hAnsi="Arial Narrow" w:cs="Times New Roman"/>
        </w:rPr>
        <w:t>hospodárnosti</w:t>
      </w:r>
      <w:r w:rsidR="00057AE5" w:rsidRPr="00F475E2">
        <w:rPr>
          <w:rFonts w:ascii="Arial Narrow" w:eastAsia="Calibri" w:hAnsi="Arial Narrow" w:cs="Times New Roman"/>
        </w:rPr>
        <w:t xml:space="preserve"> </w:t>
      </w:r>
      <w:r w:rsidRPr="00F475E2">
        <w:rPr>
          <w:rFonts w:ascii="Arial Narrow" w:eastAsia="Calibri" w:hAnsi="Arial Narrow" w:cs="Times New Roman"/>
        </w:rPr>
        <w:t>a zníženie závislosti od fosílnych palív. Toto úsilie podporuje technológie čistej energie, ako sú napríklad kotly na biomasu a urýchľuje hĺbkovú renováciu v domácnostiach s nízkymi príjmami, čím sa znižuje spotreba energie a zmierňuje energetická chudoba. Integráciou energetickej efektívnosti so sociálnou ochranou renovácie zabezpečia, aby zraniteľné skupiny mali prístup k cenovo dostupnému, energeticky efektívnemu bývaniu, čím sa podporí prechod Slovenska na obnoviteľné zdroje energie. Tento prístup je v súlade s environmentálnymi normami, ako je napríklad zásada "</w:t>
      </w:r>
      <w:r w:rsidR="00057AE5">
        <w:rPr>
          <w:rFonts w:ascii="Arial Narrow" w:eastAsia="Calibri" w:hAnsi="Arial Narrow" w:cs="Times New Roman"/>
        </w:rPr>
        <w:t>výrazne nenarušiť</w:t>
      </w:r>
      <w:r w:rsidRPr="00F475E2">
        <w:rPr>
          <w:rFonts w:ascii="Arial Narrow" w:eastAsia="Calibri" w:hAnsi="Arial Narrow" w:cs="Times New Roman"/>
        </w:rPr>
        <w:t xml:space="preserve">", čím sa zabezpečuje, že sociálne a environmentálne ciele sa sledujú spoločne v záujme </w:t>
      </w:r>
      <w:r w:rsidR="00FD40F6" w:rsidRPr="00F475E2">
        <w:rPr>
          <w:rFonts w:ascii="Arial Narrow" w:eastAsia="Calibri" w:hAnsi="Arial Narrow" w:cs="Times New Roman"/>
        </w:rPr>
        <w:t>inkl</w:t>
      </w:r>
      <w:r w:rsidR="00FD40F6">
        <w:rPr>
          <w:rFonts w:ascii="Arial Narrow" w:eastAsia="Calibri" w:hAnsi="Arial Narrow" w:cs="Times New Roman"/>
        </w:rPr>
        <w:t>uzívn</w:t>
      </w:r>
      <w:r w:rsidR="00FD40F6" w:rsidRPr="00F475E2">
        <w:rPr>
          <w:rFonts w:ascii="Arial Narrow" w:eastAsia="Calibri" w:hAnsi="Arial Narrow" w:cs="Times New Roman"/>
        </w:rPr>
        <w:t xml:space="preserve">ejšieho </w:t>
      </w:r>
      <w:r w:rsidRPr="00F475E2">
        <w:rPr>
          <w:rFonts w:ascii="Arial Narrow" w:eastAsia="Calibri" w:hAnsi="Arial Narrow" w:cs="Times New Roman"/>
        </w:rPr>
        <w:t>a spravodlivejšieho ekologického prechodu.</w:t>
      </w:r>
    </w:p>
    <w:p w14:paraId="40DBE02D" w14:textId="0AD6E538" w:rsidR="009311E4" w:rsidRPr="00F475E2" w:rsidRDefault="009311E4" w:rsidP="00F6360F">
      <w:pPr>
        <w:spacing w:line="276" w:lineRule="auto"/>
        <w:jc w:val="both"/>
        <w:rPr>
          <w:rFonts w:ascii="Arial Narrow" w:eastAsia="Calibri" w:hAnsi="Arial Narrow" w:cs="Times New Roman"/>
        </w:rPr>
      </w:pPr>
      <w:r w:rsidRPr="00DE783C">
        <w:rPr>
          <w:rFonts w:ascii="Arial Narrow" w:hAnsi="Arial Narrow"/>
          <w:b/>
          <w:bCs/>
        </w:rPr>
        <w:t>Zavádzajú</w:t>
      </w:r>
      <w:r w:rsidRPr="00F475E2">
        <w:rPr>
          <w:rFonts w:ascii="Arial Narrow" w:eastAsia="Calibri" w:hAnsi="Arial Narrow" w:cs="Times New Roman"/>
          <w:b/>
          <w:bCs/>
        </w:rPr>
        <w:t xml:space="preserve"> sa </w:t>
      </w:r>
      <w:r>
        <w:rPr>
          <w:rFonts w:ascii="Arial Narrow" w:eastAsia="Calibri" w:hAnsi="Arial Narrow" w:cs="Times New Roman"/>
          <w:b/>
          <w:bCs/>
        </w:rPr>
        <w:t xml:space="preserve">aj </w:t>
      </w:r>
      <w:r w:rsidRPr="00F475E2">
        <w:rPr>
          <w:rFonts w:ascii="Arial Narrow" w:eastAsia="Calibri" w:hAnsi="Arial Narrow" w:cs="Times New Roman"/>
          <w:b/>
          <w:bCs/>
        </w:rPr>
        <w:t xml:space="preserve">osobitné opatrenia na odstránenie segregácie a podporu inkluzívneho vzdelávania. </w:t>
      </w:r>
      <w:r w:rsidRPr="00F475E2">
        <w:rPr>
          <w:rFonts w:ascii="Arial Narrow" w:eastAsia="Calibri" w:hAnsi="Arial Narrow" w:cs="Times New Roman"/>
        </w:rPr>
        <w:t xml:space="preserve">Súčasťou pripravovanej školskej legislatívy je návrh </w:t>
      </w:r>
      <w:r>
        <w:rPr>
          <w:rFonts w:ascii="Arial Narrow" w:eastAsia="Calibri" w:hAnsi="Arial Narrow" w:cs="Times New Roman"/>
        </w:rPr>
        <w:t xml:space="preserve">širšieho súboru </w:t>
      </w:r>
      <w:r w:rsidRPr="2644D3AA">
        <w:rPr>
          <w:rFonts w:ascii="Arial Narrow" w:eastAsia="Calibri" w:hAnsi="Arial Narrow" w:cs="Times New Roman"/>
        </w:rPr>
        <w:t>reforiem</w:t>
      </w:r>
      <w:r w:rsidRPr="00F475E2">
        <w:rPr>
          <w:rFonts w:ascii="Arial Narrow" w:eastAsia="Calibri" w:hAnsi="Arial Narrow" w:cs="Times New Roman"/>
        </w:rPr>
        <w:t xml:space="preserve">, </w:t>
      </w:r>
      <w:r w:rsidRPr="446AF9E5">
        <w:rPr>
          <w:rFonts w:ascii="Arial Narrow" w:eastAsia="Calibri" w:hAnsi="Arial Narrow" w:cs="Times New Roman"/>
        </w:rPr>
        <w:t>ktoré zahŕňa</w:t>
      </w:r>
      <w:r>
        <w:rPr>
          <w:rFonts w:ascii="Arial Narrow" w:eastAsia="Calibri" w:hAnsi="Arial Narrow" w:cs="Times New Roman"/>
        </w:rPr>
        <w:t>jú aj</w:t>
      </w:r>
      <w:r w:rsidRPr="00F475E2">
        <w:rPr>
          <w:rFonts w:ascii="Arial Narrow" w:eastAsia="Calibri" w:hAnsi="Arial Narrow" w:cs="Times New Roman"/>
        </w:rPr>
        <w:t xml:space="preserve"> zákaz dvojitých zmien na základných školách, lepšiu právnu podporu vzdelávania jazykových menšín a prístup zdravotne postihnutých žiakov k nižšiemu strednému odbornému vzdelávaniu. Okrem toho sa zavedie systém včasného varovania s cieľom zabrániť predčasnému ukončeniu školskej dochádzky tým, že sa identifikujú rizikoví žiaci a poskytne sa im cielená podpora</w:t>
      </w:r>
      <w:r w:rsidRPr="00EA6648">
        <w:rPr>
          <w:rFonts w:ascii="Arial Narrow" w:eastAsia="Calibri" w:hAnsi="Arial Narrow" w:cs="Times New Roman"/>
        </w:rPr>
        <w:t>.</w:t>
      </w:r>
      <w:r>
        <w:rPr>
          <w:rFonts w:ascii="Arial Narrow" w:eastAsia="Calibri" w:hAnsi="Arial Narrow" w:cs="Times New Roman"/>
        </w:rPr>
        <w:t xml:space="preserve"> </w:t>
      </w:r>
      <w:r w:rsidR="002E01F9">
        <w:rPr>
          <w:rFonts w:ascii="Arial Narrow" w:eastAsia="Calibri" w:hAnsi="Arial Narrow" w:cs="Times New Roman"/>
        </w:rPr>
        <w:t>I</w:t>
      </w:r>
      <w:r w:rsidR="002E01F9" w:rsidRPr="00F475E2">
        <w:rPr>
          <w:rFonts w:ascii="Arial Narrow" w:eastAsia="Calibri" w:hAnsi="Arial Narrow" w:cs="Times New Roman"/>
        </w:rPr>
        <w:t>nkl</w:t>
      </w:r>
      <w:r w:rsidR="002E01F9">
        <w:rPr>
          <w:rFonts w:ascii="Arial Narrow" w:eastAsia="Calibri" w:hAnsi="Arial Narrow" w:cs="Times New Roman"/>
        </w:rPr>
        <w:t>úzia</w:t>
      </w:r>
      <w:r w:rsidR="002E01F9" w:rsidRPr="00F475E2">
        <w:rPr>
          <w:rFonts w:ascii="Arial Narrow" w:eastAsia="Calibri" w:hAnsi="Arial Narrow" w:cs="Times New Roman"/>
        </w:rPr>
        <w:t xml:space="preserve"> </w:t>
      </w:r>
      <w:r>
        <w:rPr>
          <w:rFonts w:ascii="Arial Narrow" w:eastAsia="Calibri" w:hAnsi="Arial Narrow" w:cs="Times New Roman"/>
        </w:rPr>
        <w:t xml:space="preserve">pomôže zlepšiť </w:t>
      </w:r>
      <w:r w:rsidR="00D177E5">
        <w:rPr>
          <w:rFonts w:ascii="Arial Narrow" w:eastAsia="Calibri" w:hAnsi="Arial Narrow" w:cs="Times New Roman"/>
        </w:rPr>
        <w:t xml:space="preserve">už stanovené a platné </w:t>
      </w:r>
      <w:r>
        <w:rPr>
          <w:rFonts w:ascii="Arial Narrow" w:eastAsia="Calibri" w:hAnsi="Arial Narrow" w:cs="Times New Roman"/>
        </w:rPr>
        <w:t>vymedzenie</w:t>
      </w:r>
      <w:r w:rsidRPr="001613CD">
        <w:rPr>
          <w:rFonts w:ascii="Arial Narrow" w:eastAsia="Calibri" w:hAnsi="Arial Narrow" w:cs="Times New Roman"/>
        </w:rPr>
        <w:t xml:space="preserve"> špeciálnych </w:t>
      </w:r>
      <w:r w:rsidR="00D177E5">
        <w:rPr>
          <w:rFonts w:ascii="Arial Narrow" w:eastAsia="Calibri" w:hAnsi="Arial Narrow" w:cs="Times New Roman"/>
        </w:rPr>
        <w:t xml:space="preserve">výchovno-vzdelávacích </w:t>
      </w:r>
      <w:r w:rsidRPr="001613CD">
        <w:rPr>
          <w:rFonts w:ascii="Arial Narrow" w:eastAsia="Calibri" w:hAnsi="Arial Narrow" w:cs="Times New Roman"/>
        </w:rPr>
        <w:t>potrieb</w:t>
      </w:r>
      <w:r w:rsidR="00D177E5">
        <w:rPr>
          <w:rFonts w:ascii="Arial Narrow" w:eastAsia="Calibri" w:hAnsi="Arial Narrow" w:cs="Times New Roman"/>
        </w:rPr>
        <w:t xml:space="preserve"> (ŠVVP)</w:t>
      </w:r>
      <w:r w:rsidR="0064035C">
        <w:rPr>
          <w:rFonts w:ascii="Arial Narrow" w:eastAsia="Calibri" w:hAnsi="Arial Narrow" w:cs="Times New Roman"/>
        </w:rPr>
        <w:t>,</w:t>
      </w:r>
      <w:r w:rsidRPr="00F475E2">
        <w:rPr>
          <w:rFonts w:ascii="Arial Narrow" w:eastAsia="Calibri" w:hAnsi="Arial Narrow" w:cs="Times New Roman"/>
        </w:rPr>
        <w:t xml:space="preserve"> zaveden</w:t>
      </w:r>
      <w:r>
        <w:rPr>
          <w:rFonts w:ascii="Arial Narrow" w:eastAsia="Calibri" w:hAnsi="Arial Narrow" w:cs="Times New Roman"/>
        </w:rPr>
        <w:t>ie</w:t>
      </w:r>
      <w:r w:rsidRPr="00F475E2">
        <w:rPr>
          <w:rFonts w:ascii="Arial Narrow" w:eastAsia="Calibri" w:hAnsi="Arial Narrow" w:cs="Times New Roman"/>
        </w:rPr>
        <w:t xml:space="preserve"> podporných opatrení vrátane metodických materiálov pre učiteľov a prispôsobenej podpory pre </w:t>
      </w:r>
      <w:r w:rsidR="0064035C">
        <w:rPr>
          <w:rFonts w:ascii="Arial Narrow" w:eastAsia="Calibri" w:hAnsi="Arial Narrow" w:cs="Times New Roman"/>
        </w:rPr>
        <w:t>znevýhodnené deti a žiakov, ako aj deti a žiakov s iným materinským jazykom</w:t>
      </w:r>
      <w:r w:rsidRPr="00F475E2">
        <w:rPr>
          <w:rFonts w:ascii="Arial Narrow" w:eastAsia="Calibri" w:hAnsi="Arial Narrow" w:cs="Times New Roman"/>
        </w:rPr>
        <w:t>. Tieto opatrenia sú v súlade s odporúčaniami na zlepšenie kvality a</w:t>
      </w:r>
      <w:r w:rsidR="00FD40F6">
        <w:rPr>
          <w:rFonts w:ascii="Arial Narrow" w:eastAsia="Calibri" w:hAnsi="Arial Narrow" w:cs="Times New Roman"/>
        </w:rPr>
        <w:t> </w:t>
      </w:r>
      <w:r w:rsidR="002E01F9" w:rsidRPr="00F475E2">
        <w:rPr>
          <w:rFonts w:ascii="Arial Narrow" w:eastAsia="Calibri" w:hAnsi="Arial Narrow" w:cs="Times New Roman"/>
        </w:rPr>
        <w:t>inkl</w:t>
      </w:r>
      <w:r w:rsidR="002E01F9">
        <w:rPr>
          <w:rFonts w:ascii="Arial Narrow" w:eastAsia="Calibri" w:hAnsi="Arial Narrow" w:cs="Times New Roman"/>
        </w:rPr>
        <w:t>úzie</w:t>
      </w:r>
      <w:r w:rsidR="00FD40F6">
        <w:rPr>
          <w:rFonts w:ascii="Arial Narrow" w:eastAsia="Calibri" w:hAnsi="Arial Narrow" w:cs="Times New Roman"/>
        </w:rPr>
        <w:t xml:space="preserve"> vo</w:t>
      </w:r>
      <w:r w:rsidR="002E01F9" w:rsidRPr="00F475E2">
        <w:rPr>
          <w:rFonts w:ascii="Arial Narrow" w:eastAsia="Calibri" w:hAnsi="Arial Narrow" w:cs="Times New Roman"/>
        </w:rPr>
        <w:t xml:space="preserve"> </w:t>
      </w:r>
      <w:r w:rsidR="00FD40F6" w:rsidRPr="00F475E2">
        <w:rPr>
          <w:rFonts w:ascii="Arial Narrow" w:eastAsia="Calibri" w:hAnsi="Arial Narrow" w:cs="Times New Roman"/>
        </w:rPr>
        <w:t>vzdelávan</w:t>
      </w:r>
      <w:r w:rsidR="00FD40F6">
        <w:rPr>
          <w:rFonts w:ascii="Arial Narrow" w:eastAsia="Calibri" w:hAnsi="Arial Narrow" w:cs="Times New Roman"/>
        </w:rPr>
        <w:t>í</w:t>
      </w:r>
      <w:r w:rsidRPr="00F475E2">
        <w:rPr>
          <w:rFonts w:ascii="Arial Narrow" w:eastAsia="Calibri" w:hAnsi="Arial Narrow" w:cs="Times New Roman"/>
        </w:rPr>
        <w:t xml:space="preserve">, zabezpečenie rovnakého prístupu a podporu </w:t>
      </w:r>
      <w:r w:rsidR="00D177E5">
        <w:rPr>
          <w:rFonts w:ascii="Arial Narrow" w:eastAsia="Calibri" w:hAnsi="Arial Narrow" w:cs="Times New Roman"/>
        </w:rPr>
        <w:t>začlenenia</w:t>
      </w:r>
      <w:r w:rsidR="00D177E5" w:rsidRPr="00F475E2">
        <w:rPr>
          <w:rFonts w:ascii="Arial Narrow" w:eastAsia="Calibri" w:hAnsi="Arial Narrow" w:cs="Times New Roman"/>
        </w:rPr>
        <w:t xml:space="preserve"> </w:t>
      </w:r>
      <w:r w:rsidRPr="00F475E2">
        <w:rPr>
          <w:rFonts w:ascii="Arial Narrow" w:eastAsia="Calibri" w:hAnsi="Arial Narrow" w:cs="Times New Roman"/>
        </w:rPr>
        <w:t>znevýhodnených</w:t>
      </w:r>
      <w:r w:rsidR="0064035C">
        <w:rPr>
          <w:rFonts w:ascii="Arial Narrow" w:eastAsia="Calibri" w:hAnsi="Arial Narrow" w:cs="Times New Roman"/>
        </w:rPr>
        <w:t xml:space="preserve"> </w:t>
      </w:r>
      <w:r w:rsidR="00D177E5">
        <w:rPr>
          <w:rFonts w:ascii="Arial Narrow" w:eastAsia="Calibri" w:hAnsi="Arial Narrow" w:cs="Times New Roman"/>
        </w:rPr>
        <w:t xml:space="preserve">skupín, jednotlivcov </w:t>
      </w:r>
      <w:r w:rsidRPr="00F475E2">
        <w:rPr>
          <w:rFonts w:ascii="Arial Narrow" w:eastAsia="Calibri" w:hAnsi="Arial Narrow" w:cs="Times New Roman"/>
        </w:rPr>
        <w:t>a marginalizovaných komunít.</w:t>
      </w:r>
    </w:p>
    <w:p w14:paraId="4E33FAA9" w14:textId="146CBBF9" w:rsidR="009311E4" w:rsidRDefault="009311E4" w:rsidP="00F6360F">
      <w:pPr>
        <w:spacing w:line="276" w:lineRule="auto"/>
        <w:jc w:val="both"/>
        <w:rPr>
          <w:rFonts w:ascii="Arial Narrow" w:eastAsia="Calibri" w:hAnsi="Arial Narrow"/>
        </w:rPr>
      </w:pPr>
      <w:r w:rsidRPr="00D80038">
        <w:rPr>
          <w:rFonts w:ascii="Arial Narrow" w:hAnsi="Arial Narrow"/>
          <w:b/>
          <w:bCs/>
        </w:rPr>
        <w:t>Vládna</w:t>
      </w:r>
      <w:r w:rsidRPr="0091254D">
        <w:rPr>
          <w:rFonts w:ascii="Arial Narrow" w:eastAsia="Calibri" w:hAnsi="Arial Narrow"/>
          <w:b/>
        </w:rPr>
        <w:t xml:space="preserve"> politika </w:t>
      </w:r>
      <w:r w:rsidRPr="50635ABC">
        <w:rPr>
          <w:rFonts w:ascii="Arial Narrow" w:eastAsia="Calibri" w:hAnsi="Arial Narrow"/>
          <w:b/>
          <w:bCs/>
        </w:rPr>
        <w:t>sa zameria</w:t>
      </w:r>
      <w:r w:rsidRPr="50635ABC">
        <w:rPr>
          <w:rFonts w:ascii="Arial Narrow" w:eastAsia="Calibri" w:hAnsi="Arial Narrow"/>
          <w:b/>
        </w:rPr>
        <w:t xml:space="preserve"> </w:t>
      </w:r>
      <w:r w:rsidRPr="0091254D">
        <w:rPr>
          <w:rFonts w:ascii="Arial Narrow" w:eastAsia="Calibri" w:hAnsi="Arial Narrow"/>
          <w:b/>
        </w:rPr>
        <w:t>na zlepšenie ponuky bývania, s osobitným dôrazom na dostupné nájomné bývanie.</w:t>
      </w:r>
      <w:r w:rsidRPr="0091254D">
        <w:rPr>
          <w:rFonts w:ascii="Arial Narrow" w:eastAsia="Calibri" w:hAnsi="Arial Narrow"/>
        </w:rPr>
        <w:t xml:space="preserve"> Novela stavebného zákona, ktor</w:t>
      </w:r>
      <w:r>
        <w:rPr>
          <w:rFonts w:ascii="Arial Narrow" w:eastAsia="Calibri" w:hAnsi="Arial Narrow"/>
        </w:rPr>
        <w:t xml:space="preserve">á by mala nadobudnúť účinnosť od apríla </w:t>
      </w:r>
      <w:r w:rsidRPr="0091254D">
        <w:rPr>
          <w:rFonts w:ascii="Arial Narrow" w:eastAsia="Calibri" w:hAnsi="Arial Narrow"/>
        </w:rPr>
        <w:t xml:space="preserve">2025, má za cieľ modernizovať stavebné predpisy </w:t>
      </w:r>
      <w:r>
        <w:rPr>
          <w:rFonts w:ascii="Arial Narrow" w:eastAsia="Calibri" w:hAnsi="Arial Narrow"/>
        </w:rPr>
        <w:t xml:space="preserve">na </w:t>
      </w:r>
      <w:r w:rsidRPr="0091254D">
        <w:rPr>
          <w:rFonts w:ascii="Arial Narrow" w:eastAsia="Calibri" w:hAnsi="Arial Narrow"/>
        </w:rPr>
        <w:t>Slovensk</w:t>
      </w:r>
      <w:r>
        <w:rPr>
          <w:rFonts w:ascii="Arial Narrow" w:eastAsia="Calibri" w:hAnsi="Arial Narrow"/>
        </w:rPr>
        <w:t>u</w:t>
      </w:r>
      <w:r w:rsidRPr="0091254D">
        <w:rPr>
          <w:rFonts w:ascii="Arial Narrow" w:eastAsia="Calibri" w:hAnsi="Arial Narrow"/>
        </w:rPr>
        <w:t xml:space="preserve">. V kombinácii s už schváleným zákonom o územnom plánovaní sa očakáva, že táto legislatívna zmena skráti trvanie stavebných konaní a zníži administratívnu záťaž, </w:t>
      </w:r>
      <w:r>
        <w:rPr>
          <w:rFonts w:ascii="Arial Narrow" w:eastAsia="Calibri" w:hAnsi="Arial Narrow"/>
        </w:rPr>
        <w:t>čo sú</w:t>
      </w:r>
      <w:r w:rsidRPr="0091254D">
        <w:rPr>
          <w:rFonts w:ascii="Arial Narrow" w:eastAsia="Calibri" w:hAnsi="Arial Narrow"/>
        </w:rPr>
        <w:t xml:space="preserve"> hlavné prekážky obmedzujúce ponuku bývania. Kľúčovými opatreniami na dosiahnutie týchto cieľov bude zlúčenie procesov územného rozhodovania a stavebného povolenia, digitalizácia postupov a posilnenie vlastníckych práv. V súlade s najnovšími odporúčaniami v rámci MIP sa očakáva, že implementácia zákona o štátnej podpore nájomného bývania prispeje k zvýšeniu </w:t>
      </w:r>
      <w:r>
        <w:rPr>
          <w:rFonts w:ascii="Arial Narrow" w:eastAsia="Calibri" w:hAnsi="Arial Narrow"/>
        </w:rPr>
        <w:t xml:space="preserve">cenovej </w:t>
      </w:r>
      <w:r w:rsidRPr="0091254D">
        <w:rPr>
          <w:rFonts w:ascii="Arial Narrow" w:eastAsia="Calibri" w:hAnsi="Arial Narrow"/>
        </w:rPr>
        <w:t>dostupnosti nájomného bývania financovaného súkromnými investormi. Investičné zmluvy pre štátom podporované nájomné bývanie by mali nadobudnúť účinnosť do polovice roku 2025. Existujúca agentúra bude posilnená, aby mohla efektívne riadiť vydávanie projektov bývania a dohliadať na ich realizáciu.</w:t>
      </w:r>
    </w:p>
    <w:p w14:paraId="6DC180F3" w14:textId="77777777" w:rsidR="009311E4" w:rsidRPr="00D80038" w:rsidRDefault="009311E4" w:rsidP="00F6360F">
      <w:pPr>
        <w:spacing w:line="276" w:lineRule="auto"/>
        <w:jc w:val="both"/>
        <w:rPr>
          <w:rFonts w:ascii="Arial Narrow" w:eastAsiaTheme="majorEastAsia" w:hAnsi="Arial Narrow" w:cstheme="majorBidi"/>
          <w:b/>
          <w:color w:val="2C9ADC"/>
          <w:szCs w:val="20"/>
        </w:rPr>
      </w:pPr>
      <w:r w:rsidRPr="00D80038">
        <w:rPr>
          <w:rFonts w:ascii="Arial Narrow" w:eastAsiaTheme="majorEastAsia" w:hAnsi="Arial Narrow" w:cstheme="majorBidi"/>
          <w:b/>
          <w:color w:val="2C9ADC"/>
          <w:szCs w:val="20"/>
        </w:rPr>
        <w:t>Kvalita verejných inštitúcií a služieb</w:t>
      </w:r>
    </w:p>
    <w:p w14:paraId="337CEB3B" w14:textId="529F1E76" w:rsidR="009311E4" w:rsidRDefault="009311E4" w:rsidP="00F6360F">
      <w:pPr>
        <w:spacing w:line="276" w:lineRule="auto"/>
        <w:jc w:val="both"/>
        <w:rPr>
          <w:rFonts w:ascii="Arial Narrow" w:eastAsia="Calibri" w:hAnsi="Arial Narrow"/>
        </w:rPr>
      </w:pPr>
      <w:r w:rsidRPr="00D80038">
        <w:rPr>
          <w:rFonts w:ascii="Arial Narrow" w:hAnsi="Arial Narrow"/>
          <w:b/>
          <w:bCs/>
        </w:rPr>
        <w:t>Kľúčovým</w:t>
      </w:r>
      <w:r w:rsidRPr="08832431">
        <w:rPr>
          <w:rFonts w:ascii="Arial Narrow" w:eastAsia="Calibri" w:hAnsi="Arial Narrow"/>
          <w:b/>
          <w:bCs/>
        </w:rPr>
        <w:t xml:space="preserve"> krokom k zlepšeniu výskumu a inovácií na Slovensku je reforma riadenia, hodnotenia a podpory v oblasti vedy, výskumu a inovácií. </w:t>
      </w:r>
      <w:r w:rsidRPr="08832431">
        <w:rPr>
          <w:rFonts w:ascii="Arial Narrow" w:eastAsia="Calibri" w:hAnsi="Arial Narrow"/>
        </w:rPr>
        <w:t xml:space="preserve">Cieľom reformy je v súlade s odporúčaniami posilniť výskumné a inovačné prostredie prostredníctvom konsolidácie financujúcich agentúr a zavedenia jednotného systému hodnotenia. </w:t>
      </w:r>
      <w:r>
        <w:rPr>
          <w:rFonts w:ascii="Arial Narrow" w:eastAsia="Calibri" w:hAnsi="Arial Narrow"/>
        </w:rPr>
        <w:t>E</w:t>
      </w:r>
      <w:r w:rsidRPr="00132C25">
        <w:rPr>
          <w:rFonts w:ascii="Arial Narrow" w:eastAsia="Calibri" w:hAnsi="Arial Narrow"/>
        </w:rPr>
        <w:t>fektívnejš</w:t>
      </w:r>
      <w:r>
        <w:rPr>
          <w:rFonts w:ascii="Arial Narrow" w:eastAsia="Calibri" w:hAnsi="Arial Narrow"/>
        </w:rPr>
        <w:t>ia</w:t>
      </w:r>
      <w:r w:rsidRPr="00132C25">
        <w:rPr>
          <w:rFonts w:ascii="Arial Narrow" w:eastAsia="Calibri" w:hAnsi="Arial Narrow"/>
        </w:rPr>
        <w:t xml:space="preserve"> alokáci</w:t>
      </w:r>
      <w:r>
        <w:rPr>
          <w:rFonts w:ascii="Arial Narrow" w:eastAsia="Calibri" w:hAnsi="Arial Narrow"/>
        </w:rPr>
        <w:t>a</w:t>
      </w:r>
      <w:r w:rsidRPr="00132C25">
        <w:rPr>
          <w:rFonts w:ascii="Arial Narrow" w:eastAsia="Calibri" w:hAnsi="Arial Narrow"/>
        </w:rPr>
        <w:t xml:space="preserve"> zdrojov</w:t>
      </w:r>
      <w:r>
        <w:rPr>
          <w:rFonts w:ascii="Arial Narrow" w:eastAsia="Calibri" w:hAnsi="Arial Narrow"/>
        </w:rPr>
        <w:t xml:space="preserve"> a</w:t>
      </w:r>
      <w:r w:rsidRPr="00132C25">
        <w:rPr>
          <w:rFonts w:ascii="Arial Narrow" w:eastAsia="Calibri" w:hAnsi="Arial Narrow"/>
        </w:rPr>
        <w:t xml:space="preserve"> urýchlenie investičných procesov</w:t>
      </w:r>
      <w:r>
        <w:rPr>
          <w:rFonts w:ascii="Arial Narrow" w:eastAsia="Calibri" w:hAnsi="Arial Narrow"/>
        </w:rPr>
        <w:t xml:space="preserve"> </w:t>
      </w:r>
      <w:r w:rsidR="001F6281">
        <w:rPr>
          <w:rFonts w:ascii="Arial Narrow" w:eastAsia="Calibri" w:hAnsi="Arial Narrow"/>
        </w:rPr>
        <w:t xml:space="preserve">sa dosiahne </w:t>
      </w:r>
      <w:r w:rsidRPr="00132C25">
        <w:rPr>
          <w:rFonts w:ascii="Arial Narrow" w:eastAsia="Calibri" w:hAnsi="Arial Narrow"/>
        </w:rPr>
        <w:t>zlepšen</w:t>
      </w:r>
      <w:r>
        <w:rPr>
          <w:rFonts w:ascii="Arial Narrow" w:eastAsia="Calibri" w:hAnsi="Arial Narrow"/>
        </w:rPr>
        <w:t>ím</w:t>
      </w:r>
      <w:r w:rsidRPr="00132C25">
        <w:rPr>
          <w:rFonts w:ascii="Arial Narrow" w:eastAsia="Calibri" w:hAnsi="Arial Narrow"/>
        </w:rPr>
        <w:t xml:space="preserve"> postupov verejného </w:t>
      </w:r>
      <w:r w:rsidR="001F6281">
        <w:rPr>
          <w:rFonts w:ascii="Arial Narrow" w:eastAsia="Calibri" w:hAnsi="Arial Narrow"/>
        </w:rPr>
        <w:t xml:space="preserve">obstarávania, čo </w:t>
      </w:r>
      <w:r>
        <w:rPr>
          <w:rFonts w:ascii="Arial Narrow" w:eastAsia="Calibri" w:hAnsi="Arial Narrow"/>
        </w:rPr>
        <w:t xml:space="preserve">umožní </w:t>
      </w:r>
      <w:r w:rsidRPr="08832431">
        <w:rPr>
          <w:rFonts w:ascii="Arial Narrow" w:eastAsia="Calibri" w:hAnsi="Arial Narrow"/>
        </w:rPr>
        <w:t>posil</w:t>
      </w:r>
      <w:r>
        <w:rPr>
          <w:rFonts w:ascii="Arial Narrow" w:eastAsia="Calibri" w:hAnsi="Arial Narrow"/>
        </w:rPr>
        <w:t>niť</w:t>
      </w:r>
      <w:r w:rsidRPr="08832431">
        <w:rPr>
          <w:rFonts w:ascii="Arial Narrow" w:eastAsia="Calibri" w:hAnsi="Arial Narrow"/>
        </w:rPr>
        <w:t xml:space="preserve"> konkurencieschopnosť </w:t>
      </w:r>
      <w:r>
        <w:rPr>
          <w:rFonts w:ascii="Arial Narrow" w:eastAsia="Calibri" w:hAnsi="Arial Narrow"/>
        </w:rPr>
        <w:t xml:space="preserve">a inovatívnosť </w:t>
      </w:r>
      <w:r w:rsidRPr="08832431">
        <w:rPr>
          <w:rFonts w:ascii="Arial Narrow" w:eastAsia="Calibri" w:hAnsi="Arial Narrow"/>
        </w:rPr>
        <w:t>malých a</w:t>
      </w:r>
      <w:r>
        <w:rPr>
          <w:rFonts w:ascii="Arial Narrow" w:eastAsia="Calibri" w:hAnsi="Arial Narrow"/>
        </w:rPr>
        <w:t> </w:t>
      </w:r>
      <w:r w:rsidRPr="08832431">
        <w:rPr>
          <w:rFonts w:ascii="Arial Narrow" w:eastAsia="Calibri" w:hAnsi="Arial Narrow"/>
        </w:rPr>
        <w:t>stredných</w:t>
      </w:r>
      <w:r>
        <w:rPr>
          <w:rFonts w:ascii="Arial Narrow" w:eastAsia="Calibri" w:hAnsi="Arial Narrow"/>
        </w:rPr>
        <w:t xml:space="preserve"> podnikov. </w:t>
      </w:r>
      <w:r w:rsidRPr="08832431">
        <w:rPr>
          <w:rFonts w:ascii="Arial Narrow" w:eastAsia="Calibri" w:hAnsi="Arial Narrow"/>
        </w:rPr>
        <w:t xml:space="preserve">Celkovo reforma prispieva k posilneniu odolnosti Slovenska, zlepšeniu inovačného ekosystému, zvýšeniu efektívnosti verejnej správy a podpore hospodárskej konkurencieschopnosti. </w:t>
      </w:r>
      <w:r w:rsidRPr="54F693D2">
        <w:rPr>
          <w:rFonts w:ascii="Arial Narrow" w:eastAsia="Calibri" w:hAnsi="Arial Narrow"/>
        </w:rPr>
        <w:t xml:space="preserve">Nad rámec </w:t>
      </w:r>
      <w:r w:rsidRPr="3489379F">
        <w:rPr>
          <w:rFonts w:ascii="Arial Narrow" w:eastAsia="Calibri" w:hAnsi="Arial Narrow"/>
        </w:rPr>
        <w:t>POO</w:t>
      </w:r>
      <w:r w:rsidRPr="404CF69F">
        <w:rPr>
          <w:rFonts w:ascii="Arial Narrow" w:eastAsia="Calibri" w:hAnsi="Arial Narrow"/>
        </w:rPr>
        <w:t xml:space="preserve"> reformu</w:t>
      </w:r>
      <w:r w:rsidRPr="08832431">
        <w:rPr>
          <w:rFonts w:ascii="Arial Narrow" w:eastAsia="Calibri" w:hAnsi="Arial Narrow"/>
        </w:rPr>
        <w:t xml:space="preserve"> </w:t>
      </w:r>
      <w:r w:rsidRPr="043E7B52">
        <w:rPr>
          <w:rFonts w:ascii="Arial Narrow" w:eastAsia="Calibri" w:hAnsi="Arial Narrow"/>
        </w:rPr>
        <w:t>rozšíri</w:t>
      </w:r>
      <w:r w:rsidRPr="08832431">
        <w:rPr>
          <w:rFonts w:ascii="Arial Narrow" w:eastAsia="Calibri" w:hAnsi="Arial Narrow"/>
        </w:rPr>
        <w:t xml:space="preserve"> aj nový zákon o výskume, vývoji a inováciách, ktorý posilní právny rámec na ďalší rozvoj výskumných a inovačných kapacít v krajine a prispeje k napĺňaniu dlhodobých cieľov v </w:t>
      </w:r>
      <w:r w:rsidRPr="40C609E0">
        <w:rPr>
          <w:rFonts w:ascii="Arial Narrow" w:eastAsia="Calibri" w:hAnsi="Arial Narrow"/>
        </w:rPr>
        <w:t>danej</w:t>
      </w:r>
      <w:r w:rsidRPr="583705CF">
        <w:rPr>
          <w:rFonts w:ascii="Arial Narrow" w:eastAsia="Calibri" w:hAnsi="Arial Narrow"/>
        </w:rPr>
        <w:t xml:space="preserve"> </w:t>
      </w:r>
      <w:r w:rsidRPr="08832431">
        <w:rPr>
          <w:rFonts w:ascii="Arial Narrow" w:eastAsia="Calibri" w:hAnsi="Arial Narrow"/>
        </w:rPr>
        <w:t>oblasti</w:t>
      </w:r>
      <w:r w:rsidRPr="6AC00B76">
        <w:rPr>
          <w:rFonts w:ascii="Arial Narrow" w:eastAsia="Calibri" w:hAnsi="Arial Narrow"/>
        </w:rPr>
        <w:t>.</w:t>
      </w:r>
    </w:p>
    <w:p w14:paraId="5A590123" w14:textId="77777777" w:rsidR="009311E4" w:rsidRDefault="009311E4" w:rsidP="00F6360F">
      <w:pPr>
        <w:spacing w:line="276" w:lineRule="auto"/>
        <w:jc w:val="both"/>
        <w:rPr>
          <w:rFonts w:ascii="Arial Narrow" w:eastAsia="Calibri" w:hAnsi="Arial Narrow"/>
        </w:rPr>
      </w:pPr>
    </w:p>
    <w:p w14:paraId="0C4E424C" w14:textId="474F041E" w:rsidR="00E100BA" w:rsidRDefault="009311E4" w:rsidP="00F6360F">
      <w:pPr>
        <w:spacing w:line="276" w:lineRule="auto"/>
        <w:jc w:val="both"/>
        <w:rPr>
          <w:rFonts w:ascii="Arial Narrow" w:eastAsia="Calibri" w:hAnsi="Arial Narrow"/>
        </w:rPr>
      </w:pPr>
      <w:r w:rsidRPr="00D80038">
        <w:rPr>
          <w:rFonts w:ascii="Arial Narrow" w:hAnsi="Arial Narrow"/>
          <w:b/>
          <w:bCs/>
        </w:rPr>
        <w:lastRenderedPageBreak/>
        <w:t>Reforma</w:t>
      </w:r>
      <w:r w:rsidRPr="6F991B30">
        <w:rPr>
          <w:rFonts w:ascii="Arial Narrow" w:eastAsia="Calibri" w:hAnsi="Arial Narrow"/>
          <w:b/>
        </w:rPr>
        <w:t xml:space="preserve"> centrálneho systému riadenia nemocníc má za cieľ zvýšiť prevádzkovú efektívnosť a posilniť finančný dohľad v sektore zdravotníctva.</w:t>
      </w:r>
      <w:r w:rsidRPr="07029D6F">
        <w:rPr>
          <w:rFonts w:ascii="Arial Narrow" w:eastAsia="Calibri" w:hAnsi="Arial Narrow"/>
        </w:rPr>
        <w:t xml:space="preserve"> Integrácia 19 nemocníc do centralizovaného systému prispeje k lepšej finančnej kontrole, dôslednému dodržiavaniu predpisov a efektívnemu riadeniu ľudských zdrojov. Iniciatíva je zameraná na elimináciu prevádzkových neefektívností, pričom posilňuje transparentnosť a zodpovednosť v súlade s odporúčaniami EÚ. Súčasťou reformy je aj vyhláška o kategorizácii </w:t>
      </w:r>
      <w:r w:rsidRPr="6F991B30">
        <w:rPr>
          <w:rFonts w:ascii="Arial Narrow" w:eastAsia="Calibri" w:hAnsi="Arial Narrow"/>
        </w:rPr>
        <w:t xml:space="preserve">ústavnej zdravotnej starostlivosti, </w:t>
      </w:r>
      <w:r w:rsidRPr="07029D6F">
        <w:rPr>
          <w:rFonts w:ascii="Arial Narrow" w:eastAsia="Calibri" w:hAnsi="Arial Narrow"/>
        </w:rPr>
        <w:t>ktorá zavádza maximálne čakacie doby a nový systém kategorizácie nemocníc a poskytovateľov zdravotnej starostlivosti, pričom sústreďuje špecializované zákroky do zariadení s najvyššou úrovňou vybavenia.</w:t>
      </w:r>
    </w:p>
    <w:p w14:paraId="37648FB9" w14:textId="3F88E8FD" w:rsidR="00E100BA" w:rsidRDefault="009311E4" w:rsidP="00F6360F">
      <w:pPr>
        <w:spacing w:line="276" w:lineRule="auto"/>
        <w:jc w:val="both"/>
        <w:rPr>
          <w:rFonts w:ascii="Arial Narrow" w:eastAsia="Arial Narrow" w:hAnsi="Arial Narrow" w:cs="Arial Narrow"/>
          <w:b/>
        </w:rPr>
      </w:pPr>
      <w:bookmarkStart w:id="34" w:name="_Hlk179464462"/>
      <w:r w:rsidRPr="00D80038">
        <w:rPr>
          <w:rFonts w:ascii="Arial Narrow" w:hAnsi="Arial Narrow"/>
          <w:b/>
          <w:bCs/>
        </w:rPr>
        <w:t>Zavedenie</w:t>
      </w:r>
      <w:r w:rsidRPr="17FF2D90">
        <w:rPr>
          <w:rFonts w:ascii="Arial Narrow" w:eastAsia="Arial Narrow" w:hAnsi="Arial Narrow" w:cs="Arial Narrow"/>
          <w:b/>
        </w:rPr>
        <w:t xml:space="preserve"> novej siete súdov má za cieľ zlepšiť efektívnosť a nezávislosť súdneho systému krajiny.</w:t>
      </w:r>
      <w:r w:rsidRPr="4AD93288">
        <w:rPr>
          <w:rFonts w:ascii="Arial Narrow" w:eastAsia="Arial Narrow" w:hAnsi="Arial Narrow" w:cs="Arial Narrow"/>
        </w:rPr>
        <w:t xml:space="preserve"> </w:t>
      </w:r>
      <w:r w:rsidR="00FC22DB">
        <w:rPr>
          <w:rFonts w:ascii="Arial Narrow" w:eastAsia="Arial Narrow" w:hAnsi="Arial Narrow" w:cs="Arial Narrow"/>
        </w:rPr>
        <w:t xml:space="preserve">Na tento účel sa reorganizoval systém súdov </w:t>
      </w:r>
      <w:r w:rsidR="00942C4D">
        <w:rPr>
          <w:rFonts w:ascii="Arial Narrow" w:eastAsia="Arial Narrow" w:hAnsi="Arial Narrow" w:cs="Arial Narrow"/>
        </w:rPr>
        <w:t>s dôrazom</w:t>
      </w:r>
      <w:r w:rsidR="00FC22DB">
        <w:rPr>
          <w:rFonts w:ascii="Arial Narrow" w:eastAsia="Arial Narrow" w:hAnsi="Arial Narrow" w:cs="Arial Narrow"/>
        </w:rPr>
        <w:t xml:space="preserve"> </w:t>
      </w:r>
      <w:r w:rsidR="00942C4D">
        <w:rPr>
          <w:rFonts w:ascii="Arial Narrow" w:eastAsia="Arial Narrow" w:hAnsi="Arial Narrow" w:cs="Arial Narrow"/>
        </w:rPr>
        <w:t xml:space="preserve">na </w:t>
      </w:r>
      <w:r w:rsidR="00FC22DB" w:rsidRPr="007D3E34">
        <w:rPr>
          <w:rFonts w:ascii="Arial Narrow" w:eastAsia="Arial Narrow" w:hAnsi="Arial Narrow" w:cs="Arial Narrow"/>
        </w:rPr>
        <w:t>väčši</w:t>
      </w:r>
      <w:r w:rsidR="00942C4D">
        <w:rPr>
          <w:rFonts w:ascii="Arial Narrow" w:eastAsia="Arial Narrow" w:hAnsi="Arial Narrow" w:cs="Arial Narrow"/>
        </w:rPr>
        <w:t>u</w:t>
      </w:r>
      <w:r w:rsidR="00FC22DB" w:rsidRPr="007D3E34">
        <w:rPr>
          <w:rFonts w:ascii="Arial Narrow" w:eastAsia="Arial Narrow" w:hAnsi="Arial Narrow" w:cs="Arial Narrow"/>
        </w:rPr>
        <w:t xml:space="preserve"> špecializáci</w:t>
      </w:r>
      <w:r w:rsidR="00942C4D">
        <w:rPr>
          <w:rFonts w:ascii="Arial Narrow" w:eastAsia="Arial Narrow" w:hAnsi="Arial Narrow" w:cs="Arial Narrow"/>
        </w:rPr>
        <w:t>u</w:t>
      </w:r>
      <w:r w:rsidR="00FC22DB" w:rsidRPr="007D3E34">
        <w:rPr>
          <w:rFonts w:ascii="Arial Narrow" w:eastAsia="Arial Narrow" w:hAnsi="Arial Narrow" w:cs="Arial Narrow"/>
        </w:rPr>
        <w:t xml:space="preserve"> sudcov</w:t>
      </w:r>
      <w:r w:rsidR="00FC22DB">
        <w:rPr>
          <w:rFonts w:ascii="Arial Narrow" w:eastAsia="Arial Narrow" w:hAnsi="Arial Narrow" w:cs="Arial Narrow"/>
        </w:rPr>
        <w:t xml:space="preserve"> </w:t>
      </w:r>
      <w:r w:rsidR="00FC22DB" w:rsidRPr="007D3E34">
        <w:rPr>
          <w:rFonts w:ascii="Arial Narrow" w:eastAsia="Arial Narrow" w:hAnsi="Arial Narrow" w:cs="Arial Narrow"/>
        </w:rPr>
        <w:t>v oblasti trestného, občianskeho, obchodného a rodinného práva</w:t>
      </w:r>
      <w:r w:rsidR="00FC22DB">
        <w:rPr>
          <w:rFonts w:ascii="Arial Narrow" w:eastAsia="Arial Narrow" w:hAnsi="Arial Narrow" w:cs="Arial Narrow"/>
        </w:rPr>
        <w:t xml:space="preserve">, čim sa </w:t>
      </w:r>
      <w:r w:rsidR="00FC22DB" w:rsidRPr="007D3E34">
        <w:rPr>
          <w:rFonts w:ascii="Arial Narrow" w:eastAsia="Arial Narrow" w:hAnsi="Arial Narrow" w:cs="Arial Narrow"/>
        </w:rPr>
        <w:t>pripra</w:t>
      </w:r>
      <w:r w:rsidR="00FC22DB">
        <w:rPr>
          <w:rFonts w:ascii="Arial Narrow" w:eastAsia="Arial Narrow" w:hAnsi="Arial Narrow" w:cs="Arial Narrow"/>
        </w:rPr>
        <w:t>vila</w:t>
      </w:r>
      <w:r w:rsidR="00FC22DB" w:rsidRPr="007D3E34">
        <w:rPr>
          <w:rFonts w:ascii="Arial Narrow" w:eastAsia="Arial Narrow" w:hAnsi="Arial Narrow" w:cs="Arial Narrow"/>
        </w:rPr>
        <w:t xml:space="preserve"> pôda pre lepšie</w:t>
      </w:r>
      <w:r w:rsidR="00FC22DB">
        <w:rPr>
          <w:rFonts w:ascii="Arial Narrow" w:eastAsia="Arial Narrow" w:hAnsi="Arial Narrow" w:cs="Arial Narrow"/>
        </w:rPr>
        <w:t xml:space="preserve"> </w:t>
      </w:r>
      <w:r w:rsidR="00FC22DB" w:rsidRPr="007D3E34">
        <w:rPr>
          <w:rFonts w:ascii="Arial Narrow" w:eastAsia="Arial Narrow" w:hAnsi="Arial Narrow" w:cs="Arial Narrow"/>
        </w:rPr>
        <w:t>a rýchlejšie súdne rozhodnutia</w:t>
      </w:r>
      <w:r w:rsidR="00FC22DB">
        <w:rPr>
          <w:rFonts w:ascii="Arial Narrow" w:eastAsia="Arial Narrow" w:hAnsi="Arial Narrow" w:cs="Arial Narrow"/>
        </w:rPr>
        <w:t>.</w:t>
      </w:r>
      <w:r w:rsidRPr="4AD93288">
        <w:rPr>
          <w:rFonts w:ascii="Arial Narrow" w:eastAsia="Arial Narrow" w:hAnsi="Arial Narrow" w:cs="Arial Narrow"/>
        </w:rPr>
        <w:t xml:space="preserve"> </w:t>
      </w:r>
      <w:r w:rsidR="00FC22DB">
        <w:rPr>
          <w:rFonts w:ascii="Arial Narrow" w:eastAsia="Arial Narrow" w:hAnsi="Arial Narrow" w:cs="Arial Narrow"/>
        </w:rPr>
        <w:t>Reformou by sa mala</w:t>
      </w:r>
      <w:r w:rsidR="00FC22DB" w:rsidRPr="00ED1A13">
        <w:rPr>
          <w:rFonts w:ascii="Arial Narrow" w:eastAsia="Arial Narrow" w:hAnsi="Arial Narrow" w:cs="Arial Narrow"/>
        </w:rPr>
        <w:t xml:space="preserve"> zvýšiť dôveryhodnosť súdnictva, jeho výkonnosť a kvalit</w:t>
      </w:r>
      <w:r w:rsidR="00FC22DB">
        <w:rPr>
          <w:rFonts w:ascii="Arial Narrow" w:eastAsia="Arial Narrow" w:hAnsi="Arial Narrow" w:cs="Arial Narrow"/>
        </w:rPr>
        <w:t>a</w:t>
      </w:r>
      <w:r w:rsidR="00FC22DB" w:rsidRPr="00ED1A13">
        <w:rPr>
          <w:rFonts w:ascii="Arial Narrow" w:eastAsia="Arial Narrow" w:hAnsi="Arial Narrow" w:cs="Arial Narrow"/>
        </w:rPr>
        <w:t xml:space="preserve"> a</w:t>
      </w:r>
      <w:r w:rsidR="00FC22DB">
        <w:rPr>
          <w:rFonts w:ascii="Arial Narrow" w:eastAsia="Arial Narrow" w:hAnsi="Arial Narrow" w:cs="Arial Narrow"/>
        </w:rPr>
        <w:t> </w:t>
      </w:r>
      <w:r w:rsidR="00FC22DB" w:rsidRPr="00ED1A13">
        <w:rPr>
          <w:rFonts w:ascii="Arial Narrow" w:eastAsia="Arial Narrow" w:hAnsi="Arial Narrow" w:cs="Arial Narrow"/>
        </w:rPr>
        <w:t>súčasne</w:t>
      </w:r>
      <w:r w:rsidR="00FC22DB">
        <w:rPr>
          <w:rFonts w:ascii="Arial Narrow" w:eastAsia="Arial Narrow" w:hAnsi="Arial Narrow" w:cs="Arial Narrow"/>
        </w:rPr>
        <w:t xml:space="preserve"> </w:t>
      </w:r>
      <w:r w:rsidR="00FC22DB" w:rsidRPr="00ED1A13">
        <w:rPr>
          <w:rFonts w:ascii="Arial Narrow" w:eastAsia="Arial Narrow" w:hAnsi="Arial Narrow" w:cs="Arial Narrow"/>
        </w:rPr>
        <w:t xml:space="preserve">poskytnúť pre jej aktérov (sudcov a zamestnancov) lepšie podmienky na dosiahnutie týchto cieľov. </w:t>
      </w:r>
      <w:bookmarkStart w:id="35" w:name="_Hlk179464134"/>
      <w:r w:rsidR="00942C4D" w:rsidRPr="00942C4D">
        <w:rPr>
          <w:rFonts w:ascii="Arial Narrow" w:eastAsia="Arial Narrow" w:hAnsi="Arial Narrow" w:cs="Arial Narrow"/>
        </w:rPr>
        <w:t xml:space="preserve">Na základe poznatkov z aplikačnej praxe a v súlade s odporúčaniami v oblasti justície a súčasného rešpektovania procesných limitov implementácie POO </w:t>
      </w:r>
      <w:r w:rsidR="00942C4D">
        <w:rPr>
          <w:rFonts w:ascii="Arial Narrow" w:eastAsia="Arial Narrow" w:hAnsi="Arial Narrow" w:cs="Arial Narrow"/>
        </w:rPr>
        <w:t>vláda SR</w:t>
      </w:r>
      <w:r w:rsidR="00942C4D" w:rsidRPr="00942C4D">
        <w:rPr>
          <w:rFonts w:ascii="Arial Narrow" w:eastAsia="Arial Narrow" w:hAnsi="Arial Narrow" w:cs="Arial Narrow"/>
        </w:rPr>
        <w:t xml:space="preserve"> zváži ďalšie kroky smerom k zvýšeniu efektivity súdnej sústavy. </w:t>
      </w:r>
      <w:bookmarkEnd w:id="34"/>
      <w:bookmarkEnd w:id="35"/>
    </w:p>
    <w:p w14:paraId="1EA6A2B6" w14:textId="55D035B8" w:rsidR="009311E4" w:rsidRDefault="009311E4" w:rsidP="00F6360F">
      <w:pPr>
        <w:jc w:val="both"/>
        <w:rPr>
          <w:rFonts w:ascii="Arial Narrow" w:eastAsia="Arial Narrow" w:hAnsi="Arial Narrow" w:cs="Arial Narrow"/>
        </w:rPr>
      </w:pPr>
      <w:r w:rsidRPr="0091254D">
        <w:rPr>
          <w:rFonts w:ascii="Arial Narrow" w:eastAsia="Arial Narrow" w:hAnsi="Arial Narrow" w:cs="Arial Narrow"/>
          <w:b/>
        </w:rPr>
        <w:t xml:space="preserve">Zriadenie centier </w:t>
      </w:r>
      <w:r w:rsidR="0057743E">
        <w:rPr>
          <w:rFonts w:ascii="Arial Narrow" w:eastAsia="Arial Narrow" w:hAnsi="Arial Narrow" w:cs="Arial Narrow"/>
          <w:b/>
        </w:rPr>
        <w:t>zdieľaných</w:t>
      </w:r>
      <w:r w:rsidRPr="0091254D">
        <w:rPr>
          <w:rFonts w:ascii="Arial Narrow" w:eastAsia="Arial Narrow" w:hAnsi="Arial Narrow" w:cs="Arial Narrow"/>
          <w:b/>
        </w:rPr>
        <w:t xml:space="preserve"> služieb má za cieľ modernizovať a zlepšiť výkonnosť miestnych samospráv.</w:t>
      </w:r>
      <w:r w:rsidRPr="16B9C989">
        <w:rPr>
          <w:rFonts w:ascii="Arial Narrow" w:eastAsia="Arial Narrow" w:hAnsi="Arial Narrow" w:cs="Arial Narrow"/>
        </w:rPr>
        <w:t xml:space="preserve"> Centrá budú fungovať ako spoločné strediská, ktoré poskytujú verejné služby občanom na jednom mieste, pričom budú slúžiť viacerým obciam na mikroregionálnej úrovni. Cieľom je zriadiť 22 takýchto centier v</w:t>
      </w:r>
      <w:r>
        <w:rPr>
          <w:rFonts w:ascii="Arial Narrow" w:eastAsia="Arial Narrow" w:hAnsi="Arial Narrow" w:cs="Arial Narrow"/>
        </w:rPr>
        <w:t xml:space="preserve"> obciach v rámci </w:t>
      </w:r>
      <w:r w:rsidRPr="16B9C989">
        <w:rPr>
          <w:rFonts w:ascii="Arial Narrow" w:eastAsia="Arial Narrow" w:hAnsi="Arial Narrow" w:cs="Arial Narrow"/>
        </w:rPr>
        <w:t xml:space="preserve">najmenej rozvinutých </w:t>
      </w:r>
      <w:r w:rsidR="002076A4">
        <w:rPr>
          <w:rFonts w:ascii="Arial Narrow" w:eastAsia="Arial Narrow" w:hAnsi="Arial Narrow" w:cs="Arial Narrow"/>
        </w:rPr>
        <w:t>regiónov</w:t>
      </w:r>
      <w:r w:rsidRPr="16B9C989">
        <w:rPr>
          <w:rFonts w:ascii="Arial Narrow" w:eastAsia="Arial Narrow" w:hAnsi="Arial Narrow" w:cs="Arial Narrow"/>
        </w:rPr>
        <w:t>, aby sa efektívne riešil nedostatok potrebných administratívnych a odborných kapacít na miestnej úrovni</w:t>
      </w:r>
      <w:r>
        <w:rPr>
          <w:rFonts w:ascii="Arial Narrow" w:eastAsia="Arial Narrow" w:hAnsi="Arial Narrow" w:cs="Arial Narrow"/>
        </w:rPr>
        <w:t>.</w:t>
      </w:r>
      <w:r w:rsidRPr="00B056FA">
        <w:rPr>
          <w:rFonts w:ascii="Arial Narrow" w:eastAsia="Arial Narrow" w:hAnsi="Arial Narrow" w:cs="Arial Narrow"/>
        </w:rPr>
        <w:t xml:space="preserve"> </w:t>
      </w:r>
      <w:r>
        <w:rPr>
          <w:rFonts w:ascii="Arial Narrow" w:eastAsia="Arial Narrow" w:hAnsi="Arial Narrow" w:cs="Arial Narrow"/>
        </w:rPr>
        <w:t xml:space="preserve">Vo výsledku sa </w:t>
      </w:r>
      <w:r w:rsidRPr="00B056FA">
        <w:rPr>
          <w:rFonts w:ascii="Arial Narrow" w:eastAsia="Arial Narrow" w:hAnsi="Arial Narrow" w:cs="Arial Narrow"/>
        </w:rPr>
        <w:t xml:space="preserve">prostredníctvom </w:t>
      </w:r>
      <w:r>
        <w:rPr>
          <w:rFonts w:ascii="Arial Narrow" w:eastAsia="Arial Narrow" w:hAnsi="Arial Narrow" w:cs="Arial Narrow"/>
        </w:rPr>
        <w:t xml:space="preserve">takejto </w:t>
      </w:r>
      <w:r w:rsidRPr="00B056FA">
        <w:rPr>
          <w:rFonts w:ascii="Arial Narrow" w:eastAsia="Arial Narrow" w:hAnsi="Arial Narrow" w:cs="Arial Narrow"/>
        </w:rPr>
        <w:t xml:space="preserve">medziobecnej spolupráce </w:t>
      </w:r>
      <w:r>
        <w:rPr>
          <w:rFonts w:ascii="Arial Narrow" w:eastAsia="Arial Narrow" w:hAnsi="Arial Narrow" w:cs="Arial Narrow"/>
        </w:rPr>
        <w:t xml:space="preserve">očakáva </w:t>
      </w:r>
      <w:r w:rsidRPr="00B056FA">
        <w:rPr>
          <w:rFonts w:ascii="Arial Narrow" w:eastAsia="Arial Narrow" w:hAnsi="Arial Narrow" w:cs="Arial Narrow"/>
        </w:rPr>
        <w:t>zvýš</w:t>
      </w:r>
      <w:r>
        <w:rPr>
          <w:rFonts w:ascii="Arial Narrow" w:eastAsia="Arial Narrow" w:hAnsi="Arial Narrow" w:cs="Arial Narrow"/>
        </w:rPr>
        <w:t>enie</w:t>
      </w:r>
      <w:r w:rsidRPr="00B056FA">
        <w:rPr>
          <w:rFonts w:ascii="Arial Narrow" w:eastAsia="Arial Narrow" w:hAnsi="Arial Narrow" w:cs="Arial Narrow"/>
        </w:rPr>
        <w:t xml:space="preserve"> rozsah</w:t>
      </w:r>
      <w:r>
        <w:rPr>
          <w:rFonts w:ascii="Arial Narrow" w:eastAsia="Arial Narrow" w:hAnsi="Arial Narrow" w:cs="Arial Narrow"/>
        </w:rPr>
        <w:t>u</w:t>
      </w:r>
      <w:r w:rsidRPr="00B056FA">
        <w:rPr>
          <w:rFonts w:ascii="Arial Narrow" w:eastAsia="Arial Narrow" w:hAnsi="Arial Narrow" w:cs="Arial Narrow"/>
        </w:rPr>
        <w:t xml:space="preserve"> a kvalit</w:t>
      </w:r>
      <w:r>
        <w:rPr>
          <w:rFonts w:ascii="Arial Narrow" w:eastAsia="Arial Narrow" w:hAnsi="Arial Narrow" w:cs="Arial Narrow"/>
        </w:rPr>
        <w:t>y</w:t>
      </w:r>
      <w:r w:rsidRPr="00B056FA">
        <w:rPr>
          <w:rFonts w:ascii="Arial Narrow" w:eastAsia="Arial Narrow" w:hAnsi="Arial Narrow" w:cs="Arial Narrow"/>
        </w:rPr>
        <w:t xml:space="preserve"> poskytovaných služieb obyvateľom aj v malých obciach.</w:t>
      </w:r>
    </w:p>
    <w:p w14:paraId="79BCDFE1" w14:textId="77777777" w:rsidR="009311E4" w:rsidRPr="00D80038" w:rsidRDefault="009311E4" w:rsidP="00F6360F">
      <w:pPr>
        <w:spacing w:line="276" w:lineRule="auto"/>
        <w:jc w:val="both"/>
        <w:rPr>
          <w:rFonts w:ascii="Arial Narrow" w:eastAsiaTheme="majorEastAsia" w:hAnsi="Arial Narrow" w:cstheme="majorBidi"/>
          <w:b/>
          <w:color w:val="2C9ADC"/>
          <w:szCs w:val="20"/>
        </w:rPr>
      </w:pPr>
      <w:r w:rsidRPr="00D80038">
        <w:rPr>
          <w:rFonts w:ascii="Arial Narrow" w:eastAsiaTheme="majorEastAsia" w:hAnsi="Arial Narrow" w:cstheme="majorBidi"/>
          <w:b/>
          <w:color w:val="2C9ADC"/>
          <w:szCs w:val="20"/>
        </w:rPr>
        <w:t>Digitálne inovácie a infraštruktúra</w:t>
      </w:r>
    </w:p>
    <w:p w14:paraId="349F2105" w14:textId="19F811BC" w:rsidR="00E100BA" w:rsidRDefault="009311E4" w:rsidP="00F6360F">
      <w:pPr>
        <w:spacing w:line="276" w:lineRule="auto"/>
        <w:jc w:val="both"/>
        <w:rPr>
          <w:rFonts w:ascii="Arial Narrow" w:eastAsia="Calibri" w:hAnsi="Arial Narrow"/>
        </w:rPr>
      </w:pPr>
      <w:r>
        <w:rPr>
          <w:rFonts w:ascii="Arial Narrow" w:eastAsia="Calibri" w:hAnsi="Arial Narrow"/>
          <w:b/>
          <w:bCs/>
        </w:rPr>
        <w:t>V </w:t>
      </w:r>
      <w:r w:rsidRPr="00D80038">
        <w:rPr>
          <w:rFonts w:ascii="Arial Narrow" w:hAnsi="Arial Narrow"/>
          <w:b/>
          <w:bCs/>
        </w:rPr>
        <w:t>rámci</w:t>
      </w:r>
      <w:r>
        <w:rPr>
          <w:rFonts w:ascii="Arial Narrow" w:eastAsia="Calibri" w:hAnsi="Arial Narrow"/>
          <w:b/>
          <w:bCs/>
        </w:rPr>
        <w:t xml:space="preserve"> prechodu na digitálnu spoločnosť Slovensko zavádza opatrenia</w:t>
      </w:r>
      <w:r w:rsidRPr="00F475E2">
        <w:rPr>
          <w:rFonts w:ascii="Arial Narrow" w:eastAsia="Calibri" w:hAnsi="Arial Narrow"/>
          <w:b/>
          <w:bCs/>
        </w:rPr>
        <w:t xml:space="preserve"> zamerané na podporu inovácií, zlepšenie infraštruktúry a modernizáciu verejnej správy. </w:t>
      </w:r>
      <w:r w:rsidRPr="00F475E2">
        <w:rPr>
          <w:rFonts w:ascii="Arial Narrow" w:eastAsia="Calibri" w:hAnsi="Arial Narrow"/>
        </w:rPr>
        <w:t xml:space="preserve">V rámci </w:t>
      </w:r>
      <w:r>
        <w:rPr>
          <w:rFonts w:ascii="Arial Narrow" w:eastAsia="Calibri" w:hAnsi="Arial Narrow"/>
        </w:rPr>
        <w:t xml:space="preserve">POO </w:t>
      </w:r>
      <w:r w:rsidRPr="00F475E2">
        <w:rPr>
          <w:rFonts w:ascii="Arial Narrow" w:eastAsia="Calibri" w:hAnsi="Arial Narrow"/>
        </w:rPr>
        <w:t xml:space="preserve">je cieľom širšej stratégie posilniť synergie medzi vnútroštátnymi a európskymi výskumnými a vývojovými činnosťami. Investície do výskumných a inovačných projektov </w:t>
      </w:r>
      <w:r w:rsidRPr="5556B68B">
        <w:rPr>
          <w:rFonts w:ascii="Arial Narrow" w:eastAsia="Calibri" w:hAnsi="Arial Narrow"/>
        </w:rPr>
        <w:t>umožnia</w:t>
      </w:r>
      <w:r w:rsidRPr="00F475E2">
        <w:rPr>
          <w:rFonts w:ascii="Arial Narrow" w:eastAsia="Calibri" w:hAnsi="Arial Narrow"/>
        </w:rPr>
        <w:t xml:space="preserve"> spoločnostiam prístup k európskemu financovaniu výskumu, podporia medzinárodné partnerstvá a zvýšia konkurencieschopnosť v digitálnom hospodárstve.</w:t>
      </w:r>
      <w:r w:rsidRPr="492A05FC">
        <w:rPr>
          <w:rFonts w:ascii="Arial Narrow" w:eastAsia="Calibri" w:hAnsi="Arial Narrow"/>
        </w:rPr>
        <w:t xml:space="preserve"> </w:t>
      </w:r>
      <w:r w:rsidR="00953640">
        <w:rPr>
          <w:rFonts w:ascii="Arial Narrow" w:eastAsia="Calibri" w:hAnsi="Arial Narrow"/>
        </w:rPr>
        <w:t xml:space="preserve">Zavedenie </w:t>
      </w:r>
      <w:r w:rsidR="00434729">
        <w:rPr>
          <w:rFonts w:ascii="Arial Narrow" w:eastAsia="Calibri" w:hAnsi="Arial Narrow"/>
        </w:rPr>
        <w:t xml:space="preserve">systému </w:t>
      </w:r>
      <w:r w:rsidR="00953640">
        <w:rPr>
          <w:rFonts w:ascii="Arial Narrow" w:eastAsia="Calibri" w:hAnsi="Arial Narrow"/>
        </w:rPr>
        <w:t>povinnej</w:t>
      </w:r>
      <w:r w:rsidR="00953640" w:rsidRPr="492A05FC">
        <w:rPr>
          <w:rFonts w:ascii="Arial Narrow" w:eastAsia="Calibri" w:hAnsi="Arial Narrow"/>
        </w:rPr>
        <w:t xml:space="preserve"> </w:t>
      </w:r>
      <w:r w:rsidRPr="492A05FC">
        <w:rPr>
          <w:rFonts w:ascii="Arial Narrow" w:eastAsia="Calibri" w:hAnsi="Arial Narrow"/>
        </w:rPr>
        <w:t>elektronickej fakturácie p</w:t>
      </w:r>
      <w:r>
        <w:rPr>
          <w:rFonts w:ascii="Arial Narrow" w:eastAsia="Calibri" w:hAnsi="Arial Narrow"/>
        </w:rPr>
        <w:t>odporí</w:t>
      </w:r>
      <w:r w:rsidRPr="492A05FC">
        <w:rPr>
          <w:rFonts w:ascii="Arial Narrow" w:eastAsia="Calibri" w:hAnsi="Arial Narrow"/>
        </w:rPr>
        <w:t xml:space="preserve"> digitalizáciu a spravodlivý prechod na digitálne technológie, pr</w:t>
      </w:r>
      <w:r>
        <w:rPr>
          <w:rFonts w:ascii="Arial Narrow" w:eastAsia="Calibri" w:hAnsi="Arial Narrow"/>
        </w:rPr>
        <w:t xml:space="preserve">ičom </w:t>
      </w:r>
      <w:r w:rsidR="00434729">
        <w:rPr>
          <w:rFonts w:ascii="Arial Narrow" w:eastAsia="Calibri" w:hAnsi="Arial Narrow"/>
        </w:rPr>
        <w:t xml:space="preserve">zároveň </w:t>
      </w:r>
      <w:r>
        <w:rPr>
          <w:rFonts w:ascii="Arial Narrow" w:eastAsia="Calibri" w:hAnsi="Arial Narrow"/>
        </w:rPr>
        <w:t>reflektuje</w:t>
      </w:r>
      <w:r w:rsidRPr="492A05FC">
        <w:rPr>
          <w:rFonts w:ascii="Arial Narrow" w:eastAsia="Calibri" w:hAnsi="Arial Narrow"/>
        </w:rPr>
        <w:t xml:space="preserve"> odporúčania, ktoré zdôrazňujú potrebu posilnenia dodržiavania daňových predpisov prostredníctvom digitálnych nástrojov.</w:t>
      </w:r>
      <w:r w:rsidRPr="00F475E2">
        <w:rPr>
          <w:rFonts w:ascii="Arial Narrow" w:eastAsia="Calibri" w:hAnsi="Arial Narrow"/>
        </w:rPr>
        <w:t xml:space="preserve"> </w:t>
      </w:r>
      <w:r w:rsidRPr="13779D13">
        <w:rPr>
          <w:rFonts w:ascii="Arial Narrow" w:eastAsia="Calibri" w:hAnsi="Arial Narrow"/>
        </w:rPr>
        <w:t>Opatrenie prispieva v</w:t>
      </w:r>
      <w:r w:rsidRPr="00F475E2">
        <w:rPr>
          <w:rFonts w:ascii="Arial Narrow" w:eastAsia="Calibri" w:hAnsi="Arial Narrow"/>
        </w:rPr>
        <w:t xml:space="preserve"> boji proti daňovým </w:t>
      </w:r>
      <w:r w:rsidR="00953640">
        <w:rPr>
          <w:rFonts w:ascii="Arial Narrow" w:eastAsia="Calibri" w:hAnsi="Arial Narrow"/>
        </w:rPr>
        <w:t>únikom</w:t>
      </w:r>
      <w:r w:rsidRPr="00F475E2">
        <w:rPr>
          <w:rFonts w:ascii="Arial Narrow" w:eastAsia="Calibri" w:hAnsi="Arial Narrow"/>
        </w:rPr>
        <w:t xml:space="preserve">, </w:t>
      </w:r>
      <w:r>
        <w:rPr>
          <w:rFonts w:ascii="Arial Narrow" w:eastAsia="Calibri" w:hAnsi="Arial Narrow"/>
        </w:rPr>
        <w:t xml:space="preserve">má potenciál </w:t>
      </w:r>
      <w:r w:rsidRPr="00F475E2">
        <w:rPr>
          <w:rFonts w:ascii="Arial Narrow" w:eastAsia="Calibri" w:hAnsi="Arial Narrow"/>
        </w:rPr>
        <w:t>zn</w:t>
      </w:r>
      <w:r>
        <w:rPr>
          <w:rFonts w:ascii="Arial Narrow" w:eastAsia="Calibri" w:hAnsi="Arial Narrow"/>
        </w:rPr>
        <w:t>ížiť</w:t>
      </w:r>
      <w:r w:rsidRPr="00F475E2">
        <w:rPr>
          <w:rFonts w:ascii="Arial Narrow" w:eastAsia="Calibri" w:hAnsi="Arial Narrow"/>
        </w:rPr>
        <w:t xml:space="preserve"> daňov</w:t>
      </w:r>
      <w:r>
        <w:rPr>
          <w:rFonts w:ascii="Arial Narrow" w:eastAsia="Calibri" w:hAnsi="Arial Narrow"/>
        </w:rPr>
        <w:t>é</w:t>
      </w:r>
      <w:r w:rsidRPr="00F475E2">
        <w:rPr>
          <w:rFonts w:ascii="Arial Narrow" w:eastAsia="Calibri" w:hAnsi="Arial Narrow"/>
        </w:rPr>
        <w:t xml:space="preserve"> medzery</w:t>
      </w:r>
      <w:r>
        <w:rPr>
          <w:rFonts w:ascii="Arial Narrow" w:eastAsia="Calibri" w:hAnsi="Arial Narrow"/>
        </w:rPr>
        <w:t xml:space="preserve"> na dani z príjmu právnických osôb a dani z pridanej hodnoty</w:t>
      </w:r>
      <w:r w:rsidR="00953640">
        <w:rPr>
          <w:rFonts w:ascii="Arial Narrow" w:eastAsia="Calibri" w:hAnsi="Arial Narrow"/>
        </w:rPr>
        <w:t xml:space="preserve">, </w:t>
      </w:r>
      <w:r w:rsidRPr="00F475E2">
        <w:rPr>
          <w:rFonts w:ascii="Arial Narrow" w:eastAsia="Calibri" w:hAnsi="Arial Narrow"/>
        </w:rPr>
        <w:t>zlepš</w:t>
      </w:r>
      <w:r>
        <w:rPr>
          <w:rFonts w:ascii="Arial Narrow" w:eastAsia="Calibri" w:hAnsi="Arial Narrow"/>
        </w:rPr>
        <w:t>iť</w:t>
      </w:r>
      <w:r w:rsidRPr="00F475E2">
        <w:rPr>
          <w:rFonts w:ascii="Arial Narrow" w:eastAsia="Calibri" w:hAnsi="Arial Narrow"/>
        </w:rPr>
        <w:t xml:space="preserve"> efektívnos</w:t>
      </w:r>
      <w:r>
        <w:rPr>
          <w:rFonts w:ascii="Arial Narrow" w:eastAsia="Calibri" w:hAnsi="Arial Narrow"/>
        </w:rPr>
        <w:t>ť</w:t>
      </w:r>
      <w:r w:rsidRPr="00F475E2">
        <w:rPr>
          <w:rFonts w:ascii="Arial Narrow" w:eastAsia="Calibri" w:hAnsi="Arial Narrow"/>
        </w:rPr>
        <w:t xml:space="preserve"> výberu daní</w:t>
      </w:r>
      <w:r w:rsidR="00953640">
        <w:rPr>
          <w:rFonts w:ascii="Arial Narrow" w:eastAsia="Calibri" w:hAnsi="Arial Narrow"/>
        </w:rPr>
        <w:t xml:space="preserve"> a podporiť zavádzanie digitálnych inovácií</w:t>
      </w:r>
      <w:r w:rsidRPr="00F475E2">
        <w:rPr>
          <w:rFonts w:ascii="Arial Narrow" w:eastAsia="Calibri" w:hAnsi="Arial Narrow"/>
        </w:rPr>
        <w:t>. Zjednodušuje tiež obchodné operácie tým, že podnikom poskytuje bezplatné online nástroje na správu a predkladanie faktúr.</w:t>
      </w:r>
    </w:p>
    <w:p w14:paraId="17360217" w14:textId="5CCD1EAE" w:rsidR="009311E4" w:rsidRDefault="009311E4" w:rsidP="00F6360F">
      <w:pPr>
        <w:spacing w:line="276" w:lineRule="auto"/>
        <w:jc w:val="both"/>
        <w:rPr>
          <w:rFonts w:ascii="Arial Narrow" w:eastAsia="Calibri" w:hAnsi="Arial Narrow"/>
        </w:rPr>
      </w:pPr>
      <w:r w:rsidRPr="00D80038">
        <w:rPr>
          <w:rFonts w:ascii="Arial Narrow" w:hAnsi="Arial Narrow"/>
          <w:b/>
          <w:bCs/>
        </w:rPr>
        <w:t>Digitálne</w:t>
      </w:r>
      <w:r w:rsidRPr="6579D9E3">
        <w:rPr>
          <w:rFonts w:ascii="Arial Narrow" w:eastAsia="Calibri" w:hAnsi="Arial Narrow"/>
          <w:b/>
        </w:rPr>
        <w:t xml:space="preserve"> trhovisko zvyšuje efektívnosť verejného obstarávania </w:t>
      </w:r>
      <w:r w:rsidRPr="2EA94376">
        <w:rPr>
          <w:rFonts w:ascii="Arial Narrow" w:eastAsia="Calibri" w:hAnsi="Arial Narrow"/>
          <w:b/>
          <w:bCs/>
        </w:rPr>
        <w:t>prostredníctvom</w:t>
      </w:r>
      <w:r w:rsidRPr="6579D9E3">
        <w:rPr>
          <w:rFonts w:ascii="Arial Narrow" w:eastAsia="Calibri" w:hAnsi="Arial Narrow"/>
          <w:b/>
        </w:rPr>
        <w:t xml:space="preserve"> technologicky </w:t>
      </w:r>
      <w:r w:rsidRPr="389DFA58">
        <w:rPr>
          <w:rFonts w:ascii="Arial Narrow" w:eastAsia="Calibri" w:hAnsi="Arial Narrow"/>
          <w:b/>
          <w:bCs/>
        </w:rPr>
        <w:t>vyspelej</w:t>
      </w:r>
      <w:r w:rsidRPr="6579D9E3">
        <w:rPr>
          <w:rFonts w:ascii="Arial Narrow" w:eastAsia="Calibri" w:hAnsi="Arial Narrow"/>
          <w:b/>
        </w:rPr>
        <w:t xml:space="preserve"> </w:t>
      </w:r>
      <w:r w:rsidRPr="347BD5E4">
        <w:rPr>
          <w:rFonts w:ascii="Arial Narrow" w:eastAsia="Calibri" w:hAnsi="Arial Narrow"/>
          <w:b/>
          <w:bCs/>
        </w:rPr>
        <w:t>platformy</w:t>
      </w:r>
      <w:r w:rsidRPr="6579D9E3">
        <w:rPr>
          <w:rFonts w:ascii="Arial Narrow" w:eastAsia="Calibri" w:hAnsi="Arial Narrow"/>
          <w:b/>
        </w:rPr>
        <w:t xml:space="preserve"> na rozvoj a modernizáciu </w:t>
      </w:r>
      <w:r w:rsidRPr="5B77FADA">
        <w:rPr>
          <w:rFonts w:ascii="Arial Narrow" w:eastAsia="Calibri" w:hAnsi="Arial Narrow"/>
          <w:b/>
          <w:bCs/>
        </w:rPr>
        <w:t>IT</w:t>
      </w:r>
      <w:r w:rsidRPr="6579D9E3">
        <w:rPr>
          <w:rFonts w:ascii="Arial Narrow" w:eastAsia="Calibri" w:hAnsi="Arial Narrow"/>
          <w:b/>
        </w:rPr>
        <w:t xml:space="preserve"> systémov.</w:t>
      </w:r>
      <w:r w:rsidRPr="2AF94F4A">
        <w:rPr>
          <w:rFonts w:ascii="Arial Narrow" w:eastAsia="Calibri" w:hAnsi="Arial Narrow"/>
        </w:rPr>
        <w:t xml:space="preserve"> Platforma zavádza ucelený rámec nástrojov, politík a služieb, ktoré zahŕňajú IT komodity, odborné znalosti, cloudové riešenia a softvér s otvoreným zdrojovým kódom. Všetky tieto zdroje sú centralizovane obstarávané prostredníctvom rámcovej zmluvy, čo umožňuje flexibilný a dynamický prístup podľa aktuálnych potrieb. Opatrenie rieši širšie ciele v oblasti posilnenia digitálnej infraštruktúry, </w:t>
      </w:r>
      <w:r w:rsidRPr="695DD488">
        <w:rPr>
          <w:rFonts w:ascii="Arial Narrow" w:eastAsia="Calibri" w:hAnsi="Arial Narrow"/>
        </w:rPr>
        <w:t>pričom</w:t>
      </w:r>
      <w:r w:rsidRPr="2AF94F4A">
        <w:rPr>
          <w:rFonts w:ascii="Arial Narrow" w:eastAsia="Calibri" w:hAnsi="Arial Narrow"/>
        </w:rPr>
        <w:t xml:space="preserve"> zvyšuje </w:t>
      </w:r>
      <w:r w:rsidRPr="5DAEB1F6">
        <w:rPr>
          <w:rFonts w:ascii="Arial Narrow" w:eastAsia="Calibri" w:hAnsi="Arial Narrow"/>
        </w:rPr>
        <w:t xml:space="preserve">aj </w:t>
      </w:r>
      <w:r w:rsidRPr="2AF94F4A">
        <w:rPr>
          <w:rFonts w:ascii="Arial Narrow" w:eastAsia="Calibri" w:hAnsi="Arial Narrow"/>
        </w:rPr>
        <w:t>efektívnosť a transparentnosť verejného sektora. Modernizácia verejných služieb vďaka tomu prispieva k odstráneniu nedostatkov v digitálnej infraštruktúre a k efektívnejšiemu poskytovaniu verejných služieb</w:t>
      </w:r>
      <w:r w:rsidRPr="30872D75">
        <w:rPr>
          <w:rFonts w:ascii="Arial Narrow" w:eastAsia="Calibri" w:hAnsi="Arial Narrow"/>
        </w:rPr>
        <w:t xml:space="preserve"> v súlade s odporúčaniami Rady EÚ v oblasti digitalizácie.</w:t>
      </w:r>
    </w:p>
    <w:p w14:paraId="0DFAF5CA" w14:textId="77777777" w:rsidR="009311E4" w:rsidRPr="00D80038" w:rsidRDefault="009311E4" w:rsidP="00F6360F">
      <w:pPr>
        <w:spacing w:line="276" w:lineRule="auto"/>
        <w:jc w:val="both"/>
        <w:rPr>
          <w:rFonts w:ascii="Arial Narrow" w:eastAsiaTheme="majorEastAsia" w:hAnsi="Arial Narrow" w:cstheme="majorBidi"/>
          <w:b/>
          <w:color w:val="2C9ADC"/>
          <w:szCs w:val="20"/>
        </w:rPr>
      </w:pPr>
      <w:r w:rsidRPr="00D80038">
        <w:rPr>
          <w:rFonts w:ascii="Arial Narrow" w:eastAsiaTheme="majorEastAsia" w:hAnsi="Arial Narrow" w:cstheme="majorBidi"/>
          <w:b/>
          <w:color w:val="2C9ADC"/>
          <w:szCs w:val="20"/>
        </w:rPr>
        <w:t>Budovanie obranných kapacít</w:t>
      </w:r>
    </w:p>
    <w:p w14:paraId="408F46F9" w14:textId="441EDAB1" w:rsidR="009311E4" w:rsidRDefault="009311E4" w:rsidP="00F6360F">
      <w:pPr>
        <w:jc w:val="both"/>
        <w:rPr>
          <w:rFonts w:ascii="Arial Narrow" w:eastAsia="Calibri" w:hAnsi="Arial Narrow"/>
          <w:b/>
          <w:color w:val="00B0F0"/>
        </w:rPr>
      </w:pPr>
      <w:r w:rsidRPr="6A74BC10">
        <w:rPr>
          <w:rFonts w:ascii="Arial Narrow" w:eastAsia="Calibri" w:hAnsi="Arial Narrow"/>
          <w:b/>
          <w:bCs/>
        </w:rPr>
        <w:t>Posilnenie národných obranných kapacít je nevyhnutné na zaistenie bezpečnosti, plnenie záväzkov voči NATO</w:t>
      </w:r>
      <w:r w:rsidR="001F6281">
        <w:rPr>
          <w:rFonts w:ascii="Arial Narrow" w:eastAsia="Calibri" w:hAnsi="Arial Narrow"/>
          <w:b/>
          <w:bCs/>
        </w:rPr>
        <w:t>, EÚ</w:t>
      </w:r>
      <w:r w:rsidRPr="6A74BC10">
        <w:rPr>
          <w:rFonts w:ascii="Arial Narrow" w:eastAsia="Calibri" w:hAnsi="Arial Narrow"/>
          <w:b/>
          <w:bCs/>
        </w:rPr>
        <w:t xml:space="preserve"> a udržanie regionálnej stability. </w:t>
      </w:r>
      <w:r w:rsidRPr="6A74BC10">
        <w:rPr>
          <w:rFonts w:ascii="Arial Narrow" w:eastAsia="Calibri" w:hAnsi="Arial Narrow"/>
        </w:rPr>
        <w:t>V rámci dlhodobého rozvojového plánu smerujú značné investície do modernizácie vojenského vybavenia s cieľom zvýšiť operačnú pripravenosť a zabezpečiť kompatibilitu so spojencami v</w:t>
      </w:r>
      <w:r w:rsidR="001F6281">
        <w:rPr>
          <w:rFonts w:ascii="Arial Narrow" w:eastAsia="Calibri" w:hAnsi="Arial Narrow"/>
        </w:rPr>
        <w:t> </w:t>
      </w:r>
      <w:r w:rsidRPr="6A74BC10">
        <w:rPr>
          <w:rFonts w:ascii="Arial Narrow" w:eastAsia="Calibri" w:hAnsi="Arial Narrow"/>
        </w:rPr>
        <w:t>NATO</w:t>
      </w:r>
      <w:r w:rsidR="001F6281">
        <w:rPr>
          <w:rFonts w:ascii="Arial Narrow" w:eastAsia="Calibri" w:hAnsi="Arial Narrow"/>
        </w:rPr>
        <w:t xml:space="preserve"> </w:t>
      </w:r>
      <w:r w:rsidR="001F6281" w:rsidRPr="001F6281">
        <w:rPr>
          <w:rFonts w:ascii="Arial Narrow" w:eastAsia="Calibri" w:hAnsi="Arial Narrow"/>
        </w:rPr>
        <w:t>a na princípe komplementarity posilniť zároveň aj obrannú pripravenosť v rámci EÚ</w:t>
      </w:r>
      <w:r w:rsidRPr="6A74BC10">
        <w:rPr>
          <w:rFonts w:ascii="Arial Narrow" w:eastAsia="Calibri" w:hAnsi="Arial Narrow"/>
        </w:rPr>
        <w:t xml:space="preserve">. Patrí sem </w:t>
      </w:r>
      <w:r w:rsidRPr="6A74BC10">
        <w:rPr>
          <w:rFonts w:ascii="Arial Narrow" w:eastAsia="Calibri" w:hAnsi="Arial Narrow"/>
        </w:rPr>
        <w:lastRenderedPageBreak/>
        <w:t>postupné obstarávanie bojových obrnených vozidiel, bojových vozidiel pechoty a moderných systémov protivzdušnej obrany. Modernizácia kľúčovej obrannej infraštruktúry, ako sú systémy protivzdušnej obrany veľmi krátkeho a stredného dosahu, má zásadný význam pre ochranu národného vzdušného priestoru a prispievanie k cieľom kolektívnej bezpečnosti NATO. Tieto investície riešia kritické nedostatky v spôsobilostiach a posilňujú schopnosť krajiny reagovať na vyvíjajúce sa bezpečnostné výzvy, pričom sú v súlade so širšími európskymi obrannými a bezpečnostnými cieľmi.</w:t>
      </w:r>
      <w:bookmarkStart w:id="36" w:name="_Toc179102829"/>
    </w:p>
    <w:p w14:paraId="6690BE13" w14:textId="32A56129" w:rsidR="009311E4" w:rsidRPr="00EC0FB5" w:rsidRDefault="009311E4" w:rsidP="009311E4">
      <w:pPr>
        <w:jc w:val="both"/>
        <w:rPr>
          <w:rFonts w:ascii="Arial Narrow" w:eastAsia="Calibri" w:hAnsi="Arial Narrow"/>
          <w:b/>
          <w:color w:val="00B0F0"/>
        </w:rPr>
      </w:pPr>
      <w:bookmarkStart w:id="37" w:name="_Toc179814716"/>
      <w:r w:rsidRPr="00F658D2">
        <w:rPr>
          <w:rFonts w:ascii="Arial Narrow" w:eastAsia="Calibri" w:hAnsi="Arial Narrow"/>
          <w:b/>
          <w:color w:val="2C9ADC"/>
        </w:rPr>
        <w:t xml:space="preserve">TABUĽKA </w:t>
      </w:r>
      <w:r w:rsidRPr="00F658D2">
        <w:rPr>
          <w:rFonts w:ascii="Arial Narrow" w:eastAsia="Calibri" w:hAnsi="Arial Narrow"/>
          <w:b/>
          <w:color w:val="2C9ADC"/>
        </w:rPr>
        <w:fldChar w:fldCharType="begin"/>
      </w:r>
      <w:r w:rsidRPr="00F658D2">
        <w:rPr>
          <w:rFonts w:ascii="Arial Narrow" w:eastAsia="Calibri" w:hAnsi="Arial Narrow"/>
          <w:b/>
          <w:color w:val="2C9ADC"/>
        </w:rPr>
        <w:instrText xml:space="preserve"> SEQ TABUĽKA \* ARABIC </w:instrText>
      </w:r>
      <w:r w:rsidRPr="00F658D2">
        <w:rPr>
          <w:rFonts w:ascii="Arial Narrow" w:eastAsia="Calibri" w:hAnsi="Arial Narrow"/>
          <w:b/>
          <w:color w:val="2C9ADC"/>
        </w:rPr>
        <w:fldChar w:fldCharType="separate"/>
      </w:r>
      <w:r w:rsidR="007A664D">
        <w:rPr>
          <w:rFonts w:ascii="Arial Narrow" w:eastAsia="Calibri" w:hAnsi="Arial Narrow"/>
          <w:b/>
          <w:noProof/>
          <w:color w:val="2C9ADC"/>
        </w:rPr>
        <w:t>4</w:t>
      </w:r>
      <w:r w:rsidRPr="00F658D2">
        <w:rPr>
          <w:rFonts w:ascii="Arial Narrow" w:eastAsia="Calibri" w:hAnsi="Arial Narrow"/>
          <w:b/>
          <w:color w:val="2C9ADC"/>
        </w:rPr>
        <w:fldChar w:fldCharType="end"/>
      </w:r>
      <w:r w:rsidRPr="00F658D2">
        <w:rPr>
          <w:rFonts w:ascii="Arial Narrow" w:eastAsia="Calibri" w:hAnsi="Arial Narrow"/>
          <w:b/>
          <w:color w:val="2C9ADC"/>
        </w:rPr>
        <w:t xml:space="preserve"> – </w:t>
      </w:r>
      <w:r w:rsidRPr="005A75F6">
        <w:rPr>
          <w:rFonts w:ascii="Arial Narrow" w:eastAsia="Calibri" w:hAnsi="Arial Narrow"/>
          <w:b/>
          <w:color w:val="2C9ADC"/>
        </w:rPr>
        <w:t>Súhrn reforiem a investícií v MTP</w:t>
      </w:r>
      <w:bookmarkEnd w:id="36"/>
      <w:bookmarkEnd w:id="37"/>
      <w:r w:rsidRPr="005A75F6">
        <w:rPr>
          <w:rFonts w:ascii="Arial Narrow" w:eastAsia="Calibri" w:hAnsi="Arial Narrow"/>
          <w:b/>
          <w:color w:val="2C9ADC"/>
        </w:rPr>
        <w:t xml:space="preserve"> </w:t>
      </w:r>
    </w:p>
    <w:tbl>
      <w:tblPr>
        <w:tblStyle w:val="Mriekatabuky"/>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376"/>
        <w:gridCol w:w="1029"/>
        <w:gridCol w:w="1276"/>
        <w:gridCol w:w="1134"/>
        <w:gridCol w:w="4247"/>
      </w:tblGrid>
      <w:tr w:rsidR="009311E4" w:rsidRPr="000D09AE" w14:paraId="632313B8" w14:textId="77777777" w:rsidTr="00AC4853">
        <w:trPr>
          <w:trHeight w:val="708"/>
        </w:trPr>
        <w:tc>
          <w:tcPr>
            <w:tcW w:w="1376" w:type="dxa"/>
            <w:shd w:val="clear" w:color="auto" w:fill="00B0F0"/>
            <w:vAlign w:val="center"/>
            <w:hideMark/>
          </w:tcPr>
          <w:p w14:paraId="59D8CE52" w14:textId="77777777" w:rsidR="009311E4" w:rsidRPr="0091254D" w:rsidRDefault="009311E4" w:rsidP="00616580">
            <w:pPr>
              <w:jc w:val="center"/>
              <w:rPr>
                <w:rFonts w:ascii="Arial Narrow" w:hAnsi="Arial Narrow"/>
                <w:b/>
                <w:color w:val="FFFFFF" w:themeColor="background1"/>
                <w:sz w:val="20"/>
                <w:szCs w:val="20"/>
              </w:rPr>
            </w:pPr>
            <w:r w:rsidRPr="0091254D">
              <w:rPr>
                <w:rFonts w:ascii="Arial Narrow" w:hAnsi="Arial Narrow"/>
                <w:b/>
                <w:color w:val="FFFFFF" w:themeColor="background1"/>
                <w:sz w:val="20"/>
                <w:szCs w:val="20"/>
              </w:rPr>
              <w:t>Reforma/</w:t>
            </w:r>
            <w:r>
              <w:br/>
            </w:r>
            <w:r w:rsidRPr="0091254D">
              <w:rPr>
                <w:rFonts w:ascii="Arial Narrow" w:hAnsi="Arial Narrow"/>
                <w:b/>
                <w:bCs/>
                <w:color w:val="FFFFFF" w:themeColor="background1"/>
                <w:sz w:val="20"/>
                <w:szCs w:val="20"/>
              </w:rPr>
              <w:t>investíci</w:t>
            </w:r>
            <w:r w:rsidRPr="494DA547">
              <w:rPr>
                <w:rFonts w:ascii="Arial Narrow" w:hAnsi="Arial Narrow"/>
                <w:b/>
                <w:bCs/>
                <w:color w:val="FFFFFF" w:themeColor="background1"/>
                <w:sz w:val="20"/>
                <w:szCs w:val="20"/>
              </w:rPr>
              <w:t>a</w:t>
            </w:r>
          </w:p>
        </w:tc>
        <w:tc>
          <w:tcPr>
            <w:tcW w:w="1029" w:type="dxa"/>
            <w:shd w:val="clear" w:color="auto" w:fill="00B0F0"/>
            <w:vAlign w:val="center"/>
            <w:hideMark/>
          </w:tcPr>
          <w:p w14:paraId="6D6FFD72" w14:textId="418AFFD7" w:rsidR="009311E4" w:rsidRPr="0091254D" w:rsidRDefault="009311E4" w:rsidP="006D5279">
            <w:pPr>
              <w:jc w:val="center"/>
              <w:rPr>
                <w:rFonts w:ascii="Arial Narrow" w:hAnsi="Arial Narrow"/>
                <w:b/>
                <w:color w:val="FFFFFF" w:themeColor="background1"/>
                <w:sz w:val="20"/>
              </w:rPr>
            </w:pPr>
            <w:r>
              <w:rPr>
                <w:rFonts w:ascii="Arial Narrow" w:hAnsi="Arial Narrow"/>
                <w:b/>
                <w:color w:val="FFFFFF" w:themeColor="background1"/>
                <w:sz w:val="20"/>
              </w:rPr>
              <w:t>POO</w:t>
            </w:r>
            <w:r w:rsidRPr="0091254D">
              <w:rPr>
                <w:rFonts w:ascii="Arial Narrow" w:hAnsi="Arial Narrow"/>
                <w:b/>
                <w:color w:val="FFFFFF" w:themeColor="background1"/>
                <w:sz w:val="20"/>
              </w:rPr>
              <w:t>/</w:t>
            </w:r>
            <w:r w:rsidRPr="0091254D">
              <w:rPr>
                <w:rFonts w:ascii="Arial Narrow" w:hAnsi="Arial Narrow"/>
                <w:b/>
                <w:color w:val="FFFFFF" w:themeColor="background1"/>
                <w:sz w:val="20"/>
              </w:rPr>
              <w:br/>
            </w:r>
            <w:r w:rsidR="006D5279">
              <w:rPr>
                <w:rFonts w:ascii="Arial Narrow" w:hAnsi="Arial Narrow"/>
                <w:b/>
                <w:color w:val="FFFFFF" w:themeColor="background1"/>
                <w:sz w:val="20"/>
              </w:rPr>
              <w:t>P</w:t>
            </w:r>
            <w:r w:rsidR="00516B1F">
              <w:rPr>
                <w:rFonts w:ascii="Arial Narrow" w:hAnsi="Arial Narrow"/>
                <w:b/>
                <w:color w:val="FFFFFF" w:themeColor="background1"/>
                <w:sz w:val="20"/>
              </w:rPr>
              <w:t>D</w:t>
            </w:r>
          </w:p>
        </w:tc>
        <w:tc>
          <w:tcPr>
            <w:tcW w:w="1276" w:type="dxa"/>
            <w:shd w:val="clear" w:color="auto" w:fill="00B0F0"/>
            <w:vAlign w:val="center"/>
            <w:hideMark/>
          </w:tcPr>
          <w:p w14:paraId="7C5B0090" w14:textId="77777777" w:rsidR="009311E4" w:rsidRPr="0091254D" w:rsidRDefault="009311E4" w:rsidP="00616580">
            <w:pPr>
              <w:jc w:val="center"/>
              <w:rPr>
                <w:rFonts w:ascii="Arial Narrow" w:hAnsi="Arial Narrow"/>
                <w:color w:val="FFFFFF" w:themeColor="background1"/>
                <w:sz w:val="20"/>
              </w:rPr>
            </w:pPr>
            <w:r w:rsidRPr="0091254D">
              <w:rPr>
                <w:rFonts w:ascii="Arial Narrow" w:hAnsi="Arial Narrow"/>
                <w:b/>
                <w:color w:val="FFFFFF" w:themeColor="background1"/>
                <w:sz w:val="20"/>
              </w:rPr>
              <w:t>CSR</w:t>
            </w:r>
            <w:r w:rsidRPr="0091254D">
              <w:rPr>
                <w:rFonts w:ascii="Arial Narrow" w:hAnsi="Arial Narrow"/>
                <w:b/>
                <w:color w:val="FFFFFF" w:themeColor="background1"/>
                <w:sz w:val="20"/>
              </w:rPr>
              <w:br/>
            </w:r>
            <w:r w:rsidRPr="0091254D">
              <w:rPr>
                <w:rFonts w:ascii="Arial Narrow" w:hAnsi="Arial Narrow"/>
                <w:color w:val="FFFFFF" w:themeColor="background1"/>
                <w:sz w:val="20"/>
              </w:rPr>
              <w:t>(vrátane MIP)</w:t>
            </w:r>
          </w:p>
        </w:tc>
        <w:tc>
          <w:tcPr>
            <w:tcW w:w="1134" w:type="dxa"/>
            <w:shd w:val="clear" w:color="auto" w:fill="00B0F0"/>
            <w:vAlign w:val="center"/>
            <w:hideMark/>
          </w:tcPr>
          <w:p w14:paraId="4A3181C8" w14:textId="77777777" w:rsidR="009311E4" w:rsidRPr="0091254D" w:rsidRDefault="009311E4" w:rsidP="00616580">
            <w:pPr>
              <w:jc w:val="center"/>
              <w:rPr>
                <w:rFonts w:ascii="Arial Narrow" w:hAnsi="Arial Narrow"/>
                <w:b/>
                <w:color w:val="FFFFFF" w:themeColor="background1"/>
                <w:sz w:val="20"/>
              </w:rPr>
            </w:pPr>
            <w:r w:rsidRPr="0091254D">
              <w:rPr>
                <w:rFonts w:ascii="Arial Narrow" w:hAnsi="Arial Narrow"/>
                <w:b/>
                <w:color w:val="FFFFFF" w:themeColor="background1"/>
                <w:sz w:val="20"/>
              </w:rPr>
              <w:t>Spoločné priority</w:t>
            </w:r>
          </w:p>
        </w:tc>
        <w:tc>
          <w:tcPr>
            <w:tcW w:w="4247" w:type="dxa"/>
            <w:shd w:val="clear" w:color="auto" w:fill="00B0F0"/>
            <w:vAlign w:val="center"/>
            <w:hideMark/>
          </w:tcPr>
          <w:p w14:paraId="684CBE07" w14:textId="77777777" w:rsidR="009311E4" w:rsidRPr="0091254D" w:rsidRDefault="009311E4" w:rsidP="00616580">
            <w:pPr>
              <w:jc w:val="center"/>
              <w:rPr>
                <w:rFonts w:ascii="Arial Narrow" w:hAnsi="Arial Narrow"/>
                <w:b/>
                <w:color w:val="FFFFFF" w:themeColor="background1"/>
                <w:sz w:val="20"/>
              </w:rPr>
            </w:pPr>
            <w:r w:rsidRPr="0091254D">
              <w:rPr>
                <w:rFonts w:ascii="Arial Narrow" w:hAnsi="Arial Narrow"/>
                <w:b/>
                <w:color w:val="FFFFFF" w:themeColor="background1"/>
                <w:sz w:val="20"/>
              </w:rPr>
              <w:t>Hlavný cieľ</w:t>
            </w:r>
          </w:p>
        </w:tc>
      </w:tr>
      <w:tr w:rsidR="009311E4" w:rsidRPr="000D09AE" w14:paraId="410961EB" w14:textId="77777777" w:rsidTr="00AC4853">
        <w:trPr>
          <w:trHeight w:val="3109"/>
        </w:trPr>
        <w:tc>
          <w:tcPr>
            <w:tcW w:w="1376" w:type="dxa"/>
            <w:vAlign w:val="center"/>
            <w:hideMark/>
          </w:tcPr>
          <w:p w14:paraId="53B85960" w14:textId="77777777"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t>Reforma 1:</w:t>
            </w:r>
            <w:r w:rsidRPr="000D09AE">
              <w:rPr>
                <w:rFonts w:ascii="Arial Narrow" w:hAnsi="Arial Narrow"/>
                <w:sz w:val="16"/>
                <w:szCs w:val="16"/>
              </w:rPr>
              <w:t xml:space="preserve"> </w:t>
            </w:r>
            <w:r w:rsidRPr="000D09AE">
              <w:rPr>
                <w:rFonts w:ascii="Arial Narrow" w:hAnsi="Arial Narrow"/>
                <w:sz w:val="16"/>
                <w:szCs w:val="16"/>
              </w:rPr>
              <w:br/>
              <w:t>Nahradenie rodičovského dôchodku daňovou asignáciou rodičom</w:t>
            </w:r>
          </w:p>
        </w:tc>
        <w:tc>
          <w:tcPr>
            <w:tcW w:w="1029" w:type="dxa"/>
            <w:noWrap/>
            <w:vAlign w:val="center"/>
            <w:hideMark/>
          </w:tcPr>
          <w:p w14:paraId="6249A86A" w14:textId="77777777" w:rsidR="009311E4" w:rsidRPr="000D09AE" w:rsidRDefault="009311E4" w:rsidP="00616580">
            <w:pPr>
              <w:jc w:val="center"/>
              <w:rPr>
                <w:rFonts w:ascii="Arial Narrow" w:hAnsi="Arial Narrow"/>
                <w:sz w:val="16"/>
                <w:szCs w:val="16"/>
              </w:rPr>
            </w:pPr>
            <w:r>
              <w:rPr>
                <w:rFonts w:ascii="Arial Narrow" w:hAnsi="Arial Narrow"/>
                <w:sz w:val="16"/>
                <w:szCs w:val="16"/>
              </w:rPr>
              <w:t>-</w:t>
            </w:r>
          </w:p>
        </w:tc>
        <w:tc>
          <w:tcPr>
            <w:tcW w:w="1276" w:type="dxa"/>
            <w:vAlign w:val="center"/>
            <w:hideMark/>
          </w:tcPr>
          <w:p w14:paraId="3ECEE3F8"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2019.CSR1.2</w:t>
            </w:r>
            <w:r w:rsidRPr="000D09AE">
              <w:rPr>
                <w:rFonts w:ascii="Arial Narrow" w:hAnsi="Arial Narrow"/>
                <w:sz w:val="16"/>
                <w:szCs w:val="16"/>
              </w:rPr>
              <w:br/>
              <w:t>2024.CSR1.4</w:t>
            </w:r>
            <w:r w:rsidRPr="000D09AE">
              <w:rPr>
                <w:rFonts w:ascii="Arial Narrow" w:hAnsi="Arial Narrow"/>
                <w:sz w:val="16"/>
                <w:szCs w:val="16"/>
              </w:rPr>
              <w:br/>
              <w:t>2024.CSR3.3</w:t>
            </w:r>
          </w:p>
        </w:tc>
        <w:tc>
          <w:tcPr>
            <w:tcW w:w="1134" w:type="dxa"/>
            <w:vAlign w:val="center"/>
            <w:hideMark/>
          </w:tcPr>
          <w:p w14:paraId="220C656E"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Žiadne</w:t>
            </w:r>
          </w:p>
        </w:tc>
        <w:tc>
          <w:tcPr>
            <w:tcW w:w="4247" w:type="dxa"/>
            <w:hideMark/>
          </w:tcPr>
          <w:p w14:paraId="509BF99D" w14:textId="5DDB5149" w:rsidR="009311E4" w:rsidRDefault="009311E4" w:rsidP="00616580">
            <w:pPr>
              <w:jc w:val="both"/>
              <w:rPr>
                <w:rFonts w:ascii="Arial Narrow" w:hAnsi="Arial Narrow"/>
                <w:sz w:val="18"/>
                <w:szCs w:val="18"/>
              </w:rPr>
            </w:pPr>
            <w:r w:rsidRPr="000D09AE">
              <w:rPr>
                <w:rFonts w:ascii="Arial Narrow" w:hAnsi="Arial Narrow"/>
                <w:sz w:val="18"/>
                <w:szCs w:val="18"/>
              </w:rPr>
              <w:t>Rodičovský dôchodok bol zavedený ako súčasť dôchodkovej reformy v roku 2022, no výrazne oslabil jej pozitívny vplyv na dlhodobú udržateľnosť verejných financií</w:t>
            </w:r>
            <w:r>
              <w:rPr>
                <w:rFonts w:ascii="Arial Narrow" w:hAnsi="Arial Narrow"/>
                <w:sz w:val="18"/>
                <w:szCs w:val="18"/>
              </w:rPr>
              <w:t>, keď náklady na jeho financovanie vytvárali tlak na verejné financie už v strednom období</w:t>
            </w:r>
            <w:r w:rsidRPr="000D09AE">
              <w:rPr>
                <w:rFonts w:ascii="Arial Narrow" w:hAnsi="Arial Narrow"/>
                <w:sz w:val="18"/>
                <w:szCs w:val="18"/>
              </w:rPr>
              <w:t xml:space="preserve">. Navrhované opatrenie nadväzuje na cieľ </w:t>
            </w:r>
            <w:r>
              <w:rPr>
                <w:rFonts w:ascii="Arial Narrow" w:hAnsi="Arial Narrow"/>
                <w:sz w:val="18"/>
                <w:szCs w:val="18"/>
              </w:rPr>
              <w:t>POO</w:t>
            </w:r>
            <w:r w:rsidRPr="000D09AE">
              <w:rPr>
                <w:rFonts w:ascii="Arial Narrow" w:hAnsi="Arial Narrow"/>
                <w:sz w:val="18"/>
                <w:szCs w:val="18"/>
              </w:rPr>
              <w:t xml:space="preserve"> zlepšiť dlhodobú udržateľnosť dôchodkového systému tým, že nahradí existujúci rodičovský dôchodok mechanizmom umožňujúcim poukázanie časti zaplatenej dane rodičom. Tento mechanizmus umožní dodatočnú asignáciu nad rámec súčasných 2</w:t>
            </w:r>
            <w:r w:rsidR="00066513">
              <w:rPr>
                <w:rFonts w:ascii="Arial Narrow" w:hAnsi="Arial Narrow"/>
                <w:sz w:val="18"/>
                <w:szCs w:val="18"/>
              </w:rPr>
              <w:t>/3</w:t>
            </w:r>
            <w:r w:rsidRPr="000D09AE">
              <w:rPr>
                <w:rFonts w:ascii="Arial Narrow" w:hAnsi="Arial Narrow"/>
                <w:sz w:val="18"/>
                <w:szCs w:val="18"/>
              </w:rPr>
              <w:t xml:space="preserve"> % (ktoré sa asignujú </w:t>
            </w:r>
            <w:r>
              <w:rPr>
                <w:rFonts w:ascii="Arial Narrow" w:hAnsi="Arial Narrow"/>
                <w:sz w:val="18"/>
                <w:szCs w:val="18"/>
              </w:rPr>
              <w:t>na verejnoprospešný účel</w:t>
            </w:r>
            <w:r w:rsidRPr="000D09AE">
              <w:rPr>
                <w:rFonts w:ascii="Arial Narrow" w:hAnsi="Arial Narrow"/>
                <w:sz w:val="18"/>
                <w:szCs w:val="18"/>
              </w:rPr>
              <w:t>), čím sa vytvorí možnosť asignácie 2</w:t>
            </w:r>
            <w:r w:rsidR="00066513">
              <w:rPr>
                <w:rFonts w:ascii="Arial Narrow" w:hAnsi="Arial Narrow"/>
                <w:sz w:val="18"/>
                <w:szCs w:val="18"/>
              </w:rPr>
              <w:t>/3</w:t>
            </w:r>
            <w:r w:rsidRPr="000D09AE">
              <w:rPr>
                <w:rFonts w:ascii="Arial Narrow" w:hAnsi="Arial Narrow"/>
                <w:sz w:val="18"/>
                <w:szCs w:val="18"/>
              </w:rPr>
              <w:t xml:space="preserve">+2+2 % v prípade dvoch rodičov. </w:t>
            </w:r>
          </w:p>
          <w:p w14:paraId="0AC3CEE9" w14:textId="77777777" w:rsidR="009311E4" w:rsidRDefault="009311E4" w:rsidP="00616580">
            <w:pPr>
              <w:jc w:val="both"/>
              <w:rPr>
                <w:rFonts w:ascii="Arial Narrow" w:hAnsi="Arial Narrow"/>
                <w:sz w:val="18"/>
                <w:szCs w:val="18"/>
              </w:rPr>
            </w:pPr>
          </w:p>
          <w:p w14:paraId="14E57014" w14:textId="77777777" w:rsidR="009311E4" w:rsidRPr="000D09AE" w:rsidRDefault="009311E4" w:rsidP="00616580">
            <w:pPr>
              <w:jc w:val="both"/>
              <w:rPr>
                <w:rFonts w:ascii="Arial Narrow" w:hAnsi="Arial Narrow"/>
                <w:sz w:val="18"/>
                <w:szCs w:val="18"/>
              </w:rPr>
            </w:pPr>
            <w:r w:rsidRPr="000D09AE">
              <w:rPr>
                <w:rFonts w:ascii="Arial Narrow" w:hAnsi="Arial Narrow"/>
                <w:sz w:val="18"/>
                <w:szCs w:val="18"/>
              </w:rPr>
              <w:t xml:space="preserve">Nový mechanizmus zníži hodnotu rodičovského dôchodku pre väčšinu dôchodcov a zníži výdavky o 0,25 % HDP v roku 2025, keď sa pôvodný rodičovský dôchodok prestane vyplácať, a o 0,21 % HDP </w:t>
            </w:r>
            <w:r>
              <w:rPr>
                <w:rFonts w:ascii="Arial Narrow" w:hAnsi="Arial Narrow"/>
                <w:sz w:val="18"/>
                <w:szCs w:val="18"/>
              </w:rPr>
              <w:t>štrukturálne na horizonte plánu</w:t>
            </w:r>
            <w:r w:rsidRPr="000D09AE">
              <w:rPr>
                <w:rFonts w:ascii="Arial Narrow" w:hAnsi="Arial Narrow"/>
                <w:sz w:val="18"/>
                <w:szCs w:val="18"/>
              </w:rPr>
              <w:t xml:space="preserve">, keď sa </w:t>
            </w:r>
            <w:r>
              <w:rPr>
                <w:rFonts w:ascii="Arial Narrow" w:hAnsi="Arial Narrow"/>
                <w:sz w:val="18"/>
                <w:szCs w:val="18"/>
              </w:rPr>
              <w:t xml:space="preserve">prejaví už aj vplyv </w:t>
            </w:r>
            <w:r w:rsidRPr="000D09AE">
              <w:rPr>
                <w:rFonts w:ascii="Arial Narrow" w:hAnsi="Arial Narrow"/>
                <w:sz w:val="18"/>
                <w:szCs w:val="18"/>
              </w:rPr>
              <w:t>nov</w:t>
            </w:r>
            <w:r>
              <w:rPr>
                <w:rFonts w:ascii="Arial Narrow" w:hAnsi="Arial Narrow"/>
                <w:sz w:val="18"/>
                <w:szCs w:val="18"/>
              </w:rPr>
              <w:t>ého</w:t>
            </w:r>
            <w:r w:rsidRPr="000D09AE">
              <w:rPr>
                <w:rFonts w:ascii="Arial Narrow" w:hAnsi="Arial Narrow"/>
                <w:sz w:val="18"/>
                <w:szCs w:val="18"/>
              </w:rPr>
              <w:t xml:space="preserve"> mechanizmu</w:t>
            </w:r>
            <w:r>
              <w:rPr>
                <w:rFonts w:ascii="Arial Narrow" w:hAnsi="Arial Narrow"/>
                <w:sz w:val="18"/>
                <w:szCs w:val="18"/>
              </w:rPr>
              <w:t>.</w:t>
            </w:r>
          </w:p>
        </w:tc>
      </w:tr>
      <w:tr w:rsidR="009311E4" w:rsidRPr="000D09AE" w14:paraId="2BCDCB0B" w14:textId="77777777" w:rsidTr="00AC4853">
        <w:trPr>
          <w:trHeight w:val="3253"/>
        </w:trPr>
        <w:tc>
          <w:tcPr>
            <w:tcW w:w="1376" w:type="dxa"/>
            <w:vAlign w:val="center"/>
            <w:hideMark/>
          </w:tcPr>
          <w:p w14:paraId="1FFE461F" w14:textId="77777777"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t xml:space="preserve">Reforma 2: </w:t>
            </w:r>
            <w:r w:rsidRPr="000D09AE">
              <w:rPr>
                <w:rFonts w:ascii="Arial Narrow" w:hAnsi="Arial Narrow"/>
                <w:sz w:val="16"/>
                <w:szCs w:val="16"/>
              </w:rPr>
              <w:t xml:space="preserve"> Adresnejší daňový bonus</w:t>
            </w:r>
          </w:p>
        </w:tc>
        <w:tc>
          <w:tcPr>
            <w:tcW w:w="1029" w:type="dxa"/>
            <w:noWrap/>
            <w:vAlign w:val="center"/>
            <w:hideMark/>
          </w:tcPr>
          <w:p w14:paraId="78D4CD41" w14:textId="77777777" w:rsidR="009311E4" w:rsidRPr="000D09AE" w:rsidRDefault="009311E4" w:rsidP="00616580">
            <w:pPr>
              <w:jc w:val="center"/>
              <w:rPr>
                <w:rFonts w:ascii="Arial Narrow" w:hAnsi="Arial Narrow"/>
                <w:sz w:val="16"/>
                <w:szCs w:val="16"/>
              </w:rPr>
            </w:pPr>
            <w:r>
              <w:rPr>
                <w:rFonts w:ascii="Arial Narrow" w:hAnsi="Arial Narrow"/>
                <w:sz w:val="16"/>
                <w:szCs w:val="16"/>
              </w:rPr>
              <w:t>-</w:t>
            </w:r>
          </w:p>
        </w:tc>
        <w:tc>
          <w:tcPr>
            <w:tcW w:w="1276" w:type="dxa"/>
            <w:vAlign w:val="center"/>
            <w:hideMark/>
          </w:tcPr>
          <w:p w14:paraId="16D32715"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br/>
              <w:t>2022.CSR1.4</w:t>
            </w:r>
            <w:r w:rsidRPr="000D09AE">
              <w:rPr>
                <w:rFonts w:ascii="Arial Narrow" w:hAnsi="Arial Narrow"/>
                <w:sz w:val="16"/>
                <w:szCs w:val="16"/>
              </w:rPr>
              <w:br/>
              <w:t>2023.CSR1.5</w:t>
            </w:r>
            <w:r w:rsidRPr="000D09AE">
              <w:rPr>
                <w:rFonts w:ascii="Arial Narrow" w:hAnsi="Arial Narrow"/>
                <w:sz w:val="16"/>
                <w:szCs w:val="16"/>
              </w:rPr>
              <w:br/>
              <w:t>2024.CSR1.3</w:t>
            </w:r>
            <w:r w:rsidRPr="000D09AE">
              <w:rPr>
                <w:rFonts w:ascii="Arial Narrow" w:hAnsi="Arial Narrow"/>
                <w:sz w:val="16"/>
                <w:szCs w:val="16"/>
              </w:rPr>
              <w:br/>
              <w:t>2024.CSR1.4</w:t>
            </w:r>
            <w:r w:rsidRPr="000D09AE">
              <w:rPr>
                <w:rFonts w:ascii="Arial Narrow" w:hAnsi="Arial Narrow"/>
                <w:sz w:val="16"/>
                <w:szCs w:val="16"/>
              </w:rPr>
              <w:br/>
              <w:t>2024.CSR3.3</w:t>
            </w:r>
          </w:p>
        </w:tc>
        <w:tc>
          <w:tcPr>
            <w:tcW w:w="1134" w:type="dxa"/>
            <w:vAlign w:val="center"/>
            <w:hideMark/>
          </w:tcPr>
          <w:p w14:paraId="3D8F1CD5"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Posilnenie sociálnej a hospodárskej odolnosti</w:t>
            </w:r>
          </w:p>
        </w:tc>
        <w:tc>
          <w:tcPr>
            <w:tcW w:w="4247" w:type="dxa"/>
            <w:hideMark/>
          </w:tcPr>
          <w:p w14:paraId="3651E6CE" w14:textId="77777777" w:rsidR="009311E4" w:rsidRDefault="009311E4" w:rsidP="00616580">
            <w:pPr>
              <w:rPr>
                <w:rFonts w:ascii="Arial Narrow" w:hAnsi="Arial Narrow"/>
                <w:sz w:val="18"/>
                <w:szCs w:val="18"/>
              </w:rPr>
            </w:pPr>
            <w:r w:rsidRPr="000D09AE">
              <w:rPr>
                <w:rFonts w:ascii="Arial Narrow" w:hAnsi="Arial Narrow"/>
                <w:sz w:val="18"/>
                <w:szCs w:val="18"/>
              </w:rPr>
              <w:t xml:space="preserve">Cieľom reformy daňového bonusu (DB) </w:t>
            </w:r>
            <w:r>
              <w:rPr>
                <w:rFonts w:ascii="Arial Narrow" w:hAnsi="Arial Narrow"/>
                <w:sz w:val="18"/>
                <w:szCs w:val="18"/>
              </w:rPr>
              <w:t xml:space="preserve">na dieťa </w:t>
            </w:r>
            <w:r w:rsidRPr="000D09AE">
              <w:rPr>
                <w:rFonts w:ascii="Arial Narrow" w:hAnsi="Arial Narrow"/>
                <w:sz w:val="18"/>
                <w:szCs w:val="18"/>
              </w:rPr>
              <w:t>je prispieť k zlepšeniu stavu verejných financií prostredníctvom cielenejšej podpory rodín s deťmi, najmä so zameraním na nízkopríjmové domácnosti.</w:t>
            </w:r>
            <w:r w:rsidRPr="000D09AE">
              <w:rPr>
                <w:rFonts w:ascii="Arial Narrow" w:hAnsi="Arial Narrow"/>
                <w:sz w:val="18"/>
                <w:szCs w:val="18"/>
              </w:rPr>
              <w:br/>
            </w:r>
            <w:r w:rsidRPr="000D09AE">
              <w:rPr>
                <w:rFonts w:ascii="Arial Narrow" w:hAnsi="Arial Narrow"/>
                <w:sz w:val="18"/>
                <w:szCs w:val="18"/>
              </w:rPr>
              <w:br/>
              <w:t>Kľúčové parametrické úpravy v DB:</w:t>
            </w:r>
            <w:r w:rsidRPr="000D09AE">
              <w:rPr>
                <w:rFonts w:ascii="Arial Narrow" w:hAnsi="Arial Narrow"/>
                <w:sz w:val="18"/>
                <w:szCs w:val="18"/>
              </w:rPr>
              <w:br/>
              <w:t xml:space="preserve">1) Nárok na celý DB </w:t>
            </w:r>
            <w:r>
              <w:rPr>
                <w:rFonts w:ascii="Arial Narrow" w:hAnsi="Arial Narrow"/>
                <w:sz w:val="18"/>
                <w:szCs w:val="18"/>
              </w:rPr>
              <w:t xml:space="preserve">(100 €) </w:t>
            </w:r>
            <w:r w:rsidRPr="000D09AE">
              <w:rPr>
                <w:rFonts w:ascii="Arial Narrow" w:hAnsi="Arial Narrow"/>
                <w:sz w:val="18"/>
                <w:szCs w:val="18"/>
              </w:rPr>
              <w:t xml:space="preserve">pri 1. dieťati </w:t>
            </w:r>
            <w:r>
              <w:rPr>
                <w:rFonts w:ascii="Arial Narrow" w:hAnsi="Arial Narrow"/>
                <w:sz w:val="18"/>
                <w:szCs w:val="18"/>
              </w:rPr>
              <w:t xml:space="preserve">do 18. rokov </w:t>
            </w:r>
            <w:r w:rsidRPr="000D09AE">
              <w:rPr>
                <w:rFonts w:ascii="Arial Narrow" w:hAnsi="Arial Narrow"/>
                <w:sz w:val="18"/>
                <w:szCs w:val="18"/>
              </w:rPr>
              <w:t>aj pre ľudí s</w:t>
            </w:r>
            <w:r>
              <w:rPr>
                <w:rFonts w:ascii="Arial Narrow" w:hAnsi="Arial Narrow"/>
                <w:sz w:val="18"/>
                <w:szCs w:val="18"/>
              </w:rPr>
              <w:t> </w:t>
            </w:r>
            <w:r w:rsidRPr="000D09AE">
              <w:rPr>
                <w:rFonts w:ascii="Arial Narrow" w:hAnsi="Arial Narrow"/>
                <w:sz w:val="18"/>
                <w:szCs w:val="18"/>
              </w:rPr>
              <w:t>nízkym príjmom (100 % DB už pri polovici minimálnej mzdy</w:t>
            </w:r>
            <w:r>
              <w:rPr>
                <w:rFonts w:ascii="Arial Narrow" w:hAnsi="Arial Narrow"/>
                <w:sz w:val="18"/>
                <w:szCs w:val="18"/>
              </w:rPr>
              <w:t>, bez úpravy by bol nárok na úrovni 73 %</w:t>
            </w:r>
            <w:r w:rsidRPr="000D09AE">
              <w:rPr>
                <w:rFonts w:ascii="Arial Narrow" w:hAnsi="Arial Narrow"/>
                <w:sz w:val="18"/>
                <w:szCs w:val="18"/>
              </w:rPr>
              <w:t xml:space="preserve">). </w:t>
            </w:r>
            <w:r w:rsidRPr="000D09AE">
              <w:rPr>
                <w:rFonts w:ascii="Arial Narrow" w:hAnsi="Arial Narrow"/>
                <w:sz w:val="18"/>
                <w:szCs w:val="18"/>
              </w:rPr>
              <w:br/>
              <w:t xml:space="preserve">2) Zrušenie DB </w:t>
            </w:r>
            <w:r>
              <w:rPr>
                <w:rFonts w:ascii="Arial Narrow" w:hAnsi="Arial Narrow"/>
                <w:sz w:val="18"/>
                <w:szCs w:val="18"/>
              </w:rPr>
              <w:t xml:space="preserve">(50 €) </w:t>
            </w:r>
            <w:r w:rsidRPr="000D09AE">
              <w:rPr>
                <w:rFonts w:ascii="Arial Narrow" w:hAnsi="Arial Narrow"/>
                <w:sz w:val="18"/>
                <w:szCs w:val="18"/>
              </w:rPr>
              <w:t>pre deti vo veku 18 rokov a</w:t>
            </w:r>
            <w:r>
              <w:rPr>
                <w:rFonts w:ascii="Arial Narrow" w:hAnsi="Arial Narrow"/>
                <w:sz w:val="18"/>
                <w:szCs w:val="18"/>
              </w:rPr>
              <w:t> </w:t>
            </w:r>
            <w:r w:rsidRPr="000D09AE">
              <w:rPr>
                <w:rFonts w:ascii="Arial Narrow" w:hAnsi="Arial Narrow"/>
                <w:sz w:val="18"/>
                <w:szCs w:val="18"/>
              </w:rPr>
              <w:t>viac.</w:t>
            </w:r>
            <w:r w:rsidRPr="000D09AE">
              <w:rPr>
                <w:rFonts w:ascii="Arial Narrow" w:hAnsi="Arial Narrow"/>
                <w:sz w:val="18"/>
                <w:szCs w:val="18"/>
              </w:rPr>
              <w:br/>
              <w:t>3) 100 % nárok pri nízkopríjmových (na úrovni MM) s</w:t>
            </w:r>
            <w:r>
              <w:rPr>
                <w:rFonts w:ascii="Arial Narrow" w:hAnsi="Arial Narrow"/>
                <w:sz w:val="18"/>
                <w:szCs w:val="18"/>
              </w:rPr>
              <w:t> </w:t>
            </w:r>
            <w:r w:rsidRPr="000D09AE">
              <w:rPr>
                <w:rFonts w:ascii="Arial Narrow" w:hAnsi="Arial Narrow"/>
                <w:sz w:val="18"/>
                <w:szCs w:val="18"/>
              </w:rPr>
              <w:t>3 deťmi</w:t>
            </w:r>
            <w:r>
              <w:rPr>
                <w:rFonts w:ascii="Arial Narrow" w:hAnsi="Arial Narrow"/>
                <w:sz w:val="18"/>
                <w:szCs w:val="18"/>
              </w:rPr>
              <w:t xml:space="preserve"> do 18 rokov (bez úpravy by nárok zodpovedal 80 %)</w:t>
            </w:r>
            <w:r w:rsidRPr="000D09AE">
              <w:rPr>
                <w:rFonts w:ascii="Arial Narrow" w:hAnsi="Arial Narrow"/>
                <w:sz w:val="18"/>
                <w:szCs w:val="18"/>
              </w:rPr>
              <w:t>.</w:t>
            </w:r>
            <w:r w:rsidRPr="000D09AE">
              <w:rPr>
                <w:rFonts w:ascii="Arial Narrow" w:hAnsi="Arial Narrow"/>
                <w:sz w:val="18"/>
                <w:szCs w:val="18"/>
              </w:rPr>
              <w:br/>
              <w:t>4) Krátenie DB s rastúcim príjmom od hrubej mzdy 2 477 eur pričom úplná strata nároku nastáva pri príjme 3 458 eur.</w:t>
            </w:r>
            <w:r w:rsidRPr="000D09AE">
              <w:rPr>
                <w:rFonts w:ascii="Arial Narrow" w:hAnsi="Arial Narrow"/>
                <w:sz w:val="18"/>
                <w:szCs w:val="18"/>
              </w:rPr>
              <w:br/>
              <w:t>5) Daňový bonus sa do ďalších rokov automaticky nezvyšuje (fixné sumy)</w:t>
            </w:r>
            <w:r>
              <w:rPr>
                <w:rFonts w:ascii="Arial Narrow" w:hAnsi="Arial Narrow"/>
                <w:sz w:val="18"/>
                <w:szCs w:val="18"/>
              </w:rPr>
              <w:t xml:space="preserve"> - diskrečné opatrenie vlády na horizonte plánu</w:t>
            </w:r>
            <w:r w:rsidRPr="000D09AE">
              <w:rPr>
                <w:rFonts w:ascii="Arial Narrow" w:hAnsi="Arial Narrow"/>
                <w:sz w:val="18"/>
                <w:szCs w:val="18"/>
              </w:rPr>
              <w:t>.</w:t>
            </w:r>
            <w:r w:rsidRPr="000D09AE">
              <w:rPr>
                <w:rFonts w:ascii="Arial Narrow" w:hAnsi="Arial Narrow"/>
                <w:sz w:val="18"/>
                <w:szCs w:val="18"/>
              </w:rPr>
              <w:br/>
            </w:r>
          </w:p>
          <w:p w14:paraId="7F1034FD" w14:textId="77777777" w:rsidR="009311E4" w:rsidRPr="000D09AE" w:rsidRDefault="009311E4" w:rsidP="00616580">
            <w:pPr>
              <w:rPr>
                <w:rFonts w:ascii="Arial Narrow" w:hAnsi="Arial Narrow"/>
                <w:sz w:val="18"/>
                <w:szCs w:val="18"/>
              </w:rPr>
            </w:pPr>
            <w:r w:rsidRPr="000D09AE">
              <w:rPr>
                <w:rFonts w:ascii="Arial Narrow" w:hAnsi="Arial Narrow"/>
                <w:sz w:val="18"/>
                <w:szCs w:val="18"/>
              </w:rPr>
              <w:t xml:space="preserve">Odhaduje sa, že opatrenie </w:t>
            </w:r>
            <w:r>
              <w:rPr>
                <w:rFonts w:ascii="Arial Narrow" w:hAnsi="Arial Narrow"/>
                <w:sz w:val="18"/>
                <w:szCs w:val="18"/>
              </w:rPr>
              <w:t xml:space="preserve">štrukturálne </w:t>
            </w:r>
            <w:r w:rsidRPr="000D09AE">
              <w:rPr>
                <w:rFonts w:ascii="Arial Narrow" w:hAnsi="Arial Narrow"/>
                <w:sz w:val="18"/>
                <w:szCs w:val="18"/>
              </w:rPr>
              <w:t xml:space="preserve">zníži daňové výdavky </w:t>
            </w:r>
            <w:r>
              <w:rPr>
                <w:rFonts w:ascii="Arial Narrow" w:hAnsi="Arial Narrow"/>
                <w:sz w:val="18"/>
                <w:szCs w:val="18"/>
              </w:rPr>
              <w:t xml:space="preserve">na horizonte plánu </w:t>
            </w:r>
            <w:r w:rsidRPr="000D09AE">
              <w:rPr>
                <w:rFonts w:ascii="Arial Narrow" w:hAnsi="Arial Narrow"/>
                <w:sz w:val="18"/>
                <w:szCs w:val="18"/>
              </w:rPr>
              <w:t>o 0,12 % HDP</w:t>
            </w:r>
            <w:r>
              <w:rPr>
                <w:rFonts w:ascii="Arial Narrow" w:hAnsi="Arial Narrow"/>
                <w:sz w:val="18"/>
                <w:szCs w:val="18"/>
              </w:rPr>
              <w:t>.</w:t>
            </w:r>
            <w:r w:rsidRPr="000D09AE">
              <w:rPr>
                <w:rFonts w:ascii="Arial Narrow" w:hAnsi="Arial Narrow"/>
                <w:sz w:val="18"/>
                <w:szCs w:val="18"/>
              </w:rPr>
              <w:t xml:space="preserve"> </w:t>
            </w:r>
          </w:p>
        </w:tc>
      </w:tr>
      <w:tr w:rsidR="009311E4" w:rsidRPr="000D09AE" w14:paraId="1893D766" w14:textId="77777777" w:rsidTr="00AC4853">
        <w:trPr>
          <w:trHeight w:val="1418"/>
        </w:trPr>
        <w:tc>
          <w:tcPr>
            <w:tcW w:w="1376" w:type="dxa"/>
            <w:vAlign w:val="center"/>
            <w:hideMark/>
          </w:tcPr>
          <w:p w14:paraId="10F325AA" w14:textId="77777777"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t>Reforma 3:</w:t>
            </w:r>
            <w:r w:rsidRPr="000D09AE">
              <w:rPr>
                <w:rFonts w:ascii="Arial Narrow" w:hAnsi="Arial Narrow"/>
                <w:b/>
                <w:bCs/>
                <w:sz w:val="16"/>
                <w:szCs w:val="16"/>
              </w:rPr>
              <w:br/>
            </w:r>
            <w:r w:rsidRPr="000D09AE">
              <w:rPr>
                <w:rFonts w:ascii="Arial Narrow" w:hAnsi="Arial Narrow"/>
                <w:sz w:val="16"/>
                <w:szCs w:val="16"/>
              </w:rPr>
              <w:t>Zníženie mzdových výdavkov vo verejnom sektore</w:t>
            </w:r>
          </w:p>
        </w:tc>
        <w:tc>
          <w:tcPr>
            <w:tcW w:w="1029" w:type="dxa"/>
            <w:vAlign w:val="center"/>
            <w:hideMark/>
          </w:tcPr>
          <w:p w14:paraId="5AF894DE" w14:textId="77777777" w:rsidR="009311E4" w:rsidRPr="000D09AE" w:rsidRDefault="009311E4" w:rsidP="00616580">
            <w:pPr>
              <w:jc w:val="center"/>
              <w:rPr>
                <w:rFonts w:ascii="Arial Narrow" w:hAnsi="Arial Narrow"/>
                <w:sz w:val="16"/>
                <w:szCs w:val="16"/>
              </w:rPr>
            </w:pPr>
            <w:r>
              <w:rPr>
                <w:rFonts w:ascii="Arial Narrow" w:hAnsi="Arial Narrow"/>
                <w:sz w:val="16"/>
                <w:szCs w:val="16"/>
              </w:rPr>
              <w:t>-</w:t>
            </w:r>
          </w:p>
        </w:tc>
        <w:tc>
          <w:tcPr>
            <w:tcW w:w="1276" w:type="dxa"/>
            <w:vAlign w:val="center"/>
            <w:hideMark/>
          </w:tcPr>
          <w:p w14:paraId="0D73E5A3"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2024.CSR1.4</w:t>
            </w:r>
          </w:p>
        </w:tc>
        <w:tc>
          <w:tcPr>
            <w:tcW w:w="1134" w:type="dxa"/>
            <w:vAlign w:val="center"/>
            <w:hideMark/>
          </w:tcPr>
          <w:p w14:paraId="323D61A7"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Žiadne</w:t>
            </w:r>
          </w:p>
        </w:tc>
        <w:tc>
          <w:tcPr>
            <w:tcW w:w="4247" w:type="dxa"/>
            <w:hideMark/>
          </w:tcPr>
          <w:p w14:paraId="77D8096C" w14:textId="77777777" w:rsidR="009311E4" w:rsidRDefault="009311E4" w:rsidP="00616580">
            <w:pPr>
              <w:jc w:val="both"/>
              <w:rPr>
                <w:rFonts w:ascii="Arial Narrow" w:hAnsi="Arial Narrow"/>
                <w:sz w:val="18"/>
                <w:szCs w:val="18"/>
              </w:rPr>
            </w:pPr>
            <w:r w:rsidRPr="000D09AE">
              <w:rPr>
                <w:rFonts w:ascii="Arial Narrow" w:hAnsi="Arial Narrow"/>
                <w:sz w:val="18"/>
                <w:szCs w:val="18"/>
              </w:rPr>
              <w:t xml:space="preserve">Cieľom opatrenia je znížiť osobné výdavky a limity pre </w:t>
            </w:r>
            <w:r>
              <w:rPr>
                <w:rFonts w:ascii="Arial Narrow" w:hAnsi="Arial Narrow"/>
                <w:sz w:val="18"/>
                <w:szCs w:val="18"/>
              </w:rPr>
              <w:t xml:space="preserve">vybraných štátnych </w:t>
            </w:r>
            <w:r w:rsidRPr="000D09AE">
              <w:rPr>
                <w:rFonts w:ascii="Arial Narrow" w:hAnsi="Arial Narrow"/>
                <w:sz w:val="18"/>
                <w:szCs w:val="18"/>
              </w:rPr>
              <w:t xml:space="preserve">zamestnancov </w:t>
            </w:r>
            <w:r>
              <w:rPr>
                <w:rFonts w:ascii="Arial Narrow" w:hAnsi="Arial Narrow"/>
                <w:sz w:val="18"/>
                <w:szCs w:val="18"/>
              </w:rPr>
              <w:t>a zamestnancov vo verejnom záujme</w:t>
            </w:r>
            <w:r w:rsidRPr="000D09AE">
              <w:rPr>
                <w:rFonts w:ascii="Arial Narrow" w:hAnsi="Arial Narrow"/>
                <w:sz w:val="18"/>
                <w:szCs w:val="18"/>
              </w:rPr>
              <w:t xml:space="preserve"> od 1. januára 2025, čo </w:t>
            </w:r>
            <w:r>
              <w:rPr>
                <w:rFonts w:ascii="Arial Narrow" w:hAnsi="Arial Narrow"/>
                <w:sz w:val="18"/>
                <w:szCs w:val="18"/>
              </w:rPr>
              <w:t xml:space="preserve">by zodpovedalo </w:t>
            </w:r>
            <w:r w:rsidRPr="000D09AE">
              <w:rPr>
                <w:rFonts w:ascii="Arial Narrow" w:hAnsi="Arial Narrow"/>
                <w:sz w:val="18"/>
                <w:szCs w:val="18"/>
              </w:rPr>
              <w:t xml:space="preserve">zníženiu počtu </w:t>
            </w:r>
            <w:r>
              <w:rPr>
                <w:rFonts w:ascii="Arial Narrow" w:hAnsi="Arial Narrow"/>
                <w:sz w:val="18"/>
                <w:szCs w:val="18"/>
              </w:rPr>
              <w:t xml:space="preserve">uvedených </w:t>
            </w:r>
            <w:r w:rsidRPr="000D09AE">
              <w:rPr>
                <w:rFonts w:ascii="Arial Narrow" w:hAnsi="Arial Narrow"/>
                <w:sz w:val="18"/>
                <w:szCs w:val="18"/>
              </w:rPr>
              <w:t>zamestnancov o približne 5 000 v rokoch 2025 až 2027</w:t>
            </w:r>
            <w:r>
              <w:rPr>
                <w:rFonts w:ascii="Arial Narrow" w:hAnsi="Arial Narrow"/>
                <w:sz w:val="18"/>
                <w:szCs w:val="18"/>
              </w:rPr>
              <w:t>, pričom rezorty môžu šetriť aj</w:t>
            </w:r>
            <w:r w:rsidRPr="000D09AE">
              <w:rPr>
                <w:rFonts w:ascii="Arial Narrow" w:hAnsi="Arial Narrow"/>
                <w:sz w:val="18"/>
                <w:szCs w:val="18"/>
              </w:rPr>
              <w:t xml:space="preserve"> prostredníctvom zníženia platov. </w:t>
            </w:r>
            <w:r>
              <w:rPr>
                <w:rFonts w:ascii="Arial Narrow" w:hAnsi="Arial Narrow"/>
                <w:sz w:val="18"/>
                <w:szCs w:val="18"/>
              </w:rPr>
              <w:t xml:space="preserve"> </w:t>
            </w:r>
          </w:p>
          <w:p w14:paraId="35EE788F" w14:textId="77777777" w:rsidR="009311E4" w:rsidRPr="000D09AE" w:rsidRDefault="009311E4" w:rsidP="00616580">
            <w:pPr>
              <w:jc w:val="both"/>
              <w:rPr>
                <w:rFonts w:ascii="Arial Narrow" w:hAnsi="Arial Narrow"/>
                <w:sz w:val="18"/>
                <w:szCs w:val="18"/>
              </w:rPr>
            </w:pPr>
            <w:r>
              <w:rPr>
                <w:rFonts w:ascii="Arial Narrow" w:hAnsi="Arial Narrow"/>
                <w:sz w:val="18"/>
                <w:szCs w:val="18"/>
              </w:rPr>
              <w:t>Odhadovaná štrukturálna úspora od roku 2026, kedy sa prejaví plný efekt opatrenia (bez vplyvu odstupného) sa pohybuje na úrovni 0,08 % HDP.</w:t>
            </w:r>
          </w:p>
        </w:tc>
      </w:tr>
      <w:tr w:rsidR="009311E4" w:rsidRPr="000D09AE" w14:paraId="0C88ABC5" w14:textId="77777777" w:rsidTr="00AC4853">
        <w:trPr>
          <w:trHeight w:val="3118"/>
        </w:trPr>
        <w:tc>
          <w:tcPr>
            <w:tcW w:w="1376" w:type="dxa"/>
            <w:vAlign w:val="center"/>
            <w:hideMark/>
          </w:tcPr>
          <w:p w14:paraId="7ABB2889" w14:textId="77777777"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lastRenderedPageBreak/>
              <w:t>Investícia 1:</w:t>
            </w:r>
            <w:r w:rsidRPr="000D09AE">
              <w:rPr>
                <w:rFonts w:ascii="Arial Narrow" w:hAnsi="Arial Narrow"/>
                <w:sz w:val="16"/>
                <w:szCs w:val="16"/>
              </w:rPr>
              <w:br/>
              <w:t>Posilnenie obranných kapacít</w:t>
            </w:r>
          </w:p>
        </w:tc>
        <w:tc>
          <w:tcPr>
            <w:tcW w:w="1029" w:type="dxa"/>
            <w:vAlign w:val="center"/>
            <w:hideMark/>
          </w:tcPr>
          <w:p w14:paraId="790F10B8" w14:textId="77777777" w:rsidR="009311E4" w:rsidRPr="000D09AE" w:rsidRDefault="009311E4" w:rsidP="00616580">
            <w:pPr>
              <w:jc w:val="center"/>
              <w:rPr>
                <w:rFonts w:ascii="Arial Narrow" w:hAnsi="Arial Narrow"/>
                <w:sz w:val="16"/>
                <w:szCs w:val="16"/>
              </w:rPr>
            </w:pPr>
            <w:r>
              <w:rPr>
                <w:rFonts w:ascii="Arial Narrow" w:hAnsi="Arial Narrow"/>
                <w:sz w:val="16"/>
                <w:szCs w:val="16"/>
              </w:rPr>
              <w:t>-</w:t>
            </w:r>
          </w:p>
        </w:tc>
        <w:tc>
          <w:tcPr>
            <w:tcW w:w="1276" w:type="dxa"/>
            <w:noWrap/>
            <w:vAlign w:val="center"/>
            <w:hideMark/>
          </w:tcPr>
          <w:p w14:paraId="520153E9"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Žiadne</w:t>
            </w:r>
          </w:p>
        </w:tc>
        <w:tc>
          <w:tcPr>
            <w:tcW w:w="1134" w:type="dxa"/>
            <w:vAlign w:val="center"/>
            <w:hideMark/>
          </w:tcPr>
          <w:p w14:paraId="17FCEF3C"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Budovanie obranných kapacít</w:t>
            </w:r>
          </w:p>
        </w:tc>
        <w:tc>
          <w:tcPr>
            <w:tcW w:w="4247" w:type="dxa"/>
            <w:hideMark/>
          </w:tcPr>
          <w:p w14:paraId="5D727F40" w14:textId="6EB89E33" w:rsidR="009311E4" w:rsidRPr="000D09AE" w:rsidRDefault="009311E4">
            <w:pPr>
              <w:jc w:val="both"/>
              <w:rPr>
                <w:rFonts w:ascii="Arial Narrow" w:hAnsi="Arial Narrow"/>
                <w:sz w:val="18"/>
                <w:szCs w:val="18"/>
              </w:rPr>
            </w:pPr>
            <w:r w:rsidRPr="000D09AE">
              <w:rPr>
                <w:rFonts w:ascii="Arial Narrow" w:hAnsi="Arial Narrow"/>
                <w:sz w:val="18"/>
                <w:szCs w:val="18"/>
              </w:rPr>
              <w:t>Realizácia vybraných projektov zahrnutých v Dlhodobom pláne rozvoja</w:t>
            </w:r>
            <w:r w:rsidR="001F6281">
              <w:rPr>
                <w:rFonts w:ascii="Arial Narrow" w:hAnsi="Arial Narrow"/>
                <w:sz w:val="18"/>
                <w:szCs w:val="18"/>
              </w:rPr>
              <w:t xml:space="preserve"> rezortu ministerstva obrany</w:t>
            </w:r>
            <w:r w:rsidRPr="000D09AE">
              <w:rPr>
                <w:rFonts w:ascii="Arial Narrow" w:hAnsi="Arial Narrow"/>
                <w:sz w:val="18"/>
                <w:szCs w:val="18"/>
              </w:rPr>
              <w:t xml:space="preserve"> s výhľadom do roku 2035 predstavuje kľúčové iniciatívy zamerané na rozvoj obranných kapacít SR. Primárnym cieľom je zabezpečenie nového a moderného vojenského vybavenia plne kompatibilného s vybavením členských krajín NATO. Medzi hlavné projekty patria kolesové bojové obrnené vozidlá 8x8, bojové vozidlá pechoty a nákladné vozidlá na podvozku 6x6 a 8x8, ktoré sú nevyhnutné na dosiahnutie prioritného cieľa spôsobilostí Slovenskej republiky – vybudovanie ťažkej </w:t>
            </w:r>
            <w:r w:rsidR="001F6281">
              <w:rPr>
                <w:rFonts w:ascii="Arial Narrow" w:hAnsi="Arial Narrow"/>
                <w:sz w:val="18"/>
                <w:szCs w:val="18"/>
              </w:rPr>
              <w:t>mechanizovanej</w:t>
            </w:r>
            <w:r w:rsidR="001F6281" w:rsidRPr="000D09AE">
              <w:rPr>
                <w:rFonts w:ascii="Arial Narrow" w:hAnsi="Arial Narrow"/>
                <w:sz w:val="18"/>
                <w:szCs w:val="18"/>
              </w:rPr>
              <w:t xml:space="preserve"> </w:t>
            </w:r>
            <w:r w:rsidRPr="000D09AE">
              <w:rPr>
                <w:rFonts w:ascii="Arial Narrow" w:hAnsi="Arial Narrow"/>
                <w:sz w:val="18"/>
                <w:szCs w:val="18"/>
              </w:rPr>
              <w:t>brigády. Okrem toho, projekt systému protivzdušnej obrany stredného dosahu patrí medzi prioritné záväzky vlády SR s cieľom zabezpečiť efektívnu ochranu vzdušného priestoru a zároveň zmierniť nedostatky v spôsobilostiach protivzdušnej obrany v rámci NATO.</w:t>
            </w:r>
          </w:p>
        </w:tc>
      </w:tr>
      <w:tr w:rsidR="009311E4" w:rsidRPr="000D09AE" w14:paraId="1258AF82" w14:textId="77777777" w:rsidTr="00AC4853">
        <w:trPr>
          <w:trHeight w:val="1984"/>
        </w:trPr>
        <w:tc>
          <w:tcPr>
            <w:tcW w:w="1376" w:type="dxa"/>
            <w:vAlign w:val="center"/>
            <w:hideMark/>
          </w:tcPr>
          <w:p w14:paraId="72325F28" w14:textId="77777777"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t xml:space="preserve">Reforma 4: </w:t>
            </w:r>
            <w:r w:rsidRPr="000D09AE">
              <w:rPr>
                <w:rFonts w:ascii="Arial Narrow" w:hAnsi="Arial Narrow"/>
                <w:sz w:val="16"/>
                <w:szCs w:val="16"/>
              </w:rPr>
              <w:br/>
              <w:t>Zasielanie údajov z faktúr daňových subjektov (eFaktúra)</w:t>
            </w:r>
          </w:p>
        </w:tc>
        <w:tc>
          <w:tcPr>
            <w:tcW w:w="1029" w:type="dxa"/>
            <w:vAlign w:val="center"/>
            <w:hideMark/>
          </w:tcPr>
          <w:p w14:paraId="11798363" w14:textId="77777777" w:rsidR="009311E4" w:rsidRPr="000D09AE" w:rsidRDefault="009311E4" w:rsidP="00616580">
            <w:pPr>
              <w:jc w:val="center"/>
              <w:rPr>
                <w:rFonts w:ascii="Arial Narrow" w:hAnsi="Arial Narrow"/>
                <w:sz w:val="16"/>
                <w:szCs w:val="16"/>
              </w:rPr>
            </w:pPr>
            <w:r>
              <w:rPr>
                <w:rFonts w:ascii="Arial Narrow" w:hAnsi="Arial Narrow"/>
                <w:sz w:val="16"/>
                <w:szCs w:val="16"/>
              </w:rPr>
              <w:t>-</w:t>
            </w:r>
          </w:p>
        </w:tc>
        <w:tc>
          <w:tcPr>
            <w:tcW w:w="1276" w:type="dxa"/>
            <w:vAlign w:val="center"/>
            <w:hideMark/>
          </w:tcPr>
          <w:p w14:paraId="7DB21832"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2024.CSR1.5</w:t>
            </w:r>
            <w:r w:rsidRPr="000D09AE">
              <w:rPr>
                <w:rFonts w:ascii="Arial Narrow" w:hAnsi="Arial Narrow"/>
                <w:sz w:val="16"/>
                <w:szCs w:val="16"/>
              </w:rPr>
              <w:br/>
              <w:t>2023.CSR1.6</w:t>
            </w:r>
            <w:r w:rsidRPr="000D09AE">
              <w:rPr>
                <w:rFonts w:ascii="Arial Narrow" w:hAnsi="Arial Narrow"/>
                <w:sz w:val="16"/>
                <w:szCs w:val="16"/>
              </w:rPr>
              <w:br/>
              <w:t>2022.CSR1.5</w:t>
            </w:r>
          </w:p>
        </w:tc>
        <w:tc>
          <w:tcPr>
            <w:tcW w:w="1134" w:type="dxa"/>
            <w:vAlign w:val="center"/>
            <w:hideMark/>
          </w:tcPr>
          <w:p w14:paraId="34572EF3"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Spravodlivá digitálna transformácia</w:t>
            </w:r>
          </w:p>
        </w:tc>
        <w:tc>
          <w:tcPr>
            <w:tcW w:w="4247" w:type="dxa"/>
            <w:hideMark/>
          </w:tcPr>
          <w:p w14:paraId="0FB0F2A0" w14:textId="6DA21478" w:rsidR="009311E4" w:rsidRPr="000D09AE" w:rsidRDefault="009311E4">
            <w:pPr>
              <w:jc w:val="both"/>
              <w:rPr>
                <w:rFonts w:ascii="Arial Narrow" w:hAnsi="Arial Narrow"/>
                <w:sz w:val="18"/>
                <w:szCs w:val="18"/>
              </w:rPr>
            </w:pPr>
            <w:r w:rsidRPr="000D09AE">
              <w:rPr>
                <w:rFonts w:ascii="Arial Narrow" w:hAnsi="Arial Narrow"/>
                <w:sz w:val="18"/>
                <w:szCs w:val="18"/>
              </w:rPr>
              <w:t xml:space="preserve">Cieľom zavedenia elektronickej fakturácie je vytvoriť informačný systém na </w:t>
            </w:r>
            <w:r w:rsidR="00434729">
              <w:rPr>
                <w:rFonts w:ascii="Arial Narrow" w:hAnsi="Arial Narrow"/>
                <w:sz w:val="18"/>
                <w:szCs w:val="18"/>
              </w:rPr>
              <w:t>vyhotovovanie</w:t>
            </w:r>
            <w:r w:rsidR="00434729" w:rsidRPr="000D09AE">
              <w:rPr>
                <w:rFonts w:ascii="Arial Narrow" w:hAnsi="Arial Narrow"/>
                <w:sz w:val="18"/>
                <w:szCs w:val="18"/>
              </w:rPr>
              <w:t xml:space="preserve"> </w:t>
            </w:r>
            <w:r w:rsidRPr="000D09AE">
              <w:rPr>
                <w:rFonts w:ascii="Arial Narrow" w:hAnsi="Arial Narrow"/>
                <w:sz w:val="18"/>
                <w:szCs w:val="18"/>
              </w:rPr>
              <w:t xml:space="preserve">faktúr v elektronickej forme. Predkladanie údajov z faktúr finančnej správe má pre </w:t>
            </w:r>
            <w:r>
              <w:rPr>
                <w:rFonts w:ascii="Arial Narrow" w:hAnsi="Arial Narrow"/>
                <w:sz w:val="18"/>
                <w:szCs w:val="18"/>
              </w:rPr>
              <w:t>M</w:t>
            </w:r>
            <w:r w:rsidRPr="000D09AE">
              <w:rPr>
                <w:rFonts w:ascii="Arial Narrow" w:hAnsi="Arial Narrow"/>
                <w:sz w:val="18"/>
                <w:szCs w:val="18"/>
              </w:rPr>
              <w:t>inisterstvo financií</w:t>
            </w:r>
            <w:r>
              <w:rPr>
                <w:rFonts w:ascii="Arial Narrow" w:hAnsi="Arial Narrow"/>
                <w:sz w:val="18"/>
                <w:szCs w:val="18"/>
              </w:rPr>
              <w:t xml:space="preserve"> SR</w:t>
            </w:r>
            <w:r w:rsidRPr="000D09AE">
              <w:rPr>
                <w:rFonts w:ascii="Arial Narrow" w:hAnsi="Arial Narrow"/>
                <w:sz w:val="18"/>
                <w:szCs w:val="18"/>
              </w:rPr>
              <w:t xml:space="preserve"> a </w:t>
            </w:r>
            <w:r>
              <w:rPr>
                <w:rFonts w:ascii="Arial Narrow" w:hAnsi="Arial Narrow"/>
                <w:sz w:val="18"/>
                <w:szCs w:val="18"/>
              </w:rPr>
              <w:t>F</w:t>
            </w:r>
            <w:r w:rsidRPr="000D09AE">
              <w:rPr>
                <w:rFonts w:ascii="Arial Narrow" w:hAnsi="Arial Narrow"/>
                <w:sz w:val="18"/>
                <w:szCs w:val="18"/>
              </w:rPr>
              <w:t>inančnú správu</w:t>
            </w:r>
            <w:r>
              <w:rPr>
                <w:rFonts w:ascii="Arial Narrow" w:hAnsi="Arial Narrow"/>
                <w:sz w:val="18"/>
                <w:szCs w:val="18"/>
              </w:rPr>
              <w:t xml:space="preserve"> SR</w:t>
            </w:r>
            <w:r w:rsidRPr="000D09AE">
              <w:rPr>
                <w:rFonts w:ascii="Arial Narrow" w:hAnsi="Arial Narrow"/>
                <w:sz w:val="18"/>
                <w:szCs w:val="18"/>
              </w:rPr>
              <w:t xml:space="preserve"> zásadný význam v boji proti daňovým </w:t>
            </w:r>
            <w:r w:rsidR="00953640">
              <w:rPr>
                <w:rFonts w:ascii="Arial Narrow" w:hAnsi="Arial Narrow"/>
                <w:sz w:val="18"/>
                <w:szCs w:val="18"/>
              </w:rPr>
              <w:t>únikom</w:t>
            </w:r>
            <w:r w:rsidRPr="000D09AE">
              <w:rPr>
                <w:rFonts w:ascii="Arial Narrow" w:hAnsi="Arial Narrow"/>
                <w:sz w:val="18"/>
                <w:szCs w:val="18"/>
              </w:rPr>
              <w:t xml:space="preserve">, pri znižovaní daňovej medzery a zvyšovaní efektívnosti výberu daní. Zavedenie elektronickej fakturácie zároveň znižuje administratívnu záťaž podnikov a ponúka </w:t>
            </w:r>
            <w:r w:rsidR="00434729">
              <w:rPr>
                <w:rFonts w:ascii="Arial Narrow" w:hAnsi="Arial Narrow"/>
                <w:sz w:val="18"/>
                <w:szCs w:val="18"/>
              </w:rPr>
              <w:t>im (najmä malým podnikom)</w:t>
            </w:r>
            <w:r w:rsidRPr="000D09AE">
              <w:rPr>
                <w:rFonts w:ascii="Arial Narrow" w:hAnsi="Arial Narrow"/>
                <w:sz w:val="18"/>
                <w:szCs w:val="18"/>
              </w:rPr>
              <w:t xml:space="preserve"> bezplatný online nástroj na vytváranie a správu faktúr v požadovanom elektronickom formáte s automatickou validáciou v reálnom čase</w:t>
            </w:r>
            <w:r w:rsidR="00434729">
              <w:rPr>
                <w:rFonts w:ascii="Arial Narrow" w:hAnsi="Arial Narrow"/>
                <w:sz w:val="18"/>
                <w:szCs w:val="18"/>
              </w:rPr>
              <w:t xml:space="preserve"> v zmysle legislatívnych požiadaviek</w:t>
            </w:r>
            <w:r w:rsidRPr="000D09AE">
              <w:rPr>
                <w:rFonts w:ascii="Arial Narrow" w:hAnsi="Arial Narrow"/>
                <w:sz w:val="18"/>
                <w:szCs w:val="18"/>
              </w:rPr>
              <w:t>.</w:t>
            </w:r>
            <w:r w:rsidR="00687B6C">
              <w:rPr>
                <w:rFonts w:ascii="Arial Narrow" w:hAnsi="Arial Narrow"/>
                <w:sz w:val="18"/>
                <w:szCs w:val="18"/>
              </w:rPr>
              <w:t xml:space="preserve"> Z</w:t>
            </w:r>
            <w:r w:rsidR="00687B6C" w:rsidRPr="00687B6C">
              <w:rPr>
                <w:rFonts w:ascii="Arial Narrow" w:hAnsi="Arial Narrow"/>
                <w:sz w:val="18"/>
                <w:szCs w:val="18"/>
              </w:rPr>
              <w:t xml:space="preserve">avedenie eFaktúry presahuje rámec iniciatívy ViDA, keďže </w:t>
            </w:r>
            <w:r w:rsidR="00687B6C">
              <w:rPr>
                <w:rFonts w:ascii="Arial Narrow" w:hAnsi="Arial Narrow"/>
                <w:sz w:val="18"/>
                <w:szCs w:val="18"/>
              </w:rPr>
              <w:t>bude uplatňované</w:t>
            </w:r>
            <w:r w:rsidR="00687B6C" w:rsidRPr="00687B6C">
              <w:rPr>
                <w:rFonts w:ascii="Arial Narrow" w:hAnsi="Arial Narrow"/>
                <w:sz w:val="18"/>
                <w:szCs w:val="18"/>
              </w:rPr>
              <w:t xml:space="preserve"> aj na domáce finančné transakcie.</w:t>
            </w:r>
          </w:p>
        </w:tc>
      </w:tr>
      <w:tr w:rsidR="009311E4" w:rsidRPr="000D09AE" w14:paraId="4B84678E" w14:textId="77777777" w:rsidTr="00AC4853">
        <w:trPr>
          <w:trHeight w:val="1361"/>
        </w:trPr>
        <w:tc>
          <w:tcPr>
            <w:tcW w:w="1376" w:type="dxa"/>
            <w:vMerge w:val="restart"/>
            <w:vAlign w:val="center"/>
            <w:hideMark/>
          </w:tcPr>
          <w:p w14:paraId="6F51B75C" w14:textId="77777777" w:rsidR="009311E4" w:rsidRPr="000D09AE" w:rsidRDefault="009311E4" w:rsidP="00616580">
            <w:pPr>
              <w:jc w:val="center"/>
              <w:rPr>
                <w:rFonts w:ascii="Arial Narrow" w:hAnsi="Arial Narrow"/>
                <w:b/>
                <w:bCs/>
                <w:sz w:val="16"/>
                <w:szCs w:val="16"/>
              </w:rPr>
            </w:pPr>
            <w:r w:rsidRPr="000D09AE">
              <w:rPr>
                <w:rFonts w:ascii="Arial Narrow" w:hAnsi="Arial Narrow"/>
                <w:b/>
                <w:bCs/>
                <w:sz w:val="16"/>
                <w:szCs w:val="16"/>
              </w:rPr>
              <w:t xml:space="preserve">Reforma 5: </w:t>
            </w:r>
            <w:r w:rsidRPr="000D09AE">
              <w:rPr>
                <w:rFonts w:ascii="Arial Narrow" w:hAnsi="Arial Narrow"/>
                <w:sz w:val="16"/>
                <w:szCs w:val="16"/>
              </w:rPr>
              <w:t xml:space="preserve"> </w:t>
            </w:r>
            <w:r w:rsidRPr="000D09AE">
              <w:rPr>
                <w:rFonts w:ascii="Arial Narrow" w:hAnsi="Arial Narrow"/>
                <w:sz w:val="16"/>
                <w:szCs w:val="16"/>
              </w:rPr>
              <w:br/>
              <w:t>Skvalitnenie elektronických služieb finančnej správy a podpora proklientského prístupu</w:t>
            </w:r>
          </w:p>
        </w:tc>
        <w:tc>
          <w:tcPr>
            <w:tcW w:w="1029" w:type="dxa"/>
            <w:vMerge w:val="restart"/>
            <w:vAlign w:val="center"/>
            <w:hideMark/>
          </w:tcPr>
          <w:p w14:paraId="2CF439E9" w14:textId="7DF83DFF" w:rsidR="009311E4" w:rsidRPr="000D09AE" w:rsidRDefault="00616580" w:rsidP="00616580">
            <w:pPr>
              <w:jc w:val="center"/>
              <w:rPr>
                <w:rFonts w:ascii="Arial Narrow" w:hAnsi="Arial Narrow"/>
                <w:sz w:val="16"/>
                <w:szCs w:val="16"/>
              </w:rPr>
            </w:pPr>
            <w:r>
              <w:rPr>
                <w:rFonts w:ascii="Arial Narrow" w:hAnsi="Arial Narrow"/>
                <w:sz w:val="16"/>
                <w:szCs w:val="16"/>
              </w:rPr>
              <w:t>-</w:t>
            </w:r>
          </w:p>
        </w:tc>
        <w:tc>
          <w:tcPr>
            <w:tcW w:w="1276" w:type="dxa"/>
            <w:vMerge w:val="restart"/>
            <w:vAlign w:val="center"/>
            <w:hideMark/>
          </w:tcPr>
          <w:p w14:paraId="305E724B"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2024.CSR1.5</w:t>
            </w:r>
            <w:r w:rsidRPr="000D09AE">
              <w:rPr>
                <w:rFonts w:ascii="Arial Narrow" w:hAnsi="Arial Narrow"/>
                <w:sz w:val="16"/>
                <w:szCs w:val="16"/>
              </w:rPr>
              <w:br/>
              <w:t>2023.CSR1.6</w:t>
            </w:r>
            <w:r w:rsidRPr="000D09AE">
              <w:rPr>
                <w:rFonts w:ascii="Arial Narrow" w:hAnsi="Arial Narrow"/>
                <w:sz w:val="16"/>
                <w:szCs w:val="16"/>
              </w:rPr>
              <w:br/>
              <w:t>2022.CSR1.5</w:t>
            </w:r>
          </w:p>
        </w:tc>
        <w:tc>
          <w:tcPr>
            <w:tcW w:w="1134" w:type="dxa"/>
            <w:vMerge w:val="restart"/>
            <w:vAlign w:val="center"/>
            <w:hideMark/>
          </w:tcPr>
          <w:p w14:paraId="32536823"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Spravodlivá digitálna transformácia</w:t>
            </w:r>
          </w:p>
        </w:tc>
        <w:tc>
          <w:tcPr>
            <w:tcW w:w="4247" w:type="dxa"/>
            <w:hideMark/>
          </w:tcPr>
          <w:p w14:paraId="44CEC5BB" w14:textId="352C6145" w:rsidR="009311E4" w:rsidRPr="000D09AE" w:rsidRDefault="009311E4">
            <w:pPr>
              <w:spacing w:after="160"/>
              <w:rPr>
                <w:rFonts w:ascii="Arial Narrow" w:hAnsi="Arial Narrow"/>
                <w:b/>
                <w:bCs/>
                <w:sz w:val="18"/>
                <w:szCs w:val="18"/>
              </w:rPr>
            </w:pPr>
            <w:r w:rsidRPr="000D09AE">
              <w:rPr>
                <w:rFonts w:ascii="Arial Narrow" w:hAnsi="Arial Narrow"/>
                <w:b/>
                <w:bCs/>
                <w:sz w:val="18"/>
                <w:szCs w:val="18"/>
              </w:rPr>
              <w:t>Cieľ 1</w:t>
            </w:r>
            <w:r w:rsidRPr="000D09AE">
              <w:rPr>
                <w:rFonts w:ascii="Arial Narrow" w:hAnsi="Arial Narrow"/>
                <w:b/>
                <w:bCs/>
                <w:sz w:val="18"/>
                <w:szCs w:val="18"/>
              </w:rPr>
              <w:br/>
            </w:r>
            <w:r w:rsidRPr="000D09AE">
              <w:rPr>
                <w:rFonts w:ascii="Arial Narrow" w:hAnsi="Arial Narrow"/>
                <w:sz w:val="18"/>
                <w:szCs w:val="18"/>
              </w:rPr>
              <w:t>Zavedenie QR kódov v dokumentoch a korešpondencii štátnych inštitúcií má za cieľ zjednodušiť proces platieb pre klientov a eliminovať potrebu manuálneho zadávania platobných údajov. Opatrenie má znížiť chyby spojené s nesprávnymi číslami účtov a inými platobnými údajmi. Vďaka nižšiemu počtu chýb a vyššej efektívnosti sa očakáva zvýšenie spokojnosti používateľov a pozitívna spätná väzba.</w:t>
            </w:r>
          </w:p>
        </w:tc>
      </w:tr>
      <w:tr w:rsidR="009311E4" w:rsidRPr="000D09AE" w14:paraId="5191E26B" w14:textId="77777777" w:rsidTr="00AC4853">
        <w:trPr>
          <w:trHeight w:val="877"/>
        </w:trPr>
        <w:tc>
          <w:tcPr>
            <w:tcW w:w="1376" w:type="dxa"/>
            <w:vMerge/>
            <w:vAlign w:val="center"/>
            <w:hideMark/>
          </w:tcPr>
          <w:p w14:paraId="31859D83" w14:textId="77777777" w:rsidR="009311E4" w:rsidRPr="000D09AE" w:rsidRDefault="009311E4" w:rsidP="00616580">
            <w:pPr>
              <w:jc w:val="center"/>
              <w:rPr>
                <w:rFonts w:ascii="Arial Narrow" w:hAnsi="Arial Narrow"/>
                <w:b/>
                <w:bCs/>
                <w:sz w:val="16"/>
                <w:szCs w:val="16"/>
              </w:rPr>
            </w:pPr>
          </w:p>
        </w:tc>
        <w:tc>
          <w:tcPr>
            <w:tcW w:w="1029" w:type="dxa"/>
            <w:vMerge/>
            <w:vAlign w:val="center"/>
            <w:hideMark/>
          </w:tcPr>
          <w:p w14:paraId="6DF865C8" w14:textId="77777777" w:rsidR="009311E4" w:rsidRPr="000D09AE" w:rsidRDefault="009311E4" w:rsidP="00616580">
            <w:pPr>
              <w:jc w:val="center"/>
              <w:rPr>
                <w:rFonts w:ascii="Arial Narrow" w:hAnsi="Arial Narrow"/>
                <w:sz w:val="16"/>
                <w:szCs w:val="16"/>
              </w:rPr>
            </w:pPr>
          </w:p>
        </w:tc>
        <w:tc>
          <w:tcPr>
            <w:tcW w:w="1276" w:type="dxa"/>
            <w:vMerge/>
            <w:vAlign w:val="center"/>
            <w:hideMark/>
          </w:tcPr>
          <w:p w14:paraId="6D659686" w14:textId="77777777" w:rsidR="009311E4" w:rsidRPr="000D09AE" w:rsidRDefault="009311E4" w:rsidP="00616580">
            <w:pPr>
              <w:jc w:val="center"/>
              <w:rPr>
                <w:rFonts w:ascii="Arial Narrow" w:hAnsi="Arial Narrow"/>
                <w:sz w:val="16"/>
                <w:szCs w:val="16"/>
              </w:rPr>
            </w:pPr>
          </w:p>
        </w:tc>
        <w:tc>
          <w:tcPr>
            <w:tcW w:w="1134" w:type="dxa"/>
            <w:vMerge/>
            <w:vAlign w:val="center"/>
            <w:hideMark/>
          </w:tcPr>
          <w:p w14:paraId="6D4C9008" w14:textId="77777777" w:rsidR="009311E4" w:rsidRPr="000D09AE" w:rsidRDefault="009311E4" w:rsidP="00616580">
            <w:pPr>
              <w:jc w:val="center"/>
              <w:rPr>
                <w:rFonts w:ascii="Arial Narrow" w:hAnsi="Arial Narrow"/>
                <w:sz w:val="16"/>
                <w:szCs w:val="16"/>
              </w:rPr>
            </w:pPr>
          </w:p>
        </w:tc>
        <w:tc>
          <w:tcPr>
            <w:tcW w:w="4247" w:type="dxa"/>
            <w:hideMark/>
          </w:tcPr>
          <w:p w14:paraId="2D3E7EC4" w14:textId="26F830BE" w:rsidR="009311E4" w:rsidRPr="000D09AE" w:rsidRDefault="009311E4">
            <w:pPr>
              <w:rPr>
                <w:rFonts w:ascii="Arial Narrow" w:hAnsi="Arial Narrow"/>
                <w:b/>
                <w:bCs/>
                <w:sz w:val="18"/>
                <w:szCs w:val="18"/>
              </w:rPr>
            </w:pPr>
            <w:r w:rsidRPr="000D09AE">
              <w:rPr>
                <w:rFonts w:ascii="Arial Narrow" w:hAnsi="Arial Narrow"/>
                <w:b/>
                <w:bCs/>
                <w:sz w:val="18"/>
                <w:szCs w:val="18"/>
              </w:rPr>
              <w:t>Cieľ 2</w:t>
            </w:r>
            <w:r w:rsidRPr="000D09AE">
              <w:rPr>
                <w:rFonts w:ascii="Arial Narrow" w:hAnsi="Arial Narrow"/>
                <w:b/>
                <w:bCs/>
                <w:sz w:val="18"/>
                <w:szCs w:val="18"/>
              </w:rPr>
              <w:br/>
            </w:r>
            <w:r w:rsidRPr="000D09AE">
              <w:rPr>
                <w:rFonts w:ascii="Arial Narrow" w:hAnsi="Arial Narrow"/>
                <w:sz w:val="18"/>
                <w:szCs w:val="18"/>
              </w:rPr>
              <w:t xml:space="preserve">Navrhnúť legislatívu pre </w:t>
            </w:r>
            <w:r w:rsidR="00953640">
              <w:rPr>
                <w:rFonts w:ascii="Arial Narrow" w:hAnsi="Arial Narrow"/>
                <w:sz w:val="18"/>
                <w:szCs w:val="18"/>
              </w:rPr>
              <w:t xml:space="preserve">ďalšiu etapu </w:t>
            </w:r>
            <w:r w:rsidR="00953640" w:rsidRPr="000D09AE">
              <w:rPr>
                <w:rFonts w:ascii="Arial Narrow" w:hAnsi="Arial Narrow"/>
                <w:sz w:val="18"/>
                <w:szCs w:val="18"/>
              </w:rPr>
              <w:t>predvyp</w:t>
            </w:r>
            <w:r w:rsidR="00953640">
              <w:rPr>
                <w:rFonts w:ascii="Arial Narrow" w:hAnsi="Arial Narrow"/>
                <w:sz w:val="18"/>
                <w:szCs w:val="18"/>
              </w:rPr>
              <w:t>ĺňania</w:t>
            </w:r>
            <w:r w:rsidR="00953640" w:rsidRPr="000D09AE">
              <w:rPr>
                <w:rFonts w:ascii="Arial Narrow" w:hAnsi="Arial Narrow"/>
                <w:sz w:val="18"/>
                <w:szCs w:val="18"/>
              </w:rPr>
              <w:t xml:space="preserve"> </w:t>
            </w:r>
            <w:r w:rsidRPr="000D09AE">
              <w:rPr>
                <w:rFonts w:ascii="Arial Narrow" w:hAnsi="Arial Narrow"/>
                <w:sz w:val="18"/>
                <w:szCs w:val="18"/>
              </w:rPr>
              <w:t>daňo</w:t>
            </w:r>
            <w:r w:rsidR="00953640">
              <w:rPr>
                <w:rFonts w:ascii="Arial Narrow" w:hAnsi="Arial Narrow"/>
                <w:sz w:val="18"/>
                <w:szCs w:val="18"/>
              </w:rPr>
              <w:t xml:space="preserve">vých </w:t>
            </w:r>
            <w:r w:rsidRPr="000D09AE">
              <w:rPr>
                <w:rFonts w:ascii="Arial Narrow" w:hAnsi="Arial Narrow"/>
                <w:sz w:val="18"/>
                <w:szCs w:val="18"/>
              </w:rPr>
              <w:t>priznan</w:t>
            </w:r>
            <w:r w:rsidR="00953640">
              <w:rPr>
                <w:rFonts w:ascii="Arial Narrow" w:hAnsi="Arial Narrow"/>
                <w:sz w:val="18"/>
                <w:szCs w:val="18"/>
              </w:rPr>
              <w:t>í</w:t>
            </w:r>
            <w:r w:rsidRPr="000D09AE">
              <w:rPr>
                <w:rFonts w:ascii="Arial Narrow" w:hAnsi="Arial Narrow"/>
                <w:sz w:val="18"/>
                <w:szCs w:val="18"/>
              </w:rPr>
              <w:t>. Cieľom je</w:t>
            </w:r>
            <w:r w:rsidR="00953640">
              <w:rPr>
                <w:rFonts w:ascii="Arial Narrow" w:hAnsi="Arial Narrow"/>
                <w:sz w:val="18"/>
                <w:szCs w:val="18"/>
              </w:rPr>
              <w:t xml:space="preserve">, aby </w:t>
            </w:r>
            <w:r>
              <w:rPr>
                <w:rFonts w:ascii="Arial Narrow" w:hAnsi="Arial Narrow"/>
                <w:sz w:val="18"/>
                <w:szCs w:val="18"/>
              </w:rPr>
              <w:t>F</w:t>
            </w:r>
            <w:r w:rsidRPr="000D09AE">
              <w:rPr>
                <w:rFonts w:ascii="Arial Narrow" w:hAnsi="Arial Narrow"/>
                <w:sz w:val="18"/>
                <w:szCs w:val="18"/>
              </w:rPr>
              <w:t xml:space="preserve">inančná správa </w:t>
            </w:r>
            <w:r>
              <w:rPr>
                <w:rFonts w:ascii="Arial Narrow" w:hAnsi="Arial Narrow"/>
                <w:sz w:val="18"/>
                <w:szCs w:val="18"/>
              </w:rPr>
              <w:t xml:space="preserve">SR </w:t>
            </w:r>
            <w:r w:rsidRPr="000D09AE">
              <w:rPr>
                <w:rFonts w:ascii="Arial Narrow" w:hAnsi="Arial Narrow"/>
                <w:sz w:val="18"/>
                <w:szCs w:val="18"/>
              </w:rPr>
              <w:t>mohla automaticky predvyplniť a zasielať daňové priznania</w:t>
            </w:r>
            <w:r w:rsidR="00953640">
              <w:rPr>
                <w:rFonts w:ascii="Arial Narrow" w:hAnsi="Arial Narrow"/>
                <w:sz w:val="18"/>
                <w:szCs w:val="18"/>
              </w:rPr>
              <w:t xml:space="preserve"> vybraným</w:t>
            </w:r>
            <w:r w:rsidRPr="000D09AE">
              <w:rPr>
                <w:rFonts w:ascii="Arial Narrow" w:hAnsi="Arial Narrow"/>
                <w:sz w:val="18"/>
                <w:szCs w:val="18"/>
              </w:rPr>
              <w:t xml:space="preserve"> fyzickým osobám.</w:t>
            </w:r>
          </w:p>
        </w:tc>
      </w:tr>
      <w:tr w:rsidR="009311E4" w:rsidRPr="000D09AE" w14:paraId="5FBA812F" w14:textId="77777777" w:rsidTr="00AC4853">
        <w:trPr>
          <w:trHeight w:val="3103"/>
        </w:trPr>
        <w:tc>
          <w:tcPr>
            <w:tcW w:w="1376" w:type="dxa"/>
            <w:vAlign w:val="center"/>
            <w:hideMark/>
          </w:tcPr>
          <w:p w14:paraId="64A80C12" w14:textId="77777777"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t>Reforma 6</w:t>
            </w:r>
            <w:r w:rsidRPr="000D09AE">
              <w:rPr>
                <w:rFonts w:ascii="Arial Narrow" w:hAnsi="Arial Narrow"/>
                <w:sz w:val="16"/>
                <w:szCs w:val="16"/>
              </w:rPr>
              <w:t>:</w:t>
            </w:r>
            <w:r w:rsidRPr="000D09AE">
              <w:rPr>
                <w:rFonts w:ascii="Arial Narrow" w:hAnsi="Arial Narrow"/>
                <w:sz w:val="16"/>
                <w:szCs w:val="16"/>
              </w:rPr>
              <w:br/>
              <w:t>Posilnenie inklúzie a desegregácie vo vzdelávaní</w:t>
            </w:r>
          </w:p>
        </w:tc>
        <w:tc>
          <w:tcPr>
            <w:tcW w:w="1029" w:type="dxa"/>
            <w:vAlign w:val="center"/>
            <w:hideMark/>
          </w:tcPr>
          <w:p w14:paraId="1DE3E948" w14:textId="77777777" w:rsidR="009311E4" w:rsidRPr="000D09AE" w:rsidRDefault="009311E4" w:rsidP="00616580">
            <w:pPr>
              <w:jc w:val="center"/>
              <w:rPr>
                <w:rFonts w:ascii="Arial Narrow" w:hAnsi="Arial Narrow"/>
                <w:sz w:val="16"/>
                <w:szCs w:val="16"/>
              </w:rPr>
            </w:pPr>
            <w:r>
              <w:rPr>
                <w:rFonts w:ascii="Arial Narrow" w:hAnsi="Arial Narrow"/>
                <w:sz w:val="16"/>
                <w:szCs w:val="16"/>
              </w:rPr>
              <w:t>-</w:t>
            </w:r>
          </w:p>
        </w:tc>
        <w:tc>
          <w:tcPr>
            <w:tcW w:w="1276" w:type="dxa"/>
            <w:vAlign w:val="center"/>
            <w:hideMark/>
          </w:tcPr>
          <w:p w14:paraId="4B79215C"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2019.CSR2.1</w:t>
            </w:r>
            <w:r w:rsidRPr="000D09AE">
              <w:rPr>
                <w:rFonts w:ascii="Arial Narrow" w:hAnsi="Arial Narrow"/>
                <w:sz w:val="16"/>
                <w:szCs w:val="16"/>
              </w:rPr>
              <w:br/>
              <w:t>2019.CSR2.3</w:t>
            </w:r>
            <w:r w:rsidRPr="000D09AE">
              <w:rPr>
                <w:rFonts w:ascii="Arial Narrow" w:hAnsi="Arial Narrow"/>
                <w:sz w:val="16"/>
                <w:szCs w:val="16"/>
              </w:rPr>
              <w:br/>
              <w:t>2020.CSR2.4</w:t>
            </w:r>
            <w:r w:rsidRPr="000D09AE">
              <w:rPr>
                <w:rFonts w:ascii="Arial Narrow" w:hAnsi="Arial Narrow"/>
                <w:sz w:val="16"/>
                <w:szCs w:val="16"/>
              </w:rPr>
              <w:br/>
              <w:t>2024.CSR3.4</w:t>
            </w:r>
            <w:r w:rsidRPr="000D09AE">
              <w:rPr>
                <w:rFonts w:ascii="Arial Narrow" w:hAnsi="Arial Narrow"/>
                <w:sz w:val="16"/>
                <w:szCs w:val="16"/>
              </w:rPr>
              <w:br/>
              <w:t>2024.CSR3.5</w:t>
            </w:r>
          </w:p>
        </w:tc>
        <w:tc>
          <w:tcPr>
            <w:tcW w:w="1134" w:type="dxa"/>
            <w:vAlign w:val="center"/>
            <w:hideMark/>
          </w:tcPr>
          <w:p w14:paraId="010194BA"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Posilnenie sociálnej a hospodárskej odolnosti</w:t>
            </w:r>
          </w:p>
        </w:tc>
        <w:tc>
          <w:tcPr>
            <w:tcW w:w="4247" w:type="dxa"/>
            <w:hideMark/>
          </w:tcPr>
          <w:p w14:paraId="7CF27740" w14:textId="260F5493" w:rsidR="0064035C" w:rsidRDefault="009311E4" w:rsidP="00616580">
            <w:pPr>
              <w:rPr>
                <w:rFonts w:ascii="Arial Narrow" w:hAnsi="Arial Narrow"/>
                <w:sz w:val="18"/>
                <w:szCs w:val="18"/>
              </w:rPr>
            </w:pPr>
            <w:r w:rsidRPr="000D09AE">
              <w:rPr>
                <w:rFonts w:ascii="Arial Narrow" w:hAnsi="Arial Narrow"/>
                <w:sz w:val="18"/>
                <w:szCs w:val="18"/>
              </w:rPr>
              <w:t>V rámci nového legislatívneho balíka školských zákonov vláda navrhuje:</w:t>
            </w:r>
            <w:r w:rsidRPr="000D09AE">
              <w:rPr>
                <w:rFonts w:ascii="Arial Narrow" w:hAnsi="Arial Narrow"/>
                <w:sz w:val="18"/>
                <w:szCs w:val="18"/>
              </w:rPr>
              <w:br/>
              <w:t>1) zakázať dvojzmennú prevádzku na základných školách;</w:t>
            </w:r>
            <w:r w:rsidRPr="000D09AE">
              <w:rPr>
                <w:rFonts w:ascii="Arial Narrow" w:hAnsi="Arial Narrow"/>
                <w:sz w:val="18"/>
                <w:szCs w:val="18"/>
              </w:rPr>
              <w:br/>
              <w:t>2) posilniť legislatívny rámec týkajúci sa vzdelávania jazykových menšín</w:t>
            </w:r>
            <w:r w:rsidR="0064035C">
              <w:rPr>
                <w:rFonts w:ascii="Arial Narrow" w:hAnsi="Arial Narrow"/>
                <w:sz w:val="18"/>
                <w:szCs w:val="18"/>
              </w:rPr>
              <w:t xml:space="preserve"> a detí a žiakov s iným materinským jazykom;</w:t>
            </w:r>
          </w:p>
          <w:p w14:paraId="34B34FEE" w14:textId="025F016A" w:rsidR="009311E4" w:rsidRDefault="0064035C" w:rsidP="00616580">
            <w:pPr>
              <w:rPr>
                <w:rFonts w:ascii="Arial Narrow" w:hAnsi="Arial Narrow"/>
                <w:sz w:val="18"/>
                <w:szCs w:val="18"/>
              </w:rPr>
            </w:pPr>
            <w:r>
              <w:rPr>
                <w:rFonts w:ascii="Arial Narrow" w:hAnsi="Arial Narrow"/>
                <w:sz w:val="18"/>
                <w:szCs w:val="18"/>
              </w:rPr>
              <w:t>3) podporiť optimálny rozvoj detí so ŠVVP od raného veku;</w:t>
            </w:r>
            <w:r w:rsidR="009311E4" w:rsidRPr="000D09AE">
              <w:rPr>
                <w:rFonts w:ascii="Arial Narrow" w:hAnsi="Arial Narrow"/>
                <w:sz w:val="18"/>
                <w:szCs w:val="18"/>
              </w:rPr>
              <w:br/>
            </w:r>
            <w:r>
              <w:rPr>
                <w:rFonts w:ascii="Arial Narrow" w:hAnsi="Arial Narrow"/>
                <w:sz w:val="18"/>
                <w:szCs w:val="18"/>
              </w:rPr>
              <w:t>4</w:t>
            </w:r>
            <w:r w:rsidR="009311E4" w:rsidRPr="000D09AE">
              <w:rPr>
                <w:rFonts w:ascii="Arial Narrow" w:hAnsi="Arial Narrow"/>
                <w:sz w:val="18"/>
                <w:szCs w:val="18"/>
              </w:rPr>
              <w:t>) umožniť dosiahnutie nižšieho stredného odborného vzdelania pre žiakov s ľahkým mentálnym postihnutím;</w:t>
            </w:r>
            <w:r w:rsidR="009311E4" w:rsidRPr="000D09AE">
              <w:rPr>
                <w:rFonts w:ascii="Arial Narrow" w:hAnsi="Arial Narrow"/>
                <w:sz w:val="18"/>
                <w:szCs w:val="18"/>
              </w:rPr>
              <w:br/>
            </w:r>
            <w:r>
              <w:rPr>
                <w:rFonts w:ascii="Arial Narrow" w:hAnsi="Arial Narrow"/>
                <w:sz w:val="18"/>
                <w:szCs w:val="18"/>
              </w:rPr>
              <w:t>5</w:t>
            </w:r>
            <w:r w:rsidR="009311E4" w:rsidRPr="000D09AE">
              <w:rPr>
                <w:rFonts w:ascii="Arial Narrow" w:hAnsi="Arial Narrow"/>
                <w:sz w:val="18"/>
                <w:szCs w:val="18"/>
              </w:rPr>
              <w:t>) zaviesť varovný systém na zníženie predčasného ukončenia školskej dochádzky</w:t>
            </w:r>
            <w:r>
              <w:rPr>
                <w:rFonts w:ascii="Arial Narrow" w:hAnsi="Arial Narrow"/>
                <w:sz w:val="18"/>
                <w:szCs w:val="18"/>
              </w:rPr>
              <w:t xml:space="preserve"> a predčasného ukončenia štúdia na strednej škole</w:t>
            </w:r>
            <w:r w:rsidR="009311E4" w:rsidRPr="000D09AE">
              <w:rPr>
                <w:rFonts w:ascii="Arial Narrow" w:hAnsi="Arial Narrow"/>
                <w:sz w:val="18"/>
                <w:szCs w:val="18"/>
              </w:rPr>
              <w:t>.</w:t>
            </w:r>
            <w:r w:rsidR="009311E4" w:rsidRPr="000D09AE">
              <w:rPr>
                <w:rFonts w:ascii="Arial Narrow" w:hAnsi="Arial Narrow"/>
                <w:sz w:val="18"/>
                <w:szCs w:val="18"/>
              </w:rPr>
              <w:br/>
            </w:r>
          </w:p>
          <w:p w14:paraId="5E0E2551" w14:textId="295A76A7" w:rsidR="009311E4" w:rsidRPr="000D09AE" w:rsidRDefault="009311E4" w:rsidP="00BB0C39">
            <w:pPr>
              <w:rPr>
                <w:rFonts w:ascii="Arial Narrow" w:hAnsi="Arial Narrow"/>
                <w:sz w:val="18"/>
                <w:szCs w:val="18"/>
              </w:rPr>
            </w:pPr>
            <w:r w:rsidRPr="000D09AE">
              <w:rPr>
                <w:rFonts w:ascii="Arial Narrow" w:hAnsi="Arial Narrow"/>
                <w:sz w:val="18"/>
                <w:szCs w:val="18"/>
              </w:rPr>
              <w:t>Tieto opatrenia podporujú integráciu marginalizovaných žiakov do hlavného prúdu vzdelávania, čím podporujú rovnaké príležitosti a znižujú segregáciu. Okrem toho umožnia školám identifikovať žiakov, ktorí sú ohrození, a poskytnúť im cielenú podporu.</w:t>
            </w:r>
            <w:r w:rsidR="00D67FBB">
              <w:rPr>
                <w:rFonts w:ascii="Arial Narrow" w:hAnsi="Arial Narrow"/>
                <w:sz w:val="18"/>
                <w:szCs w:val="18"/>
              </w:rPr>
              <w:t xml:space="preserve"> Navrhované opatrenia</w:t>
            </w:r>
            <w:r w:rsidR="00BB0C39">
              <w:rPr>
                <w:rFonts w:ascii="Arial Narrow" w:hAnsi="Arial Narrow"/>
                <w:sz w:val="18"/>
                <w:szCs w:val="18"/>
              </w:rPr>
              <w:t xml:space="preserve"> súčasne</w:t>
            </w:r>
            <w:r w:rsidR="00D67FBB">
              <w:rPr>
                <w:rFonts w:ascii="Arial Narrow" w:hAnsi="Arial Narrow"/>
                <w:sz w:val="18"/>
                <w:szCs w:val="18"/>
              </w:rPr>
              <w:t xml:space="preserve"> nadväzujú na cie</w:t>
            </w:r>
            <w:r w:rsidR="001C29C3">
              <w:rPr>
                <w:rFonts w:ascii="Arial Narrow" w:hAnsi="Arial Narrow"/>
                <w:sz w:val="18"/>
                <w:szCs w:val="18"/>
              </w:rPr>
              <w:t>le</w:t>
            </w:r>
            <w:r w:rsidR="00D67FBB">
              <w:rPr>
                <w:rFonts w:ascii="Arial Narrow" w:hAnsi="Arial Narrow"/>
                <w:sz w:val="18"/>
                <w:szCs w:val="18"/>
              </w:rPr>
              <w:t xml:space="preserve"> POO </w:t>
            </w:r>
            <w:r w:rsidR="00BB0C39">
              <w:rPr>
                <w:rFonts w:ascii="Arial Narrow" w:hAnsi="Arial Narrow"/>
                <w:sz w:val="18"/>
                <w:szCs w:val="18"/>
              </w:rPr>
              <w:t>v oblasti zlepšenia dostupnosti inkluzívneho vzdelávacieho systému.</w:t>
            </w:r>
          </w:p>
        </w:tc>
      </w:tr>
      <w:tr w:rsidR="009311E4" w:rsidRPr="000D09AE" w14:paraId="16444638" w14:textId="77777777" w:rsidTr="00AC4853">
        <w:trPr>
          <w:trHeight w:val="1390"/>
        </w:trPr>
        <w:tc>
          <w:tcPr>
            <w:tcW w:w="1376" w:type="dxa"/>
            <w:vAlign w:val="center"/>
            <w:hideMark/>
          </w:tcPr>
          <w:p w14:paraId="10FAC7B0" w14:textId="77777777"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lastRenderedPageBreak/>
              <w:t xml:space="preserve">Reforma 7: </w:t>
            </w:r>
            <w:r w:rsidRPr="000D09AE">
              <w:rPr>
                <w:rFonts w:ascii="Arial Narrow" w:hAnsi="Arial Narrow"/>
                <w:sz w:val="16"/>
                <w:szCs w:val="16"/>
              </w:rPr>
              <w:br/>
              <w:t>Novela stavebného zákona</w:t>
            </w:r>
          </w:p>
        </w:tc>
        <w:tc>
          <w:tcPr>
            <w:tcW w:w="1029" w:type="dxa"/>
            <w:vAlign w:val="center"/>
            <w:hideMark/>
          </w:tcPr>
          <w:p w14:paraId="7FCB55B8" w14:textId="77777777" w:rsidR="009311E4" w:rsidRPr="000D09AE" w:rsidRDefault="009311E4" w:rsidP="00616580">
            <w:pPr>
              <w:jc w:val="center"/>
              <w:rPr>
                <w:rFonts w:ascii="Arial Narrow" w:hAnsi="Arial Narrow"/>
                <w:sz w:val="16"/>
                <w:szCs w:val="16"/>
              </w:rPr>
            </w:pPr>
            <w:r>
              <w:rPr>
                <w:rFonts w:ascii="Arial Narrow" w:hAnsi="Arial Narrow"/>
                <w:sz w:val="16"/>
                <w:szCs w:val="16"/>
              </w:rPr>
              <w:t>-</w:t>
            </w:r>
          </w:p>
        </w:tc>
        <w:tc>
          <w:tcPr>
            <w:tcW w:w="1276" w:type="dxa"/>
            <w:vAlign w:val="center"/>
            <w:hideMark/>
          </w:tcPr>
          <w:p w14:paraId="36A4692F"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2019.CSR3.7</w:t>
            </w:r>
            <w:r w:rsidRPr="000D09AE">
              <w:rPr>
                <w:rFonts w:ascii="Arial Narrow" w:hAnsi="Arial Narrow"/>
                <w:sz w:val="16"/>
                <w:szCs w:val="16"/>
              </w:rPr>
              <w:br/>
              <w:t>2023.CSR1.7</w:t>
            </w:r>
            <w:r w:rsidRPr="000D09AE">
              <w:rPr>
                <w:rFonts w:ascii="Arial Narrow" w:hAnsi="Arial Narrow"/>
                <w:sz w:val="16"/>
                <w:szCs w:val="16"/>
              </w:rPr>
              <w:br/>
              <w:t>2024.CSR1.6</w:t>
            </w:r>
          </w:p>
        </w:tc>
        <w:tc>
          <w:tcPr>
            <w:tcW w:w="1134" w:type="dxa"/>
            <w:vAlign w:val="center"/>
            <w:hideMark/>
          </w:tcPr>
          <w:p w14:paraId="5C63F4EF"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Posilnenie sociálnej a hospodárskej odolnosti</w:t>
            </w:r>
          </w:p>
        </w:tc>
        <w:tc>
          <w:tcPr>
            <w:tcW w:w="4247" w:type="dxa"/>
            <w:hideMark/>
          </w:tcPr>
          <w:p w14:paraId="01B84BE5" w14:textId="77777777" w:rsidR="009311E4" w:rsidRPr="000D09AE" w:rsidRDefault="009311E4" w:rsidP="00616580">
            <w:pPr>
              <w:jc w:val="both"/>
              <w:rPr>
                <w:rFonts w:ascii="Arial Narrow" w:hAnsi="Arial Narrow"/>
                <w:sz w:val="18"/>
                <w:szCs w:val="18"/>
              </w:rPr>
            </w:pPr>
            <w:r w:rsidRPr="000D09AE">
              <w:rPr>
                <w:rFonts w:ascii="Arial Narrow" w:hAnsi="Arial Narrow"/>
                <w:sz w:val="18"/>
                <w:szCs w:val="18"/>
              </w:rPr>
              <w:t>Cieľom novely stavebného zákona je modernizovať slovenské stavebné predpisy zefektívnením postupov, zlúčením procesov územného a stavebného povoľovania a posilnením vlastníckych práv. Očakáva sa, že skráti dĺžku stavebných konaní a zníži administratívnu záťaž, ktorá patrí medzi hlavné faktory obmedzujúce ponuku bývania. Účinnosť novely je naplánovaná od apríla 2025.</w:t>
            </w:r>
          </w:p>
        </w:tc>
      </w:tr>
      <w:tr w:rsidR="009311E4" w:rsidRPr="000D09AE" w14:paraId="06F35F7B" w14:textId="77777777" w:rsidTr="00AC4853">
        <w:trPr>
          <w:trHeight w:val="1638"/>
        </w:trPr>
        <w:tc>
          <w:tcPr>
            <w:tcW w:w="1376" w:type="dxa"/>
            <w:vAlign w:val="center"/>
            <w:hideMark/>
          </w:tcPr>
          <w:p w14:paraId="54468466" w14:textId="77777777"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t>Investícia 2:</w:t>
            </w:r>
            <w:r w:rsidRPr="000D09AE">
              <w:rPr>
                <w:rFonts w:ascii="Arial Narrow" w:hAnsi="Arial Narrow"/>
                <w:sz w:val="16"/>
                <w:szCs w:val="16"/>
              </w:rPr>
              <w:t xml:space="preserve"> </w:t>
            </w:r>
            <w:r w:rsidRPr="000D09AE">
              <w:rPr>
                <w:rFonts w:ascii="Arial Narrow" w:hAnsi="Arial Narrow"/>
                <w:sz w:val="16"/>
                <w:szCs w:val="16"/>
              </w:rPr>
              <w:br/>
              <w:t>Rozšírenie ponuky nájomného bývania</w:t>
            </w:r>
          </w:p>
        </w:tc>
        <w:tc>
          <w:tcPr>
            <w:tcW w:w="1029" w:type="dxa"/>
            <w:vAlign w:val="center"/>
            <w:hideMark/>
          </w:tcPr>
          <w:p w14:paraId="3052146C" w14:textId="77777777" w:rsidR="009311E4" w:rsidRPr="000D09AE" w:rsidRDefault="009311E4" w:rsidP="00616580">
            <w:pPr>
              <w:jc w:val="center"/>
              <w:rPr>
                <w:rFonts w:ascii="Arial Narrow" w:hAnsi="Arial Narrow"/>
                <w:sz w:val="16"/>
                <w:szCs w:val="16"/>
              </w:rPr>
            </w:pPr>
            <w:r>
              <w:rPr>
                <w:rFonts w:ascii="Arial Narrow" w:hAnsi="Arial Narrow"/>
                <w:sz w:val="16"/>
                <w:szCs w:val="16"/>
              </w:rPr>
              <w:t>-</w:t>
            </w:r>
          </w:p>
        </w:tc>
        <w:tc>
          <w:tcPr>
            <w:tcW w:w="1276" w:type="dxa"/>
            <w:vAlign w:val="center"/>
            <w:hideMark/>
          </w:tcPr>
          <w:p w14:paraId="57E64521"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2019.CSR3.7</w:t>
            </w:r>
            <w:r w:rsidRPr="000D09AE">
              <w:rPr>
                <w:rFonts w:ascii="Arial Narrow" w:hAnsi="Arial Narrow"/>
                <w:sz w:val="16"/>
                <w:szCs w:val="16"/>
              </w:rPr>
              <w:br/>
              <w:t>2023.CSR1.7</w:t>
            </w:r>
            <w:r w:rsidRPr="000D09AE">
              <w:rPr>
                <w:rFonts w:ascii="Arial Narrow" w:hAnsi="Arial Narrow"/>
                <w:sz w:val="16"/>
                <w:szCs w:val="16"/>
              </w:rPr>
              <w:br/>
              <w:t>2024.CSR1.6</w:t>
            </w:r>
          </w:p>
        </w:tc>
        <w:tc>
          <w:tcPr>
            <w:tcW w:w="1134" w:type="dxa"/>
            <w:vAlign w:val="center"/>
            <w:hideMark/>
          </w:tcPr>
          <w:p w14:paraId="37F6F149"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Posilnenie sociálnej a hospodárskej odolnosti</w:t>
            </w:r>
          </w:p>
        </w:tc>
        <w:tc>
          <w:tcPr>
            <w:tcW w:w="4247" w:type="dxa"/>
            <w:hideMark/>
          </w:tcPr>
          <w:p w14:paraId="17933F62" w14:textId="77777777" w:rsidR="009311E4" w:rsidRPr="000D09AE" w:rsidRDefault="009311E4" w:rsidP="00616580">
            <w:pPr>
              <w:jc w:val="both"/>
              <w:rPr>
                <w:rFonts w:ascii="Arial Narrow" w:hAnsi="Arial Narrow"/>
                <w:sz w:val="18"/>
                <w:szCs w:val="18"/>
              </w:rPr>
            </w:pPr>
            <w:r w:rsidRPr="000D09AE">
              <w:rPr>
                <w:rFonts w:ascii="Arial Narrow" w:hAnsi="Arial Narrow"/>
                <w:sz w:val="18"/>
                <w:szCs w:val="18"/>
              </w:rPr>
              <w:t>Cieľom implementácie zákona o štátnej podpore nájomného bývania je zvýšiť dostupnosť cenovo prístupného nájomného bývania financovaného súkromnými investormi. Investičné zmluvy na štátom podporované nájomné bývanie majú nadobudnúť platnosť do polovice roka 2025. Úspešná implementácia si zároveň vyžaduje existenciu funkčnej agentúry, ktorá bude zodpovedná za vydávanie projektov bývania a dohľad nad ich realizáciou.</w:t>
            </w:r>
          </w:p>
        </w:tc>
      </w:tr>
      <w:tr w:rsidR="00616580" w:rsidRPr="000D09AE" w14:paraId="42DC656E" w14:textId="77777777" w:rsidTr="00AC4853">
        <w:trPr>
          <w:trHeight w:val="1638"/>
        </w:trPr>
        <w:tc>
          <w:tcPr>
            <w:tcW w:w="1376" w:type="dxa"/>
            <w:vAlign w:val="center"/>
          </w:tcPr>
          <w:p w14:paraId="372885AD" w14:textId="4A23868C" w:rsidR="00616580" w:rsidRPr="00F6360F" w:rsidRDefault="00616580" w:rsidP="00616580">
            <w:pPr>
              <w:jc w:val="center"/>
              <w:rPr>
                <w:rFonts w:ascii="Arial Narrow" w:hAnsi="Arial Narrow"/>
                <w:bCs/>
                <w:sz w:val="16"/>
                <w:szCs w:val="16"/>
              </w:rPr>
            </w:pPr>
            <w:r w:rsidRPr="00F6360F">
              <w:rPr>
                <w:rFonts w:ascii="Arial Narrow" w:hAnsi="Arial Narrow"/>
                <w:b/>
                <w:bCs/>
                <w:sz w:val="16"/>
                <w:szCs w:val="16"/>
              </w:rPr>
              <w:t>Reforma</w:t>
            </w:r>
            <w:r>
              <w:rPr>
                <w:rFonts w:ascii="Arial Narrow" w:hAnsi="Arial Narrow"/>
                <w:b/>
                <w:bCs/>
                <w:sz w:val="16"/>
                <w:szCs w:val="16"/>
              </w:rPr>
              <w:t xml:space="preserve"> 8</w:t>
            </w:r>
            <w:r w:rsidRPr="00F6360F">
              <w:rPr>
                <w:rFonts w:ascii="Arial Narrow" w:hAnsi="Arial Narrow"/>
                <w:b/>
                <w:bCs/>
                <w:sz w:val="16"/>
                <w:szCs w:val="16"/>
              </w:rPr>
              <w:t>:</w:t>
            </w:r>
            <w:r>
              <w:rPr>
                <w:rFonts w:ascii="Arial Narrow" w:hAnsi="Arial Narrow"/>
                <w:bCs/>
                <w:sz w:val="16"/>
                <w:szCs w:val="16"/>
              </w:rPr>
              <w:t xml:space="preserve"> </w:t>
            </w:r>
            <w:r w:rsidRPr="00F6360F">
              <w:rPr>
                <w:rFonts w:ascii="Arial Narrow" w:hAnsi="Arial Narrow"/>
                <w:bCs/>
                <w:sz w:val="16"/>
                <w:szCs w:val="16"/>
              </w:rPr>
              <w:t>Priemyselná politika Slovenskej republiky 2027-2035</w:t>
            </w:r>
          </w:p>
        </w:tc>
        <w:tc>
          <w:tcPr>
            <w:tcW w:w="1029" w:type="dxa"/>
            <w:vAlign w:val="center"/>
          </w:tcPr>
          <w:p w14:paraId="289D1D62" w14:textId="231E9722" w:rsidR="00616580" w:rsidRDefault="00616580" w:rsidP="00616580">
            <w:pPr>
              <w:jc w:val="center"/>
              <w:rPr>
                <w:rFonts w:ascii="Arial Narrow" w:hAnsi="Arial Narrow"/>
                <w:sz w:val="16"/>
                <w:szCs w:val="16"/>
              </w:rPr>
            </w:pPr>
            <w:r>
              <w:rPr>
                <w:rFonts w:ascii="Arial Narrow" w:hAnsi="Arial Narrow"/>
                <w:sz w:val="16"/>
                <w:szCs w:val="16"/>
              </w:rPr>
              <w:t>-</w:t>
            </w:r>
          </w:p>
        </w:tc>
        <w:tc>
          <w:tcPr>
            <w:tcW w:w="1276" w:type="dxa"/>
            <w:vAlign w:val="center"/>
          </w:tcPr>
          <w:p w14:paraId="78D08D7D" w14:textId="77777777" w:rsidR="00616580" w:rsidRPr="00616580" w:rsidRDefault="00616580" w:rsidP="00616580">
            <w:pPr>
              <w:jc w:val="center"/>
              <w:rPr>
                <w:rFonts w:ascii="Arial Narrow" w:hAnsi="Arial Narrow"/>
                <w:sz w:val="16"/>
                <w:szCs w:val="16"/>
              </w:rPr>
            </w:pPr>
            <w:r w:rsidRPr="00616580">
              <w:rPr>
                <w:rFonts w:ascii="Arial Narrow" w:hAnsi="Arial Narrow"/>
                <w:sz w:val="16"/>
                <w:szCs w:val="16"/>
              </w:rPr>
              <w:t>2019.CSR3.6</w:t>
            </w:r>
          </w:p>
          <w:p w14:paraId="2E7D02C8" w14:textId="73D0FD60" w:rsidR="00616580" w:rsidRPr="000D09AE" w:rsidRDefault="00616580" w:rsidP="00616580">
            <w:pPr>
              <w:jc w:val="center"/>
              <w:rPr>
                <w:rFonts w:ascii="Arial Narrow" w:hAnsi="Arial Narrow"/>
                <w:sz w:val="16"/>
                <w:szCs w:val="16"/>
              </w:rPr>
            </w:pPr>
            <w:r w:rsidRPr="00616580">
              <w:rPr>
                <w:rFonts w:ascii="Arial Narrow" w:hAnsi="Arial Narrow"/>
                <w:sz w:val="16"/>
                <w:szCs w:val="16"/>
              </w:rPr>
              <w:t>2024.CSR3.3</w:t>
            </w:r>
          </w:p>
        </w:tc>
        <w:tc>
          <w:tcPr>
            <w:tcW w:w="1134" w:type="dxa"/>
            <w:vAlign w:val="center"/>
          </w:tcPr>
          <w:p w14:paraId="0CE085C1" w14:textId="42A4D8E0" w:rsidR="00616580" w:rsidRPr="000D09AE" w:rsidRDefault="00616580" w:rsidP="00616580">
            <w:pPr>
              <w:jc w:val="center"/>
              <w:rPr>
                <w:rFonts w:ascii="Arial Narrow" w:hAnsi="Arial Narrow"/>
                <w:sz w:val="16"/>
                <w:szCs w:val="16"/>
              </w:rPr>
            </w:pPr>
            <w:r w:rsidRPr="000D09AE">
              <w:rPr>
                <w:rFonts w:ascii="Arial Narrow" w:hAnsi="Arial Narrow"/>
                <w:sz w:val="16"/>
                <w:szCs w:val="16"/>
              </w:rPr>
              <w:t>Posilnenie sociálnej a hospodárskej odolnosti</w:t>
            </w:r>
          </w:p>
        </w:tc>
        <w:tc>
          <w:tcPr>
            <w:tcW w:w="4247" w:type="dxa"/>
          </w:tcPr>
          <w:p w14:paraId="129525E3" w14:textId="74A6D54F" w:rsidR="00616580" w:rsidRPr="00616580" w:rsidRDefault="00616580" w:rsidP="00616580">
            <w:pPr>
              <w:jc w:val="both"/>
              <w:rPr>
                <w:rFonts w:ascii="Arial Narrow" w:hAnsi="Arial Narrow"/>
                <w:sz w:val="18"/>
                <w:szCs w:val="18"/>
              </w:rPr>
            </w:pPr>
            <w:r w:rsidRPr="00616580">
              <w:rPr>
                <w:rFonts w:ascii="Arial Narrow" w:hAnsi="Arial Narrow"/>
                <w:sz w:val="18"/>
                <w:szCs w:val="18"/>
              </w:rPr>
              <w:t>Opatrenie reaguje na kľúčové geopolitické zmeny, ako aj nové iniciatívy a legislatívne rámce s priamym dopadom na konkurencieschopnosť Slovenskej republiky. Kľúčovým krokom bude analýza súčasného potenciálu slovenského priemyslu, jeho potrieb a výziev, s cieľom vytvoriť udržateľnú a odolnú priemyselnú základňu.</w:t>
            </w:r>
          </w:p>
          <w:p w14:paraId="1C780173" w14:textId="7EDB2C4F" w:rsidR="00616580" w:rsidRPr="000D09AE" w:rsidRDefault="00616580" w:rsidP="00616580">
            <w:pPr>
              <w:jc w:val="both"/>
              <w:rPr>
                <w:rFonts w:ascii="Arial Narrow" w:hAnsi="Arial Narrow"/>
                <w:sz w:val="18"/>
                <w:szCs w:val="18"/>
              </w:rPr>
            </w:pPr>
            <w:r w:rsidRPr="00616580">
              <w:rPr>
                <w:rFonts w:ascii="Arial Narrow" w:hAnsi="Arial Narrow"/>
                <w:sz w:val="18"/>
                <w:szCs w:val="18"/>
              </w:rPr>
              <w:t>Stratégia bude priamo nadväzovať na správu Maria Draghiho „Budúcnosť konkurencieschopnosti Európy“ (The Future of European Competitiveness) a na pripravovanú iniciatívu „Európska priemyselná dohoda“ (Industrial Deal). Zohľadní sa tiež implementácia opatrení vyplývajúcich z Európskej zelenej dohody s dôrazom na národné hospodárstvo a geopolitickú konkurencieschopnosť Slovenska.</w:t>
            </w:r>
          </w:p>
        </w:tc>
      </w:tr>
      <w:tr w:rsidR="00616580" w:rsidRPr="000D09AE" w14:paraId="46029647" w14:textId="77777777" w:rsidTr="00AC4853">
        <w:trPr>
          <w:trHeight w:val="1638"/>
        </w:trPr>
        <w:tc>
          <w:tcPr>
            <w:tcW w:w="1376" w:type="dxa"/>
            <w:vAlign w:val="center"/>
          </w:tcPr>
          <w:p w14:paraId="70AE3FA5" w14:textId="1438256B" w:rsidR="00616580" w:rsidRPr="00616580" w:rsidRDefault="00616580" w:rsidP="00616580">
            <w:pPr>
              <w:jc w:val="center"/>
              <w:rPr>
                <w:rFonts w:ascii="Arial Narrow" w:hAnsi="Arial Narrow"/>
                <w:b/>
                <w:bCs/>
                <w:sz w:val="16"/>
                <w:szCs w:val="16"/>
              </w:rPr>
            </w:pPr>
            <w:r>
              <w:rPr>
                <w:rFonts w:ascii="Arial Narrow" w:hAnsi="Arial Narrow"/>
                <w:b/>
                <w:bCs/>
                <w:sz w:val="16"/>
                <w:szCs w:val="16"/>
              </w:rPr>
              <w:t>Reforma 9</w:t>
            </w:r>
            <w:r w:rsidRPr="00616580">
              <w:rPr>
                <w:rFonts w:ascii="Arial Narrow" w:hAnsi="Arial Narrow"/>
                <w:b/>
                <w:bCs/>
                <w:sz w:val="16"/>
                <w:szCs w:val="16"/>
              </w:rPr>
              <w:t xml:space="preserve">: </w:t>
            </w:r>
          </w:p>
          <w:p w14:paraId="1ACB5562" w14:textId="67CC90A1" w:rsidR="00616580" w:rsidRPr="00F6360F" w:rsidRDefault="00616580" w:rsidP="00616580">
            <w:pPr>
              <w:jc w:val="center"/>
              <w:rPr>
                <w:rFonts w:ascii="Arial Narrow" w:hAnsi="Arial Narrow"/>
                <w:bCs/>
                <w:sz w:val="16"/>
                <w:szCs w:val="16"/>
              </w:rPr>
            </w:pPr>
            <w:r w:rsidRPr="00F6360F">
              <w:rPr>
                <w:rFonts w:ascii="Arial Narrow" w:hAnsi="Arial Narrow"/>
                <w:bCs/>
                <w:sz w:val="16"/>
                <w:szCs w:val="16"/>
              </w:rPr>
              <w:t>Vodíkový ekosystém</w:t>
            </w:r>
          </w:p>
        </w:tc>
        <w:tc>
          <w:tcPr>
            <w:tcW w:w="1029" w:type="dxa"/>
            <w:vAlign w:val="center"/>
          </w:tcPr>
          <w:p w14:paraId="05975085" w14:textId="5E671A75" w:rsidR="00616580" w:rsidRDefault="00616580" w:rsidP="00616580">
            <w:pPr>
              <w:jc w:val="center"/>
              <w:rPr>
                <w:rFonts w:ascii="Arial Narrow" w:hAnsi="Arial Narrow"/>
                <w:sz w:val="16"/>
                <w:szCs w:val="16"/>
              </w:rPr>
            </w:pPr>
            <w:r>
              <w:rPr>
                <w:rFonts w:ascii="Arial Narrow" w:hAnsi="Arial Narrow"/>
                <w:sz w:val="16"/>
                <w:szCs w:val="16"/>
              </w:rPr>
              <w:t>-</w:t>
            </w:r>
          </w:p>
        </w:tc>
        <w:tc>
          <w:tcPr>
            <w:tcW w:w="1276" w:type="dxa"/>
            <w:vAlign w:val="center"/>
          </w:tcPr>
          <w:p w14:paraId="69138DAD" w14:textId="29DF31FB" w:rsidR="00616580" w:rsidRDefault="00616580" w:rsidP="00616580">
            <w:pPr>
              <w:jc w:val="center"/>
              <w:rPr>
                <w:rFonts w:ascii="Arial Narrow" w:hAnsi="Arial Narrow"/>
                <w:sz w:val="16"/>
                <w:szCs w:val="16"/>
              </w:rPr>
            </w:pPr>
            <w:r w:rsidRPr="00616580">
              <w:rPr>
                <w:rFonts w:ascii="Arial Narrow" w:hAnsi="Arial Narrow"/>
                <w:sz w:val="16"/>
                <w:szCs w:val="16"/>
              </w:rPr>
              <w:t>2020.CSR3.5</w:t>
            </w:r>
            <w:r>
              <w:rPr>
                <w:rFonts w:ascii="Calibri" w:hAnsi="Calibri" w:cs="Calibri"/>
                <w:color w:val="000000"/>
                <w:sz w:val="20"/>
                <w:szCs w:val="20"/>
                <w:shd w:val="clear" w:color="auto" w:fill="FFFFFF"/>
              </w:rPr>
              <w:t xml:space="preserve"> </w:t>
            </w:r>
          </w:p>
          <w:p w14:paraId="10E17033" w14:textId="14627928" w:rsidR="00616580" w:rsidRDefault="00616580" w:rsidP="00616580">
            <w:pPr>
              <w:jc w:val="center"/>
              <w:rPr>
                <w:rFonts w:ascii="Arial Narrow" w:hAnsi="Arial Narrow"/>
                <w:sz w:val="16"/>
                <w:szCs w:val="16"/>
              </w:rPr>
            </w:pPr>
            <w:r w:rsidRPr="00616580">
              <w:rPr>
                <w:rFonts w:ascii="Arial Narrow" w:hAnsi="Arial Narrow"/>
                <w:sz w:val="16"/>
                <w:szCs w:val="16"/>
              </w:rPr>
              <w:t>2022.CSR3.1</w:t>
            </w:r>
          </w:p>
          <w:p w14:paraId="20CEA6EF" w14:textId="3C9470A3" w:rsidR="00616580" w:rsidRDefault="00616580" w:rsidP="00616580">
            <w:pPr>
              <w:jc w:val="center"/>
              <w:rPr>
                <w:rFonts w:ascii="Arial Narrow" w:hAnsi="Arial Narrow"/>
                <w:sz w:val="16"/>
                <w:szCs w:val="16"/>
              </w:rPr>
            </w:pPr>
            <w:r w:rsidRPr="00616580">
              <w:rPr>
                <w:rFonts w:ascii="Arial Narrow" w:hAnsi="Arial Narrow"/>
                <w:sz w:val="16"/>
                <w:szCs w:val="16"/>
              </w:rPr>
              <w:t>2022.CSR3.4</w:t>
            </w:r>
          </w:p>
          <w:p w14:paraId="18F8AF79" w14:textId="62C46690" w:rsidR="00616580" w:rsidRPr="000D09AE" w:rsidRDefault="00616580" w:rsidP="00616580">
            <w:pPr>
              <w:jc w:val="center"/>
              <w:rPr>
                <w:rFonts w:ascii="Arial Narrow" w:hAnsi="Arial Narrow"/>
                <w:sz w:val="16"/>
                <w:szCs w:val="16"/>
              </w:rPr>
            </w:pPr>
            <w:r w:rsidRPr="00616580">
              <w:rPr>
                <w:rFonts w:ascii="Arial Narrow" w:hAnsi="Arial Narrow"/>
                <w:sz w:val="16"/>
                <w:szCs w:val="16"/>
              </w:rPr>
              <w:t>2023.CSR3.1</w:t>
            </w:r>
          </w:p>
        </w:tc>
        <w:tc>
          <w:tcPr>
            <w:tcW w:w="1134" w:type="dxa"/>
            <w:vAlign w:val="center"/>
          </w:tcPr>
          <w:p w14:paraId="17706E6E" w14:textId="0C53C0B5" w:rsidR="00616580" w:rsidRPr="000D09AE" w:rsidRDefault="00616580" w:rsidP="00616580">
            <w:pPr>
              <w:jc w:val="center"/>
              <w:rPr>
                <w:rFonts w:ascii="Arial Narrow" w:hAnsi="Arial Narrow"/>
                <w:sz w:val="16"/>
                <w:szCs w:val="16"/>
              </w:rPr>
            </w:pPr>
            <w:r w:rsidRPr="00616580">
              <w:rPr>
                <w:rFonts w:ascii="Arial Narrow" w:hAnsi="Arial Narrow"/>
                <w:sz w:val="16"/>
                <w:szCs w:val="16"/>
              </w:rPr>
              <w:t>Spravodlivá zelená transformácia; Zabezpečenie energetickej bezpečnosti</w:t>
            </w:r>
          </w:p>
        </w:tc>
        <w:tc>
          <w:tcPr>
            <w:tcW w:w="4247" w:type="dxa"/>
          </w:tcPr>
          <w:p w14:paraId="4F4931A6" w14:textId="15AC0226" w:rsidR="00616580" w:rsidRPr="000D09AE" w:rsidRDefault="00616580" w:rsidP="00AC4EBB">
            <w:pPr>
              <w:jc w:val="both"/>
              <w:rPr>
                <w:rFonts w:ascii="Arial Narrow" w:hAnsi="Arial Narrow"/>
                <w:sz w:val="18"/>
                <w:szCs w:val="18"/>
              </w:rPr>
            </w:pPr>
            <w:r w:rsidRPr="00616580">
              <w:rPr>
                <w:rFonts w:ascii="Arial Narrow" w:hAnsi="Arial Narrow"/>
                <w:sz w:val="18"/>
                <w:szCs w:val="18"/>
              </w:rPr>
              <w:t>Cieľom opatrenia je posilniť energetickú bezpečnosť Slovenskej republiky a urýchliť transformáciu na nízkouhlíkové hospodárstvo prostredníctvom integrovaného využívania vodíka a vodíkových technológií. Na základe skúseností z iných krajín EÚ bude prioritou vypracovanie legislatívnych návrhov pre efektívnu implementáciu vodíkových technológií v súlade s požiadavkami Európskej komisie a národnými prioritami.</w:t>
            </w:r>
            <w:r w:rsidR="002E5D82">
              <w:rPr>
                <w:rFonts w:ascii="Arial Narrow" w:hAnsi="Arial Narrow"/>
                <w:sz w:val="18"/>
                <w:szCs w:val="18"/>
              </w:rPr>
              <w:t xml:space="preserve"> </w:t>
            </w:r>
            <w:r w:rsidR="002E5D82" w:rsidRPr="002E5D82">
              <w:rPr>
                <w:rFonts w:ascii="Arial Narrow" w:hAnsi="Arial Narrow"/>
                <w:sz w:val="18"/>
                <w:szCs w:val="18"/>
              </w:rPr>
              <w:t xml:space="preserve">Súčasne sa bude zabezpečovať </w:t>
            </w:r>
            <w:r w:rsidR="002E5D82">
              <w:rPr>
                <w:rFonts w:ascii="Arial Narrow" w:hAnsi="Arial Narrow"/>
                <w:sz w:val="18"/>
                <w:szCs w:val="18"/>
              </w:rPr>
              <w:t xml:space="preserve">priebežná </w:t>
            </w:r>
            <w:r w:rsidR="002E5D82" w:rsidRPr="002E5D82">
              <w:rPr>
                <w:rFonts w:ascii="Arial Narrow" w:hAnsi="Arial Narrow"/>
                <w:sz w:val="18"/>
                <w:szCs w:val="18"/>
              </w:rPr>
              <w:t>integrácia európskych noriem do slovenských technických noriem a ich úprava podľa potreby na základe podnetov od zainteresovaných strá</w:t>
            </w:r>
            <w:r w:rsidR="002E5D82">
              <w:rPr>
                <w:rFonts w:ascii="Arial Narrow" w:hAnsi="Arial Narrow"/>
                <w:sz w:val="18"/>
                <w:szCs w:val="18"/>
              </w:rPr>
              <w:t>n.</w:t>
            </w:r>
          </w:p>
        </w:tc>
      </w:tr>
      <w:tr w:rsidR="009311E4" w:rsidRPr="000D09AE" w14:paraId="5763948F" w14:textId="77777777" w:rsidTr="00AC4853">
        <w:trPr>
          <w:trHeight w:val="1871"/>
        </w:trPr>
        <w:tc>
          <w:tcPr>
            <w:tcW w:w="1376" w:type="dxa"/>
            <w:vAlign w:val="center"/>
            <w:hideMark/>
          </w:tcPr>
          <w:p w14:paraId="41A2B319" w14:textId="61248105"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t xml:space="preserve">Reforma </w:t>
            </w:r>
            <w:r w:rsidR="00616580">
              <w:rPr>
                <w:rFonts w:ascii="Arial Narrow" w:hAnsi="Arial Narrow"/>
                <w:b/>
                <w:bCs/>
                <w:sz w:val="16"/>
                <w:szCs w:val="16"/>
              </w:rPr>
              <w:t>10</w:t>
            </w:r>
            <w:r w:rsidRPr="000D09AE">
              <w:rPr>
                <w:rFonts w:ascii="Arial Narrow" w:hAnsi="Arial Narrow"/>
                <w:b/>
                <w:bCs/>
                <w:sz w:val="16"/>
                <w:szCs w:val="16"/>
              </w:rPr>
              <w:t xml:space="preserve">: </w:t>
            </w:r>
            <w:r w:rsidRPr="000D09AE">
              <w:rPr>
                <w:rFonts w:ascii="Arial Narrow" w:hAnsi="Arial Narrow"/>
                <w:b/>
                <w:bCs/>
                <w:sz w:val="16"/>
                <w:szCs w:val="16"/>
              </w:rPr>
              <w:br/>
            </w:r>
            <w:r w:rsidRPr="000D09AE">
              <w:rPr>
                <w:rFonts w:ascii="Arial Narrow" w:hAnsi="Arial Narrow"/>
                <w:sz w:val="16"/>
                <w:szCs w:val="16"/>
              </w:rPr>
              <w:t>Reforma trhu s elektrickou energiou</w:t>
            </w:r>
          </w:p>
        </w:tc>
        <w:tc>
          <w:tcPr>
            <w:tcW w:w="1029" w:type="dxa"/>
            <w:vAlign w:val="center"/>
            <w:hideMark/>
          </w:tcPr>
          <w:p w14:paraId="19BD8F84" w14:textId="6242BE59" w:rsidR="009311E4" w:rsidRPr="000D09AE" w:rsidRDefault="009311E4" w:rsidP="00616580">
            <w:pPr>
              <w:jc w:val="center"/>
              <w:rPr>
                <w:rFonts w:ascii="Arial Narrow" w:hAnsi="Arial Narrow"/>
                <w:sz w:val="16"/>
                <w:szCs w:val="16"/>
              </w:rPr>
            </w:pPr>
            <w:r>
              <w:rPr>
                <w:rFonts w:ascii="Arial Narrow" w:hAnsi="Arial Narrow"/>
                <w:sz w:val="16"/>
                <w:szCs w:val="16"/>
              </w:rPr>
              <w:t>POO</w:t>
            </w:r>
            <w:r w:rsidR="00D64CBE">
              <w:rPr>
                <w:rFonts w:ascii="Arial Narrow" w:hAnsi="Arial Narrow"/>
                <w:sz w:val="16"/>
                <w:szCs w:val="16"/>
              </w:rPr>
              <w:br/>
            </w:r>
            <w:r w:rsidR="00D64CBE" w:rsidRPr="00D64CBE">
              <w:rPr>
                <w:rFonts w:ascii="Arial Narrow" w:hAnsi="Arial Narrow"/>
                <w:sz w:val="12"/>
                <w:szCs w:val="12"/>
              </w:rPr>
              <w:t>SK-C[C1]-R[R1]</w:t>
            </w:r>
          </w:p>
        </w:tc>
        <w:tc>
          <w:tcPr>
            <w:tcW w:w="1276" w:type="dxa"/>
            <w:vAlign w:val="center"/>
            <w:hideMark/>
          </w:tcPr>
          <w:p w14:paraId="18376EBB"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2023.CSR3.3</w:t>
            </w:r>
          </w:p>
        </w:tc>
        <w:tc>
          <w:tcPr>
            <w:tcW w:w="1134" w:type="dxa"/>
            <w:vAlign w:val="center"/>
            <w:hideMark/>
          </w:tcPr>
          <w:p w14:paraId="219FC31E"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Spravodlivá zelená transformácia</w:t>
            </w:r>
          </w:p>
        </w:tc>
        <w:tc>
          <w:tcPr>
            <w:tcW w:w="4247" w:type="dxa"/>
            <w:hideMark/>
          </w:tcPr>
          <w:p w14:paraId="090D1ECF" w14:textId="0E869B25" w:rsidR="009311E4" w:rsidRPr="000D09AE" w:rsidRDefault="009311E4" w:rsidP="008F2A41">
            <w:pPr>
              <w:jc w:val="both"/>
              <w:rPr>
                <w:rFonts w:ascii="Arial Narrow" w:hAnsi="Arial Narrow"/>
                <w:sz w:val="18"/>
                <w:szCs w:val="18"/>
              </w:rPr>
            </w:pPr>
            <w:r w:rsidRPr="000D09AE">
              <w:rPr>
                <w:rFonts w:ascii="Arial Narrow" w:hAnsi="Arial Narrow"/>
                <w:sz w:val="18"/>
                <w:szCs w:val="18"/>
              </w:rPr>
              <w:t xml:space="preserve">Cieľom opatrenia je modernizácia právneho rámca upravujúceho slovenský trh s elektrinou prostredníctvom transpozície smernice 2019/944. </w:t>
            </w:r>
            <w:r w:rsidR="004522B1">
              <w:rPr>
                <w:rFonts w:ascii="Arial Narrow" w:hAnsi="Arial Narrow"/>
                <w:sz w:val="18"/>
                <w:szCs w:val="18"/>
              </w:rPr>
              <w:t>Novela zákona schválená v júni 2022</w:t>
            </w:r>
            <w:r w:rsidRPr="000D09AE">
              <w:rPr>
                <w:rFonts w:ascii="Arial Narrow" w:hAnsi="Arial Narrow"/>
                <w:sz w:val="18"/>
                <w:szCs w:val="18"/>
              </w:rPr>
              <w:t xml:space="preserve"> umožn</w:t>
            </w:r>
            <w:r w:rsidR="004522B1">
              <w:rPr>
                <w:rFonts w:ascii="Arial Narrow" w:hAnsi="Arial Narrow"/>
                <w:sz w:val="18"/>
                <w:szCs w:val="18"/>
              </w:rPr>
              <w:t>ila</w:t>
            </w:r>
            <w:r w:rsidRPr="000D09AE">
              <w:rPr>
                <w:rFonts w:ascii="Arial Narrow" w:hAnsi="Arial Narrow"/>
                <w:sz w:val="18"/>
                <w:szCs w:val="18"/>
              </w:rPr>
              <w:t xml:space="preserve"> vstup nových účastníkov trhu, ako sú energetické spoločenstvá, agregátori, samospotrebitelia a prevádzkovatelia zásobníkov elektriny. </w:t>
            </w:r>
            <w:r w:rsidR="004522B1" w:rsidRPr="004522B1">
              <w:rPr>
                <w:rFonts w:ascii="Arial Narrow" w:hAnsi="Arial Narrow"/>
                <w:sz w:val="18"/>
                <w:szCs w:val="18"/>
              </w:rPr>
              <w:t>Opatrenie je zamerané na zvýšenie flexibility elektrizačnej sústavy a uľahčenie integrácie obnoviteľných zdrojov energie, čím prispieva k energetickej transformácii a napĺňaniu cieľov udržateľného rozvoja krajiny</w:t>
            </w:r>
            <w:r w:rsidR="008F2A41">
              <w:rPr>
                <w:rFonts w:ascii="Arial Narrow" w:hAnsi="Arial Narrow"/>
                <w:sz w:val="18"/>
                <w:szCs w:val="18"/>
              </w:rPr>
              <w:t>.</w:t>
            </w:r>
          </w:p>
        </w:tc>
      </w:tr>
      <w:tr w:rsidR="009311E4" w:rsidRPr="000D09AE" w14:paraId="0969C25E" w14:textId="77777777" w:rsidTr="00AC4853">
        <w:trPr>
          <w:trHeight w:val="1020"/>
        </w:trPr>
        <w:tc>
          <w:tcPr>
            <w:tcW w:w="1376" w:type="dxa"/>
            <w:vAlign w:val="center"/>
            <w:hideMark/>
          </w:tcPr>
          <w:p w14:paraId="224715FB" w14:textId="77777777" w:rsidR="009311E4" w:rsidRPr="000D09AE" w:rsidRDefault="009311E4" w:rsidP="00616580">
            <w:pPr>
              <w:jc w:val="center"/>
              <w:rPr>
                <w:rFonts w:ascii="Arial Narrow" w:hAnsi="Arial Narrow"/>
                <w:b/>
                <w:bCs/>
                <w:sz w:val="16"/>
                <w:szCs w:val="16"/>
              </w:rPr>
            </w:pPr>
            <w:r w:rsidRPr="000D09AE">
              <w:rPr>
                <w:rFonts w:ascii="Arial Narrow" w:hAnsi="Arial Narrow"/>
                <w:b/>
                <w:bCs/>
                <w:sz w:val="16"/>
                <w:szCs w:val="16"/>
              </w:rPr>
              <w:t xml:space="preserve">Investícia 3 </w:t>
            </w:r>
            <w:r w:rsidRPr="000D09AE">
              <w:rPr>
                <w:rFonts w:ascii="Arial Narrow" w:hAnsi="Arial Narrow"/>
                <w:sz w:val="16"/>
                <w:szCs w:val="16"/>
              </w:rPr>
              <w:t xml:space="preserve">: </w:t>
            </w:r>
            <w:r w:rsidRPr="000D09AE">
              <w:rPr>
                <w:rFonts w:ascii="Arial Narrow" w:hAnsi="Arial Narrow"/>
                <w:sz w:val="16"/>
                <w:szCs w:val="16"/>
              </w:rPr>
              <w:br/>
              <w:t>Výstavba nových obnoviteľných zdrojov elektrickej energie</w:t>
            </w:r>
          </w:p>
        </w:tc>
        <w:tc>
          <w:tcPr>
            <w:tcW w:w="1029" w:type="dxa"/>
            <w:vAlign w:val="center"/>
            <w:hideMark/>
          </w:tcPr>
          <w:p w14:paraId="1C230478" w14:textId="6CB4D9C9" w:rsidR="009311E4" w:rsidRPr="000D09AE" w:rsidRDefault="009311E4" w:rsidP="00616580">
            <w:pPr>
              <w:jc w:val="center"/>
              <w:rPr>
                <w:rFonts w:ascii="Arial Narrow" w:hAnsi="Arial Narrow"/>
                <w:sz w:val="16"/>
                <w:szCs w:val="16"/>
              </w:rPr>
            </w:pPr>
            <w:r>
              <w:rPr>
                <w:rFonts w:ascii="Arial Narrow" w:hAnsi="Arial Narrow"/>
                <w:sz w:val="16"/>
                <w:szCs w:val="16"/>
              </w:rPr>
              <w:t>POO</w:t>
            </w:r>
            <w:r w:rsidR="00AC4853">
              <w:rPr>
                <w:rFonts w:ascii="Arial Narrow" w:hAnsi="Arial Narrow"/>
                <w:sz w:val="16"/>
                <w:szCs w:val="16"/>
              </w:rPr>
              <w:br/>
            </w:r>
            <w:r w:rsidR="00AC4853" w:rsidRPr="00AC4853">
              <w:rPr>
                <w:rFonts w:ascii="Arial Narrow" w:hAnsi="Arial Narrow"/>
                <w:sz w:val="12"/>
                <w:szCs w:val="12"/>
              </w:rPr>
              <w:t>SK-C[C1]-I[I1]</w:t>
            </w:r>
          </w:p>
        </w:tc>
        <w:tc>
          <w:tcPr>
            <w:tcW w:w="1276" w:type="dxa"/>
            <w:vAlign w:val="center"/>
            <w:hideMark/>
          </w:tcPr>
          <w:p w14:paraId="066F319C" w14:textId="77777777" w:rsidR="009311E4" w:rsidRPr="000D09AE" w:rsidRDefault="009311E4" w:rsidP="00616580">
            <w:pPr>
              <w:spacing w:before="240" w:after="160"/>
              <w:jc w:val="center"/>
              <w:rPr>
                <w:rFonts w:ascii="Arial Narrow" w:hAnsi="Arial Narrow"/>
                <w:sz w:val="16"/>
                <w:szCs w:val="16"/>
              </w:rPr>
            </w:pPr>
            <w:r w:rsidRPr="000D09AE">
              <w:rPr>
                <w:rFonts w:ascii="Arial Narrow" w:hAnsi="Arial Narrow"/>
                <w:sz w:val="16"/>
                <w:szCs w:val="16"/>
              </w:rPr>
              <w:t>2020.CSR3.4</w:t>
            </w:r>
            <w:r w:rsidRPr="000D09AE">
              <w:rPr>
                <w:rFonts w:ascii="Arial Narrow" w:hAnsi="Arial Narrow"/>
                <w:sz w:val="16"/>
                <w:szCs w:val="16"/>
              </w:rPr>
              <w:br/>
              <w:t xml:space="preserve">2020.CSR3.5 </w:t>
            </w:r>
            <w:r w:rsidRPr="000D09AE">
              <w:rPr>
                <w:rFonts w:ascii="Arial Narrow" w:hAnsi="Arial Narrow"/>
                <w:sz w:val="16"/>
                <w:szCs w:val="16"/>
              </w:rPr>
              <w:br/>
              <w:t>2022.CSR3.1</w:t>
            </w:r>
            <w:r w:rsidRPr="000D09AE">
              <w:rPr>
                <w:rFonts w:ascii="Arial Narrow" w:hAnsi="Arial Narrow"/>
                <w:sz w:val="16"/>
                <w:szCs w:val="16"/>
              </w:rPr>
              <w:br/>
              <w:t>2022.CSR3.2</w:t>
            </w:r>
            <w:r w:rsidRPr="000D09AE">
              <w:rPr>
                <w:rFonts w:ascii="Arial Narrow" w:hAnsi="Arial Narrow"/>
                <w:sz w:val="16"/>
                <w:szCs w:val="16"/>
              </w:rPr>
              <w:br/>
              <w:t>2022.CSR3.4</w:t>
            </w:r>
            <w:r w:rsidRPr="000D09AE">
              <w:rPr>
                <w:rFonts w:ascii="Arial Narrow" w:hAnsi="Arial Narrow"/>
                <w:sz w:val="16"/>
                <w:szCs w:val="16"/>
              </w:rPr>
              <w:br/>
              <w:t>2023.CSR3.1</w:t>
            </w:r>
            <w:r w:rsidRPr="000D09AE">
              <w:rPr>
                <w:rFonts w:ascii="Arial Narrow" w:hAnsi="Arial Narrow"/>
                <w:sz w:val="16"/>
                <w:szCs w:val="16"/>
              </w:rPr>
              <w:br/>
              <w:t>2023.CSR3.2</w:t>
            </w:r>
          </w:p>
        </w:tc>
        <w:tc>
          <w:tcPr>
            <w:tcW w:w="1134" w:type="dxa"/>
            <w:vAlign w:val="center"/>
            <w:hideMark/>
          </w:tcPr>
          <w:p w14:paraId="72CEE21E" w14:textId="77777777" w:rsidR="009311E4" w:rsidRPr="000D09AE" w:rsidRDefault="009311E4" w:rsidP="00616580">
            <w:pPr>
              <w:spacing w:after="160"/>
              <w:jc w:val="center"/>
              <w:rPr>
                <w:rFonts w:ascii="Arial Narrow" w:hAnsi="Arial Narrow"/>
                <w:sz w:val="16"/>
                <w:szCs w:val="16"/>
              </w:rPr>
            </w:pPr>
            <w:r w:rsidRPr="000D09AE">
              <w:rPr>
                <w:rFonts w:ascii="Arial Narrow" w:hAnsi="Arial Narrow"/>
                <w:sz w:val="16"/>
                <w:szCs w:val="16"/>
              </w:rPr>
              <w:t>Spravodlivá zelená transformácia; zabezpečenie energetickej bezpečnosti</w:t>
            </w:r>
          </w:p>
        </w:tc>
        <w:tc>
          <w:tcPr>
            <w:tcW w:w="4247" w:type="dxa"/>
            <w:hideMark/>
          </w:tcPr>
          <w:p w14:paraId="05C59ECD" w14:textId="4C1F4937" w:rsidR="009311E4" w:rsidRPr="000D09AE" w:rsidRDefault="009311E4" w:rsidP="007A47C0">
            <w:pPr>
              <w:jc w:val="both"/>
              <w:rPr>
                <w:rFonts w:ascii="Arial Narrow" w:hAnsi="Arial Narrow"/>
                <w:sz w:val="18"/>
                <w:szCs w:val="18"/>
              </w:rPr>
            </w:pPr>
            <w:r w:rsidRPr="000D09AE">
              <w:rPr>
                <w:rFonts w:ascii="Arial Narrow" w:hAnsi="Arial Narrow"/>
                <w:sz w:val="18"/>
                <w:szCs w:val="18"/>
              </w:rPr>
              <w:t>Cieľom opatrenia je vytvoriť 122,4 MW nových kapacít na výrobu elektriny z obnoviteľných zdrojov energie (OZE), pričom toto opatrenie umožní pripojenie najmenej 120 MW nových zdrojov elektriny z OZE do siete v rámci určenej schémy podpory.</w:t>
            </w:r>
          </w:p>
        </w:tc>
      </w:tr>
      <w:tr w:rsidR="009311E4" w:rsidRPr="000D09AE" w14:paraId="4823B8B9" w14:textId="77777777" w:rsidTr="00AC4853">
        <w:trPr>
          <w:trHeight w:val="2041"/>
        </w:trPr>
        <w:tc>
          <w:tcPr>
            <w:tcW w:w="1376" w:type="dxa"/>
            <w:vAlign w:val="center"/>
            <w:hideMark/>
          </w:tcPr>
          <w:p w14:paraId="395243DA" w14:textId="2A605E77"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t xml:space="preserve">Reforma </w:t>
            </w:r>
            <w:r w:rsidR="00616580">
              <w:rPr>
                <w:rFonts w:ascii="Arial Narrow" w:hAnsi="Arial Narrow"/>
                <w:b/>
                <w:bCs/>
                <w:sz w:val="16"/>
                <w:szCs w:val="16"/>
              </w:rPr>
              <w:t>11</w:t>
            </w:r>
            <w:r w:rsidRPr="000D09AE">
              <w:rPr>
                <w:rFonts w:ascii="Arial Narrow" w:hAnsi="Arial Narrow"/>
                <w:b/>
                <w:bCs/>
                <w:sz w:val="16"/>
                <w:szCs w:val="16"/>
              </w:rPr>
              <w:t>:</w:t>
            </w:r>
            <w:r w:rsidRPr="000D09AE">
              <w:rPr>
                <w:rFonts w:ascii="Arial Narrow" w:hAnsi="Arial Narrow"/>
                <w:b/>
                <w:bCs/>
                <w:sz w:val="16"/>
                <w:szCs w:val="16"/>
              </w:rPr>
              <w:br/>
            </w:r>
            <w:r w:rsidRPr="000D09AE">
              <w:rPr>
                <w:rFonts w:ascii="Arial Narrow" w:hAnsi="Arial Narrow"/>
                <w:sz w:val="16"/>
                <w:szCs w:val="16"/>
              </w:rPr>
              <w:t>Novela zákona o</w:t>
            </w:r>
            <w:r>
              <w:rPr>
                <w:rFonts w:ascii="Arial Narrow" w:hAnsi="Arial Narrow"/>
                <w:sz w:val="16"/>
                <w:szCs w:val="16"/>
              </w:rPr>
              <w:t> </w:t>
            </w:r>
            <w:r w:rsidRPr="000D09AE">
              <w:rPr>
                <w:rFonts w:ascii="Arial Narrow" w:hAnsi="Arial Narrow"/>
                <w:sz w:val="16"/>
                <w:szCs w:val="16"/>
              </w:rPr>
              <w:t>odpadoch</w:t>
            </w:r>
          </w:p>
        </w:tc>
        <w:tc>
          <w:tcPr>
            <w:tcW w:w="1029" w:type="dxa"/>
            <w:vAlign w:val="center"/>
            <w:hideMark/>
          </w:tcPr>
          <w:p w14:paraId="2401C269" w14:textId="70EA2694" w:rsidR="009311E4" w:rsidRPr="00AC4853" w:rsidRDefault="009311E4" w:rsidP="00616580">
            <w:pPr>
              <w:jc w:val="center"/>
              <w:rPr>
                <w:rFonts w:ascii="Arial Narrow" w:hAnsi="Arial Narrow"/>
                <w:sz w:val="14"/>
                <w:szCs w:val="16"/>
              </w:rPr>
            </w:pPr>
            <w:r>
              <w:rPr>
                <w:rFonts w:ascii="Arial Narrow" w:hAnsi="Arial Narrow"/>
                <w:sz w:val="16"/>
                <w:szCs w:val="16"/>
              </w:rPr>
              <w:t>POO</w:t>
            </w:r>
            <w:r w:rsidR="00AC4853">
              <w:rPr>
                <w:rFonts w:ascii="Arial Narrow" w:hAnsi="Arial Narrow"/>
                <w:sz w:val="14"/>
                <w:szCs w:val="16"/>
              </w:rPr>
              <w:br/>
            </w:r>
            <w:r w:rsidR="00AC4853" w:rsidRPr="00AC4853">
              <w:rPr>
                <w:rFonts w:ascii="Arial Narrow" w:hAnsi="Arial Narrow"/>
                <w:sz w:val="12"/>
                <w:szCs w:val="12"/>
              </w:rPr>
              <w:t>SK-C[C2]-R[R3]</w:t>
            </w:r>
          </w:p>
        </w:tc>
        <w:tc>
          <w:tcPr>
            <w:tcW w:w="1276" w:type="dxa"/>
            <w:vAlign w:val="center"/>
            <w:hideMark/>
          </w:tcPr>
          <w:p w14:paraId="728C032B"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2020.CSR3.7</w:t>
            </w:r>
            <w:r w:rsidRPr="000D09AE">
              <w:rPr>
                <w:rFonts w:ascii="Arial Narrow" w:hAnsi="Arial Narrow"/>
                <w:sz w:val="16"/>
                <w:szCs w:val="16"/>
              </w:rPr>
              <w:br/>
              <w:t>2024.CSR3.7</w:t>
            </w:r>
          </w:p>
        </w:tc>
        <w:tc>
          <w:tcPr>
            <w:tcW w:w="1134" w:type="dxa"/>
            <w:vAlign w:val="center"/>
            <w:hideMark/>
          </w:tcPr>
          <w:p w14:paraId="00627E56"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Spravodlivá zelená transformácia</w:t>
            </w:r>
          </w:p>
        </w:tc>
        <w:tc>
          <w:tcPr>
            <w:tcW w:w="4247" w:type="dxa"/>
            <w:hideMark/>
          </w:tcPr>
          <w:p w14:paraId="5D956A81" w14:textId="1D0E222E" w:rsidR="009311E4" w:rsidRPr="000D09AE" w:rsidRDefault="004522B1" w:rsidP="004522B1">
            <w:pPr>
              <w:jc w:val="both"/>
              <w:rPr>
                <w:rFonts w:ascii="Arial Narrow" w:hAnsi="Arial Narrow"/>
                <w:sz w:val="18"/>
                <w:szCs w:val="18"/>
              </w:rPr>
            </w:pPr>
            <w:r w:rsidRPr="004522B1">
              <w:rPr>
                <w:rFonts w:ascii="Arial Narrow" w:hAnsi="Arial Narrow"/>
                <w:sz w:val="18"/>
                <w:szCs w:val="18"/>
              </w:rPr>
              <w:t>Cieľom reformy schválenej NR SR v roku 2022 je zvýšiť recykláciu stavebného odpadu a predchádzať jeho vzniku v rámci obehového hospodárstva.</w:t>
            </w:r>
            <w:r>
              <w:rPr>
                <w:rFonts w:ascii="Arial Narrow" w:hAnsi="Arial Narrow"/>
                <w:sz w:val="18"/>
                <w:szCs w:val="18"/>
              </w:rPr>
              <w:t xml:space="preserve"> </w:t>
            </w:r>
            <w:r w:rsidR="009311E4" w:rsidRPr="000D09AE">
              <w:rPr>
                <w:rFonts w:ascii="Arial Narrow" w:hAnsi="Arial Narrow"/>
                <w:sz w:val="18"/>
                <w:szCs w:val="18"/>
              </w:rPr>
              <w:t>Reforma sa zameria</w:t>
            </w:r>
            <w:r>
              <w:rPr>
                <w:rFonts w:ascii="Arial Narrow" w:hAnsi="Arial Narrow"/>
                <w:sz w:val="18"/>
                <w:szCs w:val="18"/>
              </w:rPr>
              <w:t>va</w:t>
            </w:r>
            <w:r w:rsidR="009311E4" w:rsidRPr="000D09AE">
              <w:rPr>
                <w:rFonts w:ascii="Arial Narrow" w:hAnsi="Arial Narrow"/>
                <w:sz w:val="18"/>
                <w:szCs w:val="18"/>
              </w:rPr>
              <w:t xml:space="preserve"> na zvýšenie recyklácie a opätovného použitia aspoň 70 % stavebného a demolačného odpadu, ktorý nie je nebezpečný. Opatrenia </w:t>
            </w:r>
            <w:r>
              <w:rPr>
                <w:rFonts w:ascii="Arial Narrow" w:hAnsi="Arial Narrow"/>
                <w:sz w:val="18"/>
                <w:szCs w:val="18"/>
              </w:rPr>
              <w:t>zahŕňajú</w:t>
            </w:r>
            <w:r w:rsidR="009311E4" w:rsidRPr="000D09AE">
              <w:rPr>
                <w:rFonts w:ascii="Arial Narrow" w:hAnsi="Arial Narrow"/>
                <w:sz w:val="18"/>
                <w:szCs w:val="18"/>
              </w:rPr>
              <w:t xml:space="preserve"> povinné zelené verejné obstarávanie stavebných prác zo strany verejných orgánov, zvýšenie poplatkov za skládkovanie nerecyklovaného odpadu a zjednodušenie predpisov pre využívanie stavebného a demolačného odpadu.</w:t>
            </w:r>
          </w:p>
        </w:tc>
      </w:tr>
      <w:tr w:rsidR="009311E4" w:rsidRPr="000D09AE" w14:paraId="32C40877" w14:textId="77777777" w:rsidTr="00AC4853">
        <w:trPr>
          <w:trHeight w:val="662"/>
        </w:trPr>
        <w:tc>
          <w:tcPr>
            <w:tcW w:w="1376" w:type="dxa"/>
            <w:vAlign w:val="center"/>
            <w:hideMark/>
          </w:tcPr>
          <w:p w14:paraId="1D725B9D" w14:textId="77777777"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lastRenderedPageBreak/>
              <w:t>Investície 4</w:t>
            </w:r>
            <w:r w:rsidRPr="000D09AE">
              <w:rPr>
                <w:rFonts w:ascii="Arial Narrow" w:hAnsi="Arial Narrow"/>
                <w:sz w:val="16"/>
                <w:szCs w:val="16"/>
              </w:rPr>
              <w:t xml:space="preserve">: </w:t>
            </w:r>
            <w:r w:rsidRPr="000D09AE">
              <w:rPr>
                <w:rFonts w:ascii="Arial Narrow" w:hAnsi="Arial Narrow"/>
                <w:sz w:val="16"/>
                <w:szCs w:val="16"/>
              </w:rPr>
              <w:br/>
              <w:t>Modernizácia zelenej železničnej infraštruktúry pre osobnú dopravu</w:t>
            </w:r>
          </w:p>
        </w:tc>
        <w:tc>
          <w:tcPr>
            <w:tcW w:w="1029" w:type="dxa"/>
            <w:vAlign w:val="center"/>
            <w:hideMark/>
          </w:tcPr>
          <w:p w14:paraId="473157AC" w14:textId="68635E86" w:rsidR="009311E4" w:rsidRPr="000D09AE" w:rsidRDefault="009311E4" w:rsidP="00616580">
            <w:pPr>
              <w:jc w:val="center"/>
              <w:rPr>
                <w:rFonts w:ascii="Arial Narrow" w:hAnsi="Arial Narrow"/>
                <w:sz w:val="16"/>
                <w:szCs w:val="16"/>
              </w:rPr>
            </w:pPr>
            <w:r>
              <w:rPr>
                <w:rFonts w:ascii="Arial Narrow" w:hAnsi="Arial Narrow"/>
                <w:sz w:val="16"/>
                <w:szCs w:val="16"/>
              </w:rPr>
              <w:t>POO</w:t>
            </w:r>
            <w:r w:rsidR="00AC4853">
              <w:rPr>
                <w:rFonts w:ascii="Arial Narrow" w:hAnsi="Arial Narrow"/>
                <w:sz w:val="16"/>
                <w:szCs w:val="16"/>
              </w:rPr>
              <w:br/>
            </w:r>
            <w:r w:rsidR="00AC4853" w:rsidRPr="00AC4853">
              <w:rPr>
                <w:rFonts w:ascii="Arial Narrow" w:hAnsi="Arial Narrow"/>
                <w:sz w:val="12"/>
                <w:szCs w:val="12"/>
              </w:rPr>
              <w:t>SK-C[C3]-I[I1]</w:t>
            </w:r>
          </w:p>
        </w:tc>
        <w:tc>
          <w:tcPr>
            <w:tcW w:w="1276" w:type="dxa"/>
            <w:vAlign w:val="center"/>
            <w:hideMark/>
          </w:tcPr>
          <w:p w14:paraId="4AFD3FD2"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2019.CSR3.3</w:t>
            </w:r>
            <w:r w:rsidRPr="000D09AE">
              <w:rPr>
                <w:rFonts w:ascii="Arial Narrow" w:hAnsi="Arial Narrow"/>
                <w:sz w:val="16"/>
                <w:szCs w:val="16"/>
              </w:rPr>
              <w:br/>
              <w:t>2020.CSR3.6</w:t>
            </w:r>
            <w:r w:rsidRPr="000D09AE">
              <w:rPr>
                <w:rFonts w:ascii="Arial Narrow" w:hAnsi="Arial Narrow"/>
                <w:sz w:val="16"/>
                <w:szCs w:val="16"/>
              </w:rPr>
              <w:br/>
              <w:t>2022.CSR3.1</w:t>
            </w:r>
            <w:r w:rsidRPr="000D09AE">
              <w:rPr>
                <w:rFonts w:ascii="Arial Narrow" w:hAnsi="Arial Narrow"/>
                <w:sz w:val="16"/>
                <w:szCs w:val="16"/>
              </w:rPr>
              <w:br/>
              <w:t>2023.CSR3.1</w:t>
            </w:r>
          </w:p>
        </w:tc>
        <w:tc>
          <w:tcPr>
            <w:tcW w:w="1134" w:type="dxa"/>
            <w:vAlign w:val="center"/>
            <w:hideMark/>
          </w:tcPr>
          <w:p w14:paraId="70862910"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Spravodlivá zelená transformácia</w:t>
            </w:r>
          </w:p>
        </w:tc>
        <w:tc>
          <w:tcPr>
            <w:tcW w:w="4247" w:type="dxa"/>
            <w:hideMark/>
          </w:tcPr>
          <w:p w14:paraId="65E2397B" w14:textId="77777777" w:rsidR="009311E4" w:rsidRPr="000D09AE" w:rsidRDefault="009311E4" w:rsidP="00616580">
            <w:pPr>
              <w:jc w:val="both"/>
              <w:rPr>
                <w:rFonts w:ascii="Arial Narrow" w:hAnsi="Arial Narrow"/>
                <w:sz w:val="18"/>
                <w:szCs w:val="18"/>
              </w:rPr>
            </w:pPr>
            <w:r w:rsidRPr="000D09AE">
              <w:rPr>
                <w:rFonts w:ascii="Arial Narrow" w:hAnsi="Arial Narrow"/>
                <w:sz w:val="18"/>
                <w:szCs w:val="18"/>
              </w:rPr>
              <w:t>Cieľom opatrenia je zvýšiť dĺžku rekonštruovanej alebo modernizovanej ekologickej železničnej infraštruktúry pre osobnú dopravu. Z celkového cieľového rozsahu 55 km železničnej infraštruktúry bude zrekonštruovaných alebo zmodernizovaných najmenej 49,7 km.</w:t>
            </w:r>
          </w:p>
        </w:tc>
      </w:tr>
      <w:tr w:rsidR="009311E4" w:rsidRPr="000D09AE" w14:paraId="0F6740E3" w14:textId="77777777" w:rsidTr="00AC4853">
        <w:trPr>
          <w:trHeight w:val="2721"/>
        </w:trPr>
        <w:tc>
          <w:tcPr>
            <w:tcW w:w="1376" w:type="dxa"/>
            <w:vAlign w:val="center"/>
            <w:hideMark/>
          </w:tcPr>
          <w:p w14:paraId="25857C79" w14:textId="4241FDBA"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t>Reforma 1</w:t>
            </w:r>
            <w:r w:rsidR="00616580">
              <w:rPr>
                <w:rFonts w:ascii="Arial Narrow" w:hAnsi="Arial Narrow"/>
                <w:b/>
                <w:bCs/>
                <w:sz w:val="16"/>
                <w:szCs w:val="16"/>
              </w:rPr>
              <w:t>2</w:t>
            </w:r>
            <w:r w:rsidRPr="000D09AE">
              <w:rPr>
                <w:rFonts w:ascii="Arial Narrow" w:hAnsi="Arial Narrow"/>
                <w:sz w:val="16"/>
                <w:szCs w:val="16"/>
              </w:rPr>
              <w:t>:</w:t>
            </w:r>
            <w:r w:rsidRPr="000D09AE">
              <w:rPr>
                <w:rFonts w:ascii="Arial Narrow" w:hAnsi="Arial Narrow"/>
                <w:sz w:val="16"/>
                <w:szCs w:val="16"/>
              </w:rPr>
              <w:br/>
              <w:t>Ochrana prírody a zákon o</w:t>
            </w:r>
            <w:r>
              <w:rPr>
                <w:rFonts w:ascii="Arial Narrow" w:hAnsi="Arial Narrow"/>
                <w:sz w:val="16"/>
                <w:szCs w:val="16"/>
              </w:rPr>
              <w:t> </w:t>
            </w:r>
            <w:r w:rsidRPr="000D09AE">
              <w:rPr>
                <w:rFonts w:ascii="Arial Narrow" w:hAnsi="Arial Narrow"/>
                <w:sz w:val="16"/>
                <w:szCs w:val="16"/>
              </w:rPr>
              <w:t>vodách</w:t>
            </w:r>
          </w:p>
        </w:tc>
        <w:tc>
          <w:tcPr>
            <w:tcW w:w="1029" w:type="dxa"/>
            <w:vAlign w:val="center"/>
            <w:hideMark/>
          </w:tcPr>
          <w:p w14:paraId="0D04ED20" w14:textId="43E1FB8A" w:rsidR="009311E4" w:rsidRPr="000D09AE" w:rsidRDefault="009311E4" w:rsidP="00616580">
            <w:pPr>
              <w:jc w:val="center"/>
              <w:rPr>
                <w:rFonts w:ascii="Arial Narrow" w:hAnsi="Arial Narrow"/>
                <w:sz w:val="16"/>
                <w:szCs w:val="16"/>
              </w:rPr>
            </w:pPr>
            <w:r>
              <w:rPr>
                <w:rFonts w:ascii="Arial Narrow" w:hAnsi="Arial Narrow"/>
                <w:sz w:val="16"/>
                <w:szCs w:val="16"/>
              </w:rPr>
              <w:t>POO</w:t>
            </w:r>
            <w:r w:rsidR="00AC4853">
              <w:rPr>
                <w:rFonts w:ascii="Arial Narrow" w:hAnsi="Arial Narrow"/>
                <w:sz w:val="16"/>
                <w:szCs w:val="16"/>
              </w:rPr>
              <w:br/>
            </w:r>
            <w:r w:rsidR="00AC4853" w:rsidRPr="00AC4853">
              <w:rPr>
                <w:rFonts w:ascii="Arial Narrow" w:hAnsi="Arial Narrow"/>
                <w:sz w:val="12"/>
                <w:szCs w:val="12"/>
              </w:rPr>
              <w:t>SK-C[C5]-R[R2]</w:t>
            </w:r>
          </w:p>
        </w:tc>
        <w:tc>
          <w:tcPr>
            <w:tcW w:w="1276" w:type="dxa"/>
            <w:vAlign w:val="center"/>
            <w:hideMark/>
          </w:tcPr>
          <w:p w14:paraId="11099CD3"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2024.CSR3.8</w:t>
            </w:r>
          </w:p>
        </w:tc>
        <w:tc>
          <w:tcPr>
            <w:tcW w:w="1134" w:type="dxa"/>
            <w:vAlign w:val="center"/>
            <w:hideMark/>
          </w:tcPr>
          <w:p w14:paraId="38D206F8"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Spravodlivá zelená transformácia</w:t>
            </w:r>
          </w:p>
        </w:tc>
        <w:tc>
          <w:tcPr>
            <w:tcW w:w="4247" w:type="dxa"/>
            <w:hideMark/>
          </w:tcPr>
          <w:p w14:paraId="04EDF2A8" w14:textId="756D27E1" w:rsidR="00F6360F" w:rsidRDefault="009311E4">
            <w:pPr>
              <w:jc w:val="both"/>
              <w:rPr>
                <w:rFonts w:ascii="Arial Narrow" w:hAnsi="Arial Narrow"/>
                <w:sz w:val="18"/>
                <w:szCs w:val="18"/>
              </w:rPr>
            </w:pPr>
            <w:r w:rsidRPr="000D09AE">
              <w:rPr>
                <w:rFonts w:ascii="Arial Narrow" w:hAnsi="Arial Narrow"/>
                <w:sz w:val="18"/>
                <w:szCs w:val="18"/>
              </w:rPr>
              <w:t xml:space="preserve">Cieľom opatrenia </w:t>
            </w:r>
            <w:r w:rsidR="00741F9A">
              <w:rPr>
                <w:rFonts w:ascii="Arial Narrow" w:hAnsi="Arial Narrow"/>
                <w:sz w:val="18"/>
                <w:szCs w:val="18"/>
              </w:rPr>
              <w:t xml:space="preserve">bola príprava </w:t>
            </w:r>
            <w:r w:rsidRPr="000D09AE">
              <w:rPr>
                <w:rFonts w:ascii="Arial Narrow" w:hAnsi="Arial Narrow"/>
                <w:sz w:val="18"/>
                <w:szCs w:val="18"/>
              </w:rPr>
              <w:t>nov</w:t>
            </w:r>
            <w:r w:rsidR="00741F9A">
              <w:rPr>
                <w:rFonts w:ascii="Arial Narrow" w:hAnsi="Arial Narrow"/>
                <w:sz w:val="18"/>
                <w:szCs w:val="18"/>
              </w:rPr>
              <w:t>ého</w:t>
            </w:r>
            <w:r w:rsidRPr="000D09AE">
              <w:rPr>
                <w:rFonts w:ascii="Arial Narrow" w:hAnsi="Arial Narrow"/>
                <w:sz w:val="18"/>
                <w:szCs w:val="18"/>
              </w:rPr>
              <w:t xml:space="preserve"> zákon</w:t>
            </w:r>
            <w:r w:rsidR="00741F9A">
              <w:rPr>
                <w:rFonts w:ascii="Arial Narrow" w:hAnsi="Arial Narrow"/>
                <w:sz w:val="18"/>
                <w:szCs w:val="18"/>
              </w:rPr>
              <w:t>a</w:t>
            </w:r>
            <w:r w:rsidRPr="000D09AE">
              <w:rPr>
                <w:rFonts w:ascii="Arial Narrow" w:hAnsi="Arial Narrow"/>
                <w:sz w:val="18"/>
                <w:szCs w:val="18"/>
              </w:rPr>
              <w:t xml:space="preserve"> o ochrane prírody s účinnosťou od januára 2022</w:t>
            </w:r>
            <w:r w:rsidR="00741F9A">
              <w:rPr>
                <w:rFonts w:ascii="Arial Narrow" w:hAnsi="Arial Narrow"/>
                <w:sz w:val="18"/>
                <w:szCs w:val="18"/>
              </w:rPr>
              <w:t xml:space="preserve"> a vypracovanie</w:t>
            </w:r>
            <w:r w:rsidRPr="000D09AE">
              <w:rPr>
                <w:rFonts w:ascii="Arial Narrow" w:hAnsi="Arial Narrow"/>
                <w:sz w:val="18"/>
                <w:szCs w:val="18"/>
              </w:rPr>
              <w:t xml:space="preserve"> nov</w:t>
            </w:r>
            <w:r w:rsidR="00741F9A">
              <w:rPr>
                <w:rFonts w:ascii="Arial Narrow" w:hAnsi="Arial Narrow"/>
                <w:sz w:val="18"/>
                <w:szCs w:val="18"/>
              </w:rPr>
              <w:t>ého</w:t>
            </w:r>
            <w:r w:rsidRPr="000D09AE">
              <w:rPr>
                <w:rFonts w:ascii="Arial Narrow" w:hAnsi="Arial Narrow"/>
                <w:sz w:val="18"/>
                <w:szCs w:val="18"/>
              </w:rPr>
              <w:t xml:space="preserve"> model</w:t>
            </w:r>
            <w:r w:rsidR="00741F9A">
              <w:rPr>
                <w:rFonts w:ascii="Arial Narrow" w:hAnsi="Arial Narrow"/>
                <w:sz w:val="18"/>
                <w:szCs w:val="18"/>
              </w:rPr>
              <w:t>u</w:t>
            </w:r>
            <w:r w:rsidRPr="000D09AE">
              <w:rPr>
                <w:rFonts w:ascii="Arial Narrow" w:hAnsi="Arial Narrow"/>
                <w:sz w:val="18"/>
                <w:szCs w:val="18"/>
              </w:rPr>
              <w:t xml:space="preserve"> chránených území. Nová legislatíva má za cieľ posilniť inštitucionálnu ochranu prírody, zjednodušiť systém ochrany a vytvoriť podmienky pre zonáciu národných parkov. </w:t>
            </w:r>
          </w:p>
          <w:p w14:paraId="0E10B7FF" w14:textId="77777777" w:rsidR="00F6360F" w:rsidRDefault="00F6360F">
            <w:pPr>
              <w:jc w:val="both"/>
              <w:rPr>
                <w:rFonts w:ascii="Arial Narrow" w:hAnsi="Arial Narrow"/>
                <w:sz w:val="18"/>
                <w:szCs w:val="18"/>
              </w:rPr>
            </w:pPr>
          </w:p>
          <w:p w14:paraId="6C623A66" w14:textId="518FA098" w:rsidR="009311E4" w:rsidRPr="000D09AE" w:rsidRDefault="009311E4">
            <w:pPr>
              <w:jc w:val="both"/>
              <w:rPr>
                <w:rFonts w:ascii="Arial Narrow" w:hAnsi="Arial Narrow"/>
                <w:sz w:val="18"/>
                <w:szCs w:val="18"/>
              </w:rPr>
            </w:pPr>
            <w:r w:rsidRPr="000D09AE">
              <w:rPr>
                <w:rFonts w:ascii="Arial Narrow" w:hAnsi="Arial Narrow"/>
                <w:sz w:val="18"/>
                <w:szCs w:val="18"/>
              </w:rPr>
              <w:t xml:space="preserve">Cieľom reformy vodného hospodárstva je položiť základy pre revitalizáciu vodných tokov a zvýšenie protipovodňovej ochrany. </w:t>
            </w:r>
            <w:r w:rsidR="00257ED0">
              <w:rPr>
                <w:rFonts w:ascii="Arial Narrow" w:hAnsi="Arial Narrow"/>
                <w:sz w:val="18"/>
                <w:szCs w:val="18"/>
              </w:rPr>
              <w:t>V roku</w:t>
            </w:r>
            <w:r w:rsidRPr="000D09AE">
              <w:rPr>
                <w:rFonts w:ascii="Arial Narrow" w:hAnsi="Arial Narrow"/>
                <w:sz w:val="18"/>
                <w:szCs w:val="18"/>
              </w:rPr>
              <w:t xml:space="preserve"> 2022 </w:t>
            </w:r>
            <w:r w:rsidR="00257ED0">
              <w:rPr>
                <w:rFonts w:ascii="Arial Narrow" w:hAnsi="Arial Narrow"/>
                <w:sz w:val="18"/>
                <w:szCs w:val="18"/>
              </w:rPr>
              <w:t xml:space="preserve">bola </w:t>
            </w:r>
            <w:r w:rsidRPr="000D09AE">
              <w:rPr>
                <w:rFonts w:ascii="Arial Narrow" w:hAnsi="Arial Narrow"/>
                <w:sz w:val="18"/>
                <w:szCs w:val="18"/>
              </w:rPr>
              <w:t>vyprac</w:t>
            </w:r>
            <w:r w:rsidR="00E440BC">
              <w:rPr>
                <w:rFonts w:ascii="Arial Narrow" w:hAnsi="Arial Narrow"/>
                <w:sz w:val="18"/>
                <w:szCs w:val="18"/>
              </w:rPr>
              <w:t>ova</w:t>
            </w:r>
            <w:r w:rsidR="00257ED0">
              <w:rPr>
                <w:rFonts w:ascii="Arial Narrow" w:hAnsi="Arial Narrow"/>
                <w:sz w:val="18"/>
                <w:szCs w:val="18"/>
              </w:rPr>
              <w:t>ná</w:t>
            </w:r>
            <w:r w:rsidRPr="000D09AE">
              <w:rPr>
                <w:rFonts w:ascii="Arial Narrow" w:hAnsi="Arial Narrow"/>
                <w:sz w:val="18"/>
                <w:szCs w:val="18"/>
              </w:rPr>
              <w:t xml:space="preserve"> nov</w:t>
            </w:r>
            <w:r w:rsidR="00257ED0">
              <w:rPr>
                <w:rFonts w:ascii="Arial Narrow" w:hAnsi="Arial Narrow"/>
                <w:sz w:val="18"/>
                <w:szCs w:val="18"/>
              </w:rPr>
              <w:t>á</w:t>
            </w:r>
            <w:r w:rsidRPr="000D09AE">
              <w:rPr>
                <w:rFonts w:ascii="Arial Narrow" w:hAnsi="Arial Narrow"/>
                <w:sz w:val="18"/>
                <w:szCs w:val="18"/>
              </w:rPr>
              <w:t xml:space="preserve"> koncepci</w:t>
            </w:r>
            <w:r w:rsidR="00257ED0">
              <w:rPr>
                <w:rFonts w:ascii="Arial Narrow" w:hAnsi="Arial Narrow"/>
                <w:sz w:val="18"/>
                <w:szCs w:val="18"/>
              </w:rPr>
              <w:t>a</w:t>
            </w:r>
            <w:r w:rsidRPr="000D09AE">
              <w:rPr>
                <w:rFonts w:ascii="Arial Narrow" w:hAnsi="Arial Narrow"/>
                <w:sz w:val="18"/>
                <w:szCs w:val="18"/>
              </w:rPr>
              <w:t xml:space="preserve"> vodnej politiky</w:t>
            </w:r>
            <w:r w:rsidR="00EA5F08">
              <w:rPr>
                <w:rFonts w:ascii="Arial Narrow" w:hAnsi="Arial Narrow"/>
                <w:sz w:val="18"/>
                <w:szCs w:val="18"/>
              </w:rPr>
              <w:t>. V roku 2023</w:t>
            </w:r>
            <w:r w:rsidRPr="000D09AE">
              <w:rPr>
                <w:rFonts w:ascii="Arial Narrow" w:hAnsi="Arial Narrow"/>
                <w:sz w:val="18"/>
                <w:szCs w:val="18"/>
              </w:rPr>
              <w:t xml:space="preserve"> </w:t>
            </w:r>
            <w:r w:rsidR="00EA5F08">
              <w:rPr>
                <w:rFonts w:ascii="Arial Narrow" w:hAnsi="Arial Narrow"/>
                <w:sz w:val="18"/>
                <w:szCs w:val="18"/>
              </w:rPr>
              <w:t>bol novelizovaný</w:t>
            </w:r>
            <w:r w:rsidRPr="000D09AE">
              <w:rPr>
                <w:rFonts w:ascii="Arial Narrow" w:hAnsi="Arial Narrow"/>
                <w:sz w:val="18"/>
                <w:szCs w:val="18"/>
              </w:rPr>
              <w:t xml:space="preserve"> zákon o vodách vrátane technických noriem, aby sa maximalizovalo zadržiavanie vody, spomalil prietok vody a obnovili zásoby podzemných vôd.</w:t>
            </w:r>
          </w:p>
        </w:tc>
      </w:tr>
      <w:tr w:rsidR="009311E4" w:rsidRPr="000D09AE" w14:paraId="227F081F" w14:textId="77777777" w:rsidTr="00AC4853">
        <w:trPr>
          <w:trHeight w:val="1474"/>
        </w:trPr>
        <w:tc>
          <w:tcPr>
            <w:tcW w:w="1376" w:type="dxa"/>
            <w:vAlign w:val="center"/>
            <w:hideMark/>
          </w:tcPr>
          <w:p w14:paraId="0730F240" w14:textId="77777777"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t xml:space="preserve">Investícia 5: </w:t>
            </w:r>
            <w:r w:rsidRPr="000D09AE">
              <w:rPr>
                <w:rFonts w:ascii="Arial Narrow" w:hAnsi="Arial Narrow"/>
                <w:sz w:val="16"/>
                <w:szCs w:val="16"/>
              </w:rPr>
              <w:t>Dobudovanie kapacít materských škôl</w:t>
            </w:r>
          </w:p>
        </w:tc>
        <w:tc>
          <w:tcPr>
            <w:tcW w:w="1029" w:type="dxa"/>
            <w:vAlign w:val="center"/>
            <w:hideMark/>
          </w:tcPr>
          <w:p w14:paraId="7BCA340C" w14:textId="3D4DE820" w:rsidR="009311E4" w:rsidRPr="000D09AE" w:rsidRDefault="009311E4" w:rsidP="00616580">
            <w:pPr>
              <w:jc w:val="center"/>
              <w:rPr>
                <w:rFonts w:ascii="Arial Narrow" w:hAnsi="Arial Narrow"/>
                <w:sz w:val="16"/>
                <w:szCs w:val="16"/>
              </w:rPr>
            </w:pPr>
            <w:r>
              <w:rPr>
                <w:rFonts w:ascii="Arial Narrow" w:hAnsi="Arial Narrow"/>
                <w:sz w:val="16"/>
                <w:szCs w:val="16"/>
              </w:rPr>
              <w:t>POO</w:t>
            </w:r>
            <w:r w:rsidR="00AC4853">
              <w:rPr>
                <w:rFonts w:ascii="Arial Narrow" w:hAnsi="Arial Narrow"/>
                <w:sz w:val="16"/>
                <w:szCs w:val="16"/>
              </w:rPr>
              <w:br/>
            </w:r>
            <w:r w:rsidR="00AC4853" w:rsidRPr="00AC4853">
              <w:rPr>
                <w:rFonts w:ascii="Arial Narrow" w:hAnsi="Arial Narrow"/>
                <w:sz w:val="12"/>
                <w:szCs w:val="12"/>
              </w:rPr>
              <w:t>SK-C[C6]-R[R1]</w:t>
            </w:r>
          </w:p>
        </w:tc>
        <w:tc>
          <w:tcPr>
            <w:tcW w:w="1276" w:type="dxa"/>
            <w:vAlign w:val="center"/>
            <w:hideMark/>
          </w:tcPr>
          <w:p w14:paraId="173BB669"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2019.CSR2.1</w:t>
            </w:r>
            <w:r w:rsidRPr="000D09AE">
              <w:rPr>
                <w:rFonts w:ascii="Arial Narrow" w:hAnsi="Arial Narrow"/>
                <w:sz w:val="16"/>
                <w:szCs w:val="16"/>
              </w:rPr>
              <w:br/>
              <w:t>2019.CSR2.2</w:t>
            </w:r>
            <w:r w:rsidRPr="000D09AE">
              <w:rPr>
                <w:rFonts w:ascii="Arial Narrow" w:hAnsi="Arial Narrow"/>
                <w:sz w:val="16"/>
                <w:szCs w:val="16"/>
              </w:rPr>
              <w:br/>
              <w:t>2019.CSR2.3</w:t>
            </w:r>
            <w:r w:rsidRPr="000D09AE">
              <w:rPr>
                <w:rFonts w:ascii="Arial Narrow" w:hAnsi="Arial Narrow"/>
                <w:sz w:val="16"/>
                <w:szCs w:val="16"/>
              </w:rPr>
              <w:br/>
              <w:t>2020.CSR2.4</w:t>
            </w:r>
            <w:r w:rsidRPr="000D09AE">
              <w:rPr>
                <w:rFonts w:ascii="Arial Narrow" w:hAnsi="Arial Narrow"/>
                <w:sz w:val="16"/>
                <w:szCs w:val="16"/>
              </w:rPr>
              <w:br/>
              <w:t>2024.CSR3.4</w:t>
            </w:r>
            <w:r w:rsidRPr="000D09AE">
              <w:rPr>
                <w:rFonts w:ascii="Arial Narrow" w:hAnsi="Arial Narrow"/>
                <w:sz w:val="16"/>
                <w:szCs w:val="16"/>
              </w:rPr>
              <w:br/>
              <w:t>2024.CSR3.3</w:t>
            </w:r>
            <w:r w:rsidRPr="000D09AE">
              <w:rPr>
                <w:rFonts w:ascii="Arial Narrow" w:hAnsi="Arial Narrow"/>
                <w:sz w:val="16"/>
                <w:szCs w:val="16"/>
              </w:rPr>
              <w:br/>
              <w:t>2024.CSR3.5</w:t>
            </w:r>
            <w:r w:rsidRPr="000D09AE">
              <w:rPr>
                <w:rFonts w:ascii="Arial Narrow" w:hAnsi="Arial Narrow"/>
                <w:sz w:val="16"/>
                <w:szCs w:val="16"/>
              </w:rPr>
              <w:br/>
              <w:t>2024.CSR3.6</w:t>
            </w:r>
          </w:p>
        </w:tc>
        <w:tc>
          <w:tcPr>
            <w:tcW w:w="1134" w:type="dxa"/>
            <w:vAlign w:val="center"/>
            <w:hideMark/>
          </w:tcPr>
          <w:p w14:paraId="68D18BF8"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Posilnenie sociálnej a hospodárskej odolnosti</w:t>
            </w:r>
          </w:p>
        </w:tc>
        <w:tc>
          <w:tcPr>
            <w:tcW w:w="4247" w:type="dxa"/>
            <w:hideMark/>
          </w:tcPr>
          <w:p w14:paraId="49F3A147" w14:textId="77777777" w:rsidR="009311E4" w:rsidRPr="000D09AE" w:rsidRDefault="009311E4" w:rsidP="00616580">
            <w:pPr>
              <w:jc w:val="both"/>
              <w:rPr>
                <w:rFonts w:ascii="Arial Narrow" w:hAnsi="Arial Narrow"/>
                <w:sz w:val="18"/>
                <w:szCs w:val="18"/>
              </w:rPr>
            </w:pPr>
            <w:r w:rsidRPr="000D09AE">
              <w:rPr>
                <w:rFonts w:ascii="Arial Narrow" w:hAnsi="Arial Narrow"/>
                <w:sz w:val="18"/>
                <w:szCs w:val="18"/>
              </w:rPr>
              <w:t>Rozšírením kapacít materských škôl sa vytvoria podmienky na zabezpečenie zákonného nároku na predprimárne vzdelávanie pre deti od štyroch rokov, a následne aj od troch rokov. Odhaduje sa, že počet novovybudovaných kapacít bude 9 114. Okrem toho zrenovované budovy prispejú k zelenej transformácii dosiahnutím priemernej úspory primárnej energie najmenej o 30 %.</w:t>
            </w:r>
          </w:p>
        </w:tc>
      </w:tr>
      <w:tr w:rsidR="009311E4" w:rsidRPr="000D09AE" w14:paraId="11EA8E13" w14:textId="77777777" w:rsidTr="00AC4853">
        <w:trPr>
          <w:trHeight w:val="1701"/>
        </w:trPr>
        <w:tc>
          <w:tcPr>
            <w:tcW w:w="1376" w:type="dxa"/>
            <w:vAlign w:val="center"/>
            <w:hideMark/>
          </w:tcPr>
          <w:p w14:paraId="7E67533E" w14:textId="027913C7"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t>Reforma 1</w:t>
            </w:r>
            <w:r w:rsidR="00616580">
              <w:rPr>
                <w:rFonts w:ascii="Arial Narrow" w:hAnsi="Arial Narrow"/>
                <w:b/>
                <w:bCs/>
                <w:sz w:val="16"/>
                <w:szCs w:val="16"/>
              </w:rPr>
              <w:t>3</w:t>
            </w:r>
            <w:r w:rsidRPr="000D09AE">
              <w:rPr>
                <w:rFonts w:ascii="Arial Narrow" w:hAnsi="Arial Narrow"/>
                <w:b/>
                <w:bCs/>
                <w:sz w:val="16"/>
                <w:szCs w:val="16"/>
              </w:rPr>
              <w:t>:</w:t>
            </w:r>
            <w:r w:rsidRPr="000D09AE">
              <w:rPr>
                <w:rFonts w:ascii="Arial Narrow" w:hAnsi="Arial Narrow"/>
                <w:sz w:val="16"/>
                <w:szCs w:val="16"/>
              </w:rPr>
              <w:br/>
              <w:t>Redefinícia špeciálnych výchovno-vzdelávacích potrieb a príprava metodických materiálov.</w:t>
            </w:r>
          </w:p>
        </w:tc>
        <w:tc>
          <w:tcPr>
            <w:tcW w:w="1029" w:type="dxa"/>
            <w:vAlign w:val="center"/>
            <w:hideMark/>
          </w:tcPr>
          <w:p w14:paraId="5CF16463" w14:textId="25D7C1B3" w:rsidR="009311E4" w:rsidRPr="000D09AE" w:rsidRDefault="009311E4" w:rsidP="00616580">
            <w:pPr>
              <w:jc w:val="center"/>
              <w:rPr>
                <w:rFonts w:ascii="Arial Narrow" w:hAnsi="Arial Narrow"/>
                <w:sz w:val="16"/>
                <w:szCs w:val="16"/>
              </w:rPr>
            </w:pPr>
            <w:r>
              <w:rPr>
                <w:rFonts w:ascii="Arial Narrow" w:hAnsi="Arial Narrow"/>
                <w:sz w:val="16"/>
                <w:szCs w:val="16"/>
              </w:rPr>
              <w:t>POO</w:t>
            </w:r>
            <w:r w:rsidR="00AC4853">
              <w:rPr>
                <w:rFonts w:ascii="Arial Narrow" w:hAnsi="Arial Narrow"/>
                <w:sz w:val="16"/>
                <w:szCs w:val="16"/>
              </w:rPr>
              <w:br/>
            </w:r>
            <w:r w:rsidR="00AC4853" w:rsidRPr="00AC4853">
              <w:rPr>
                <w:rFonts w:ascii="Arial Narrow" w:hAnsi="Arial Narrow"/>
                <w:sz w:val="12"/>
                <w:szCs w:val="12"/>
              </w:rPr>
              <w:t>SK-C[C6]-R[R2]</w:t>
            </w:r>
          </w:p>
        </w:tc>
        <w:tc>
          <w:tcPr>
            <w:tcW w:w="1276" w:type="dxa"/>
            <w:vAlign w:val="center"/>
            <w:hideMark/>
          </w:tcPr>
          <w:p w14:paraId="33A51557"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2019.CSR2.1</w:t>
            </w:r>
            <w:r w:rsidRPr="000D09AE">
              <w:rPr>
                <w:rFonts w:ascii="Arial Narrow" w:hAnsi="Arial Narrow"/>
                <w:sz w:val="16"/>
                <w:szCs w:val="16"/>
              </w:rPr>
              <w:br/>
              <w:t>2019.CSR2.3</w:t>
            </w:r>
            <w:r w:rsidRPr="000D09AE">
              <w:rPr>
                <w:rFonts w:ascii="Arial Narrow" w:hAnsi="Arial Narrow"/>
                <w:sz w:val="16"/>
                <w:szCs w:val="16"/>
              </w:rPr>
              <w:br/>
              <w:t>2020.CSR2.4</w:t>
            </w:r>
            <w:r w:rsidRPr="000D09AE">
              <w:rPr>
                <w:rFonts w:ascii="Arial Narrow" w:hAnsi="Arial Narrow"/>
                <w:sz w:val="16"/>
                <w:szCs w:val="16"/>
              </w:rPr>
              <w:br/>
              <w:t>2024.CSR3.4</w:t>
            </w:r>
            <w:r w:rsidRPr="000D09AE">
              <w:rPr>
                <w:rFonts w:ascii="Arial Narrow" w:hAnsi="Arial Narrow"/>
                <w:sz w:val="16"/>
                <w:szCs w:val="16"/>
              </w:rPr>
              <w:br/>
              <w:t>2024.CSR3.5</w:t>
            </w:r>
          </w:p>
        </w:tc>
        <w:tc>
          <w:tcPr>
            <w:tcW w:w="1134" w:type="dxa"/>
            <w:vAlign w:val="center"/>
            <w:hideMark/>
          </w:tcPr>
          <w:p w14:paraId="5F30693E"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Posilnenie sociálnej a hospodárskej odolnosti</w:t>
            </w:r>
          </w:p>
        </w:tc>
        <w:tc>
          <w:tcPr>
            <w:tcW w:w="4247" w:type="dxa"/>
            <w:hideMark/>
          </w:tcPr>
          <w:p w14:paraId="5F426A08" w14:textId="440F62BA" w:rsidR="009311E4" w:rsidRPr="000D09AE" w:rsidRDefault="009311E4" w:rsidP="00925B9B">
            <w:pPr>
              <w:jc w:val="both"/>
              <w:rPr>
                <w:rFonts w:ascii="Arial Narrow" w:hAnsi="Arial Narrow"/>
                <w:sz w:val="18"/>
                <w:szCs w:val="18"/>
              </w:rPr>
            </w:pPr>
            <w:r w:rsidRPr="000D09AE">
              <w:rPr>
                <w:rFonts w:ascii="Arial Narrow" w:hAnsi="Arial Narrow"/>
                <w:sz w:val="18"/>
                <w:szCs w:val="18"/>
              </w:rPr>
              <w:t>Prijatie zákona, ktorý predefinuje pojem špeciálnych výchovno-vzdelávacích potrieb, spolu s prípravou sprievodných metodických materiálov (napr. didaktických a metodických materiálov na</w:t>
            </w:r>
            <w:r w:rsidR="0064035C">
              <w:rPr>
                <w:rFonts w:ascii="Arial Narrow" w:hAnsi="Arial Narrow"/>
                <w:sz w:val="18"/>
                <w:szCs w:val="18"/>
              </w:rPr>
              <w:t xml:space="preserve"> vzdelávanie a podporu pre deti/žiakov so ŠVVP, na</w:t>
            </w:r>
            <w:r w:rsidRPr="000D09AE">
              <w:rPr>
                <w:rFonts w:ascii="Arial Narrow" w:hAnsi="Arial Narrow"/>
                <w:sz w:val="18"/>
                <w:szCs w:val="18"/>
              </w:rPr>
              <w:t xml:space="preserve"> výučbu slovenčiny ako druhého jazyka) pre pedagogických zamestnancov, odborných zamestnancov a vedenie škôl, má za cieľ umožniť všetkým deťom a žiakom naplno rozvinúť ich vzdelávací potenciál v čo najväčšej možnej miere.</w:t>
            </w:r>
            <w:r w:rsidR="008528B9">
              <w:rPr>
                <w:rFonts w:ascii="Arial Narrow" w:hAnsi="Arial Narrow"/>
                <w:sz w:val="18"/>
                <w:szCs w:val="18"/>
              </w:rPr>
              <w:t xml:space="preserve"> </w:t>
            </w:r>
          </w:p>
        </w:tc>
      </w:tr>
      <w:tr w:rsidR="009311E4" w:rsidRPr="000D09AE" w14:paraId="777FB144" w14:textId="77777777" w:rsidTr="00AC4853">
        <w:trPr>
          <w:trHeight w:val="1871"/>
        </w:trPr>
        <w:tc>
          <w:tcPr>
            <w:tcW w:w="1376" w:type="dxa"/>
            <w:vAlign w:val="center"/>
            <w:hideMark/>
          </w:tcPr>
          <w:p w14:paraId="6E592838" w14:textId="79F87575"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t>Reforma 1</w:t>
            </w:r>
            <w:r w:rsidR="00616580">
              <w:rPr>
                <w:rFonts w:ascii="Arial Narrow" w:hAnsi="Arial Narrow"/>
                <w:b/>
                <w:bCs/>
                <w:sz w:val="16"/>
                <w:szCs w:val="16"/>
              </w:rPr>
              <w:t>4</w:t>
            </w:r>
            <w:r w:rsidRPr="000D09AE">
              <w:rPr>
                <w:rFonts w:ascii="Arial Narrow" w:hAnsi="Arial Narrow"/>
                <w:b/>
                <w:bCs/>
                <w:sz w:val="16"/>
                <w:szCs w:val="16"/>
              </w:rPr>
              <w:t>:</w:t>
            </w:r>
            <w:r w:rsidRPr="000D09AE">
              <w:rPr>
                <w:rFonts w:ascii="Arial Narrow" w:hAnsi="Arial Narrow"/>
                <w:b/>
                <w:bCs/>
                <w:sz w:val="16"/>
                <w:szCs w:val="16"/>
              </w:rPr>
              <w:br/>
            </w:r>
            <w:r w:rsidRPr="000D09AE">
              <w:rPr>
                <w:rFonts w:ascii="Arial Narrow" w:hAnsi="Arial Narrow"/>
                <w:sz w:val="16"/>
                <w:szCs w:val="16"/>
              </w:rPr>
              <w:t>Kurikulárna reforma v základnom vzdelávaní</w:t>
            </w:r>
          </w:p>
        </w:tc>
        <w:tc>
          <w:tcPr>
            <w:tcW w:w="1029" w:type="dxa"/>
            <w:vAlign w:val="center"/>
            <w:hideMark/>
          </w:tcPr>
          <w:p w14:paraId="6D68EAD2" w14:textId="03062029" w:rsidR="009311E4" w:rsidRPr="000D09AE" w:rsidRDefault="009311E4" w:rsidP="00616580">
            <w:pPr>
              <w:jc w:val="center"/>
              <w:rPr>
                <w:rFonts w:ascii="Arial Narrow" w:hAnsi="Arial Narrow"/>
                <w:sz w:val="16"/>
                <w:szCs w:val="16"/>
              </w:rPr>
            </w:pPr>
            <w:r>
              <w:rPr>
                <w:rFonts w:ascii="Arial Narrow" w:hAnsi="Arial Narrow"/>
                <w:sz w:val="16"/>
                <w:szCs w:val="16"/>
              </w:rPr>
              <w:t>POO</w:t>
            </w:r>
            <w:r w:rsidR="00AC4853">
              <w:rPr>
                <w:rFonts w:ascii="Arial Narrow" w:hAnsi="Arial Narrow"/>
                <w:sz w:val="16"/>
                <w:szCs w:val="16"/>
              </w:rPr>
              <w:br/>
            </w:r>
            <w:r w:rsidR="00AC4853" w:rsidRPr="00AC4853">
              <w:rPr>
                <w:rFonts w:ascii="Arial Narrow" w:hAnsi="Arial Narrow"/>
                <w:sz w:val="12"/>
                <w:szCs w:val="12"/>
              </w:rPr>
              <w:t>SK-C[C7]-R[R1]</w:t>
            </w:r>
          </w:p>
        </w:tc>
        <w:tc>
          <w:tcPr>
            <w:tcW w:w="1276" w:type="dxa"/>
            <w:vAlign w:val="center"/>
            <w:hideMark/>
          </w:tcPr>
          <w:p w14:paraId="6D056B81"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2019.CSR2.1</w:t>
            </w:r>
            <w:r w:rsidRPr="000D09AE">
              <w:rPr>
                <w:rFonts w:ascii="Arial Narrow" w:hAnsi="Arial Narrow"/>
                <w:sz w:val="16"/>
                <w:szCs w:val="16"/>
              </w:rPr>
              <w:br/>
              <w:t>2020.CSR2.4</w:t>
            </w:r>
            <w:r w:rsidRPr="000D09AE">
              <w:rPr>
                <w:rFonts w:ascii="Arial Narrow" w:hAnsi="Arial Narrow"/>
                <w:sz w:val="16"/>
                <w:szCs w:val="16"/>
              </w:rPr>
              <w:br/>
              <w:t>2020.CSR2.3</w:t>
            </w:r>
            <w:r w:rsidRPr="000D09AE">
              <w:rPr>
                <w:rFonts w:ascii="Arial Narrow" w:hAnsi="Arial Narrow"/>
                <w:sz w:val="16"/>
                <w:szCs w:val="16"/>
              </w:rPr>
              <w:br/>
              <w:t>2024.CSR3.3</w:t>
            </w:r>
            <w:r w:rsidRPr="000D09AE">
              <w:rPr>
                <w:rFonts w:ascii="Arial Narrow" w:hAnsi="Arial Narrow"/>
                <w:sz w:val="16"/>
                <w:szCs w:val="16"/>
              </w:rPr>
              <w:br/>
              <w:t>2024.CSR3.4</w:t>
            </w:r>
            <w:r w:rsidRPr="000D09AE">
              <w:rPr>
                <w:rFonts w:ascii="Arial Narrow" w:hAnsi="Arial Narrow"/>
                <w:sz w:val="16"/>
                <w:szCs w:val="16"/>
              </w:rPr>
              <w:br/>
              <w:t>2024.CSR3.5</w:t>
            </w:r>
          </w:p>
        </w:tc>
        <w:tc>
          <w:tcPr>
            <w:tcW w:w="1134" w:type="dxa"/>
            <w:vAlign w:val="center"/>
            <w:hideMark/>
          </w:tcPr>
          <w:p w14:paraId="03FA1F64"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Posilnenie sociálnej a hospodárskej odolnosti</w:t>
            </w:r>
          </w:p>
        </w:tc>
        <w:tc>
          <w:tcPr>
            <w:tcW w:w="4247" w:type="dxa"/>
            <w:hideMark/>
          </w:tcPr>
          <w:p w14:paraId="2D92E59E" w14:textId="666F2AB0" w:rsidR="009311E4" w:rsidRPr="000D09AE" w:rsidRDefault="009311E4" w:rsidP="000C08F6">
            <w:pPr>
              <w:jc w:val="both"/>
              <w:rPr>
                <w:rFonts w:ascii="Arial Narrow" w:hAnsi="Arial Narrow"/>
                <w:sz w:val="18"/>
                <w:szCs w:val="18"/>
              </w:rPr>
            </w:pPr>
            <w:r w:rsidRPr="000D09AE">
              <w:rPr>
                <w:rFonts w:ascii="Arial Narrow" w:hAnsi="Arial Narrow"/>
                <w:sz w:val="18"/>
                <w:szCs w:val="18"/>
              </w:rPr>
              <w:t xml:space="preserve">Nové </w:t>
            </w:r>
            <w:r w:rsidR="0019411E">
              <w:rPr>
                <w:rFonts w:ascii="Arial Narrow" w:hAnsi="Arial Narrow"/>
                <w:sz w:val="18"/>
                <w:szCs w:val="18"/>
              </w:rPr>
              <w:t>kurikulum</w:t>
            </w:r>
            <w:r w:rsidRPr="000D09AE">
              <w:rPr>
                <w:rFonts w:ascii="Arial Narrow" w:hAnsi="Arial Narrow"/>
                <w:sz w:val="18"/>
                <w:szCs w:val="18"/>
              </w:rPr>
              <w:t xml:space="preserve"> pre všetky základné školy </w:t>
            </w:r>
            <w:r w:rsidR="007F23BD">
              <w:rPr>
                <w:rFonts w:ascii="Arial Narrow" w:hAnsi="Arial Narrow"/>
                <w:sz w:val="18"/>
                <w:szCs w:val="18"/>
              </w:rPr>
              <w:t xml:space="preserve">je </w:t>
            </w:r>
            <w:r w:rsidRPr="000D09AE">
              <w:rPr>
                <w:rFonts w:ascii="Arial Narrow" w:hAnsi="Arial Narrow"/>
                <w:sz w:val="18"/>
                <w:szCs w:val="18"/>
              </w:rPr>
              <w:t>štruktúrované do viacročných učebných cyklov, aby podporil</w:t>
            </w:r>
            <w:r w:rsidR="0019411E">
              <w:rPr>
                <w:rFonts w:ascii="Arial Narrow" w:hAnsi="Arial Narrow"/>
                <w:sz w:val="18"/>
                <w:szCs w:val="18"/>
              </w:rPr>
              <w:t>o</w:t>
            </w:r>
            <w:r w:rsidRPr="000D09AE">
              <w:rPr>
                <w:rFonts w:ascii="Arial Narrow" w:hAnsi="Arial Narrow"/>
                <w:sz w:val="18"/>
                <w:szCs w:val="18"/>
              </w:rPr>
              <w:t xml:space="preserve"> flexibilný rozvoj na úrovni školy. Implementácia sa zač</w:t>
            </w:r>
            <w:r w:rsidR="007F23BD">
              <w:rPr>
                <w:rFonts w:ascii="Arial Narrow" w:hAnsi="Arial Narrow"/>
                <w:sz w:val="18"/>
                <w:szCs w:val="18"/>
              </w:rPr>
              <w:t>ala</w:t>
            </w:r>
            <w:r w:rsidRPr="000D09AE">
              <w:rPr>
                <w:rFonts w:ascii="Arial Narrow" w:hAnsi="Arial Narrow"/>
                <w:sz w:val="18"/>
                <w:szCs w:val="18"/>
              </w:rPr>
              <w:t xml:space="preserve"> v septembri 2023, pričom všetky školy budú musieť prejsť na nové </w:t>
            </w:r>
            <w:r w:rsidR="0019411E">
              <w:rPr>
                <w:rFonts w:ascii="Arial Narrow" w:hAnsi="Arial Narrow"/>
                <w:sz w:val="18"/>
                <w:szCs w:val="18"/>
              </w:rPr>
              <w:t>kurikulum</w:t>
            </w:r>
            <w:r w:rsidR="0019411E" w:rsidRPr="000D09AE">
              <w:rPr>
                <w:rFonts w:ascii="Arial Narrow" w:hAnsi="Arial Narrow"/>
                <w:sz w:val="18"/>
                <w:szCs w:val="18"/>
              </w:rPr>
              <w:t xml:space="preserve"> </w:t>
            </w:r>
            <w:r w:rsidRPr="000D09AE">
              <w:rPr>
                <w:rFonts w:ascii="Arial Narrow" w:hAnsi="Arial Narrow"/>
                <w:sz w:val="18"/>
                <w:szCs w:val="18"/>
              </w:rPr>
              <w:t>do septembra 2026. Na podporu tohto prechodu bude zriadených</w:t>
            </w:r>
            <w:r w:rsidR="00806118">
              <w:rPr>
                <w:rFonts w:ascii="Arial Narrow" w:hAnsi="Arial Narrow"/>
                <w:sz w:val="18"/>
                <w:szCs w:val="18"/>
              </w:rPr>
              <w:t xml:space="preserve"> celkom</w:t>
            </w:r>
            <w:r w:rsidRPr="000D09AE">
              <w:rPr>
                <w:rFonts w:ascii="Arial Narrow" w:hAnsi="Arial Narrow"/>
                <w:sz w:val="18"/>
                <w:szCs w:val="18"/>
              </w:rPr>
              <w:t xml:space="preserve"> 40 regionálnych  centier</w:t>
            </w:r>
            <w:r w:rsidR="0019411E">
              <w:rPr>
                <w:rFonts w:ascii="Arial Narrow" w:hAnsi="Arial Narrow"/>
                <w:sz w:val="18"/>
                <w:szCs w:val="18"/>
              </w:rPr>
              <w:t xml:space="preserve"> podpory učiteľov</w:t>
            </w:r>
            <w:r w:rsidRPr="000D09AE">
              <w:rPr>
                <w:rFonts w:ascii="Arial Narrow" w:hAnsi="Arial Narrow"/>
                <w:sz w:val="18"/>
                <w:szCs w:val="18"/>
              </w:rPr>
              <w:t xml:space="preserve">, ktoré </w:t>
            </w:r>
            <w:r w:rsidR="00806118">
              <w:rPr>
                <w:rFonts w:ascii="Arial Narrow" w:hAnsi="Arial Narrow"/>
                <w:sz w:val="18"/>
                <w:szCs w:val="18"/>
              </w:rPr>
              <w:t>poskytnú</w:t>
            </w:r>
            <w:r w:rsidRPr="000D09AE">
              <w:rPr>
                <w:rFonts w:ascii="Arial Narrow" w:hAnsi="Arial Narrow"/>
                <w:sz w:val="18"/>
                <w:szCs w:val="18"/>
              </w:rPr>
              <w:t xml:space="preserve"> mentoring, poradenstvo a konzultácie pri implementácii </w:t>
            </w:r>
            <w:r w:rsidR="0019411E">
              <w:rPr>
                <w:rFonts w:ascii="Arial Narrow" w:hAnsi="Arial Narrow"/>
                <w:sz w:val="18"/>
                <w:szCs w:val="18"/>
              </w:rPr>
              <w:t>nového kurikula</w:t>
            </w:r>
            <w:r w:rsidRPr="000D09AE">
              <w:rPr>
                <w:rFonts w:ascii="Arial Narrow" w:hAnsi="Arial Narrow"/>
                <w:sz w:val="18"/>
                <w:szCs w:val="18"/>
              </w:rPr>
              <w:t xml:space="preserve">. Do 4. štvrťroka 2025 nové </w:t>
            </w:r>
            <w:r w:rsidR="0019411E">
              <w:rPr>
                <w:rFonts w:ascii="Arial Narrow" w:hAnsi="Arial Narrow"/>
                <w:sz w:val="18"/>
                <w:szCs w:val="18"/>
              </w:rPr>
              <w:t>kurikulum</w:t>
            </w:r>
            <w:r w:rsidRPr="000D09AE">
              <w:rPr>
                <w:rFonts w:ascii="Arial Narrow" w:hAnsi="Arial Narrow"/>
                <w:sz w:val="18"/>
                <w:szCs w:val="18"/>
              </w:rPr>
              <w:t xml:space="preserve"> zavedie aspoň 30</w:t>
            </w:r>
            <w:r>
              <w:rPr>
                <w:rFonts w:ascii="Arial Narrow" w:hAnsi="Arial Narrow"/>
                <w:sz w:val="18"/>
                <w:szCs w:val="18"/>
              </w:rPr>
              <w:t> </w:t>
            </w:r>
            <w:r w:rsidRPr="000D09AE">
              <w:rPr>
                <w:rFonts w:ascii="Arial Narrow" w:hAnsi="Arial Narrow"/>
                <w:sz w:val="18"/>
                <w:szCs w:val="18"/>
              </w:rPr>
              <w:t>% verejných základných škôl.</w:t>
            </w:r>
          </w:p>
        </w:tc>
      </w:tr>
      <w:tr w:rsidR="009311E4" w:rsidRPr="000D09AE" w14:paraId="21080C8B" w14:textId="77777777" w:rsidTr="00AC4853">
        <w:trPr>
          <w:trHeight w:val="3515"/>
        </w:trPr>
        <w:tc>
          <w:tcPr>
            <w:tcW w:w="1376" w:type="dxa"/>
            <w:vAlign w:val="center"/>
            <w:hideMark/>
          </w:tcPr>
          <w:p w14:paraId="78C079DB" w14:textId="6778DEAE"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t>Reforma 1</w:t>
            </w:r>
            <w:r w:rsidR="00616580">
              <w:rPr>
                <w:rFonts w:ascii="Arial Narrow" w:hAnsi="Arial Narrow"/>
                <w:b/>
                <w:bCs/>
                <w:sz w:val="16"/>
                <w:szCs w:val="16"/>
              </w:rPr>
              <w:t>5</w:t>
            </w:r>
            <w:r w:rsidRPr="000D09AE">
              <w:rPr>
                <w:rFonts w:ascii="Arial Narrow" w:hAnsi="Arial Narrow"/>
                <w:sz w:val="16"/>
                <w:szCs w:val="16"/>
              </w:rPr>
              <w:t xml:space="preserve">: </w:t>
            </w:r>
            <w:r w:rsidRPr="000D09AE">
              <w:rPr>
                <w:rFonts w:ascii="Arial Narrow" w:hAnsi="Arial Narrow"/>
                <w:sz w:val="16"/>
                <w:szCs w:val="16"/>
              </w:rPr>
              <w:br/>
              <w:t>Reforma riadenia, hodnotenia a podpory v oblasti vedy, výskumu a inovácií</w:t>
            </w:r>
          </w:p>
        </w:tc>
        <w:tc>
          <w:tcPr>
            <w:tcW w:w="1029" w:type="dxa"/>
            <w:vAlign w:val="center"/>
            <w:hideMark/>
          </w:tcPr>
          <w:p w14:paraId="0B0FC604" w14:textId="1A644E03" w:rsidR="009311E4" w:rsidRPr="000D09AE" w:rsidRDefault="009311E4" w:rsidP="00616580">
            <w:pPr>
              <w:jc w:val="center"/>
              <w:rPr>
                <w:rFonts w:ascii="Arial Narrow" w:hAnsi="Arial Narrow"/>
                <w:sz w:val="16"/>
                <w:szCs w:val="16"/>
              </w:rPr>
            </w:pPr>
            <w:r>
              <w:rPr>
                <w:rFonts w:ascii="Arial Narrow" w:hAnsi="Arial Narrow"/>
                <w:sz w:val="16"/>
                <w:szCs w:val="16"/>
              </w:rPr>
              <w:t>POO</w:t>
            </w:r>
            <w:r w:rsidR="00AC4853">
              <w:rPr>
                <w:rFonts w:ascii="Arial Narrow" w:hAnsi="Arial Narrow"/>
                <w:sz w:val="16"/>
                <w:szCs w:val="16"/>
              </w:rPr>
              <w:br/>
            </w:r>
            <w:r w:rsidR="00AC4853" w:rsidRPr="00AC4853">
              <w:rPr>
                <w:rFonts w:ascii="Arial Narrow" w:hAnsi="Arial Narrow"/>
                <w:sz w:val="12"/>
                <w:szCs w:val="12"/>
              </w:rPr>
              <w:t>SK-C[C9]-R[R1]</w:t>
            </w:r>
          </w:p>
        </w:tc>
        <w:tc>
          <w:tcPr>
            <w:tcW w:w="1276" w:type="dxa"/>
            <w:vAlign w:val="center"/>
            <w:hideMark/>
          </w:tcPr>
          <w:p w14:paraId="772C39E0" w14:textId="77777777" w:rsidR="009311E4" w:rsidRPr="000D09AE" w:rsidRDefault="009311E4" w:rsidP="00616580">
            <w:pPr>
              <w:spacing w:after="160"/>
              <w:jc w:val="center"/>
              <w:rPr>
                <w:rFonts w:ascii="Arial Narrow" w:hAnsi="Arial Narrow"/>
                <w:sz w:val="16"/>
                <w:szCs w:val="16"/>
              </w:rPr>
            </w:pPr>
            <w:r w:rsidRPr="000D09AE">
              <w:rPr>
                <w:rFonts w:ascii="Arial Narrow" w:hAnsi="Arial Narrow"/>
                <w:sz w:val="16"/>
                <w:szCs w:val="16"/>
              </w:rPr>
              <w:t>2019.CSR3.2</w:t>
            </w:r>
            <w:r w:rsidRPr="000D09AE">
              <w:rPr>
                <w:rFonts w:ascii="Arial Narrow" w:hAnsi="Arial Narrow"/>
                <w:sz w:val="16"/>
                <w:szCs w:val="16"/>
              </w:rPr>
              <w:br/>
              <w:t>2019.CSR3.6</w:t>
            </w:r>
            <w:r w:rsidRPr="000D09AE">
              <w:rPr>
                <w:rFonts w:ascii="Arial Narrow" w:hAnsi="Arial Narrow"/>
                <w:sz w:val="16"/>
                <w:szCs w:val="16"/>
              </w:rPr>
              <w:br/>
              <w:t>2020.CSR4.2</w:t>
            </w:r>
            <w:r w:rsidRPr="000D09AE">
              <w:rPr>
                <w:rFonts w:ascii="Arial Narrow" w:hAnsi="Arial Narrow"/>
                <w:sz w:val="16"/>
                <w:szCs w:val="16"/>
              </w:rPr>
              <w:br/>
              <w:t>2024.CSR1.4</w:t>
            </w:r>
            <w:r w:rsidRPr="000D09AE">
              <w:rPr>
                <w:rFonts w:ascii="Arial Narrow" w:hAnsi="Arial Narrow"/>
                <w:sz w:val="16"/>
                <w:szCs w:val="16"/>
              </w:rPr>
              <w:br/>
              <w:t>2024.CSR2.1</w:t>
            </w:r>
            <w:r w:rsidRPr="000D09AE">
              <w:rPr>
                <w:rFonts w:ascii="Arial Narrow" w:hAnsi="Arial Narrow"/>
                <w:sz w:val="16"/>
                <w:szCs w:val="16"/>
              </w:rPr>
              <w:br/>
              <w:t>2024.CSR3.3</w:t>
            </w:r>
          </w:p>
        </w:tc>
        <w:tc>
          <w:tcPr>
            <w:tcW w:w="1134" w:type="dxa"/>
            <w:vAlign w:val="center"/>
            <w:hideMark/>
          </w:tcPr>
          <w:p w14:paraId="76B54FF1" w14:textId="77777777" w:rsidR="009311E4" w:rsidRPr="000D09AE" w:rsidRDefault="009311E4" w:rsidP="00616580">
            <w:pPr>
              <w:spacing w:after="160"/>
              <w:jc w:val="center"/>
              <w:rPr>
                <w:rFonts w:ascii="Arial Narrow" w:hAnsi="Arial Narrow"/>
                <w:sz w:val="16"/>
                <w:szCs w:val="16"/>
              </w:rPr>
            </w:pPr>
            <w:r w:rsidRPr="000D09AE">
              <w:rPr>
                <w:rFonts w:ascii="Arial Narrow" w:hAnsi="Arial Narrow"/>
                <w:sz w:val="16"/>
                <w:szCs w:val="16"/>
              </w:rPr>
              <w:t>Posilnenie sociálnej a hospodárskej odolnosti</w:t>
            </w:r>
          </w:p>
        </w:tc>
        <w:tc>
          <w:tcPr>
            <w:tcW w:w="4247" w:type="dxa"/>
            <w:hideMark/>
          </w:tcPr>
          <w:p w14:paraId="24C8BD46" w14:textId="77777777" w:rsidR="009311E4" w:rsidRDefault="009311E4" w:rsidP="00616580">
            <w:pPr>
              <w:rPr>
                <w:rFonts w:ascii="Arial Narrow" w:hAnsi="Arial Narrow"/>
                <w:sz w:val="18"/>
                <w:szCs w:val="18"/>
              </w:rPr>
            </w:pPr>
            <w:r w:rsidRPr="000D09AE">
              <w:rPr>
                <w:rFonts w:ascii="Arial Narrow" w:hAnsi="Arial Narrow"/>
                <w:sz w:val="18"/>
                <w:szCs w:val="18"/>
              </w:rPr>
              <w:t>Cieľom reformy je dosiahnuť silnejšiu koordináciu politiky v oblasti výskumu a inovácií prostredníctvom piatich pilierov:</w:t>
            </w:r>
          </w:p>
          <w:p w14:paraId="4411EF7C" w14:textId="31BC7633" w:rsidR="009311E4" w:rsidRDefault="009311E4" w:rsidP="00616580">
            <w:pPr>
              <w:rPr>
                <w:rFonts w:ascii="Arial Narrow" w:hAnsi="Arial Narrow"/>
                <w:sz w:val="18"/>
                <w:szCs w:val="18"/>
              </w:rPr>
            </w:pPr>
            <w:r w:rsidRPr="000D09AE">
              <w:rPr>
                <w:rFonts w:ascii="Arial Narrow" w:hAnsi="Arial Narrow"/>
                <w:sz w:val="18"/>
                <w:szCs w:val="18"/>
              </w:rPr>
              <w:t xml:space="preserve">1) </w:t>
            </w:r>
            <w:r w:rsidR="00057AE5">
              <w:rPr>
                <w:rFonts w:ascii="Arial Narrow" w:hAnsi="Arial Narrow"/>
                <w:sz w:val="18"/>
                <w:szCs w:val="18"/>
              </w:rPr>
              <w:t>Nadrezortná</w:t>
            </w:r>
            <w:r w:rsidR="00057AE5" w:rsidRPr="000D09AE">
              <w:rPr>
                <w:rFonts w:ascii="Arial Narrow" w:hAnsi="Arial Narrow"/>
                <w:sz w:val="18"/>
                <w:szCs w:val="18"/>
              </w:rPr>
              <w:t xml:space="preserve"> </w:t>
            </w:r>
            <w:r w:rsidRPr="000D09AE">
              <w:rPr>
                <w:rFonts w:ascii="Arial Narrow" w:hAnsi="Arial Narrow"/>
                <w:sz w:val="18"/>
                <w:szCs w:val="18"/>
              </w:rPr>
              <w:t>stratégia a koordinácia,</w:t>
            </w:r>
            <w:r w:rsidRPr="000D09AE">
              <w:rPr>
                <w:rFonts w:ascii="Arial Narrow" w:hAnsi="Arial Narrow"/>
                <w:sz w:val="18"/>
                <w:szCs w:val="18"/>
              </w:rPr>
              <w:br/>
              <w:t>2) Zavedenie účinných prierezových noriem pre podporné nástroje,</w:t>
            </w:r>
            <w:r w:rsidRPr="000D09AE">
              <w:rPr>
                <w:rFonts w:ascii="Arial Narrow" w:hAnsi="Arial Narrow"/>
                <w:sz w:val="18"/>
                <w:szCs w:val="18"/>
              </w:rPr>
              <w:br/>
              <w:t>3) Konsolidácia grantových agentúr v rámci ministerstiev,</w:t>
            </w:r>
            <w:r w:rsidRPr="000D09AE">
              <w:rPr>
                <w:rFonts w:ascii="Arial Narrow" w:hAnsi="Arial Narrow"/>
                <w:sz w:val="18"/>
                <w:szCs w:val="18"/>
              </w:rPr>
              <w:br/>
              <w:t>4) Uplatňovanie zásad dobrej správy a efektívnosti,</w:t>
            </w:r>
            <w:r w:rsidRPr="000D09AE">
              <w:rPr>
                <w:rFonts w:ascii="Arial Narrow" w:hAnsi="Arial Narrow"/>
                <w:sz w:val="18"/>
                <w:szCs w:val="18"/>
              </w:rPr>
              <w:br/>
              <w:t>5) Jednotný systém inštitucionálneho hodnotenia a financovania výskumu a vývoja.</w:t>
            </w:r>
            <w:r w:rsidRPr="000D09AE">
              <w:rPr>
                <w:rFonts w:ascii="Arial Narrow" w:hAnsi="Arial Narrow"/>
                <w:sz w:val="18"/>
                <w:szCs w:val="18"/>
              </w:rPr>
              <w:br/>
            </w:r>
          </w:p>
          <w:p w14:paraId="7F1D45B4" w14:textId="42E9BA99" w:rsidR="009311E4" w:rsidRPr="000D09AE" w:rsidRDefault="009311E4" w:rsidP="006D5279">
            <w:pPr>
              <w:rPr>
                <w:rFonts w:ascii="Arial Narrow" w:hAnsi="Arial Narrow"/>
                <w:sz w:val="18"/>
                <w:szCs w:val="18"/>
              </w:rPr>
            </w:pPr>
            <w:r w:rsidRPr="000D09AE">
              <w:rPr>
                <w:rFonts w:ascii="Arial Narrow" w:hAnsi="Arial Narrow"/>
                <w:sz w:val="18"/>
                <w:szCs w:val="18"/>
              </w:rPr>
              <w:t>Reforma hodnotenia (v rámci inštitucionálneho aj súťažného financovania) sa zameria na väčšie využívanie hodnotiacich panelov a medzinárodných odborníkov, ako aj na zefektívnenie administratívnych postupov. Vďaka dodržiavaniu zásad dobrej správy a efektívnosti, strategickému zameraniu investícií na najsľubnejšie oblasti a uplatňovaniu jednotných vysokých štandardov podpory sa očakáva, že reforma prinesie vyšší prínos z nových investícií.</w:t>
            </w:r>
            <w:r w:rsidR="008528B9">
              <w:rPr>
                <w:rFonts w:ascii="Arial Narrow" w:hAnsi="Arial Narrow"/>
                <w:sz w:val="18"/>
                <w:szCs w:val="18"/>
              </w:rPr>
              <w:t xml:space="preserve"> </w:t>
            </w:r>
            <w:r w:rsidR="006D5279" w:rsidRPr="006D5279">
              <w:rPr>
                <w:rFonts w:ascii="Arial Narrow" w:hAnsi="Arial Narrow"/>
                <w:sz w:val="18"/>
                <w:szCs w:val="18"/>
              </w:rPr>
              <w:t>Reformu nad rámec POO</w:t>
            </w:r>
            <w:r w:rsidR="006D5279">
              <w:rPr>
                <w:rFonts w:ascii="Arial Narrow" w:hAnsi="Arial Narrow"/>
                <w:sz w:val="18"/>
                <w:szCs w:val="18"/>
              </w:rPr>
              <w:t xml:space="preserve"> rozšíri</w:t>
            </w:r>
            <w:r w:rsidR="006D5279" w:rsidRPr="006D5279">
              <w:rPr>
                <w:rFonts w:ascii="Arial Narrow" w:hAnsi="Arial Narrow"/>
                <w:sz w:val="18"/>
                <w:szCs w:val="18"/>
              </w:rPr>
              <w:t xml:space="preserve"> nový zákon o výskume, vývoji a inováciách, ktorý zlepší právny rámec pre rozvoj výskumných a inovačných kapacít a podporí dosahovanie dlhodobých cieľov v tejto oblasti.</w:t>
            </w:r>
          </w:p>
        </w:tc>
      </w:tr>
      <w:tr w:rsidR="009311E4" w:rsidRPr="000D09AE" w14:paraId="108D6B0E" w14:textId="77777777" w:rsidTr="00AC4853">
        <w:trPr>
          <w:trHeight w:val="2997"/>
        </w:trPr>
        <w:tc>
          <w:tcPr>
            <w:tcW w:w="1376" w:type="dxa"/>
            <w:vAlign w:val="center"/>
            <w:hideMark/>
          </w:tcPr>
          <w:p w14:paraId="4CD5F79A" w14:textId="77777777" w:rsidR="009311E4" w:rsidRPr="000D09AE" w:rsidRDefault="009311E4" w:rsidP="00616580">
            <w:pPr>
              <w:jc w:val="center"/>
              <w:rPr>
                <w:rFonts w:ascii="Arial Narrow" w:hAnsi="Arial Narrow"/>
                <w:b/>
                <w:bCs/>
                <w:sz w:val="16"/>
                <w:szCs w:val="16"/>
              </w:rPr>
            </w:pPr>
            <w:r w:rsidRPr="000D09AE">
              <w:rPr>
                <w:rFonts w:ascii="Arial Narrow" w:hAnsi="Arial Narrow"/>
                <w:b/>
                <w:bCs/>
                <w:sz w:val="16"/>
                <w:szCs w:val="16"/>
              </w:rPr>
              <w:lastRenderedPageBreak/>
              <w:t xml:space="preserve">Investícia 6 </w:t>
            </w:r>
            <w:r w:rsidRPr="000D09AE">
              <w:rPr>
                <w:rFonts w:ascii="Arial Narrow" w:hAnsi="Arial Narrow"/>
                <w:sz w:val="16"/>
                <w:szCs w:val="16"/>
              </w:rPr>
              <w:t xml:space="preserve">: </w:t>
            </w:r>
            <w:r w:rsidRPr="000D09AE">
              <w:rPr>
                <w:rFonts w:ascii="Arial Narrow" w:hAnsi="Arial Narrow"/>
                <w:sz w:val="16"/>
                <w:szCs w:val="16"/>
              </w:rPr>
              <w:br/>
              <w:t xml:space="preserve"> Podpora spolupráce medzi firmami, akademickým sektorom a výskumnými organizáciami</w:t>
            </w:r>
          </w:p>
        </w:tc>
        <w:tc>
          <w:tcPr>
            <w:tcW w:w="1029" w:type="dxa"/>
            <w:vAlign w:val="center"/>
            <w:hideMark/>
          </w:tcPr>
          <w:p w14:paraId="4788B73F" w14:textId="5F7BE2AE" w:rsidR="009311E4" w:rsidRPr="000D09AE" w:rsidRDefault="009311E4" w:rsidP="00616580">
            <w:pPr>
              <w:jc w:val="center"/>
              <w:rPr>
                <w:rFonts w:ascii="Arial Narrow" w:hAnsi="Arial Narrow"/>
                <w:sz w:val="16"/>
                <w:szCs w:val="16"/>
              </w:rPr>
            </w:pPr>
            <w:r>
              <w:rPr>
                <w:rFonts w:ascii="Arial Narrow" w:hAnsi="Arial Narrow"/>
                <w:sz w:val="16"/>
                <w:szCs w:val="16"/>
              </w:rPr>
              <w:t>POO</w:t>
            </w:r>
            <w:r w:rsidR="00AC4853">
              <w:rPr>
                <w:rFonts w:ascii="Arial Narrow" w:hAnsi="Arial Narrow"/>
                <w:sz w:val="16"/>
                <w:szCs w:val="16"/>
              </w:rPr>
              <w:br/>
            </w:r>
            <w:r w:rsidR="00AC4853" w:rsidRPr="00AC4853">
              <w:rPr>
                <w:rFonts w:ascii="Arial Narrow" w:hAnsi="Arial Narrow"/>
                <w:sz w:val="12"/>
                <w:szCs w:val="12"/>
              </w:rPr>
              <w:t>SK-C[C9]-I[I2]</w:t>
            </w:r>
          </w:p>
        </w:tc>
        <w:tc>
          <w:tcPr>
            <w:tcW w:w="1276" w:type="dxa"/>
            <w:vAlign w:val="center"/>
            <w:hideMark/>
          </w:tcPr>
          <w:p w14:paraId="62EABFBB"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2024.CSR3.3</w:t>
            </w:r>
            <w:r w:rsidRPr="000D09AE">
              <w:rPr>
                <w:rFonts w:ascii="Arial Narrow" w:hAnsi="Arial Narrow"/>
                <w:sz w:val="16"/>
                <w:szCs w:val="16"/>
              </w:rPr>
              <w:br/>
              <w:t>2020.CSR3.4</w:t>
            </w:r>
            <w:r w:rsidRPr="000D09AE">
              <w:rPr>
                <w:rFonts w:ascii="Arial Narrow" w:hAnsi="Arial Narrow"/>
                <w:sz w:val="16"/>
                <w:szCs w:val="16"/>
              </w:rPr>
              <w:br/>
              <w:t>2019.CSR3.6</w:t>
            </w:r>
            <w:r w:rsidRPr="000D09AE">
              <w:rPr>
                <w:rFonts w:ascii="Arial Narrow" w:hAnsi="Arial Narrow"/>
                <w:sz w:val="16"/>
                <w:szCs w:val="16"/>
              </w:rPr>
              <w:br/>
              <w:t>2019.CSR3.2</w:t>
            </w:r>
            <w:r w:rsidRPr="000D09AE">
              <w:rPr>
                <w:rFonts w:ascii="Arial Narrow" w:hAnsi="Arial Narrow"/>
                <w:sz w:val="16"/>
                <w:szCs w:val="16"/>
              </w:rPr>
              <w:br/>
              <w:t>2019.CSR3.4</w:t>
            </w:r>
          </w:p>
        </w:tc>
        <w:tc>
          <w:tcPr>
            <w:tcW w:w="1134" w:type="dxa"/>
            <w:vAlign w:val="center"/>
            <w:hideMark/>
          </w:tcPr>
          <w:p w14:paraId="62CA4C96"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Posilnenie sociálnej a hospodárskej odolnosti; Spravodlivá digitálna transformácia</w:t>
            </w:r>
          </w:p>
        </w:tc>
        <w:tc>
          <w:tcPr>
            <w:tcW w:w="4247" w:type="dxa"/>
            <w:hideMark/>
          </w:tcPr>
          <w:p w14:paraId="05E906AA" w14:textId="5CFA8FF0" w:rsidR="009311E4" w:rsidRDefault="009311E4" w:rsidP="00616580">
            <w:pPr>
              <w:jc w:val="both"/>
              <w:rPr>
                <w:rFonts w:ascii="Arial Narrow" w:hAnsi="Arial Narrow"/>
                <w:sz w:val="18"/>
                <w:szCs w:val="18"/>
              </w:rPr>
            </w:pPr>
            <w:r w:rsidRPr="000D09AE">
              <w:rPr>
                <w:rFonts w:ascii="Arial Narrow" w:hAnsi="Arial Narrow"/>
                <w:sz w:val="18"/>
                <w:szCs w:val="18"/>
              </w:rPr>
              <w:t>Cieľom investície je podporiť zapojenie súkromného sektora do výskumu, vývoja a</w:t>
            </w:r>
            <w:r w:rsidR="00BE380D">
              <w:rPr>
                <w:rFonts w:ascii="Arial Narrow" w:hAnsi="Arial Narrow"/>
                <w:sz w:val="18"/>
                <w:szCs w:val="18"/>
              </w:rPr>
              <w:t> </w:t>
            </w:r>
            <w:r w:rsidRPr="000D09AE">
              <w:rPr>
                <w:rFonts w:ascii="Arial Narrow" w:hAnsi="Arial Narrow"/>
                <w:sz w:val="18"/>
                <w:szCs w:val="18"/>
              </w:rPr>
              <w:t>inovácií. Investícia sa zameriava na posilnenie úlohy súkromného sektora pri financovaní, zlepšenie prideľovania verejných prostriedkov, podporu spolupráce s akademickou obcou a posilnenie kapacít súkromného sektora. Z celkového cieľa podporiť 3 931 projektov bude najmenej 3 538 projektov zahŕňať spoluprácu medzi podnikmi, akademickou obcou a výskumnými organizáciami, vrátane inovačných poukážok. Očakáva sa, že investícia prinesie:</w:t>
            </w:r>
          </w:p>
          <w:p w14:paraId="57B15803" w14:textId="77777777" w:rsidR="009311E4" w:rsidRDefault="009311E4" w:rsidP="009311E4">
            <w:pPr>
              <w:pStyle w:val="Odsekzoznamu"/>
              <w:numPr>
                <w:ilvl w:val="0"/>
                <w:numId w:val="12"/>
              </w:numPr>
              <w:jc w:val="both"/>
              <w:rPr>
                <w:rFonts w:ascii="Arial Narrow" w:hAnsi="Arial Narrow"/>
                <w:sz w:val="18"/>
                <w:szCs w:val="18"/>
              </w:rPr>
            </w:pPr>
            <w:r w:rsidRPr="00CF17F7">
              <w:rPr>
                <w:rFonts w:ascii="Arial Narrow" w:hAnsi="Arial Narrow"/>
                <w:sz w:val="18"/>
                <w:szCs w:val="18"/>
              </w:rPr>
              <w:t>aspoň dve konzorciá pre transformáciu a inováciu;</w:t>
            </w:r>
          </w:p>
          <w:p w14:paraId="498A4408" w14:textId="77777777" w:rsidR="009311E4" w:rsidRDefault="009311E4" w:rsidP="009311E4">
            <w:pPr>
              <w:pStyle w:val="Odsekzoznamu"/>
              <w:numPr>
                <w:ilvl w:val="0"/>
                <w:numId w:val="12"/>
              </w:numPr>
              <w:jc w:val="both"/>
              <w:rPr>
                <w:rFonts w:ascii="Arial Narrow" w:hAnsi="Arial Narrow"/>
                <w:sz w:val="18"/>
                <w:szCs w:val="18"/>
              </w:rPr>
            </w:pPr>
            <w:r w:rsidRPr="00CF17F7">
              <w:rPr>
                <w:rFonts w:ascii="Arial Narrow" w:hAnsi="Arial Narrow"/>
                <w:sz w:val="18"/>
                <w:szCs w:val="18"/>
              </w:rPr>
              <w:t>2</w:t>
            </w:r>
            <w:r>
              <w:rPr>
                <w:rFonts w:ascii="Arial Narrow" w:hAnsi="Arial Narrow"/>
                <w:sz w:val="18"/>
                <w:szCs w:val="18"/>
              </w:rPr>
              <w:t> </w:t>
            </w:r>
            <w:r w:rsidRPr="00CF17F7">
              <w:rPr>
                <w:rFonts w:ascii="Arial Narrow" w:hAnsi="Arial Narrow"/>
                <w:sz w:val="18"/>
                <w:szCs w:val="18"/>
              </w:rPr>
              <w:t>631 projektov spolupráce podporených zodpovedajúcimi grantmi;</w:t>
            </w:r>
          </w:p>
          <w:p w14:paraId="5860B1AF" w14:textId="77777777" w:rsidR="009311E4" w:rsidRPr="00CF17F7" w:rsidRDefault="009311E4" w:rsidP="009311E4">
            <w:pPr>
              <w:pStyle w:val="Odsekzoznamu"/>
              <w:numPr>
                <w:ilvl w:val="0"/>
                <w:numId w:val="12"/>
              </w:numPr>
              <w:jc w:val="both"/>
              <w:rPr>
                <w:rFonts w:ascii="Arial Narrow" w:hAnsi="Arial Narrow"/>
                <w:sz w:val="18"/>
                <w:szCs w:val="18"/>
              </w:rPr>
            </w:pPr>
            <w:r w:rsidRPr="00CF17F7">
              <w:rPr>
                <w:rFonts w:ascii="Arial Narrow" w:hAnsi="Arial Narrow"/>
                <w:sz w:val="18"/>
                <w:szCs w:val="18"/>
              </w:rPr>
              <w:t>500 vydaných a uplatnených inovačných poukážok a 800 digitálnych poukážok.</w:t>
            </w:r>
          </w:p>
        </w:tc>
      </w:tr>
      <w:tr w:rsidR="009311E4" w:rsidRPr="000D09AE" w14:paraId="27FBB72F" w14:textId="77777777" w:rsidTr="00AC4853">
        <w:trPr>
          <w:trHeight w:val="1440"/>
        </w:trPr>
        <w:tc>
          <w:tcPr>
            <w:tcW w:w="1376" w:type="dxa"/>
            <w:vAlign w:val="center"/>
            <w:hideMark/>
          </w:tcPr>
          <w:p w14:paraId="1C50C1D1" w14:textId="77777777"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t xml:space="preserve">Investícia 7: </w:t>
            </w:r>
            <w:r w:rsidRPr="000D09AE">
              <w:rPr>
                <w:rFonts w:ascii="Arial Narrow" w:hAnsi="Arial Narrow"/>
                <w:b/>
                <w:bCs/>
                <w:sz w:val="16"/>
                <w:szCs w:val="16"/>
              </w:rPr>
              <w:br/>
            </w:r>
            <w:r w:rsidRPr="000D09AE">
              <w:rPr>
                <w:rFonts w:ascii="Arial Narrow" w:hAnsi="Arial Narrow"/>
                <w:sz w:val="16"/>
                <w:szCs w:val="16"/>
              </w:rPr>
              <w:t>Projekty na riešenie výziev zelenej transformácie</w:t>
            </w:r>
          </w:p>
        </w:tc>
        <w:tc>
          <w:tcPr>
            <w:tcW w:w="1029" w:type="dxa"/>
            <w:vAlign w:val="center"/>
            <w:hideMark/>
          </w:tcPr>
          <w:p w14:paraId="61283E93" w14:textId="6E57626D" w:rsidR="009311E4" w:rsidRPr="000D09AE" w:rsidRDefault="009311E4" w:rsidP="00616580">
            <w:pPr>
              <w:jc w:val="center"/>
              <w:rPr>
                <w:rFonts w:ascii="Arial Narrow" w:hAnsi="Arial Narrow"/>
                <w:sz w:val="16"/>
                <w:szCs w:val="16"/>
              </w:rPr>
            </w:pPr>
            <w:r>
              <w:rPr>
                <w:rFonts w:ascii="Arial Narrow" w:hAnsi="Arial Narrow"/>
                <w:sz w:val="16"/>
                <w:szCs w:val="16"/>
              </w:rPr>
              <w:t>POO</w:t>
            </w:r>
            <w:r w:rsidR="00AC4853">
              <w:rPr>
                <w:rFonts w:ascii="Arial Narrow" w:hAnsi="Arial Narrow"/>
                <w:sz w:val="16"/>
                <w:szCs w:val="16"/>
              </w:rPr>
              <w:br/>
            </w:r>
            <w:r w:rsidR="00AC4853" w:rsidRPr="00AC4853">
              <w:rPr>
                <w:rFonts w:ascii="Arial Narrow" w:hAnsi="Arial Narrow"/>
                <w:sz w:val="12"/>
                <w:szCs w:val="12"/>
              </w:rPr>
              <w:t>SK-C[C9]-I[I4]</w:t>
            </w:r>
          </w:p>
        </w:tc>
        <w:tc>
          <w:tcPr>
            <w:tcW w:w="1276" w:type="dxa"/>
            <w:vAlign w:val="center"/>
            <w:hideMark/>
          </w:tcPr>
          <w:p w14:paraId="5FF56A76" w14:textId="77777777" w:rsidR="009311E4" w:rsidRPr="000D09AE" w:rsidRDefault="009311E4" w:rsidP="00616580">
            <w:pPr>
              <w:spacing w:after="160"/>
              <w:jc w:val="center"/>
              <w:rPr>
                <w:rFonts w:ascii="Arial Narrow" w:hAnsi="Arial Narrow"/>
                <w:sz w:val="16"/>
                <w:szCs w:val="16"/>
              </w:rPr>
            </w:pPr>
            <w:r w:rsidRPr="000D09AE">
              <w:rPr>
                <w:rFonts w:ascii="Arial Narrow" w:hAnsi="Arial Narrow"/>
                <w:sz w:val="16"/>
                <w:szCs w:val="16"/>
              </w:rPr>
              <w:t>2019.CSR3.2</w:t>
            </w:r>
            <w:r w:rsidRPr="000D09AE">
              <w:rPr>
                <w:rFonts w:ascii="Arial Narrow" w:hAnsi="Arial Narrow"/>
                <w:sz w:val="16"/>
                <w:szCs w:val="16"/>
              </w:rPr>
              <w:br/>
              <w:t>2020.CSR3.5</w:t>
            </w:r>
            <w:r w:rsidRPr="000D09AE">
              <w:rPr>
                <w:rFonts w:ascii="Arial Narrow" w:hAnsi="Arial Narrow"/>
                <w:sz w:val="16"/>
                <w:szCs w:val="16"/>
              </w:rPr>
              <w:br/>
              <w:t>2022.CSR3.1</w:t>
            </w:r>
            <w:r w:rsidRPr="000D09AE">
              <w:rPr>
                <w:rFonts w:ascii="Arial Narrow" w:hAnsi="Arial Narrow"/>
                <w:sz w:val="16"/>
                <w:szCs w:val="16"/>
              </w:rPr>
              <w:br/>
              <w:t>2022.CSR3.4</w:t>
            </w:r>
            <w:r w:rsidRPr="000D09AE">
              <w:rPr>
                <w:rFonts w:ascii="Arial Narrow" w:hAnsi="Arial Narrow"/>
                <w:sz w:val="16"/>
                <w:szCs w:val="16"/>
              </w:rPr>
              <w:br/>
              <w:t>2023.CSR3.1</w:t>
            </w:r>
          </w:p>
        </w:tc>
        <w:tc>
          <w:tcPr>
            <w:tcW w:w="1134" w:type="dxa"/>
            <w:vAlign w:val="center"/>
            <w:hideMark/>
          </w:tcPr>
          <w:p w14:paraId="650221A2" w14:textId="77777777" w:rsidR="009311E4" w:rsidRPr="000D09AE" w:rsidRDefault="009311E4" w:rsidP="00616580">
            <w:pPr>
              <w:spacing w:after="160"/>
              <w:jc w:val="center"/>
              <w:rPr>
                <w:rFonts w:ascii="Arial Narrow" w:hAnsi="Arial Narrow"/>
                <w:sz w:val="16"/>
                <w:szCs w:val="16"/>
              </w:rPr>
            </w:pPr>
            <w:r w:rsidRPr="000D09AE">
              <w:rPr>
                <w:rFonts w:ascii="Arial Narrow" w:hAnsi="Arial Narrow"/>
                <w:sz w:val="16"/>
                <w:szCs w:val="16"/>
              </w:rPr>
              <w:t>Spravodlivá zelená transformácia</w:t>
            </w:r>
          </w:p>
        </w:tc>
        <w:tc>
          <w:tcPr>
            <w:tcW w:w="4247" w:type="dxa"/>
            <w:hideMark/>
          </w:tcPr>
          <w:p w14:paraId="7C8C2887" w14:textId="6C16A46E" w:rsidR="009311E4" w:rsidRPr="000D09AE" w:rsidRDefault="009311E4" w:rsidP="00616580">
            <w:pPr>
              <w:jc w:val="both"/>
              <w:rPr>
                <w:rFonts w:ascii="Arial Narrow" w:hAnsi="Arial Narrow"/>
                <w:sz w:val="18"/>
                <w:szCs w:val="18"/>
              </w:rPr>
            </w:pPr>
            <w:r w:rsidRPr="000D09AE">
              <w:rPr>
                <w:rFonts w:ascii="Arial Narrow" w:hAnsi="Arial Narrow"/>
                <w:sz w:val="18"/>
                <w:szCs w:val="18"/>
              </w:rPr>
              <w:t>Cieľom opatrenia je podporiť realizáciu projektov zameraných na riešenie výziev</w:t>
            </w:r>
            <w:r>
              <w:rPr>
                <w:rFonts w:ascii="Arial Narrow" w:hAnsi="Arial Narrow"/>
                <w:sz w:val="18"/>
                <w:szCs w:val="18"/>
              </w:rPr>
              <w:t xml:space="preserve"> </w:t>
            </w:r>
            <w:r w:rsidRPr="000D09AE">
              <w:rPr>
                <w:rFonts w:ascii="Arial Narrow" w:hAnsi="Arial Narrow"/>
                <w:sz w:val="18"/>
                <w:szCs w:val="18"/>
              </w:rPr>
              <w:t>zelenej transformácie.</w:t>
            </w:r>
            <w:r>
              <w:rPr>
                <w:rFonts w:ascii="Arial Narrow" w:hAnsi="Arial Narrow"/>
                <w:sz w:val="18"/>
                <w:szCs w:val="18"/>
              </w:rPr>
              <w:t xml:space="preserve"> Do</w:t>
            </w:r>
            <w:r w:rsidRPr="58A4CB2B">
              <w:rPr>
                <w:rFonts w:ascii="Arial Narrow" w:hAnsi="Arial Narrow"/>
                <w:sz w:val="18"/>
                <w:szCs w:val="18"/>
              </w:rPr>
              <w:t xml:space="preserve"> 2. štvrťroka 2026</w:t>
            </w:r>
            <w:r>
              <w:rPr>
                <w:rFonts w:ascii="Arial Narrow" w:hAnsi="Arial Narrow"/>
                <w:sz w:val="18"/>
                <w:szCs w:val="18"/>
              </w:rPr>
              <w:t xml:space="preserve"> bude ukončených minimálne 27 projektov. </w:t>
            </w:r>
            <w:r w:rsidRPr="58A4CB2B">
              <w:rPr>
                <w:rFonts w:ascii="Arial Narrow" w:hAnsi="Arial Narrow"/>
                <w:sz w:val="18"/>
                <w:szCs w:val="18"/>
              </w:rPr>
              <w:t>Tieto projekty sa budú venovať riešeniu výziev zeleného prechodu a dekarbonizácie.</w:t>
            </w:r>
            <w:r w:rsidRPr="000D09AE">
              <w:rPr>
                <w:rFonts w:ascii="Arial Narrow" w:hAnsi="Arial Narrow"/>
                <w:sz w:val="18"/>
                <w:szCs w:val="18"/>
              </w:rPr>
              <w:t>Projekty budú schválené v rôznych štádiách technologickej pripravenosti (TRL 1-9).</w:t>
            </w:r>
          </w:p>
        </w:tc>
      </w:tr>
      <w:tr w:rsidR="009311E4" w:rsidRPr="000D09AE" w14:paraId="7525567D" w14:textId="77777777" w:rsidTr="00AC4853">
        <w:trPr>
          <w:trHeight w:val="2267"/>
        </w:trPr>
        <w:tc>
          <w:tcPr>
            <w:tcW w:w="1376" w:type="dxa"/>
            <w:vAlign w:val="center"/>
            <w:hideMark/>
          </w:tcPr>
          <w:p w14:paraId="7EAF4E87" w14:textId="77777777"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t>Investícia 8:</w:t>
            </w:r>
            <w:r w:rsidRPr="000D09AE">
              <w:rPr>
                <w:rFonts w:ascii="Arial Narrow" w:hAnsi="Arial Narrow"/>
                <w:b/>
                <w:bCs/>
                <w:sz w:val="16"/>
                <w:szCs w:val="16"/>
              </w:rPr>
              <w:br/>
            </w:r>
            <w:r w:rsidRPr="000D09AE">
              <w:rPr>
                <w:rFonts w:ascii="Arial Narrow" w:hAnsi="Arial Narrow"/>
                <w:sz w:val="16"/>
                <w:szCs w:val="16"/>
              </w:rPr>
              <w:t>Výskum a inovácie pre digitálnu transformáciu</w:t>
            </w:r>
          </w:p>
        </w:tc>
        <w:tc>
          <w:tcPr>
            <w:tcW w:w="1029" w:type="dxa"/>
            <w:vAlign w:val="center"/>
            <w:hideMark/>
          </w:tcPr>
          <w:p w14:paraId="266483AF" w14:textId="19C2D78C" w:rsidR="009311E4" w:rsidRPr="000D09AE" w:rsidRDefault="009311E4" w:rsidP="00616580">
            <w:pPr>
              <w:jc w:val="center"/>
              <w:rPr>
                <w:rFonts w:ascii="Arial Narrow" w:hAnsi="Arial Narrow"/>
                <w:sz w:val="16"/>
                <w:szCs w:val="16"/>
              </w:rPr>
            </w:pPr>
            <w:r>
              <w:rPr>
                <w:rFonts w:ascii="Arial Narrow" w:hAnsi="Arial Narrow"/>
                <w:sz w:val="16"/>
                <w:szCs w:val="16"/>
              </w:rPr>
              <w:t>POO</w:t>
            </w:r>
            <w:r w:rsidR="00AC4853">
              <w:rPr>
                <w:rFonts w:ascii="Arial Narrow" w:hAnsi="Arial Narrow"/>
                <w:sz w:val="16"/>
                <w:szCs w:val="16"/>
              </w:rPr>
              <w:br/>
            </w:r>
            <w:r w:rsidR="00AC4853" w:rsidRPr="00AC4853">
              <w:rPr>
                <w:rFonts w:ascii="Arial Narrow" w:hAnsi="Arial Narrow"/>
                <w:sz w:val="12"/>
                <w:szCs w:val="12"/>
              </w:rPr>
              <w:t>SK-C[C9]-I[I5]</w:t>
            </w:r>
          </w:p>
        </w:tc>
        <w:tc>
          <w:tcPr>
            <w:tcW w:w="1276" w:type="dxa"/>
            <w:vAlign w:val="center"/>
            <w:hideMark/>
          </w:tcPr>
          <w:p w14:paraId="791CA71D"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2019.CSR3.2</w:t>
            </w:r>
            <w:r w:rsidRPr="000D09AE">
              <w:rPr>
                <w:rFonts w:ascii="Arial Narrow" w:hAnsi="Arial Narrow"/>
                <w:sz w:val="16"/>
                <w:szCs w:val="16"/>
              </w:rPr>
              <w:br/>
              <w:t>2019.CSR3.4</w:t>
            </w:r>
            <w:r w:rsidRPr="000D09AE">
              <w:rPr>
                <w:rFonts w:ascii="Arial Narrow" w:hAnsi="Arial Narrow"/>
                <w:sz w:val="16"/>
                <w:szCs w:val="16"/>
              </w:rPr>
              <w:br/>
              <w:t>2019.CSR3.6</w:t>
            </w:r>
            <w:r w:rsidRPr="000D09AE">
              <w:rPr>
                <w:rFonts w:ascii="Arial Narrow" w:hAnsi="Arial Narrow"/>
                <w:sz w:val="16"/>
                <w:szCs w:val="16"/>
              </w:rPr>
              <w:br/>
              <w:t>2020.CSR3.5</w:t>
            </w:r>
            <w:r w:rsidRPr="000D09AE">
              <w:rPr>
                <w:rFonts w:ascii="Arial Narrow" w:hAnsi="Arial Narrow"/>
                <w:sz w:val="16"/>
                <w:szCs w:val="16"/>
              </w:rPr>
              <w:br/>
              <w:t>2024.CSR3.3</w:t>
            </w:r>
          </w:p>
        </w:tc>
        <w:tc>
          <w:tcPr>
            <w:tcW w:w="1134" w:type="dxa"/>
            <w:vAlign w:val="center"/>
            <w:hideMark/>
          </w:tcPr>
          <w:p w14:paraId="5B43FBDE"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Spravodlivá digitálna transformácia</w:t>
            </w:r>
          </w:p>
        </w:tc>
        <w:tc>
          <w:tcPr>
            <w:tcW w:w="4247" w:type="dxa"/>
            <w:hideMark/>
          </w:tcPr>
          <w:p w14:paraId="5A22690F" w14:textId="77777777" w:rsidR="009311E4" w:rsidRPr="000D09AE" w:rsidRDefault="009311E4" w:rsidP="00616580">
            <w:pPr>
              <w:jc w:val="both"/>
              <w:rPr>
                <w:rFonts w:ascii="Arial Narrow" w:hAnsi="Arial Narrow"/>
                <w:sz w:val="18"/>
                <w:szCs w:val="18"/>
              </w:rPr>
            </w:pPr>
            <w:r w:rsidRPr="000D09AE">
              <w:rPr>
                <w:rFonts w:ascii="Arial Narrow" w:hAnsi="Arial Narrow"/>
                <w:sz w:val="18"/>
                <w:szCs w:val="18"/>
              </w:rPr>
              <w:t>Cieľom opatrenia je posilniť synergie medzi národnými a európskymi výskumnými a vývojovými témami. Podpora bude zameraná na digitálne oblasti, ktoré sú kľúčové pre program Horizont Európa a ďalšie iniciatívy EÚ, čím sa zabezpečí pripravenosť slovenských subjektov na financovanie európskeho výskumu a medzinárodné partnerstvá. Z</w:t>
            </w:r>
            <w:r>
              <w:rPr>
                <w:rFonts w:ascii="Arial Narrow" w:hAnsi="Arial Narrow"/>
                <w:sz w:val="18"/>
                <w:szCs w:val="18"/>
              </w:rPr>
              <w:t> </w:t>
            </w:r>
            <w:r w:rsidRPr="000D09AE">
              <w:rPr>
                <w:rFonts w:ascii="Arial Narrow" w:hAnsi="Arial Narrow"/>
                <w:sz w:val="18"/>
                <w:szCs w:val="18"/>
              </w:rPr>
              <w:t>celkového cieľa 155 projektov bude prostredníctvom tematických schém (napr. dopytovo orientované výzvy a/alebo finančné nástroje) vybraných a dokončených 140 projektov, ktoré budú riešiť výzvy digitálnej transformácie na rôznych úrovniach technologickej pripravenosti (TRL 1-9).</w:t>
            </w:r>
          </w:p>
        </w:tc>
      </w:tr>
      <w:tr w:rsidR="009311E4" w:rsidRPr="000D09AE" w14:paraId="055386BC" w14:textId="77777777" w:rsidTr="00AC4853">
        <w:trPr>
          <w:trHeight w:val="1973"/>
        </w:trPr>
        <w:tc>
          <w:tcPr>
            <w:tcW w:w="1376" w:type="dxa"/>
            <w:vAlign w:val="center"/>
            <w:hideMark/>
          </w:tcPr>
          <w:p w14:paraId="3473E4C9" w14:textId="5F3DBC94"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t>Reforma 1</w:t>
            </w:r>
            <w:r w:rsidR="00616580">
              <w:rPr>
                <w:rFonts w:ascii="Arial Narrow" w:hAnsi="Arial Narrow"/>
                <w:b/>
                <w:bCs/>
                <w:sz w:val="16"/>
                <w:szCs w:val="16"/>
              </w:rPr>
              <w:t>6</w:t>
            </w:r>
            <w:r w:rsidRPr="000D09AE">
              <w:rPr>
                <w:rFonts w:ascii="Arial Narrow" w:hAnsi="Arial Narrow"/>
                <w:b/>
                <w:bCs/>
                <w:sz w:val="16"/>
                <w:szCs w:val="16"/>
              </w:rPr>
              <w:t xml:space="preserve">: </w:t>
            </w:r>
            <w:r w:rsidRPr="000D09AE">
              <w:rPr>
                <w:rFonts w:ascii="Arial Narrow" w:hAnsi="Arial Narrow"/>
                <w:b/>
                <w:bCs/>
                <w:sz w:val="16"/>
                <w:szCs w:val="16"/>
              </w:rPr>
              <w:br/>
            </w:r>
            <w:r w:rsidRPr="000D09AE">
              <w:rPr>
                <w:rFonts w:ascii="Arial Narrow" w:hAnsi="Arial Narrow"/>
                <w:sz w:val="16"/>
                <w:szCs w:val="16"/>
              </w:rPr>
              <w:t>Centrálny systém riadenia nemocníc</w:t>
            </w:r>
          </w:p>
        </w:tc>
        <w:tc>
          <w:tcPr>
            <w:tcW w:w="1029" w:type="dxa"/>
            <w:vAlign w:val="center"/>
            <w:hideMark/>
          </w:tcPr>
          <w:p w14:paraId="5D1CB1BC" w14:textId="31697FF1" w:rsidR="009311E4" w:rsidRPr="000D09AE" w:rsidRDefault="009311E4" w:rsidP="00616580">
            <w:pPr>
              <w:jc w:val="center"/>
              <w:rPr>
                <w:rFonts w:ascii="Arial Narrow" w:hAnsi="Arial Narrow"/>
                <w:sz w:val="16"/>
                <w:szCs w:val="16"/>
              </w:rPr>
            </w:pPr>
            <w:r>
              <w:rPr>
                <w:rFonts w:ascii="Arial Narrow" w:hAnsi="Arial Narrow"/>
                <w:sz w:val="16"/>
                <w:szCs w:val="16"/>
              </w:rPr>
              <w:t>POO</w:t>
            </w:r>
            <w:r w:rsidR="00AC4853">
              <w:rPr>
                <w:rFonts w:ascii="Arial Narrow" w:hAnsi="Arial Narrow"/>
                <w:sz w:val="16"/>
                <w:szCs w:val="16"/>
              </w:rPr>
              <w:br/>
            </w:r>
            <w:r w:rsidR="00AC4853" w:rsidRPr="00AC4853">
              <w:rPr>
                <w:rFonts w:ascii="Arial Narrow" w:hAnsi="Arial Narrow"/>
                <w:sz w:val="12"/>
                <w:szCs w:val="12"/>
              </w:rPr>
              <w:t>SK-C[C11]-R[R3]</w:t>
            </w:r>
          </w:p>
        </w:tc>
        <w:tc>
          <w:tcPr>
            <w:tcW w:w="1276" w:type="dxa"/>
            <w:vAlign w:val="center"/>
            <w:hideMark/>
          </w:tcPr>
          <w:p w14:paraId="30DB5469"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2019.CSR1.2</w:t>
            </w:r>
            <w:r w:rsidRPr="000D09AE">
              <w:rPr>
                <w:rFonts w:ascii="Arial Narrow" w:hAnsi="Arial Narrow"/>
                <w:sz w:val="16"/>
                <w:szCs w:val="16"/>
              </w:rPr>
              <w:br/>
              <w:t>2020.CSR1.2</w:t>
            </w:r>
            <w:r w:rsidRPr="000D09AE">
              <w:rPr>
                <w:rFonts w:ascii="Arial Narrow" w:hAnsi="Arial Narrow"/>
                <w:sz w:val="16"/>
                <w:szCs w:val="16"/>
              </w:rPr>
              <w:br/>
              <w:t>2020.CSR1.3</w:t>
            </w:r>
            <w:r w:rsidRPr="000D09AE">
              <w:rPr>
                <w:rFonts w:ascii="Arial Narrow" w:hAnsi="Arial Narrow"/>
                <w:sz w:val="16"/>
                <w:szCs w:val="16"/>
              </w:rPr>
              <w:br/>
              <w:t>2020.CSR4.3</w:t>
            </w:r>
          </w:p>
        </w:tc>
        <w:tc>
          <w:tcPr>
            <w:tcW w:w="1134" w:type="dxa"/>
            <w:vAlign w:val="center"/>
            <w:hideMark/>
          </w:tcPr>
          <w:p w14:paraId="69421530"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Žiadne</w:t>
            </w:r>
          </w:p>
        </w:tc>
        <w:tc>
          <w:tcPr>
            <w:tcW w:w="4247" w:type="dxa"/>
            <w:hideMark/>
          </w:tcPr>
          <w:p w14:paraId="2733B27F" w14:textId="77777777" w:rsidR="009311E4" w:rsidRPr="000D09AE" w:rsidRDefault="009311E4" w:rsidP="00616580">
            <w:pPr>
              <w:jc w:val="both"/>
              <w:rPr>
                <w:rFonts w:ascii="Arial Narrow" w:hAnsi="Arial Narrow"/>
                <w:sz w:val="18"/>
                <w:szCs w:val="18"/>
              </w:rPr>
            </w:pPr>
            <w:r w:rsidRPr="000D09AE">
              <w:rPr>
                <w:rFonts w:ascii="Arial Narrow" w:hAnsi="Arial Narrow"/>
                <w:sz w:val="18"/>
                <w:szCs w:val="18"/>
              </w:rPr>
              <w:t>Cieľom opatrenia je zlepšiť riadenie nemocníc koncových užívateľov so zameraním na medicínske a prevádzkové procesy, ako aj na finančný dohľad. Do druhého štvrťroka 2025 bude do centralizovaného systému riadenia integrovaných 19 nemocníc. Tento systém, spravovaný Centrálnym orgánom pre riadenie nemocníc, bude dohliadať na plánovanie a výkonnosť nemocníc v oblastiach, ako sú finančná kontrola, dodržiavanie predpisov, ľudské zdroje, kvalita a riadenie rizík, pričom tieto oblasti bude prepájať s klinickými procesmi.</w:t>
            </w:r>
          </w:p>
        </w:tc>
      </w:tr>
      <w:tr w:rsidR="009311E4" w:rsidRPr="000D09AE" w14:paraId="5F38990C" w14:textId="77777777" w:rsidTr="00AC4853">
        <w:trPr>
          <w:trHeight w:val="2173"/>
        </w:trPr>
        <w:tc>
          <w:tcPr>
            <w:tcW w:w="1376" w:type="dxa"/>
            <w:vAlign w:val="center"/>
            <w:hideMark/>
          </w:tcPr>
          <w:p w14:paraId="7064908B" w14:textId="5E785780"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t>Reforma 1</w:t>
            </w:r>
            <w:r w:rsidR="00616580">
              <w:rPr>
                <w:rFonts w:ascii="Arial Narrow" w:hAnsi="Arial Narrow"/>
                <w:b/>
                <w:bCs/>
                <w:sz w:val="16"/>
                <w:szCs w:val="16"/>
              </w:rPr>
              <w:t>7</w:t>
            </w:r>
            <w:r w:rsidRPr="000D09AE">
              <w:rPr>
                <w:rFonts w:ascii="Arial Narrow" w:hAnsi="Arial Narrow"/>
                <w:b/>
                <w:bCs/>
                <w:sz w:val="16"/>
                <w:szCs w:val="16"/>
              </w:rPr>
              <w:t xml:space="preserve">: </w:t>
            </w:r>
            <w:r w:rsidRPr="000D09AE">
              <w:rPr>
                <w:rFonts w:ascii="Arial Narrow" w:hAnsi="Arial Narrow"/>
                <w:b/>
                <w:bCs/>
                <w:sz w:val="16"/>
                <w:szCs w:val="16"/>
              </w:rPr>
              <w:br/>
            </w:r>
            <w:r w:rsidRPr="000D09AE">
              <w:rPr>
                <w:rFonts w:ascii="Arial Narrow" w:hAnsi="Arial Narrow"/>
                <w:sz w:val="16"/>
                <w:szCs w:val="16"/>
              </w:rPr>
              <w:t>Zavedenie novej siete súdov</w:t>
            </w:r>
          </w:p>
        </w:tc>
        <w:tc>
          <w:tcPr>
            <w:tcW w:w="1029" w:type="dxa"/>
            <w:vAlign w:val="center"/>
            <w:hideMark/>
          </w:tcPr>
          <w:p w14:paraId="5D0A11D1" w14:textId="3209AC39" w:rsidR="009311E4" w:rsidRPr="000D09AE" w:rsidRDefault="009311E4" w:rsidP="00616580">
            <w:pPr>
              <w:jc w:val="center"/>
              <w:rPr>
                <w:rFonts w:ascii="Arial Narrow" w:hAnsi="Arial Narrow"/>
                <w:sz w:val="16"/>
                <w:szCs w:val="16"/>
              </w:rPr>
            </w:pPr>
            <w:r>
              <w:rPr>
                <w:rFonts w:ascii="Arial Narrow" w:hAnsi="Arial Narrow"/>
                <w:sz w:val="16"/>
                <w:szCs w:val="16"/>
              </w:rPr>
              <w:t>POO</w:t>
            </w:r>
            <w:r w:rsidR="00AC4853">
              <w:rPr>
                <w:rFonts w:ascii="Arial Narrow" w:hAnsi="Arial Narrow"/>
                <w:sz w:val="16"/>
                <w:szCs w:val="16"/>
              </w:rPr>
              <w:br/>
            </w:r>
            <w:r w:rsidR="00AC4853" w:rsidRPr="00AC4853">
              <w:rPr>
                <w:rFonts w:ascii="Arial Narrow" w:hAnsi="Arial Narrow"/>
                <w:sz w:val="12"/>
                <w:szCs w:val="12"/>
              </w:rPr>
              <w:t>SK-C[C15]-R[R1]</w:t>
            </w:r>
          </w:p>
        </w:tc>
        <w:tc>
          <w:tcPr>
            <w:tcW w:w="1276" w:type="dxa"/>
            <w:vAlign w:val="center"/>
            <w:hideMark/>
          </w:tcPr>
          <w:p w14:paraId="665A595D"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2019.CSR4.1</w:t>
            </w:r>
            <w:r w:rsidRPr="000D09AE">
              <w:rPr>
                <w:rFonts w:ascii="Arial Narrow" w:hAnsi="Arial Narrow"/>
                <w:sz w:val="16"/>
                <w:szCs w:val="16"/>
              </w:rPr>
              <w:br/>
              <w:t>2020.CSR4.4</w:t>
            </w:r>
            <w:r w:rsidRPr="000D09AE">
              <w:rPr>
                <w:rFonts w:ascii="Arial Narrow" w:hAnsi="Arial Narrow"/>
                <w:sz w:val="16"/>
                <w:szCs w:val="16"/>
              </w:rPr>
              <w:br/>
              <w:t>2024.CSR3.1</w:t>
            </w:r>
          </w:p>
        </w:tc>
        <w:tc>
          <w:tcPr>
            <w:tcW w:w="1134" w:type="dxa"/>
            <w:vAlign w:val="center"/>
            <w:hideMark/>
          </w:tcPr>
          <w:p w14:paraId="332327D7"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Žiadne</w:t>
            </w:r>
          </w:p>
        </w:tc>
        <w:tc>
          <w:tcPr>
            <w:tcW w:w="4247" w:type="dxa"/>
            <w:hideMark/>
          </w:tcPr>
          <w:p w14:paraId="66BC41E3" w14:textId="63CCEE79" w:rsidR="009311E4" w:rsidRPr="000D09AE" w:rsidRDefault="00697D84">
            <w:pPr>
              <w:jc w:val="both"/>
              <w:rPr>
                <w:rFonts w:ascii="Arial Narrow" w:hAnsi="Arial Narrow"/>
                <w:sz w:val="18"/>
                <w:szCs w:val="18"/>
              </w:rPr>
            </w:pPr>
            <w:r>
              <w:rPr>
                <w:rFonts w:ascii="Arial Narrow" w:hAnsi="Arial Narrow"/>
                <w:sz w:val="18"/>
                <w:szCs w:val="18"/>
              </w:rPr>
              <w:t>R</w:t>
            </w:r>
            <w:r w:rsidR="009311E4" w:rsidRPr="000D09AE">
              <w:rPr>
                <w:rFonts w:ascii="Arial Narrow" w:hAnsi="Arial Narrow"/>
                <w:sz w:val="18"/>
                <w:szCs w:val="18"/>
              </w:rPr>
              <w:t>eform</w:t>
            </w:r>
            <w:r>
              <w:rPr>
                <w:rFonts w:ascii="Arial Narrow" w:hAnsi="Arial Narrow"/>
                <w:sz w:val="18"/>
                <w:szCs w:val="18"/>
              </w:rPr>
              <w:t>a</w:t>
            </w:r>
            <w:r w:rsidR="009311E4" w:rsidRPr="000D09AE">
              <w:rPr>
                <w:rFonts w:ascii="Arial Narrow" w:hAnsi="Arial Narrow"/>
                <w:sz w:val="18"/>
                <w:szCs w:val="18"/>
              </w:rPr>
              <w:t xml:space="preserve"> súdnej mapy </w:t>
            </w:r>
            <w:r>
              <w:rPr>
                <w:rFonts w:ascii="Arial Narrow" w:hAnsi="Arial Narrow"/>
                <w:sz w:val="18"/>
                <w:szCs w:val="18"/>
              </w:rPr>
              <w:t>má za cieľ</w:t>
            </w:r>
            <w:r w:rsidR="009311E4" w:rsidRPr="000D09AE">
              <w:rPr>
                <w:rFonts w:ascii="Arial Narrow" w:hAnsi="Arial Narrow"/>
                <w:sz w:val="18"/>
                <w:szCs w:val="18"/>
              </w:rPr>
              <w:t xml:space="preserve"> zvýšiť dôveryhodnosť súdnictva, zefektívniť súdny systém a zlepšiť kvalitu justičných služieb poskytovaných občanom. </w:t>
            </w:r>
            <w:r>
              <w:rPr>
                <w:rFonts w:ascii="Arial Narrow" w:hAnsi="Arial Narrow"/>
                <w:sz w:val="18"/>
                <w:szCs w:val="18"/>
              </w:rPr>
              <w:t>Súčasťou opatrenia</w:t>
            </w:r>
            <w:r w:rsidR="009311E4" w:rsidRPr="000D09AE">
              <w:rPr>
                <w:rFonts w:ascii="Arial Narrow" w:hAnsi="Arial Narrow"/>
                <w:sz w:val="18"/>
                <w:szCs w:val="18"/>
              </w:rPr>
              <w:t xml:space="preserve"> </w:t>
            </w:r>
            <w:r>
              <w:rPr>
                <w:rFonts w:ascii="Arial Narrow" w:hAnsi="Arial Narrow"/>
                <w:sz w:val="18"/>
                <w:szCs w:val="18"/>
              </w:rPr>
              <w:t xml:space="preserve">bola </w:t>
            </w:r>
            <w:r w:rsidR="009311E4" w:rsidRPr="000D09AE">
              <w:rPr>
                <w:rFonts w:ascii="Arial Narrow" w:hAnsi="Arial Narrow"/>
                <w:sz w:val="18"/>
                <w:szCs w:val="18"/>
              </w:rPr>
              <w:t>optimalizáci</w:t>
            </w:r>
            <w:r>
              <w:rPr>
                <w:rFonts w:ascii="Arial Narrow" w:hAnsi="Arial Narrow"/>
                <w:sz w:val="18"/>
                <w:szCs w:val="18"/>
              </w:rPr>
              <w:t>a</w:t>
            </w:r>
            <w:r w:rsidR="009311E4" w:rsidRPr="000D09AE">
              <w:rPr>
                <w:rFonts w:ascii="Arial Narrow" w:hAnsi="Arial Narrow"/>
                <w:sz w:val="18"/>
                <w:szCs w:val="18"/>
              </w:rPr>
              <w:t xml:space="preserve"> výkonu súdnictva znížením počtu súdov a pridelením sudcov pre špecializované oblasti (občianske, rodinné, trestné a obchodné právo) najmenej v troch súdnych obvodoch v každom novom súdnom obvode. Reform</w:t>
            </w:r>
            <w:r>
              <w:rPr>
                <w:rFonts w:ascii="Arial Narrow" w:hAnsi="Arial Narrow"/>
                <w:sz w:val="18"/>
                <w:szCs w:val="18"/>
              </w:rPr>
              <w:t>a tiež umožnila</w:t>
            </w:r>
            <w:r w:rsidRPr="000D09AE">
              <w:rPr>
                <w:rFonts w:ascii="Arial Narrow" w:hAnsi="Arial Narrow"/>
                <w:sz w:val="18"/>
                <w:szCs w:val="18"/>
              </w:rPr>
              <w:t xml:space="preserve"> </w:t>
            </w:r>
            <w:r w:rsidR="009311E4" w:rsidRPr="000D09AE">
              <w:rPr>
                <w:rFonts w:ascii="Arial Narrow" w:hAnsi="Arial Narrow"/>
                <w:sz w:val="18"/>
                <w:szCs w:val="18"/>
              </w:rPr>
              <w:t>vytvorenie a konsolidáciu novej siete</w:t>
            </w:r>
            <w:r>
              <w:rPr>
                <w:rFonts w:ascii="Arial Narrow" w:hAnsi="Arial Narrow"/>
                <w:sz w:val="18"/>
                <w:szCs w:val="18"/>
              </w:rPr>
              <w:t xml:space="preserve"> </w:t>
            </w:r>
            <w:r w:rsidR="009311E4" w:rsidRPr="000D09AE">
              <w:rPr>
                <w:rFonts w:ascii="Arial Narrow" w:hAnsi="Arial Narrow"/>
                <w:sz w:val="18"/>
                <w:szCs w:val="18"/>
              </w:rPr>
              <w:t>prvostupňových všeobecných a správnych súdov,</w:t>
            </w:r>
            <w:r>
              <w:rPr>
                <w:rFonts w:ascii="Arial Narrow" w:hAnsi="Arial Narrow"/>
                <w:sz w:val="18"/>
                <w:szCs w:val="18"/>
              </w:rPr>
              <w:t xml:space="preserve"> </w:t>
            </w:r>
            <w:r w:rsidR="009311E4" w:rsidRPr="000D09AE">
              <w:rPr>
                <w:rFonts w:ascii="Arial Narrow" w:hAnsi="Arial Narrow"/>
                <w:sz w:val="18"/>
                <w:szCs w:val="18"/>
              </w:rPr>
              <w:t>všeobecných odvolacích súdov a Najvyššieho správneho</w:t>
            </w:r>
            <w:r>
              <w:rPr>
                <w:rFonts w:ascii="Arial Narrow" w:hAnsi="Arial Narrow"/>
                <w:sz w:val="18"/>
                <w:szCs w:val="18"/>
              </w:rPr>
              <w:t xml:space="preserve"> </w:t>
            </w:r>
            <w:r w:rsidR="009311E4" w:rsidRPr="000D09AE">
              <w:rPr>
                <w:rFonts w:ascii="Arial Narrow" w:hAnsi="Arial Narrow"/>
                <w:sz w:val="18"/>
                <w:szCs w:val="18"/>
              </w:rPr>
              <w:t>súdu Slovenskej republiky do 1. štvrťroka 2023.</w:t>
            </w:r>
          </w:p>
        </w:tc>
      </w:tr>
      <w:tr w:rsidR="009311E4" w:rsidRPr="000D09AE" w14:paraId="733A702E" w14:textId="77777777" w:rsidTr="00AC4853">
        <w:trPr>
          <w:trHeight w:val="1143"/>
        </w:trPr>
        <w:tc>
          <w:tcPr>
            <w:tcW w:w="1376" w:type="dxa"/>
            <w:vAlign w:val="center"/>
            <w:hideMark/>
          </w:tcPr>
          <w:p w14:paraId="19545DAB" w14:textId="4C51D1E5" w:rsidR="009311E4" w:rsidRPr="000D09AE" w:rsidRDefault="009311E4" w:rsidP="00616580">
            <w:pPr>
              <w:jc w:val="center"/>
              <w:rPr>
                <w:rFonts w:ascii="Arial Narrow" w:hAnsi="Arial Narrow"/>
                <w:sz w:val="16"/>
                <w:szCs w:val="16"/>
              </w:rPr>
            </w:pPr>
            <w:r w:rsidRPr="000D09AE">
              <w:rPr>
                <w:rFonts w:ascii="Arial Narrow" w:hAnsi="Arial Narrow"/>
                <w:b/>
                <w:bCs/>
                <w:sz w:val="16"/>
                <w:szCs w:val="16"/>
              </w:rPr>
              <w:t>Investícia 9</w:t>
            </w:r>
            <w:r w:rsidRPr="000D09AE">
              <w:rPr>
                <w:rFonts w:ascii="Arial Narrow" w:hAnsi="Arial Narrow"/>
                <w:sz w:val="16"/>
                <w:szCs w:val="16"/>
              </w:rPr>
              <w:t xml:space="preserve">: </w:t>
            </w:r>
            <w:r w:rsidRPr="000D09AE">
              <w:rPr>
                <w:rFonts w:ascii="Arial Narrow" w:hAnsi="Arial Narrow"/>
                <w:sz w:val="16"/>
                <w:szCs w:val="16"/>
              </w:rPr>
              <w:br/>
              <w:t>Zriadenie centier zdieľaných služieb</w:t>
            </w:r>
          </w:p>
        </w:tc>
        <w:tc>
          <w:tcPr>
            <w:tcW w:w="1029" w:type="dxa"/>
            <w:vAlign w:val="center"/>
            <w:hideMark/>
          </w:tcPr>
          <w:p w14:paraId="549A29B5" w14:textId="566A5ACB" w:rsidR="009311E4" w:rsidRPr="000D09AE" w:rsidRDefault="009311E4" w:rsidP="007A47C0">
            <w:pPr>
              <w:jc w:val="center"/>
              <w:rPr>
                <w:rFonts w:ascii="Arial Narrow" w:hAnsi="Arial Narrow"/>
                <w:sz w:val="16"/>
                <w:szCs w:val="16"/>
              </w:rPr>
            </w:pPr>
            <w:r>
              <w:rPr>
                <w:rFonts w:ascii="Arial Narrow" w:hAnsi="Arial Narrow"/>
                <w:sz w:val="16"/>
                <w:szCs w:val="16"/>
              </w:rPr>
              <w:t>POO</w:t>
            </w:r>
            <w:r w:rsidR="00BD1D3D">
              <w:rPr>
                <w:rFonts w:ascii="Arial Narrow" w:hAnsi="Arial Narrow"/>
                <w:sz w:val="16"/>
                <w:szCs w:val="16"/>
              </w:rPr>
              <w:br/>
            </w:r>
            <w:r w:rsidR="00BD1D3D" w:rsidRPr="00BD1D3D">
              <w:rPr>
                <w:rFonts w:ascii="Arial Narrow" w:hAnsi="Arial Narrow"/>
                <w:sz w:val="12"/>
                <w:szCs w:val="12"/>
              </w:rPr>
              <w:t>SK-C[C16]-I[I4]</w:t>
            </w:r>
            <w:r w:rsidR="00CD47EC">
              <w:rPr>
                <w:rFonts w:ascii="Arial Narrow" w:hAnsi="Arial Narrow"/>
                <w:sz w:val="12"/>
                <w:szCs w:val="12"/>
              </w:rPr>
              <w:br/>
            </w:r>
            <w:r w:rsidR="00BE380D">
              <w:rPr>
                <w:rFonts w:ascii="Arial Narrow" w:hAnsi="Arial Narrow"/>
                <w:sz w:val="16"/>
                <w:szCs w:val="12"/>
              </w:rPr>
              <w:t>EŠIF</w:t>
            </w:r>
          </w:p>
        </w:tc>
        <w:tc>
          <w:tcPr>
            <w:tcW w:w="1276" w:type="dxa"/>
            <w:vAlign w:val="center"/>
            <w:hideMark/>
          </w:tcPr>
          <w:p w14:paraId="393EF49F"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2020.CSR4.3</w:t>
            </w:r>
            <w:r w:rsidRPr="000D09AE">
              <w:rPr>
                <w:rFonts w:ascii="Arial Narrow" w:hAnsi="Arial Narrow"/>
                <w:sz w:val="16"/>
                <w:szCs w:val="16"/>
              </w:rPr>
              <w:br/>
              <w:t>2024.CSR2.1</w:t>
            </w:r>
            <w:r w:rsidRPr="000D09AE">
              <w:rPr>
                <w:rFonts w:ascii="Arial Narrow" w:hAnsi="Arial Narrow"/>
                <w:sz w:val="16"/>
                <w:szCs w:val="16"/>
              </w:rPr>
              <w:br/>
              <w:t>2024.CSR3.3</w:t>
            </w:r>
          </w:p>
        </w:tc>
        <w:tc>
          <w:tcPr>
            <w:tcW w:w="1134" w:type="dxa"/>
            <w:vAlign w:val="center"/>
            <w:hideMark/>
          </w:tcPr>
          <w:p w14:paraId="3F3B58DF"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Žiadne</w:t>
            </w:r>
          </w:p>
        </w:tc>
        <w:tc>
          <w:tcPr>
            <w:tcW w:w="4247" w:type="dxa"/>
            <w:hideMark/>
          </w:tcPr>
          <w:p w14:paraId="62CD2612" w14:textId="337C6121" w:rsidR="009311E4" w:rsidRPr="000D09AE" w:rsidRDefault="009311E4" w:rsidP="00CD47EC">
            <w:pPr>
              <w:jc w:val="both"/>
              <w:rPr>
                <w:rFonts w:ascii="Arial Narrow" w:hAnsi="Arial Narrow"/>
                <w:sz w:val="18"/>
                <w:szCs w:val="18"/>
              </w:rPr>
            </w:pPr>
            <w:r w:rsidRPr="000D09AE">
              <w:rPr>
                <w:rFonts w:ascii="Arial Narrow" w:hAnsi="Arial Narrow"/>
                <w:sz w:val="18"/>
                <w:szCs w:val="18"/>
              </w:rPr>
              <w:t>Investície do zriadenia centier zdieľaných služieb priamo podporujú reformu verejnej správy tým, že zvyšujú efektívnosť a dostupnosť základných verejných služieb. Zriadením 22 centier v</w:t>
            </w:r>
            <w:r>
              <w:rPr>
                <w:rFonts w:ascii="Arial Narrow" w:hAnsi="Arial Narrow"/>
                <w:sz w:val="18"/>
                <w:szCs w:val="18"/>
              </w:rPr>
              <w:t xml:space="preserve"> obciach v rámci </w:t>
            </w:r>
            <w:r w:rsidRPr="000D09AE">
              <w:rPr>
                <w:rFonts w:ascii="Arial Narrow" w:hAnsi="Arial Narrow"/>
                <w:sz w:val="18"/>
                <w:szCs w:val="18"/>
              </w:rPr>
              <w:t>najmenej rozvinutých regióno</w:t>
            </w:r>
            <w:r>
              <w:rPr>
                <w:rFonts w:ascii="Arial Narrow" w:hAnsi="Arial Narrow"/>
                <w:sz w:val="18"/>
                <w:szCs w:val="18"/>
              </w:rPr>
              <w:t>v</w:t>
            </w:r>
            <w:r w:rsidRPr="000D09AE">
              <w:rPr>
                <w:rFonts w:ascii="Arial Narrow" w:hAnsi="Arial Narrow"/>
                <w:sz w:val="18"/>
                <w:szCs w:val="18"/>
              </w:rPr>
              <w:t xml:space="preserve"> táto iniciatíva centralizuje a združuje miestne kapacity, čím zlepšuje poskytovanie služieb a optimalizuje využívanie zdrojov.</w:t>
            </w:r>
            <w:r w:rsidR="00CD47EC">
              <w:rPr>
                <w:rFonts w:ascii="Arial Narrow" w:hAnsi="Arial Narrow"/>
                <w:sz w:val="18"/>
                <w:szCs w:val="18"/>
              </w:rPr>
              <w:t xml:space="preserve"> Prostriedky na personálne kapacity centier zdieľaných služieb </w:t>
            </w:r>
            <w:r w:rsidR="006D5888">
              <w:rPr>
                <w:rFonts w:ascii="Arial Narrow" w:hAnsi="Arial Narrow"/>
                <w:sz w:val="18"/>
                <w:szCs w:val="18"/>
              </w:rPr>
              <w:t xml:space="preserve">budú </w:t>
            </w:r>
            <w:r w:rsidR="00CD47EC" w:rsidRPr="00CD47EC">
              <w:rPr>
                <w:rFonts w:ascii="Arial Narrow" w:hAnsi="Arial Narrow"/>
                <w:sz w:val="18"/>
                <w:szCs w:val="18"/>
              </w:rPr>
              <w:t>zabezpeč</w:t>
            </w:r>
            <w:r w:rsidR="006D5888">
              <w:rPr>
                <w:rFonts w:ascii="Arial Narrow" w:hAnsi="Arial Narrow"/>
                <w:sz w:val="18"/>
                <w:szCs w:val="18"/>
              </w:rPr>
              <w:t>ené</w:t>
            </w:r>
            <w:r w:rsidR="00CD47EC" w:rsidRPr="00CD47EC">
              <w:rPr>
                <w:rFonts w:ascii="Arial Narrow" w:hAnsi="Arial Narrow"/>
                <w:sz w:val="18"/>
                <w:szCs w:val="18"/>
              </w:rPr>
              <w:t xml:space="preserve"> prostredníctvom výzvy financovanej z európskych štrukturálnych a investičných fondov</w:t>
            </w:r>
            <w:r w:rsidR="00CD47EC">
              <w:rPr>
                <w:rFonts w:ascii="Arial Narrow" w:hAnsi="Arial Narrow"/>
                <w:sz w:val="18"/>
                <w:szCs w:val="18"/>
              </w:rPr>
              <w:t xml:space="preserve"> (EŠIF)</w:t>
            </w:r>
            <w:r w:rsidR="00CD47EC" w:rsidRPr="00CD47EC">
              <w:rPr>
                <w:rFonts w:ascii="Arial Narrow" w:hAnsi="Arial Narrow"/>
                <w:sz w:val="18"/>
                <w:szCs w:val="18"/>
              </w:rPr>
              <w:t>.</w:t>
            </w:r>
          </w:p>
        </w:tc>
      </w:tr>
      <w:tr w:rsidR="009311E4" w:rsidRPr="000D09AE" w14:paraId="0593CFE9" w14:textId="77777777" w:rsidTr="00AC4853">
        <w:trPr>
          <w:trHeight w:val="1741"/>
        </w:trPr>
        <w:tc>
          <w:tcPr>
            <w:tcW w:w="1376" w:type="dxa"/>
            <w:vAlign w:val="center"/>
            <w:hideMark/>
          </w:tcPr>
          <w:p w14:paraId="23EE8747" w14:textId="47E57AF0" w:rsidR="009311E4" w:rsidRPr="000D09AE" w:rsidRDefault="009311E4" w:rsidP="00616580">
            <w:pPr>
              <w:jc w:val="center"/>
              <w:rPr>
                <w:rFonts w:ascii="Arial Narrow" w:hAnsi="Arial Narrow"/>
                <w:b/>
                <w:bCs/>
                <w:sz w:val="16"/>
                <w:szCs w:val="16"/>
              </w:rPr>
            </w:pPr>
            <w:r w:rsidRPr="000D09AE">
              <w:rPr>
                <w:rFonts w:ascii="Arial Narrow" w:hAnsi="Arial Narrow"/>
                <w:b/>
                <w:bCs/>
                <w:sz w:val="16"/>
                <w:szCs w:val="16"/>
              </w:rPr>
              <w:lastRenderedPageBreak/>
              <w:t>Reforma 1</w:t>
            </w:r>
            <w:r w:rsidR="00616580">
              <w:rPr>
                <w:rFonts w:ascii="Arial Narrow" w:hAnsi="Arial Narrow"/>
                <w:b/>
                <w:bCs/>
                <w:sz w:val="16"/>
                <w:szCs w:val="16"/>
              </w:rPr>
              <w:t>8</w:t>
            </w:r>
            <w:r w:rsidRPr="000D09AE">
              <w:rPr>
                <w:rFonts w:ascii="Arial Narrow" w:hAnsi="Arial Narrow"/>
                <w:b/>
                <w:bCs/>
                <w:sz w:val="16"/>
                <w:szCs w:val="16"/>
              </w:rPr>
              <w:t xml:space="preserve">: </w:t>
            </w:r>
            <w:r w:rsidRPr="000D09AE">
              <w:rPr>
                <w:rFonts w:ascii="Arial Narrow" w:hAnsi="Arial Narrow"/>
                <w:b/>
                <w:bCs/>
                <w:sz w:val="16"/>
                <w:szCs w:val="16"/>
              </w:rPr>
              <w:br/>
            </w:r>
            <w:r w:rsidRPr="000D09AE">
              <w:rPr>
                <w:rFonts w:ascii="Arial Narrow" w:hAnsi="Arial Narrow"/>
                <w:sz w:val="16"/>
                <w:szCs w:val="16"/>
              </w:rPr>
              <w:t>Digitálne trhovisko</w:t>
            </w:r>
          </w:p>
        </w:tc>
        <w:tc>
          <w:tcPr>
            <w:tcW w:w="1029" w:type="dxa"/>
            <w:vAlign w:val="center"/>
            <w:hideMark/>
          </w:tcPr>
          <w:p w14:paraId="10C87E4C" w14:textId="50B7AA0F" w:rsidR="009311E4" w:rsidRPr="000D09AE" w:rsidRDefault="009311E4" w:rsidP="00616580">
            <w:pPr>
              <w:jc w:val="center"/>
              <w:rPr>
                <w:rFonts w:ascii="Arial Narrow" w:hAnsi="Arial Narrow"/>
                <w:sz w:val="16"/>
                <w:szCs w:val="16"/>
              </w:rPr>
            </w:pPr>
            <w:r>
              <w:rPr>
                <w:rFonts w:ascii="Arial Narrow" w:hAnsi="Arial Narrow"/>
                <w:sz w:val="16"/>
                <w:szCs w:val="16"/>
              </w:rPr>
              <w:t>POO</w:t>
            </w:r>
            <w:r w:rsidR="00AC4853">
              <w:rPr>
                <w:rFonts w:ascii="Arial Narrow" w:hAnsi="Arial Narrow"/>
                <w:sz w:val="16"/>
                <w:szCs w:val="16"/>
              </w:rPr>
              <w:br/>
            </w:r>
            <w:r w:rsidR="00AC4853" w:rsidRPr="00AC4853">
              <w:rPr>
                <w:rFonts w:ascii="Arial Narrow" w:hAnsi="Arial Narrow"/>
                <w:sz w:val="12"/>
                <w:szCs w:val="12"/>
              </w:rPr>
              <w:t>SK-C[C17]-R[R2]</w:t>
            </w:r>
          </w:p>
        </w:tc>
        <w:tc>
          <w:tcPr>
            <w:tcW w:w="1276" w:type="dxa"/>
            <w:vAlign w:val="center"/>
            <w:hideMark/>
          </w:tcPr>
          <w:p w14:paraId="76A1D25E"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2019.CSR3.4</w:t>
            </w:r>
            <w:r w:rsidRPr="000D09AE">
              <w:rPr>
                <w:rFonts w:ascii="Arial Narrow" w:hAnsi="Arial Narrow"/>
                <w:sz w:val="16"/>
                <w:szCs w:val="16"/>
              </w:rPr>
              <w:br/>
              <w:t>2020.CSR4.3</w:t>
            </w:r>
            <w:r w:rsidRPr="000D09AE">
              <w:rPr>
                <w:rFonts w:ascii="Arial Narrow" w:hAnsi="Arial Narrow"/>
                <w:sz w:val="16"/>
                <w:szCs w:val="16"/>
              </w:rPr>
              <w:br/>
              <w:t>2020.CSR3.2</w:t>
            </w:r>
          </w:p>
        </w:tc>
        <w:tc>
          <w:tcPr>
            <w:tcW w:w="1134" w:type="dxa"/>
            <w:vAlign w:val="center"/>
            <w:hideMark/>
          </w:tcPr>
          <w:p w14:paraId="39105929"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Spravodlivá digitálna transformácia</w:t>
            </w:r>
          </w:p>
        </w:tc>
        <w:tc>
          <w:tcPr>
            <w:tcW w:w="4247" w:type="dxa"/>
            <w:hideMark/>
          </w:tcPr>
          <w:p w14:paraId="43393ADC" w14:textId="58CAD49E" w:rsidR="009311E4" w:rsidRPr="000D09AE" w:rsidRDefault="009311E4" w:rsidP="000C08F6">
            <w:pPr>
              <w:jc w:val="both"/>
              <w:rPr>
                <w:rFonts w:ascii="Arial Narrow" w:hAnsi="Arial Narrow"/>
                <w:sz w:val="18"/>
                <w:szCs w:val="18"/>
              </w:rPr>
            </w:pPr>
            <w:r w:rsidRPr="000D09AE">
              <w:rPr>
                <w:rFonts w:ascii="Arial Narrow" w:hAnsi="Arial Narrow"/>
                <w:sz w:val="18"/>
                <w:szCs w:val="18"/>
              </w:rPr>
              <w:t>Vytvorenie a zavedenie centrálnej platformy pre verejné obstarávanie, vybavenej IT zdrojmi, má za cieľ skrátiť čas a znížiť náklady na vývoj a zdokonaľovanie informačných systémov. Platforma</w:t>
            </w:r>
            <w:r w:rsidR="00DB1100">
              <w:rPr>
                <w:rFonts w:ascii="Arial Narrow" w:hAnsi="Arial Narrow"/>
                <w:sz w:val="18"/>
                <w:szCs w:val="18"/>
              </w:rPr>
              <w:t xml:space="preserve"> IT zdrojov</w:t>
            </w:r>
            <w:r w:rsidRPr="000D09AE">
              <w:rPr>
                <w:rFonts w:ascii="Arial Narrow" w:hAnsi="Arial Narrow"/>
                <w:sz w:val="18"/>
                <w:szCs w:val="18"/>
              </w:rPr>
              <w:t xml:space="preserve"> </w:t>
            </w:r>
            <w:r w:rsidR="00DB1100">
              <w:rPr>
                <w:rFonts w:ascii="Arial Narrow" w:hAnsi="Arial Narrow"/>
                <w:sz w:val="18"/>
                <w:szCs w:val="18"/>
              </w:rPr>
              <w:t xml:space="preserve">uvedená do pilotnej prevádzky vo februári 2024 </w:t>
            </w:r>
            <w:r w:rsidRPr="000D09AE">
              <w:rPr>
                <w:rFonts w:ascii="Arial Narrow" w:hAnsi="Arial Narrow"/>
                <w:sz w:val="18"/>
                <w:szCs w:val="18"/>
              </w:rPr>
              <w:t>poskyt</w:t>
            </w:r>
            <w:r w:rsidR="00DB1100">
              <w:rPr>
                <w:rFonts w:ascii="Arial Narrow" w:hAnsi="Arial Narrow"/>
                <w:sz w:val="18"/>
                <w:szCs w:val="18"/>
              </w:rPr>
              <w:t>uje</w:t>
            </w:r>
            <w:r w:rsidRPr="000D09AE">
              <w:rPr>
                <w:rFonts w:ascii="Arial Narrow" w:hAnsi="Arial Narrow"/>
                <w:sz w:val="18"/>
                <w:szCs w:val="18"/>
              </w:rPr>
              <w:t xml:space="preserve"> rámec nástrojov a politík pre nový prístup k obstarávaniu IT komodít, odborných znalostí, cloudových služieb a riešení s otvoreným zdrojovým kódom. </w:t>
            </w:r>
            <w:r w:rsidR="00DB1100">
              <w:rPr>
                <w:rFonts w:ascii="Arial Narrow" w:hAnsi="Arial Narrow"/>
                <w:sz w:val="18"/>
                <w:szCs w:val="18"/>
              </w:rPr>
              <w:t xml:space="preserve">Platforma zabezpečuje </w:t>
            </w:r>
            <w:r w:rsidRPr="000D09AE">
              <w:rPr>
                <w:rFonts w:ascii="Arial Narrow" w:hAnsi="Arial Narrow"/>
                <w:sz w:val="18"/>
                <w:szCs w:val="18"/>
              </w:rPr>
              <w:t>centrálne obstará</w:t>
            </w:r>
            <w:r w:rsidR="00DB1100">
              <w:rPr>
                <w:rFonts w:ascii="Arial Narrow" w:hAnsi="Arial Narrow"/>
                <w:sz w:val="18"/>
                <w:szCs w:val="18"/>
              </w:rPr>
              <w:t>vanie služieb</w:t>
            </w:r>
            <w:r w:rsidRPr="000D09AE">
              <w:rPr>
                <w:rFonts w:ascii="Arial Narrow" w:hAnsi="Arial Narrow"/>
                <w:sz w:val="18"/>
                <w:szCs w:val="18"/>
              </w:rPr>
              <w:t xml:space="preserve"> prostredníctvom rámcovej zmluvy, čo umož</w:t>
            </w:r>
            <w:r w:rsidR="00DB1100">
              <w:rPr>
                <w:rFonts w:ascii="Arial Narrow" w:hAnsi="Arial Narrow"/>
                <w:sz w:val="18"/>
                <w:szCs w:val="18"/>
              </w:rPr>
              <w:t>ňuje</w:t>
            </w:r>
            <w:r w:rsidRPr="000D09AE">
              <w:rPr>
                <w:rFonts w:ascii="Arial Narrow" w:hAnsi="Arial Narrow"/>
                <w:sz w:val="18"/>
                <w:szCs w:val="18"/>
              </w:rPr>
              <w:t xml:space="preserve"> používateľom dynamický prístup k zdrojom z centrálnej platformy podľa potreby.</w:t>
            </w:r>
          </w:p>
        </w:tc>
      </w:tr>
      <w:tr w:rsidR="009311E4" w:rsidRPr="000D09AE" w14:paraId="1E701732" w14:textId="77777777" w:rsidTr="00AC4853">
        <w:trPr>
          <w:trHeight w:val="1003"/>
        </w:trPr>
        <w:tc>
          <w:tcPr>
            <w:tcW w:w="1376" w:type="dxa"/>
            <w:vAlign w:val="center"/>
            <w:hideMark/>
          </w:tcPr>
          <w:p w14:paraId="129BC3C9" w14:textId="77777777" w:rsidR="009311E4" w:rsidRPr="000D09AE" w:rsidRDefault="009311E4" w:rsidP="00616580">
            <w:pPr>
              <w:jc w:val="center"/>
              <w:rPr>
                <w:rFonts w:ascii="Arial Narrow" w:hAnsi="Arial Narrow"/>
                <w:b/>
                <w:bCs/>
                <w:sz w:val="16"/>
                <w:szCs w:val="16"/>
              </w:rPr>
            </w:pPr>
            <w:r w:rsidRPr="000D09AE">
              <w:rPr>
                <w:rFonts w:ascii="Arial Narrow" w:hAnsi="Arial Narrow"/>
                <w:b/>
                <w:bCs/>
                <w:sz w:val="16"/>
                <w:szCs w:val="16"/>
              </w:rPr>
              <w:t>Investícia 10</w:t>
            </w:r>
            <w:r w:rsidRPr="000D09AE">
              <w:rPr>
                <w:rFonts w:ascii="Arial Narrow" w:hAnsi="Arial Narrow"/>
                <w:sz w:val="16"/>
                <w:szCs w:val="16"/>
              </w:rPr>
              <w:t xml:space="preserve">: </w:t>
            </w:r>
            <w:r w:rsidRPr="000D09AE">
              <w:rPr>
                <w:rFonts w:ascii="Arial Narrow" w:hAnsi="Arial Narrow"/>
                <w:sz w:val="16"/>
                <w:szCs w:val="16"/>
              </w:rPr>
              <w:br/>
              <w:t xml:space="preserve"> Investície do modernizácie distribučných systémov</w:t>
            </w:r>
          </w:p>
        </w:tc>
        <w:tc>
          <w:tcPr>
            <w:tcW w:w="1029" w:type="dxa"/>
            <w:vAlign w:val="center"/>
            <w:hideMark/>
          </w:tcPr>
          <w:p w14:paraId="7CB2BAF3" w14:textId="2410BF71" w:rsidR="009311E4" w:rsidRPr="000D09AE" w:rsidRDefault="009311E4" w:rsidP="00616580">
            <w:pPr>
              <w:jc w:val="center"/>
              <w:rPr>
                <w:rFonts w:ascii="Arial Narrow" w:hAnsi="Arial Narrow"/>
                <w:sz w:val="16"/>
                <w:szCs w:val="16"/>
              </w:rPr>
            </w:pPr>
            <w:r>
              <w:rPr>
                <w:rFonts w:ascii="Arial Narrow" w:hAnsi="Arial Narrow"/>
                <w:sz w:val="16"/>
                <w:szCs w:val="16"/>
              </w:rPr>
              <w:t>POO</w:t>
            </w:r>
            <w:r w:rsidR="00AC4853">
              <w:rPr>
                <w:rFonts w:ascii="Arial Narrow" w:hAnsi="Arial Narrow"/>
                <w:sz w:val="16"/>
                <w:szCs w:val="16"/>
              </w:rPr>
              <w:br/>
            </w:r>
            <w:r w:rsidR="00AC4853" w:rsidRPr="00BD1D3D">
              <w:rPr>
                <w:rFonts w:ascii="Arial Narrow" w:hAnsi="Arial Narrow"/>
                <w:sz w:val="12"/>
                <w:szCs w:val="12"/>
              </w:rPr>
              <w:t>SK-C[C19]-I[I1]</w:t>
            </w:r>
          </w:p>
        </w:tc>
        <w:tc>
          <w:tcPr>
            <w:tcW w:w="1276" w:type="dxa"/>
            <w:vAlign w:val="center"/>
            <w:hideMark/>
          </w:tcPr>
          <w:p w14:paraId="6FBB00AC"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2020.CSR3.5</w:t>
            </w:r>
            <w:r w:rsidRPr="000D09AE">
              <w:rPr>
                <w:rFonts w:ascii="Arial Narrow" w:hAnsi="Arial Narrow"/>
                <w:sz w:val="16"/>
                <w:szCs w:val="16"/>
              </w:rPr>
              <w:br/>
              <w:t xml:space="preserve">2022.CSR3.1 </w:t>
            </w:r>
            <w:r w:rsidRPr="000D09AE">
              <w:rPr>
                <w:rFonts w:ascii="Arial Narrow" w:hAnsi="Arial Narrow"/>
                <w:sz w:val="16"/>
                <w:szCs w:val="16"/>
              </w:rPr>
              <w:br/>
              <w:t xml:space="preserve">2022.CSR3.2 </w:t>
            </w:r>
            <w:r w:rsidRPr="000D09AE">
              <w:rPr>
                <w:rFonts w:ascii="Arial Narrow" w:hAnsi="Arial Narrow"/>
                <w:sz w:val="16"/>
                <w:szCs w:val="16"/>
              </w:rPr>
              <w:br/>
              <w:t>2022.CSR3.3</w:t>
            </w:r>
            <w:r w:rsidRPr="000D09AE">
              <w:rPr>
                <w:rFonts w:ascii="Arial Narrow" w:hAnsi="Arial Narrow"/>
                <w:sz w:val="16"/>
                <w:szCs w:val="16"/>
              </w:rPr>
              <w:br/>
              <w:t xml:space="preserve">2023.CSR3.4 </w:t>
            </w:r>
            <w:r w:rsidRPr="000D09AE">
              <w:rPr>
                <w:rFonts w:ascii="Arial Narrow" w:hAnsi="Arial Narrow"/>
                <w:sz w:val="16"/>
                <w:szCs w:val="16"/>
              </w:rPr>
              <w:br/>
              <w:t>2023.CSR3.1</w:t>
            </w:r>
          </w:p>
        </w:tc>
        <w:tc>
          <w:tcPr>
            <w:tcW w:w="1134" w:type="dxa"/>
            <w:vAlign w:val="center"/>
            <w:hideMark/>
          </w:tcPr>
          <w:p w14:paraId="7415C52F"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Zabezpečenie energetickej bezpečnosti</w:t>
            </w:r>
          </w:p>
        </w:tc>
        <w:tc>
          <w:tcPr>
            <w:tcW w:w="4247" w:type="dxa"/>
            <w:hideMark/>
          </w:tcPr>
          <w:p w14:paraId="023AA246" w14:textId="77777777" w:rsidR="009311E4" w:rsidRPr="000D09AE" w:rsidRDefault="009311E4" w:rsidP="00616580">
            <w:pPr>
              <w:jc w:val="both"/>
              <w:rPr>
                <w:rFonts w:ascii="Arial Narrow" w:hAnsi="Arial Narrow"/>
                <w:sz w:val="18"/>
                <w:szCs w:val="18"/>
              </w:rPr>
            </w:pPr>
            <w:r w:rsidRPr="000D09AE">
              <w:rPr>
                <w:rFonts w:ascii="Arial Narrow" w:hAnsi="Arial Narrow"/>
                <w:sz w:val="18"/>
                <w:szCs w:val="18"/>
              </w:rPr>
              <w:t>Z celkového cieľa 521 MW sa dosiahne minimálne 469 MW kumulatívnej dodatočnej kapacity na pripojenie obnoviteľných zdrojov energie (OZE) do distribučných sústav na Slovensku. Tieto projekty prispejú k odstráneniu úzkych miest v sieti a maximalizácii technickej kapacity na integráciu nových OZE.</w:t>
            </w:r>
          </w:p>
        </w:tc>
      </w:tr>
      <w:tr w:rsidR="009311E4" w:rsidRPr="000D09AE" w14:paraId="045BB843" w14:textId="77777777" w:rsidTr="00AC4853">
        <w:trPr>
          <w:trHeight w:val="1701"/>
        </w:trPr>
        <w:tc>
          <w:tcPr>
            <w:tcW w:w="1376" w:type="dxa"/>
            <w:vMerge w:val="restart"/>
            <w:vAlign w:val="center"/>
            <w:hideMark/>
          </w:tcPr>
          <w:p w14:paraId="4D36A2BF" w14:textId="77777777" w:rsidR="009311E4" w:rsidRPr="000D09AE" w:rsidRDefault="009311E4" w:rsidP="00616580">
            <w:pPr>
              <w:jc w:val="center"/>
              <w:rPr>
                <w:rFonts w:ascii="Arial Narrow" w:hAnsi="Arial Narrow"/>
                <w:b/>
                <w:bCs/>
                <w:sz w:val="16"/>
                <w:szCs w:val="16"/>
              </w:rPr>
            </w:pPr>
            <w:r w:rsidRPr="000D09AE">
              <w:rPr>
                <w:rFonts w:ascii="Arial Narrow" w:hAnsi="Arial Narrow"/>
                <w:b/>
                <w:bCs/>
                <w:sz w:val="16"/>
                <w:szCs w:val="16"/>
              </w:rPr>
              <w:t>Investícia 11</w:t>
            </w:r>
            <w:r w:rsidRPr="000D09AE">
              <w:rPr>
                <w:rFonts w:ascii="Arial Narrow" w:hAnsi="Arial Narrow"/>
                <w:sz w:val="16"/>
                <w:szCs w:val="16"/>
              </w:rPr>
              <w:t xml:space="preserve">: </w:t>
            </w:r>
            <w:r w:rsidRPr="000D09AE">
              <w:rPr>
                <w:rFonts w:ascii="Arial Narrow" w:hAnsi="Arial Narrow"/>
                <w:sz w:val="16"/>
                <w:szCs w:val="16"/>
              </w:rPr>
              <w:br/>
              <w:t>Obnova domov pre energeticky chudobné domácnosti</w:t>
            </w:r>
          </w:p>
        </w:tc>
        <w:tc>
          <w:tcPr>
            <w:tcW w:w="1029" w:type="dxa"/>
            <w:vMerge w:val="restart"/>
            <w:vAlign w:val="center"/>
            <w:hideMark/>
          </w:tcPr>
          <w:p w14:paraId="440E521A" w14:textId="34DFC0F3" w:rsidR="009311E4" w:rsidRPr="000D09AE" w:rsidRDefault="009311E4" w:rsidP="00616580">
            <w:pPr>
              <w:jc w:val="center"/>
              <w:rPr>
                <w:rFonts w:ascii="Arial Narrow" w:hAnsi="Arial Narrow"/>
                <w:sz w:val="16"/>
                <w:szCs w:val="16"/>
              </w:rPr>
            </w:pPr>
            <w:r>
              <w:rPr>
                <w:rFonts w:ascii="Arial Narrow" w:hAnsi="Arial Narrow"/>
                <w:sz w:val="16"/>
                <w:szCs w:val="16"/>
              </w:rPr>
              <w:t>POO</w:t>
            </w:r>
            <w:r w:rsidR="00AC4853">
              <w:rPr>
                <w:rFonts w:ascii="Arial Narrow" w:hAnsi="Arial Narrow"/>
                <w:sz w:val="16"/>
                <w:szCs w:val="16"/>
              </w:rPr>
              <w:br/>
            </w:r>
            <w:r w:rsidR="00AC4853" w:rsidRPr="00BD1D3D">
              <w:rPr>
                <w:rFonts w:ascii="Arial Narrow" w:hAnsi="Arial Narrow"/>
                <w:sz w:val="12"/>
                <w:szCs w:val="12"/>
              </w:rPr>
              <w:t>SK-C[C19]-I[I4]</w:t>
            </w:r>
          </w:p>
        </w:tc>
        <w:tc>
          <w:tcPr>
            <w:tcW w:w="1276" w:type="dxa"/>
            <w:vMerge w:val="restart"/>
            <w:vAlign w:val="center"/>
            <w:hideMark/>
          </w:tcPr>
          <w:p w14:paraId="74708BAE"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2019.CSR3.5</w:t>
            </w:r>
            <w:r w:rsidRPr="000D09AE">
              <w:rPr>
                <w:rFonts w:ascii="Arial Narrow" w:hAnsi="Arial Narrow"/>
                <w:sz w:val="16"/>
                <w:szCs w:val="16"/>
              </w:rPr>
              <w:br/>
              <w:t>2020.CSR3.5</w:t>
            </w:r>
            <w:r w:rsidRPr="000D09AE">
              <w:rPr>
                <w:rFonts w:ascii="Arial Narrow" w:hAnsi="Arial Narrow"/>
                <w:sz w:val="16"/>
                <w:szCs w:val="16"/>
              </w:rPr>
              <w:br/>
              <w:t>2022.CSR3.5</w:t>
            </w:r>
            <w:r w:rsidRPr="000D09AE">
              <w:rPr>
                <w:rFonts w:ascii="Arial Narrow" w:hAnsi="Arial Narrow"/>
                <w:sz w:val="16"/>
                <w:szCs w:val="16"/>
              </w:rPr>
              <w:br/>
              <w:t>2022.CSR3.1</w:t>
            </w:r>
            <w:r w:rsidRPr="000D09AE">
              <w:rPr>
                <w:rFonts w:ascii="Arial Narrow" w:hAnsi="Arial Narrow"/>
                <w:sz w:val="16"/>
                <w:szCs w:val="16"/>
              </w:rPr>
              <w:br/>
              <w:t xml:space="preserve">2023.CSR3.6 </w:t>
            </w:r>
            <w:r w:rsidRPr="000D09AE">
              <w:rPr>
                <w:rFonts w:ascii="Arial Narrow" w:hAnsi="Arial Narrow"/>
                <w:sz w:val="16"/>
                <w:szCs w:val="16"/>
              </w:rPr>
              <w:br/>
              <w:t xml:space="preserve">2023.CSR3.1 </w:t>
            </w:r>
            <w:r w:rsidRPr="000D09AE">
              <w:rPr>
                <w:rFonts w:ascii="Arial Narrow" w:hAnsi="Arial Narrow"/>
                <w:sz w:val="16"/>
                <w:szCs w:val="16"/>
              </w:rPr>
              <w:br/>
              <w:t>2023.CSR3.5</w:t>
            </w:r>
          </w:p>
        </w:tc>
        <w:tc>
          <w:tcPr>
            <w:tcW w:w="1134" w:type="dxa"/>
            <w:vMerge w:val="restart"/>
            <w:vAlign w:val="center"/>
            <w:hideMark/>
          </w:tcPr>
          <w:p w14:paraId="1CAB830E" w14:textId="77777777" w:rsidR="009311E4" w:rsidRPr="000D09AE" w:rsidRDefault="009311E4" w:rsidP="00616580">
            <w:pPr>
              <w:jc w:val="center"/>
              <w:rPr>
                <w:rFonts w:ascii="Arial Narrow" w:hAnsi="Arial Narrow"/>
                <w:sz w:val="16"/>
                <w:szCs w:val="16"/>
              </w:rPr>
            </w:pPr>
            <w:r w:rsidRPr="000D09AE">
              <w:rPr>
                <w:rFonts w:ascii="Arial Narrow" w:hAnsi="Arial Narrow"/>
                <w:sz w:val="16"/>
                <w:szCs w:val="16"/>
              </w:rPr>
              <w:t>Posilnenie sociálnej a hospodárskej odolnosti; Spravodlivá zelená transformácia</w:t>
            </w:r>
          </w:p>
        </w:tc>
        <w:tc>
          <w:tcPr>
            <w:tcW w:w="4247" w:type="dxa"/>
            <w:hideMark/>
          </w:tcPr>
          <w:p w14:paraId="7ACF78D7" w14:textId="74DD8E02" w:rsidR="009311E4" w:rsidRPr="000D09AE" w:rsidRDefault="009311E4">
            <w:pPr>
              <w:rPr>
                <w:rFonts w:ascii="Arial Narrow" w:hAnsi="Arial Narrow"/>
                <w:sz w:val="18"/>
                <w:szCs w:val="18"/>
              </w:rPr>
            </w:pPr>
            <w:r w:rsidRPr="000D09AE">
              <w:rPr>
                <w:rFonts w:ascii="Arial Narrow" w:hAnsi="Arial Narrow"/>
                <w:b/>
                <w:bCs/>
                <w:sz w:val="18"/>
                <w:szCs w:val="18"/>
              </w:rPr>
              <w:t>Cieľ 1:</w:t>
            </w:r>
            <w:r w:rsidRPr="000D09AE">
              <w:rPr>
                <w:rFonts w:ascii="Arial Narrow" w:hAnsi="Arial Narrow"/>
                <w:sz w:val="18"/>
                <w:szCs w:val="18"/>
              </w:rPr>
              <w:br/>
              <w:t>Zvýšenie počtu obnovených domov pre ľudí ohrozených energetickou chudobou: Z plánovaných 3 400 domov bude do 3. štvrťroka 2025 obnovených minimálne 3 060. V prípade, že program obnovy zahŕňa aj inštaláciu kotlov na biomasu, tieto musia byť v súlade so zásadou „</w:t>
            </w:r>
            <w:r w:rsidR="00057AE5">
              <w:rPr>
                <w:rFonts w:ascii="Arial Narrow" w:hAnsi="Arial Narrow"/>
                <w:sz w:val="18"/>
                <w:szCs w:val="18"/>
              </w:rPr>
              <w:t>výrazne nenarušiť</w:t>
            </w:r>
            <w:r w:rsidRPr="000D09AE">
              <w:rPr>
                <w:rFonts w:ascii="Arial Narrow" w:hAnsi="Arial Narrow"/>
                <w:sz w:val="18"/>
                <w:szCs w:val="18"/>
              </w:rPr>
              <w:t>“ (DNSH), ako stanovuje technické usmernenie o uplatňovaní zásady DNSH (2021/C58/01).</w:t>
            </w:r>
          </w:p>
        </w:tc>
      </w:tr>
      <w:tr w:rsidR="009311E4" w:rsidRPr="000D09AE" w14:paraId="1ADD2445" w14:textId="77777777" w:rsidTr="00AC4853">
        <w:trPr>
          <w:trHeight w:val="1984"/>
        </w:trPr>
        <w:tc>
          <w:tcPr>
            <w:tcW w:w="1376" w:type="dxa"/>
            <w:vMerge/>
            <w:hideMark/>
          </w:tcPr>
          <w:p w14:paraId="4DB88209" w14:textId="77777777" w:rsidR="009311E4" w:rsidRPr="000D09AE" w:rsidRDefault="009311E4" w:rsidP="00616580">
            <w:pPr>
              <w:jc w:val="both"/>
              <w:rPr>
                <w:rFonts w:ascii="Arial Narrow" w:hAnsi="Arial Narrow"/>
                <w:b/>
                <w:bCs/>
                <w:szCs w:val="20"/>
              </w:rPr>
            </w:pPr>
          </w:p>
        </w:tc>
        <w:tc>
          <w:tcPr>
            <w:tcW w:w="1029" w:type="dxa"/>
            <w:vMerge/>
            <w:hideMark/>
          </w:tcPr>
          <w:p w14:paraId="3A6166BE" w14:textId="77777777" w:rsidR="009311E4" w:rsidRPr="000D09AE" w:rsidRDefault="009311E4" w:rsidP="00616580">
            <w:pPr>
              <w:jc w:val="both"/>
              <w:rPr>
                <w:rFonts w:ascii="Arial Narrow" w:hAnsi="Arial Narrow"/>
                <w:szCs w:val="20"/>
              </w:rPr>
            </w:pPr>
          </w:p>
        </w:tc>
        <w:tc>
          <w:tcPr>
            <w:tcW w:w="1276" w:type="dxa"/>
            <w:vMerge/>
            <w:hideMark/>
          </w:tcPr>
          <w:p w14:paraId="45AF47D6" w14:textId="77777777" w:rsidR="009311E4" w:rsidRPr="000D09AE" w:rsidRDefault="009311E4" w:rsidP="00616580">
            <w:pPr>
              <w:jc w:val="both"/>
              <w:rPr>
                <w:rFonts w:ascii="Arial Narrow" w:hAnsi="Arial Narrow"/>
                <w:szCs w:val="20"/>
              </w:rPr>
            </w:pPr>
          </w:p>
        </w:tc>
        <w:tc>
          <w:tcPr>
            <w:tcW w:w="1134" w:type="dxa"/>
            <w:vMerge/>
            <w:hideMark/>
          </w:tcPr>
          <w:p w14:paraId="7063BB26" w14:textId="77777777" w:rsidR="009311E4" w:rsidRPr="000D09AE" w:rsidRDefault="009311E4" w:rsidP="00616580">
            <w:pPr>
              <w:jc w:val="both"/>
              <w:rPr>
                <w:rFonts w:ascii="Arial Narrow" w:hAnsi="Arial Narrow"/>
                <w:szCs w:val="20"/>
              </w:rPr>
            </w:pPr>
          </w:p>
        </w:tc>
        <w:tc>
          <w:tcPr>
            <w:tcW w:w="4247" w:type="dxa"/>
            <w:hideMark/>
          </w:tcPr>
          <w:p w14:paraId="3D0F9BEA" w14:textId="7711DA7D" w:rsidR="009311E4" w:rsidRPr="000D09AE" w:rsidRDefault="009311E4" w:rsidP="00833013">
            <w:pPr>
              <w:rPr>
                <w:rFonts w:ascii="Arial Narrow" w:hAnsi="Arial Narrow"/>
                <w:sz w:val="18"/>
                <w:szCs w:val="18"/>
              </w:rPr>
            </w:pPr>
            <w:r w:rsidRPr="000D09AE">
              <w:rPr>
                <w:rFonts w:ascii="Arial Narrow" w:hAnsi="Arial Narrow"/>
                <w:b/>
                <w:bCs/>
                <w:sz w:val="18"/>
                <w:szCs w:val="18"/>
              </w:rPr>
              <w:t>Cieľ 2:</w:t>
            </w:r>
            <w:r w:rsidRPr="000D09AE">
              <w:rPr>
                <w:rFonts w:ascii="Arial Narrow" w:hAnsi="Arial Narrow"/>
                <w:sz w:val="18"/>
                <w:szCs w:val="18"/>
              </w:rPr>
              <w:br/>
            </w:r>
            <w:r>
              <w:rPr>
                <w:rFonts w:ascii="Arial Narrow" w:hAnsi="Arial Narrow"/>
                <w:sz w:val="18"/>
                <w:szCs w:val="18"/>
              </w:rPr>
              <w:t>Podpísanie</w:t>
            </w:r>
            <w:r w:rsidRPr="000D09AE">
              <w:rPr>
                <w:rFonts w:ascii="Arial Narrow" w:hAnsi="Arial Narrow"/>
                <w:sz w:val="18"/>
                <w:szCs w:val="18"/>
              </w:rPr>
              <w:t xml:space="preserve"> 1 600 zmlúv s jednotlivcami ohrozenými energetickou chudobou, čo zabezpečí plné financovanie v rámci programu komplexnej obnovy. Sieť existujúcich regionálnych kancelárií Slovenskej agentúry životného prostredia bude posilnená o 35 nových zamestnancov na plný úväzok, ako aj o pomoc externých odborníkov. Očakáva sa, že táto podpora umožní spracovať 20 000 žiadostí a konzultácií.</w:t>
            </w:r>
          </w:p>
        </w:tc>
      </w:tr>
    </w:tbl>
    <w:p w14:paraId="17EC0CBF" w14:textId="77777777" w:rsidR="009311E4" w:rsidRPr="00924635" w:rsidRDefault="009311E4" w:rsidP="00F6360F">
      <w:pPr>
        <w:spacing w:before="240" w:line="276" w:lineRule="auto"/>
        <w:jc w:val="both"/>
        <w:rPr>
          <w:rFonts w:ascii="Arial Narrow" w:hAnsi="Arial Narrow"/>
          <w:b/>
          <w:bCs/>
          <w:color w:val="00B0F0"/>
        </w:rPr>
      </w:pPr>
      <w:r w:rsidRPr="00924635">
        <w:rPr>
          <w:rFonts w:ascii="Arial Narrow" w:hAnsi="Arial Narrow"/>
          <w:b/>
          <w:bCs/>
          <w:color w:val="00B0F0"/>
        </w:rPr>
        <w:t>Investičné úsilie</w:t>
      </w:r>
    </w:p>
    <w:p w14:paraId="55B1AA71" w14:textId="55A5349A" w:rsidR="009311E4" w:rsidRDefault="009311E4" w:rsidP="009311E4">
      <w:pPr>
        <w:spacing w:before="240" w:line="276" w:lineRule="auto"/>
        <w:jc w:val="both"/>
        <w:rPr>
          <w:rFonts w:ascii="Arial Narrow" w:hAnsi="Arial Narrow"/>
        </w:rPr>
      </w:pPr>
      <w:r w:rsidRPr="00EA4403">
        <w:rPr>
          <w:rFonts w:ascii="Arial Narrow" w:hAnsi="Arial Narrow"/>
          <w:b/>
          <w:bCs/>
        </w:rPr>
        <w:t>Na horizonte plánu sa národn</w:t>
      </w:r>
      <w:r w:rsidR="00383797">
        <w:rPr>
          <w:rFonts w:ascii="Arial Narrow" w:hAnsi="Arial Narrow"/>
          <w:b/>
          <w:bCs/>
        </w:rPr>
        <w:t>e</w:t>
      </w:r>
      <w:r w:rsidRPr="00EA4403">
        <w:rPr>
          <w:rFonts w:ascii="Arial Narrow" w:hAnsi="Arial Narrow"/>
          <w:b/>
          <w:bCs/>
        </w:rPr>
        <w:t xml:space="preserve"> financované investície </w:t>
      </w:r>
      <w:r>
        <w:rPr>
          <w:rFonts w:ascii="Arial Narrow" w:hAnsi="Arial Narrow"/>
          <w:b/>
          <w:bCs/>
        </w:rPr>
        <w:t xml:space="preserve">v súlade s požiadavkou nariadenia k reformovaným fiškálnym pravidlám </w:t>
      </w:r>
      <w:r w:rsidRPr="00EA4403">
        <w:rPr>
          <w:rFonts w:ascii="Arial Narrow" w:hAnsi="Arial Narrow"/>
          <w:b/>
          <w:bCs/>
        </w:rPr>
        <w:t>držia na</w:t>
      </w:r>
      <w:r>
        <w:rPr>
          <w:rFonts w:ascii="Arial Narrow" w:hAnsi="Arial Narrow"/>
          <w:b/>
          <w:bCs/>
        </w:rPr>
        <w:t xml:space="preserve"> priemernej</w:t>
      </w:r>
      <w:r w:rsidRPr="00EA4403">
        <w:rPr>
          <w:rFonts w:ascii="Arial Narrow" w:hAnsi="Arial Narrow"/>
          <w:b/>
          <w:bCs/>
        </w:rPr>
        <w:t xml:space="preserve"> úrovni </w:t>
      </w:r>
      <w:r>
        <w:rPr>
          <w:rFonts w:ascii="Arial Narrow" w:hAnsi="Arial Narrow"/>
          <w:b/>
          <w:bCs/>
        </w:rPr>
        <w:t>3,3</w:t>
      </w:r>
      <w:r w:rsidRPr="00EA4403">
        <w:rPr>
          <w:rFonts w:ascii="Arial Narrow" w:hAnsi="Arial Narrow"/>
          <w:b/>
          <w:bCs/>
        </w:rPr>
        <w:t xml:space="preserve"> % HDP</w:t>
      </w:r>
      <w:r w:rsidRPr="00672433">
        <w:rPr>
          <w:rFonts w:ascii="Arial Narrow" w:hAnsi="Arial Narrow"/>
        </w:rPr>
        <w:t>.</w:t>
      </w:r>
      <w:r w:rsidRPr="00EA4403">
        <w:rPr>
          <w:rFonts w:ascii="Arial Narrow" w:hAnsi="Arial Narrow"/>
        </w:rPr>
        <w:t xml:space="preserve"> </w:t>
      </w:r>
      <w:r>
        <w:rPr>
          <w:rFonts w:ascii="Arial Narrow" w:hAnsi="Arial Narrow"/>
        </w:rPr>
        <w:t xml:space="preserve">Napriek potrebe razantnej konsolidácie rozdelenej na 4 ročné obdobie vláda nebude šetriť na národne financovaných investíciách, </w:t>
      </w:r>
      <w:r w:rsidR="00383797">
        <w:rPr>
          <w:rFonts w:ascii="Arial Narrow" w:hAnsi="Arial Narrow"/>
        </w:rPr>
        <w:t>t.</w:t>
      </w:r>
      <w:r w:rsidR="00A61B0F">
        <w:rPr>
          <w:rFonts w:ascii="Arial Narrow" w:hAnsi="Arial Narrow"/>
        </w:rPr>
        <w:t xml:space="preserve"> </w:t>
      </w:r>
      <w:r w:rsidR="00383797">
        <w:rPr>
          <w:rFonts w:ascii="Arial Narrow" w:hAnsi="Arial Narrow"/>
        </w:rPr>
        <w:t>j</w:t>
      </w:r>
      <w:r>
        <w:rPr>
          <w:rFonts w:ascii="Arial Narrow" w:hAnsi="Arial Narrow"/>
        </w:rPr>
        <w:t>. kapitálových výdavkoch štátu. Priemerná očakávaná výška národne financovaných investícií do roku 2027 je na úrovni 3,3 % HDP. Obzvlášť vysoký podiel národne financovaných investícií je v roku 2025 kvôli dodávkam obrannej techniky. Plánovaný objem investícií z národných zdrojov je tak dokonca vyšší ako za posledné roky.</w:t>
      </w:r>
    </w:p>
    <w:p w14:paraId="0CD2D1F5" w14:textId="6A9906F4" w:rsidR="009311E4" w:rsidRPr="005A75F6" w:rsidRDefault="009311E4" w:rsidP="009311E4">
      <w:pPr>
        <w:spacing w:line="276" w:lineRule="auto"/>
        <w:jc w:val="both"/>
        <w:rPr>
          <w:rFonts w:ascii="Arial Narrow" w:hAnsi="Arial Narrow" w:cs="Arial Narrow"/>
          <w:b/>
          <w:bCs/>
          <w:color w:val="2C9ADC"/>
          <w:sz w:val="20"/>
          <w:szCs w:val="20"/>
        </w:rPr>
      </w:pPr>
      <w:bookmarkStart w:id="38" w:name="_Toc179103383"/>
      <w:bookmarkStart w:id="39" w:name="_Toc179814677"/>
      <w:r w:rsidRPr="005A75F6">
        <w:rPr>
          <w:rFonts w:ascii="Arial Narrow" w:hAnsi="Arial Narrow" w:cs="Arial Narrow"/>
          <w:b/>
          <w:bCs/>
          <w:color w:val="2C9ADC"/>
          <w:sz w:val="20"/>
          <w:szCs w:val="20"/>
        </w:rPr>
        <w:t xml:space="preserve">GRAF </w:t>
      </w:r>
      <w:r w:rsidRPr="005A75F6">
        <w:rPr>
          <w:rFonts w:ascii="Arial Narrow" w:hAnsi="Arial Narrow"/>
          <w:b/>
          <w:color w:val="2C9ADC"/>
          <w:sz w:val="20"/>
          <w:szCs w:val="20"/>
        </w:rPr>
        <w:fldChar w:fldCharType="begin"/>
      </w:r>
      <w:r w:rsidRPr="005A75F6">
        <w:rPr>
          <w:rFonts w:ascii="Arial Narrow" w:hAnsi="Arial Narrow"/>
          <w:b/>
          <w:color w:val="2C9ADC"/>
          <w:sz w:val="20"/>
          <w:szCs w:val="20"/>
        </w:rPr>
        <w:instrText xml:space="preserve"> SEQ GRAF \* ARABIC </w:instrText>
      </w:r>
      <w:r w:rsidRPr="005A75F6">
        <w:rPr>
          <w:rFonts w:ascii="Arial Narrow" w:hAnsi="Arial Narrow"/>
          <w:b/>
          <w:color w:val="2C9ADC"/>
          <w:sz w:val="20"/>
          <w:szCs w:val="20"/>
        </w:rPr>
        <w:fldChar w:fldCharType="separate"/>
      </w:r>
      <w:r w:rsidR="007A664D">
        <w:rPr>
          <w:rFonts w:ascii="Arial Narrow" w:hAnsi="Arial Narrow"/>
          <w:b/>
          <w:noProof/>
          <w:color w:val="2C9ADC"/>
          <w:sz w:val="20"/>
          <w:szCs w:val="20"/>
        </w:rPr>
        <w:t>18</w:t>
      </w:r>
      <w:r w:rsidRPr="005A75F6">
        <w:rPr>
          <w:rFonts w:ascii="Arial Narrow" w:hAnsi="Arial Narrow"/>
          <w:b/>
          <w:color w:val="2C9ADC"/>
          <w:sz w:val="20"/>
          <w:szCs w:val="20"/>
        </w:rPr>
        <w:fldChar w:fldCharType="end"/>
      </w:r>
      <w:r w:rsidRPr="005A75F6">
        <w:rPr>
          <w:rFonts w:ascii="Arial Narrow" w:hAnsi="Arial Narrow" w:cs="Arial Narrow"/>
          <w:b/>
          <w:bCs/>
          <w:color w:val="2C9ADC"/>
          <w:sz w:val="20"/>
          <w:szCs w:val="20"/>
        </w:rPr>
        <w:t xml:space="preserve"> – Vývoj národne financovaných investícií (% HDP)</w:t>
      </w:r>
      <w:bookmarkEnd w:id="38"/>
      <w:bookmarkEnd w:id="39"/>
    </w:p>
    <w:p w14:paraId="0ECD595B" w14:textId="77777777" w:rsidR="009311E4" w:rsidRDefault="009311E4" w:rsidP="00F6360F">
      <w:pPr>
        <w:spacing w:after="0" w:line="276" w:lineRule="auto"/>
        <w:jc w:val="center"/>
        <w:rPr>
          <w:rFonts w:ascii="Arial Narrow" w:hAnsi="Arial Narrow"/>
          <w:i/>
          <w:sz w:val="16"/>
          <w:szCs w:val="16"/>
        </w:rPr>
      </w:pPr>
      <w:r>
        <w:rPr>
          <w:noProof/>
          <w:lang w:eastAsia="sk-SK"/>
        </w:rPr>
        <w:drawing>
          <wp:inline distT="0" distB="0" distL="0" distR="0" wp14:anchorId="3D5CDE39" wp14:editId="46226672">
            <wp:extent cx="5588635" cy="2041973"/>
            <wp:effectExtent l="0" t="0" r="0" b="0"/>
            <wp:docPr id="18" name="Chart 18">
              <a:extLst xmlns:a="http://schemas.openxmlformats.org/drawingml/2006/main">
                <a:ext uri="{FF2B5EF4-FFF2-40B4-BE49-F238E27FC236}">
                  <a16:creationId xmlns:a16="http://schemas.microsoft.com/office/drawing/2014/main" id="{D97B5D9C-E6E9-4B36-A39B-50CF61C453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0A070C2" w14:textId="7A65E2D8" w:rsidR="00B90A37" w:rsidRPr="00F6360F" w:rsidRDefault="009311E4" w:rsidP="00F6360F">
      <w:pPr>
        <w:spacing w:line="276" w:lineRule="auto"/>
        <w:jc w:val="right"/>
        <w:rPr>
          <w:rFonts w:ascii="Arial Narrow" w:hAnsi="Arial Narrow" w:cs="Arial Narrow"/>
          <w:b/>
          <w:bCs/>
          <w:color w:val="2C9ADC"/>
          <w:sz w:val="20"/>
          <w:szCs w:val="20"/>
        </w:rPr>
      </w:pPr>
      <w:r w:rsidRPr="005516F4">
        <w:rPr>
          <w:rFonts w:ascii="Arial Narrow" w:hAnsi="Arial Narrow"/>
          <w:i/>
          <w:sz w:val="16"/>
          <w:szCs w:val="16"/>
        </w:rPr>
        <w:t>Zdroj:  MF S</w:t>
      </w:r>
      <w:r w:rsidR="00F6360F">
        <w:rPr>
          <w:rFonts w:ascii="Arial Narrow" w:hAnsi="Arial Narrow"/>
          <w:i/>
          <w:sz w:val="16"/>
          <w:szCs w:val="16"/>
        </w:rPr>
        <w:t>R</w:t>
      </w:r>
    </w:p>
    <w:p w14:paraId="546C61C4" w14:textId="0875F4CD" w:rsidR="00491C62" w:rsidRDefault="00491C62">
      <w:pPr>
        <w:rPr>
          <w:rFonts w:ascii="Arial Narrow" w:eastAsia="Times New Roman" w:hAnsi="Arial Narrow" w:cs="Arial Narrow"/>
          <w:b/>
          <w:bCs/>
          <w:color w:val="2C9ADC"/>
          <w:sz w:val="28"/>
          <w:szCs w:val="28"/>
          <w:lang w:eastAsia="sk-SK"/>
        </w:rPr>
      </w:pPr>
      <w:r>
        <w:rPr>
          <w:rFonts w:cs="Arial Narrow"/>
          <w:color w:val="2C9ADC"/>
          <w:szCs w:val="28"/>
        </w:rPr>
        <w:lastRenderedPageBreak/>
        <w:br w:type="page"/>
      </w:r>
    </w:p>
    <w:p w14:paraId="6C4ECE31" w14:textId="74F0C96D" w:rsidR="00C1228B" w:rsidRDefault="00C1228B" w:rsidP="00C1228B">
      <w:pPr>
        <w:pStyle w:val="Nadpis1"/>
        <w:tabs>
          <w:tab w:val="num" w:pos="360"/>
        </w:tabs>
        <w:spacing w:after="0"/>
        <w:rPr>
          <w:rFonts w:cs="Arial Narrow"/>
          <w:color w:val="2C9ADC"/>
          <w:szCs w:val="28"/>
        </w:rPr>
      </w:pPr>
      <w:bookmarkStart w:id="40" w:name="_Toc179814987"/>
      <w:r>
        <w:rPr>
          <w:rFonts w:cs="Arial Narrow"/>
          <w:color w:val="2C9ADC"/>
          <w:szCs w:val="28"/>
        </w:rPr>
        <w:lastRenderedPageBreak/>
        <w:t>Prílohy</w:t>
      </w:r>
      <w:bookmarkEnd w:id="40"/>
    </w:p>
    <w:p w14:paraId="5D82B00C" w14:textId="77777777" w:rsidR="00C1228B" w:rsidRDefault="00C1228B" w:rsidP="00453D50">
      <w:pPr>
        <w:spacing w:line="276" w:lineRule="auto"/>
        <w:jc w:val="both"/>
        <w:rPr>
          <w:rFonts w:ascii="Arial Narrow" w:hAnsi="Arial Narrow"/>
          <w:b/>
          <w:bCs/>
          <w:color w:val="00B0F0"/>
          <w:sz w:val="24"/>
          <w:szCs w:val="24"/>
        </w:rPr>
      </w:pPr>
    </w:p>
    <w:p w14:paraId="0D9A2C9F" w14:textId="26491A4D" w:rsidR="00A55A0D" w:rsidRPr="00AE00A8" w:rsidRDefault="00A55A0D" w:rsidP="00453D50">
      <w:pPr>
        <w:spacing w:line="276" w:lineRule="auto"/>
        <w:jc w:val="both"/>
        <w:rPr>
          <w:rFonts w:ascii="Arial Narrow" w:hAnsi="Arial Narrow"/>
          <w:b/>
          <w:bCs/>
          <w:color w:val="2C9ADC"/>
          <w:sz w:val="24"/>
          <w:szCs w:val="24"/>
        </w:rPr>
      </w:pPr>
      <w:r w:rsidRPr="00AE00A8">
        <w:rPr>
          <w:rFonts w:ascii="Arial Narrow" w:hAnsi="Arial Narrow"/>
          <w:b/>
          <w:bCs/>
          <w:color w:val="2C9ADC"/>
          <w:sz w:val="24"/>
          <w:szCs w:val="24"/>
        </w:rPr>
        <w:t>Príloha 1 – Makroekonomické predpoklady</w:t>
      </w:r>
    </w:p>
    <w:p w14:paraId="34120E78" w14:textId="33C49B49" w:rsidR="00453D50" w:rsidRPr="00410F45" w:rsidRDefault="00453D50" w:rsidP="00453D50">
      <w:pPr>
        <w:pBdr>
          <w:top w:val="nil"/>
          <w:left w:val="nil"/>
          <w:bottom w:val="nil"/>
          <w:right w:val="nil"/>
          <w:between w:val="nil"/>
          <w:bar w:val="nil"/>
        </w:pBdr>
        <w:spacing w:after="200" w:line="276" w:lineRule="auto"/>
        <w:jc w:val="both"/>
        <w:rPr>
          <w:rFonts w:ascii="Arial Narrow" w:eastAsia="Calibri" w:hAnsi="Arial Narrow" w:cs="Calibri"/>
          <w:color w:val="000000"/>
          <w:u w:color="000000"/>
          <w:bdr w:val="nil"/>
        </w:rPr>
      </w:pPr>
      <w:r w:rsidRPr="00410F45">
        <w:rPr>
          <w:rFonts w:ascii="Arial Narrow" w:eastAsia="Calibri" w:hAnsi="Arial Narrow" w:cs="Calibri"/>
          <w:b/>
          <w:bCs/>
          <w:color w:val="000000"/>
          <w:u w:color="000000"/>
          <w:bdr w:val="nil"/>
        </w:rPr>
        <w:t>Makroekonomické predpoklady prognózy SR na roky 2024 až 2028 vychádzajú z</w:t>
      </w:r>
      <w:r w:rsidR="0031040E">
        <w:rPr>
          <w:rFonts w:ascii="Arial Narrow" w:eastAsia="Calibri" w:hAnsi="Arial Narrow" w:cs="Calibri"/>
          <w:b/>
          <w:bCs/>
          <w:color w:val="000000"/>
          <w:u w:color="000000"/>
          <w:bdr w:val="nil"/>
        </w:rPr>
        <w:t xml:space="preserve"> aktuálnej projekcie Výboru pre makroekonomické prognózy. </w:t>
      </w:r>
      <w:r w:rsidRPr="00410F45">
        <w:rPr>
          <w:rFonts w:ascii="Arial Narrow" w:eastAsia="Calibri" w:hAnsi="Arial Narrow" w:cs="Calibri"/>
          <w:color w:val="000000"/>
          <w:u w:color="000000"/>
          <w:bdr w:val="nil"/>
        </w:rPr>
        <w:t xml:space="preserve">Od roku 2029 aplikujeme na </w:t>
      </w:r>
      <w:r w:rsidR="0031040E">
        <w:rPr>
          <w:rFonts w:ascii="Arial Narrow" w:eastAsia="Calibri" w:hAnsi="Arial Narrow" w:cs="Calibri"/>
          <w:color w:val="000000"/>
          <w:u w:color="000000"/>
          <w:bdr w:val="nil"/>
        </w:rPr>
        <w:t>odhad vývoja</w:t>
      </w:r>
      <w:r w:rsidR="0031040E" w:rsidRPr="00410F45">
        <w:rPr>
          <w:rFonts w:ascii="Arial Narrow" w:eastAsia="Calibri" w:hAnsi="Arial Narrow" w:cs="Calibri"/>
          <w:color w:val="000000"/>
          <w:u w:color="000000"/>
          <w:bdr w:val="nil"/>
        </w:rPr>
        <w:t xml:space="preserve"> </w:t>
      </w:r>
      <w:r w:rsidRPr="00410F45">
        <w:rPr>
          <w:rFonts w:ascii="Arial Narrow" w:eastAsia="Calibri" w:hAnsi="Arial Narrow" w:cs="Calibri"/>
          <w:color w:val="000000"/>
          <w:u w:color="000000"/>
          <w:bdr w:val="nil"/>
        </w:rPr>
        <w:t>HDP a inflácie miery rastu na základe makroekonomických predpokladov správy Ageing Report 2024 (AR 2024). Európska komisia</w:t>
      </w:r>
      <w:r>
        <w:rPr>
          <w:rFonts w:ascii="Arial Narrow" w:eastAsia="Calibri" w:hAnsi="Arial Narrow" w:cs="Calibri"/>
          <w:color w:val="000000"/>
          <w:u w:color="000000"/>
          <w:bdr w:val="nil"/>
        </w:rPr>
        <w:t xml:space="preserve"> pri stanovovaní nových fiškálnych pravidiel</w:t>
      </w:r>
      <w:r w:rsidRPr="00410F45">
        <w:rPr>
          <w:rFonts w:ascii="Arial Narrow" w:eastAsia="Calibri" w:hAnsi="Arial Narrow" w:cs="Calibri"/>
          <w:color w:val="000000"/>
          <w:u w:color="000000"/>
          <w:bdr w:val="nil"/>
        </w:rPr>
        <w:t xml:space="preserve"> využíva rozdielne metodológie na prognózu dynamiky slovenskej ekonomiky pre roky t+2 (do 2025) a t+</w:t>
      </w:r>
      <w:r>
        <w:rPr>
          <w:rFonts w:ascii="Arial Narrow" w:eastAsia="Calibri" w:hAnsi="Arial Narrow" w:cs="Calibri"/>
          <w:color w:val="000000"/>
          <w:u w:color="000000"/>
          <w:bdr w:val="nil"/>
        </w:rPr>
        <w:t>10</w:t>
      </w:r>
      <w:r w:rsidRPr="00410F45">
        <w:rPr>
          <w:rFonts w:ascii="Arial Narrow" w:eastAsia="Calibri" w:hAnsi="Arial Narrow" w:cs="Calibri"/>
          <w:color w:val="000000"/>
          <w:u w:color="000000"/>
          <w:bdr w:val="nil"/>
        </w:rPr>
        <w:t xml:space="preserve"> (do 20</w:t>
      </w:r>
      <w:r>
        <w:rPr>
          <w:rFonts w:ascii="Arial Narrow" w:eastAsia="Calibri" w:hAnsi="Arial Narrow" w:cs="Calibri"/>
          <w:color w:val="000000"/>
          <w:u w:color="000000"/>
          <w:bdr w:val="nil"/>
        </w:rPr>
        <w:t>33</w:t>
      </w:r>
      <w:r w:rsidRPr="00410F45">
        <w:rPr>
          <w:rFonts w:ascii="Arial Narrow" w:eastAsia="Calibri" w:hAnsi="Arial Narrow" w:cs="Calibri"/>
          <w:color w:val="000000"/>
          <w:u w:color="000000"/>
          <w:bdr w:val="nil"/>
        </w:rPr>
        <w:t>)</w:t>
      </w:r>
      <w:r>
        <w:rPr>
          <w:rFonts w:ascii="Arial Narrow" w:eastAsia="Calibri" w:hAnsi="Arial Narrow" w:cs="Calibri"/>
          <w:color w:val="000000"/>
          <w:u w:color="000000"/>
          <w:bdr w:val="nil"/>
        </w:rPr>
        <w:t>, následne sa napája na miery rastu AR 2024.</w:t>
      </w:r>
    </w:p>
    <w:p w14:paraId="33C1F327" w14:textId="18860488" w:rsidR="00453D50" w:rsidRPr="00410F45" w:rsidRDefault="00453D50" w:rsidP="00453D50">
      <w:pPr>
        <w:pBdr>
          <w:top w:val="nil"/>
          <w:left w:val="nil"/>
          <w:bottom w:val="nil"/>
          <w:right w:val="nil"/>
          <w:between w:val="nil"/>
          <w:bar w:val="nil"/>
        </w:pBdr>
        <w:spacing w:after="200" w:line="276" w:lineRule="auto"/>
        <w:jc w:val="both"/>
        <w:rPr>
          <w:rFonts w:ascii="Arial Narrow" w:eastAsia="Calibri" w:hAnsi="Arial Narrow" w:cs="Calibri"/>
          <w:color w:val="000000"/>
          <w:u w:color="000000"/>
          <w:bdr w:val="nil"/>
        </w:rPr>
      </w:pPr>
      <w:r w:rsidRPr="00410F45">
        <w:rPr>
          <w:rFonts w:ascii="Arial Narrow" w:eastAsia="Calibri" w:hAnsi="Arial Narrow" w:cs="Calibri"/>
          <w:b/>
          <w:bCs/>
          <w:color w:val="000000"/>
          <w:u w:color="000000"/>
          <w:bdr w:val="nil"/>
        </w:rPr>
        <w:t>Priemerný rast potenciálneho produktu od roku 2026 do roku 2028 je v prognóze MF SR vyšší v porovnaní s dynamikou predpokladanou EK</w:t>
      </w:r>
      <w:r>
        <w:rPr>
          <w:rFonts w:ascii="Arial Narrow" w:eastAsia="Calibri" w:hAnsi="Arial Narrow" w:cs="Calibri"/>
          <w:b/>
          <w:bCs/>
          <w:color w:val="000000"/>
          <w:u w:color="000000"/>
          <w:bdr w:val="nil"/>
        </w:rPr>
        <w:t xml:space="preserve"> o</w:t>
      </w:r>
      <w:r w:rsidRPr="00410F45">
        <w:rPr>
          <w:rFonts w:ascii="Arial Narrow" w:eastAsia="Calibri" w:hAnsi="Arial Narrow" w:cs="Calibri"/>
          <w:b/>
          <w:bCs/>
          <w:color w:val="000000"/>
          <w:u w:color="000000"/>
          <w:bdr w:val="nil"/>
        </w:rPr>
        <w:t xml:space="preserve"> 0,5 p.</w:t>
      </w:r>
      <w:r>
        <w:rPr>
          <w:rFonts w:ascii="Arial Narrow" w:eastAsia="Calibri" w:hAnsi="Arial Narrow" w:cs="Calibri"/>
          <w:b/>
          <w:bCs/>
          <w:color w:val="000000"/>
          <w:u w:color="000000"/>
          <w:bdr w:val="nil"/>
        </w:rPr>
        <w:t xml:space="preserve"> </w:t>
      </w:r>
      <w:r w:rsidRPr="00410F45">
        <w:rPr>
          <w:rFonts w:ascii="Arial Narrow" w:eastAsia="Calibri" w:hAnsi="Arial Narrow" w:cs="Calibri"/>
          <w:b/>
          <w:bCs/>
          <w:color w:val="000000"/>
          <w:u w:color="000000"/>
          <w:bdr w:val="nil"/>
        </w:rPr>
        <w:t>b.</w:t>
      </w:r>
      <w:r>
        <w:rPr>
          <w:rFonts w:ascii="Arial Narrow" w:eastAsia="Calibri" w:hAnsi="Arial Narrow" w:cs="Calibri"/>
          <w:b/>
          <w:bCs/>
          <w:color w:val="000000"/>
          <w:u w:color="000000"/>
          <w:bdr w:val="nil"/>
        </w:rPr>
        <w:t>.</w:t>
      </w:r>
      <w:r w:rsidRPr="00410F45">
        <w:rPr>
          <w:rFonts w:ascii="Arial Narrow" w:eastAsia="Calibri" w:hAnsi="Arial Narrow" w:cs="Calibri"/>
          <w:color w:val="000000"/>
          <w:u w:color="000000"/>
          <w:bdr w:val="nil"/>
        </w:rPr>
        <w:t xml:space="preserve"> Základným rozdielom </w:t>
      </w:r>
      <w:r>
        <w:rPr>
          <w:rFonts w:ascii="Arial Narrow" w:eastAsia="Calibri" w:hAnsi="Arial Narrow" w:cs="Calibri"/>
          <w:color w:val="000000"/>
          <w:u w:color="000000"/>
          <w:bdr w:val="nil"/>
        </w:rPr>
        <w:t xml:space="preserve">v projekciách </w:t>
      </w:r>
      <w:r w:rsidRPr="00410F45">
        <w:rPr>
          <w:rFonts w:ascii="Arial Narrow" w:eastAsia="Calibri" w:hAnsi="Arial Narrow" w:cs="Calibri"/>
          <w:color w:val="000000"/>
          <w:u w:color="000000"/>
          <w:bdr w:val="nil"/>
        </w:rPr>
        <w:t>je, že</w:t>
      </w:r>
      <w:r>
        <w:rPr>
          <w:rFonts w:ascii="Arial Narrow" w:eastAsia="Calibri" w:hAnsi="Arial Narrow" w:cs="Calibri"/>
          <w:color w:val="000000"/>
          <w:u w:color="000000"/>
          <w:bdr w:val="nil"/>
        </w:rPr>
        <w:t xml:space="preserve"> MF SR</w:t>
      </w:r>
      <w:r w:rsidRPr="00410F45">
        <w:rPr>
          <w:rFonts w:ascii="Arial Narrow" w:eastAsia="Calibri" w:hAnsi="Arial Narrow" w:cs="Calibri"/>
          <w:color w:val="000000"/>
          <w:u w:color="000000"/>
          <w:bdr w:val="nil"/>
        </w:rPr>
        <w:t xml:space="preserve"> neočakáva od roku 2025 </w:t>
      </w:r>
      <w:r w:rsidR="0031040E">
        <w:rPr>
          <w:rFonts w:ascii="Arial Narrow" w:eastAsia="Calibri" w:hAnsi="Arial Narrow" w:cs="Calibri"/>
          <w:color w:val="000000"/>
          <w:u w:color="000000"/>
          <w:bdr w:val="nil"/>
        </w:rPr>
        <w:t xml:space="preserve">ďalej </w:t>
      </w:r>
      <w:r w:rsidRPr="00410F45">
        <w:rPr>
          <w:rFonts w:ascii="Arial Narrow" w:eastAsia="Calibri" w:hAnsi="Arial Narrow" w:cs="Calibri"/>
          <w:color w:val="000000"/>
          <w:u w:color="000000"/>
          <w:bdr w:val="nil"/>
        </w:rPr>
        <w:t xml:space="preserve">prudký pokles participácie ako je to v prípade predpokladov EK. </w:t>
      </w:r>
      <w:r>
        <w:rPr>
          <w:rFonts w:ascii="Arial Narrow" w:eastAsia="Calibri" w:hAnsi="Arial Narrow" w:cs="Calibri"/>
          <w:color w:val="000000"/>
          <w:u w:color="000000"/>
          <w:bdr w:val="nil"/>
        </w:rPr>
        <w:t>MF SR o</w:t>
      </w:r>
      <w:r w:rsidRPr="00410F45">
        <w:rPr>
          <w:rFonts w:ascii="Arial Narrow" w:eastAsia="Calibri" w:hAnsi="Arial Narrow" w:cs="Calibri"/>
          <w:color w:val="000000"/>
          <w:u w:color="000000"/>
          <w:bdr w:val="nil"/>
        </w:rPr>
        <w:t>čakáva, že v strednodobom horizonte bude pokračovať aktuálne pozorovaný trend rastu participácie z rad</w:t>
      </w:r>
      <w:r>
        <w:rPr>
          <w:rFonts w:ascii="Arial Narrow" w:eastAsia="Calibri" w:hAnsi="Arial Narrow" w:cs="Calibri"/>
          <w:color w:val="000000"/>
          <w:u w:color="000000"/>
          <w:bdr w:val="nil"/>
        </w:rPr>
        <w:t>ov</w:t>
      </w:r>
      <w:r w:rsidRPr="00410F45">
        <w:rPr>
          <w:rFonts w:ascii="Arial Narrow" w:eastAsia="Calibri" w:hAnsi="Arial Narrow" w:cs="Calibri"/>
          <w:color w:val="000000"/>
          <w:u w:color="000000"/>
          <w:bdr w:val="nil"/>
        </w:rPr>
        <w:t xml:space="preserve"> neaktívneho obyvateľstva</w:t>
      </w:r>
      <w:r>
        <w:rPr>
          <w:rFonts w:ascii="Arial Narrow" w:eastAsia="Calibri" w:hAnsi="Arial Narrow" w:cs="Calibri"/>
          <w:color w:val="000000"/>
          <w:u w:color="000000"/>
          <w:bdr w:val="nil"/>
        </w:rPr>
        <w:t>, zároveň</w:t>
      </w:r>
      <w:r w:rsidRPr="00410F45">
        <w:rPr>
          <w:rFonts w:ascii="Arial Narrow" w:eastAsia="Calibri" w:hAnsi="Arial Narrow" w:cs="Calibri"/>
          <w:color w:val="000000"/>
          <w:u w:color="000000"/>
          <w:bdr w:val="nil"/>
        </w:rPr>
        <w:t xml:space="preserve"> </w:t>
      </w:r>
      <w:r>
        <w:rPr>
          <w:rFonts w:ascii="Arial Narrow" w:eastAsia="Calibri" w:hAnsi="Arial Narrow" w:cs="Calibri"/>
          <w:color w:val="000000"/>
          <w:u w:color="000000"/>
          <w:bdr w:val="nil"/>
        </w:rPr>
        <w:t>i</w:t>
      </w:r>
      <w:r w:rsidRPr="00410F45">
        <w:rPr>
          <w:rFonts w:ascii="Arial Narrow" w:eastAsia="Calibri" w:hAnsi="Arial Narrow" w:cs="Calibri"/>
          <w:color w:val="000000"/>
          <w:u w:color="000000"/>
          <w:bdr w:val="nil"/>
        </w:rPr>
        <w:t xml:space="preserve"> s prílevom cudzincov</w:t>
      </w:r>
      <w:r>
        <w:rPr>
          <w:rFonts w:ascii="Arial Narrow" w:eastAsia="Calibri" w:hAnsi="Arial Narrow" w:cs="Calibri"/>
          <w:color w:val="000000"/>
          <w:u w:color="000000"/>
          <w:bdr w:val="nil"/>
        </w:rPr>
        <w:t>.</w:t>
      </w:r>
      <w:r w:rsidRPr="00410F45">
        <w:rPr>
          <w:rFonts w:ascii="Arial Narrow" w:eastAsia="Calibri" w:hAnsi="Arial Narrow" w:cs="Calibri"/>
          <w:color w:val="000000"/>
          <w:u w:color="000000"/>
          <w:bdr w:val="nil"/>
        </w:rPr>
        <w:t xml:space="preserve"> Mierny nárast potenciálu</w:t>
      </w:r>
      <w:r>
        <w:rPr>
          <w:rFonts w:ascii="Arial Narrow" w:eastAsia="Calibri" w:hAnsi="Arial Narrow" w:cs="Calibri"/>
          <w:color w:val="000000"/>
          <w:u w:color="000000"/>
          <w:bdr w:val="nil"/>
        </w:rPr>
        <w:t xml:space="preserve"> v prognóze MF SR</w:t>
      </w:r>
      <w:r w:rsidRPr="00410F45">
        <w:rPr>
          <w:rFonts w:ascii="Arial Narrow" w:eastAsia="Calibri" w:hAnsi="Arial Narrow" w:cs="Calibri"/>
          <w:color w:val="000000"/>
          <w:u w:color="000000"/>
          <w:bdr w:val="nil"/>
        </w:rPr>
        <w:t xml:space="preserve"> v najbližšom </w:t>
      </w:r>
      <w:r>
        <w:rPr>
          <w:rFonts w:ascii="Arial Narrow" w:eastAsia="Calibri" w:hAnsi="Arial Narrow" w:cs="Calibri"/>
          <w:color w:val="000000"/>
          <w:u w:color="000000"/>
          <w:bdr w:val="nil"/>
        </w:rPr>
        <w:t xml:space="preserve">období </w:t>
      </w:r>
      <w:r w:rsidRPr="00410F45">
        <w:rPr>
          <w:rFonts w:ascii="Arial Narrow" w:eastAsia="Calibri" w:hAnsi="Arial Narrow" w:cs="Calibri"/>
          <w:color w:val="000000"/>
          <w:u w:color="000000"/>
          <w:bdr w:val="nil"/>
        </w:rPr>
        <w:t xml:space="preserve">zohľadňuje reformy </w:t>
      </w:r>
      <w:r w:rsidR="0031040E">
        <w:rPr>
          <w:rFonts w:ascii="Arial Narrow" w:eastAsia="Calibri" w:hAnsi="Arial Narrow" w:cs="Calibri"/>
          <w:color w:val="000000"/>
          <w:u w:color="000000"/>
          <w:bdr w:val="nil"/>
        </w:rPr>
        <w:t>POO</w:t>
      </w:r>
      <w:r w:rsidRPr="00410F45">
        <w:rPr>
          <w:rFonts w:ascii="Arial Narrow" w:eastAsia="Calibri" w:hAnsi="Arial Narrow" w:cs="Calibri"/>
          <w:color w:val="000000"/>
          <w:u w:color="000000"/>
          <w:bdr w:val="nil"/>
        </w:rPr>
        <w:t xml:space="preserve"> a príchod novej automobilky, </w:t>
      </w:r>
      <w:r>
        <w:rPr>
          <w:rFonts w:ascii="Arial Narrow" w:eastAsia="Calibri" w:hAnsi="Arial Narrow" w:cs="Calibri"/>
          <w:color w:val="000000"/>
          <w:u w:color="000000"/>
          <w:bdr w:val="nil"/>
        </w:rPr>
        <w:t xml:space="preserve">ktoré </w:t>
      </w:r>
      <w:r w:rsidRPr="00410F45">
        <w:rPr>
          <w:rFonts w:ascii="Arial Narrow" w:eastAsia="Calibri" w:hAnsi="Arial Narrow" w:cs="Calibri"/>
          <w:color w:val="000000"/>
          <w:u w:color="000000"/>
          <w:bdr w:val="nil"/>
        </w:rPr>
        <w:t xml:space="preserve">sa </w:t>
      </w:r>
      <w:r>
        <w:rPr>
          <w:rFonts w:ascii="Arial Narrow" w:eastAsia="Calibri" w:hAnsi="Arial Narrow" w:cs="Calibri"/>
          <w:color w:val="000000"/>
          <w:u w:color="000000"/>
          <w:bdr w:val="nil"/>
        </w:rPr>
        <w:t xml:space="preserve">prejavujú </w:t>
      </w:r>
      <w:r w:rsidRPr="00410F45">
        <w:rPr>
          <w:rFonts w:ascii="Arial Narrow" w:eastAsia="Calibri" w:hAnsi="Arial Narrow" w:cs="Calibri"/>
          <w:color w:val="000000"/>
          <w:u w:color="000000"/>
          <w:bdr w:val="nil"/>
        </w:rPr>
        <w:t>nárastom celkovej produktivity faktorov.</w:t>
      </w:r>
    </w:p>
    <w:p w14:paraId="3299E5AD" w14:textId="0FD395AB" w:rsidR="00453D50" w:rsidRPr="00410F45" w:rsidRDefault="00453D50" w:rsidP="00453D50">
      <w:pPr>
        <w:pBdr>
          <w:top w:val="nil"/>
          <w:left w:val="nil"/>
          <w:bottom w:val="nil"/>
          <w:right w:val="nil"/>
          <w:between w:val="nil"/>
          <w:bar w:val="nil"/>
        </w:pBdr>
        <w:spacing w:after="200" w:line="276" w:lineRule="auto"/>
        <w:jc w:val="both"/>
        <w:rPr>
          <w:rFonts w:ascii="Arial Narrow" w:eastAsia="Calibri" w:hAnsi="Arial Narrow" w:cs="Calibri"/>
          <w:color w:val="000000"/>
          <w:u w:color="000000"/>
          <w:bdr w:val="nil"/>
        </w:rPr>
      </w:pPr>
      <w:r w:rsidRPr="00410F45">
        <w:rPr>
          <w:rFonts w:ascii="Arial Narrow" w:eastAsia="Calibri" w:hAnsi="Arial Narrow" w:cs="Calibri"/>
          <w:b/>
          <w:bCs/>
          <w:color w:val="000000"/>
          <w:u w:color="000000"/>
          <w:bdr w:val="nil"/>
        </w:rPr>
        <w:t xml:space="preserve">V projekciách deflátoru HDP očakáva </w:t>
      </w:r>
      <w:r w:rsidR="0031040E" w:rsidRPr="00410F45">
        <w:rPr>
          <w:rFonts w:ascii="Arial Narrow" w:eastAsia="Calibri" w:hAnsi="Arial Narrow" w:cs="Calibri"/>
          <w:b/>
          <w:bCs/>
          <w:color w:val="000000"/>
          <w:u w:color="000000"/>
          <w:bdr w:val="nil"/>
        </w:rPr>
        <w:t xml:space="preserve">MF SR </w:t>
      </w:r>
      <w:r w:rsidRPr="00410F45">
        <w:rPr>
          <w:rFonts w:ascii="Arial Narrow" w:eastAsia="Calibri" w:hAnsi="Arial Narrow" w:cs="Calibri"/>
          <w:b/>
          <w:bCs/>
          <w:color w:val="000000"/>
          <w:u w:color="000000"/>
          <w:bdr w:val="nil"/>
        </w:rPr>
        <w:t>pokles mier rastu na úroveň inflácie</w:t>
      </w:r>
      <w:r w:rsidRPr="00410F45">
        <w:rPr>
          <w:rFonts w:ascii="Arial Narrow" w:eastAsia="Calibri" w:hAnsi="Arial Narrow" w:cs="Calibri"/>
          <w:color w:val="000000"/>
          <w:u w:color="000000"/>
          <w:bdr w:val="nil"/>
        </w:rPr>
        <w:t>, t.</w:t>
      </w:r>
      <w:r w:rsidR="00A61B0F">
        <w:rPr>
          <w:rFonts w:ascii="Arial Narrow" w:eastAsia="Calibri" w:hAnsi="Arial Narrow" w:cs="Calibri"/>
          <w:color w:val="000000"/>
          <w:u w:color="000000"/>
          <w:bdr w:val="nil"/>
        </w:rPr>
        <w:t xml:space="preserve"> </w:t>
      </w:r>
      <w:r w:rsidRPr="00410F45">
        <w:rPr>
          <w:rFonts w:ascii="Arial Narrow" w:eastAsia="Calibri" w:hAnsi="Arial Narrow" w:cs="Calibri"/>
          <w:color w:val="000000"/>
          <w:u w:color="000000"/>
          <w:bdr w:val="nil"/>
        </w:rPr>
        <w:t xml:space="preserve">j. </w:t>
      </w:r>
      <w:r>
        <w:rPr>
          <w:rFonts w:ascii="Arial Narrow" w:eastAsia="Calibri" w:hAnsi="Arial Narrow" w:cs="Calibri"/>
          <w:color w:val="000000"/>
          <w:u w:color="000000"/>
          <w:bdr w:val="nil"/>
        </w:rPr>
        <w:t>k cieľovej</w:t>
      </w:r>
      <w:r w:rsidRPr="00410F45">
        <w:rPr>
          <w:rFonts w:ascii="Arial Narrow" w:eastAsia="Calibri" w:hAnsi="Arial Narrow" w:cs="Calibri"/>
          <w:color w:val="000000"/>
          <w:u w:color="000000"/>
          <w:bdr w:val="nil"/>
        </w:rPr>
        <w:t xml:space="preserve"> hodnote ECB od roku 2029 v súlade s projekciami AR 2024. </w:t>
      </w:r>
      <w:r>
        <w:rPr>
          <w:rFonts w:ascii="Arial Narrow" w:eastAsia="Calibri" w:hAnsi="Arial Narrow" w:cs="Calibri"/>
          <w:color w:val="000000"/>
          <w:u w:color="000000"/>
          <w:bdr w:val="nil"/>
        </w:rPr>
        <w:t>MF SR n</w:t>
      </w:r>
      <w:r w:rsidRPr="00410F45">
        <w:rPr>
          <w:rFonts w:ascii="Arial Narrow" w:eastAsia="Calibri" w:hAnsi="Arial Narrow" w:cs="Calibri"/>
          <w:color w:val="000000"/>
          <w:u w:color="000000"/>
          <w:bdr w:val="nil"/>
        </w:rPr>
        <w:t>eočakáva, že sa bude držať negatívny šok do cien energií po roku 2028. Nadhodnotenie deflátora v projekciách EK</w:t>
      </w:r>
      <w:r>
        <w:rPr>
          <w:rFonts w:ascii="Arial Narrow" w:eastAsia="Calibri" w:hAnsi="Arial Narrow" w:cs="Calibri"/>
          <w:color w:val="000000"/>
          <w:u w:color="000000"/>
          <w:bdr w:val="nil"/>
        </w:rPr>
        <w:t xml:space="preserve"> použitých pri stanovovaní nových fiškálnych pravidiel</w:t>
      </w:r>
      <w:r w:rsidRPr="00410F45">
        <w:rPr>
          <w:rFonts w:ascii="Arial Narrow" w:eastAsia="Calibri" w:hAnsi="Arial Narrow" w:cs="Calibri"/>
          <w:color w:val="000000"/>
          <w:u w:color="000000"/>
          <w:bdr w:val="nil"/>
        </w:rPr>
        <w:t xml:space="preserve"> a podhodnotenie potenciálneho rastu oproti MF SR sa navzájom čiastočne kompenzuj</w:t>
      </w:r>
      <w:r>
        <w:rPr>
          <w:rFonts w:ascii="Arial Narrow" w:eastAsia="Calibri" w:hAnsi="Arial Narrow" w:cs="Calibri"/>
          <w:color w:val="000000"/>
          <w:u w:color="000000"/>
          <w:bdr w:val="nil"/>
        </w:rPr>
        <w:t>ú pri</w:t>
      </w:r>
      <w:r w:rsidRPr="00410F45">
        <w:rPr>
          <w:rFonts w:ascii="Arial Narrow" w:eastAsia="Calibri" w:hAnsi="Arial Narrow" w:cs="Calibri"/>
          <w:color w:val="000000"/>
          <w:u w:color="000000"/>
          <w:bdr w:val="nil"/>
        </w:rPr>
        <w:t xml:space="preserve"> očakávanom nominálnom vývoji HDP v strednodobom horizonte prognózy</w:t>
      </w:r>
      <w:r>
        <w:rPr>
          <w:rFonts w:ascii="Arial Narrow" w:eastAsia="Calibri" w:hAnsi="Arial Narrow" w:cs="Calibri"/>
          <w:color w:val="000000"/>
          <w:u w:color="000000"/>
          <w:bdr w:val="nil"/>
        </w:rPr>
        <w:t>.</w:t>
      </w:r>
      <w:r w:rsidRPr="00410F45">
        <w:rPr>
          <w:rFonts w:ascii="Arial Narrow" w:eastAsia="Calibri" w:hAnsi="Arial Narrow" w:cs="Calibri"/>
          <w:color w:val="000000"/>
          <w:u w:color="000000"/>
          <w:bdr w:val="nil"/>
        </w:rPr>
        <w:t xml:space="preserve"> </w:t>
      </w:r>
      <w:r>
        <w:rPr>
          <w:rFonts w:ascii="Arial Narrow" w:eastAsia="Calibri" w:hAnsi="Arial Narrow" w:cs="Calibri"/>
          <w:color w:val="000000"/>
          <w:u w:color="000000"/>
          <w:bdr w:val="nil"/>
        </w:rPr>
        <w:t xml:space="preserve">V </w:t>
      </w:r>
      <w:r w:rsidRPr="00410F45">
        <w:rPr>
          <w:rFonts w:ascii="Arial Narrow" w:eastAsia="Calibri" w:hAnsi="Arial Narrow" w:cs="Calibri"/>
          <w:color w:val="000000"/>
          <w:u w:color="000000"/>
          <w:bdr w:val="nil"/>
        </w:rPr>
        <w:t>dlhom období je očakávaný nominálny vývoj vyšší oproti MF SR o 0,5 p.</w:t>
      </w:r>
      <w:r w:rsidR="00A61B0F">
        <w:rPr>
          <w:rFonts w:ascii="Arial Narrow" w:eastAsia="Calibri" w:hAnsi="Arial Narrow" w:cs="Calibri"/>
          <w:color w:val="000000"/>
          <w:u w:color="000000"/>
          <w:bdr w:val="nil"/>
        </w:rPr>
        <w:t xml:space="preserve"> </w:t>
      </w:r>
      <w:r w:rsidRPr="00410F45">
        <w:rPr>
          <w:rFonts w:ascii="Arial Narrow" w:eastAsia="Calibri" w:hAnsi="Arial Narrow" w:cs="Calibri"/>
          <w:color w:val="000000"/>
          <w:u w:color="000000"/>
          <w:bdr w:val="nil"/>
        </w:rPr>
        <w:t>b</w:t>
      </w:r>
      <w:r>
        <w:rPr>
          <w:rFonts w:ascii="Arial Narrow" w:eastAsia="Calibri" w:hAnsi="Arial Narrow" w:cs="Calibri"/>
          <w:color w:val="000000"/>
          <w:u w:color="000000"/>
          <w:bdr w:val="nil"/>
        </w:rPr>
        <w:t>, práve z dôvodu deflátora HDP</w:t>
      </w:r>
      <w:r w:rsidRPr="00410F45">
        <w:rPr>
          <w:rFonts w:ascii="Arial Narrow" w:eastAsia="Calibri" w:hAnsi="Arial Narrow" w:cs="Calibri"/>
          <w:color w:val="000000"/>
          <w:u w:color="000000"/>
          <w:bdr w:val="nil"/>
        </w:rPr>
        <w:t>.</w:t>
      </w:r>
    </w:p>
    <w:p w14:paraId="550CF4C3" w14:textId="4A9CA096" w:rsidR="00453D50" w:rsidRPr="004B3BF8" w:rsidRDefault="00453D50" w:rsidP="00453D50">
      <w:pPr>
        <w:pBdr>
          <w:top w:val="nil"/>
          <w:left w:val="nil"/>
          <w:bottom w:val="nil"/>
          <w:right w:val="nil"/>
          <w:between w:val="nil"/>
          <w:bar w:val="nil"/>
        </w:pBdr>
        <w:spacing w:after="200" w:line="276" w:lineRule="auto"/>
        <w:jc w:val="both"/>
        <w:rPr>
          <w:rFonts w:ascii="Arial Narrow" w:eastAsia="Calibri" w:hAnsi="Arial Narrow" w:cs="Calibri"/>
          <w:color w:val="000000"/>
          <w:u w:color="000000"/>
          <w:bdr w:val="nil"/>
        </w:rPr>
      </w:pPr>
      <w:r w:rsidRPr="00410F45">
        <w:rPr>
          <w:rFonts w:ascii="Arial Narrow" w:eastAsia="Calibri" w:hAnsi="Arial Narrow" w:cs="Calibri"/>
          <w:b/>
          <w:bCs/>
          <w:color w:val="000000"/>
          <w:u w:color="000000"/>
          <w:bdr w:val="nil"/>
        </w:rPr>
        <w:t>Dlhodobá úroková miera konverguje v projekciách MF SR v dlhom období k rovnovážnej hodnote 3,4 %.</w:t>
      </w:r>
      <w:r>
        <w:rPr>
          <w:rFonts w:ascii="Arial Narrow" w:eastAsia="Calibri" w:hAnsi="Arial Narrow" w:cs="Calibri"/>
          <w:color w:val="000000"/>
          <w:u w:color="000000"/>
          <w:bdr w:val="nil"/>
        </w:rPr>
        <w:t xml:space="preserve"> </w:t>
      </w:r>
      <w:r w:rsidRPr="00410F45">
        <w:rPr>
          <w:rFonts w:ascii="Arial Narrow" w:eastAsia="Calibri" w:hAnsi="Arial Narrow" w:cs="Calibri"/>
          <w:color w:val="000000"/>
          <w:u w:color="000000"/>
          <w:bdr w:val="nil"/>
        </w:rPr>
        <w:t xml:space="preserve">V krátkom období využívame na prognózu úrokových sadzieb očakávania finančných trhov, podobne ako EK. </w:t>
      </w:r>
      <w:r>
        <w:rPr>
          <w:rFonts w:ascii="Arial Narrow" w:eastAsia="Calibri" w:hAnsi="Arial Narrow" w:cs="Calibri"/>
          <w:color w:val="000000"/>
          <w:u w:color="000000"/>
          <w:bdr w:val="nil"/>
        </w:rPr>
        <w:t>V dlhodobom horizonte očakávame stabilnú rizikovú prirážku približne na úrovni 1,2 p.</w:t>
      </w:r>
      <w:r w:rsidR="00A61B0F">
        <w:rPr>
          <w:rFonts w:ascii="Arial Narrow" w:eastAsia="Calibri" w:hAnsi="Arial Narrow" w:cs="Calibri"/>
          <w:color w:val="000000"/>
          <w:u w:color="000000"/>
          <w:bdr w:val="nil"/>
        </w:rPr>
        <w:t xml:space="preserve"> </w:t>
      </w:r>
      <w:r>
        <w:rPr>
          <w:rFonts w:ascii="Arial Narrow" w:eastAsia="Calibri" w:hAnsi="Arial Narrow" w:cs="Calibri"/>
          <w:color w:val="000000"/>
          <w:u w:color="000000"/>
          <w:bdr w:val="nil"/>
        </w:rPr>
        <w:t xml:space="preserve">b. Očakávame, že inflácia sa ustáli blízko úrovne 2 % pri stabilnom ekonomickom raste. Nižší odhad výnosov dlhopisov oproti EK tiež odráža na konci horizontu očakávanú </w:t>
      </w:r>
      <w:r w:rsidR="00C96816">
        <w:rPr>
          <w:rFonts w:ascii="Arial Narrow" w:eastAsia="Calibri" w:hAnsi="Arial Narrow" w:cs="Calibri"/>
          <w:color w:val="000000"/>
          <w:u w:color="000000"/>
          <w:bdr w:val="nil"/>
        </w:rPr>
        <w:t>uvoľnene</w:t>
      </w:r>
      <w:r>
        <w:rPr>
          <w:rFonts w:ascii="Arial Narrow" w:eastAsia="Calibri" w:hAnsi="Arial Narrow" w:cs="Calibri"/>
          <w:color w:val="000000"/>
          <w:u w:color="000000"/>
          <w:bdr w:val="nil"/>
        </w:rPr>
        <w:t xml:space="preserve">jšiu monetárnu politiku ECB, ktorá je reflektovaná i v nižšej krátkodobej úrokovej miere oproti odhadom EK.  </w:t>
      </w:r>
      <w:r w:rsidRPr="0097727C">
        <w:rPr>
          <w:rFonts w:ascii="Arial Narrow" w:eastAsia="Calibri" w:hAnsi="Arial Narrow" w:cs="Calibri"/>
          <w:color w:val="000000"/>
          <w:u w:color="000000"/>
          <w:bdr w:val="nil"/>
        </w:rPr>
        <w:t xml:space="preserve"> </w:t>
      </w:r>
    </w:p>
    <w:p w14:paraId="6D16D1A7" w14:textId="1A628C08" w:rsidR="00453D50" w:rsidRPr="00F255A4" w:rsidRDefault="00453D50" w:rsidP="00453D50">
      <w:pPr>
        <w:widowControl w:val="0"/>
        <w:spacing w:before="40" w:after="40"/>
        <w:jc w:val="both"/>
        <w:rPr>
          <w:rFonts w:ascii="Arial Narrow" w:hAnsi="Arial Narrow" w:cs="Arial Narrow"/>
          <w:b/>
          <w:bCs/>
          <w:color w:val="2C9ADC"/>
          <w:sz w:val="20"/>
          <w:szCs w:val="20"/>
        </w:rPr>
      </w:pPr>
      <w:bookmarkStart w:id="41" w:name="_Toc179814717"/>
      <w:r w:rsidRPr="00F255A4">
        <w:rPr>
          <w:rFonts w:ascii="Arial Narrow" w:hAnsi="Arial Narrow" w:cs="Arial Narrow"/>
          <w:b/>
          <w:bCs/>
          <w:color w:val="2C9ADC"/>
          <w:sz w:val="20"/>
          <w:szCs w:val="20"/>
        </w:rPr>
        <w:t>T</w:t>
      </w:r>
      <w:r w:rsidR="00F91C7C">
        <w:rPr>
          <w:rFonts w:ascii="Arial Narrow" w:hAnsi="Arial Narrow" w:cs="Arial Narrow"/>
          <w:b/>
          <w:bCs/>
          <w:color w:val="2C9ADC"/>
          <w:sz w:val="20"/>
          <w:szCs w:val="20"/>
        </w:rPr>
        <w:t>ABUĽKA</w:t>
      </w:r>
      <w:r w:rsidR="00276881">
        <w:rPr>
          <w:rFonts w:ascii="Arial Narrow" w:hAnsi="Arial Narrow" w:cs="Arial Narrow"/>
          <w:b/>
          <w:bCs/>
          <w:color w:val="2C9ADC"/>
          <w:sz w:val="20"/>
          <w:szCs w:val="20"/>
        </w:rPr>
        <w:t xml:space="preserve"> </w:t>
      </w:r>
      <w:r w:rsidR="00F91C7C" w:rsidRPr="00E20A72">
        <w:rPr>
          <w:rFonts w:ascii="Arial Narrow" w:eastAsia="Arial Narrow" w:hAnsi="Arial Narrow" w:cs="Arial Narrow"/>
          <w:b/>
          <w:bCs/>
          <w:noProof/>
          <w:color w:val="2C9ADC"/>
          <w:sz w:val="20"/>
          <w:szCs w:val="20"/>
          <w:bdr w:val="nil"/>
          <w:lang w:eastAsia="sk-SK"/>
        </w:rPr>
        <w:fldChar w:fldCharType="begin"/>
      </w:r>
      <w:r w:rsidR="00F91C7C" w:rsidRPr="00E20A72">
        <w:rPr>
          <w:rFonts w:ascii="Arial Narrow" w:eastAsia="Arial Narrow" w:hAnsi="Arial Narrow" w:cs="Arial Narrow"/>
          <w:b/>
          <w:bCs/>
          <w:noProof/>
          <w:color w:val="2C9ADC"/>
          <w:sz w:val="20"/>
          <w:szCs w:val="20"/>
          <w:bdr w:val="nil"/>
          <w:lang w:eastAsia="sk-SK"/>
        </w:rPr>
        <w:instrText xml:space="preserve"> SEQ TABUĽKA \* ARABIC </w:instrText>
      </w:r>
      <w:r w:rsidR="00F91C7C" w:rsidRPr="00E20A72">
        <w:rPr>
          <w:rFonts w:ascii="Arial Narrow" w:eastAsia="Arial Narrow" w:hAnsi="Arial Narrow" w:cs="Arial Narrow"/>
          <w:b/>
          <w:bCs/>
          <w:noProof/>
          <w:color w:val="2C9ADC"/>
          <w:sz w:val="20"/>
          <w:szCs w:val="20"/>
          <w:bdr w:val="nil"/>
          <w:lang w:eastAsia="sk-SK"/>
        </w:rPr>
        <w:fldChar w:fldCharType="separate"/>
      </w:r>
      <w:r w:rsidR="007A664D">
        <w:rPr>
          <w:rFonts w:ascii="Arial Narrow" w:eastAsia="Arial Narrow" w:hAnsi="Arial Narrow" w:cs="Arial Narrow"/>
          <w:b/>
          <w:bCs/>
          <w:noProof/>
          <w:color w:val="2C9ADC"/>
          <w:sz w:val="20"/>
          <w:szCs w:val="20"/>
          <w:bdr w:val="nil"/>
          <w:lang w:eastAsia="sk-SK"/>
        </w:rPr>
        <w:t>5</w:t>
      </w:r>
      <w:r w:rsidR="00F91C7C" w:rsidRPr="00E20A72">
        <w:rPr>
          <w:rFonts w:ascii="Arial Narrow" w:eastAsia="Arial Narrow" w:hAnsi="Arial Narrow" w:cs="Arial Narrow"/>
          <w:b/>
          <w:bCs/>
          <w:noProof/>
          <w:color w:val="2C9ADC"/>
          <w:sz w:val="20"/>
          <w:szCs w:val="20"/>
          <w:bdr w:val="nil"/>
          <w:lang w:eastAsia="sk-SK"/>
        </w:rPr>
        <w:fldChar w:fldCharType="end"/>
      </w:r>
      <w:r w:rsidR="00F91C7C">
        <w:rPr>
          <w:rFonts w:ascii="Arial Narrow" w:hAnsi="Arial Narrow" w:cs="Arial Narrow"/>
          <w:b/>
          <w:bCs/>
          <w:color w:val="2C9ADC"/>
          <w:sz w:val="20"/>
          <w:szCs w:val="20"/>
        </w:rPr>
        <w:t xml:space="preserve"> – </w:t>
      </w:r>
      <w:r w:rsidRPr="00F255A4">
        <w:rPr>
          <w:rFonts w:ascii="Arial Narrow" w:hAnsi="Arial Narrow" w:cs="Arial Narrow"/>
          <w:b/>
          <w:bCs/>
          <w:color w:val="2C9ADC"/>
          <w:sz w:val="20"/>
          <w:szCs w:val="20"/>
        </w:rPr>
        <w:t>Porovnanie makro-indikátorov podľa prognózy</w:t>
      </w:r>
      <w:r>
        <w:rPr>
          <w:rFonts w:ascii="Arial Narrow" w:hAnsi="Arial Narrow" w:cs="Arial Narrow"/>
          <w:b/>
          <w:bCs/>
          <w:color w:val="2C9ADC"/>
          <w:sz w:val="20"/>
          <w:szCs w:val="20"/>
        </w:rPr>
        <w:t xml:space="preserve"> MF SR</w:t>
      </w:r>
      <w:r w:rsidRPr="00F255A4">
        <w:rPr>
          <w:rFonts w:ascii="Arial Narrow" w:hAnsi="Arial Narrow" w:cs="Arial Narrow"/>
          <w:b/>
          <w:bCs/>
          <w:color w:val="2C9ADC"/>
          <w:sz w:val="20"/>
          <w:szCs w:val="20"/>
        </w:rPr>
        <w:t xml:space="preserve"> a podľa </w:t>
      </w:r>
      <w:r>
        <w:rPr>
          <w:rFonts w:ascii="Arial Narrow" w:hAnsi="Arial Narrow" w:cs="Arial Narrow"/>
          <w:b/>
          <w:bCs/>
          <w:color w:val="2C9ADC"/>
          <w:sz w:val="20"/>
          <w:szCs w:val="20"/>
        </w:rPr>
        <w:t xml:space="preserve">predpokladov </w:t>
      </w:r>
      <w:r w:rsidRPr="00F255A4">
        <w:rPr>
          <w:rFonts w:ascii="Arial Narrow" w:hAnsi="Arial Narrow" w:cs="Arial Narrow"/>
          <w:b/>
          <w:bCs/>
          <w:color w:val="2C9ADC"/>
          <w:sz w:val="20"/>
          <w:szCs w:val="20"/>
        </w:rPr>
        <w:t>EK</w:t>
      </w:r>
      <w:r>
        <w:rPr>
          <w:rFonts w:ascii="Arial Narrow" w:hAnsi="Arial Narrow" w:cs="Arial Narrow"/>
          <w:b/>
          <w:bCs/>
          <w:color w:val="2C9ADC"/>
          <w:sz w:val="20"/>
          <w:szCs w:val="20"/>
        </w:rPr>
        <w:t xml:space="preserve"> použitých pri nových fiškálnych pravidlách</w:t>
      </w:r>
      <w:bookmarkEnd w:id="41"/>
    </w:p>
    <w:tbl>
      <w:tblPr>
        <w:tblW w:w="9214" w:type="dxa"/>
        <w:tblCellMar>
          <w:left w:w="70" w:type="dxa"/>
          <w:right w:w="70" w:type="dxa"/>
        </w:tblCellMar>
        <w:tblLook w:val="04A0" w:firstRow="1" w:lastRow="0" w:firstColumn="1" w:lastColumn="0" w:noHBand="0" w:noVBand="1"/>
      </w:tblPr>
      <w:tblGrid>
        <w:gridCol w:w="380"/>
        <w:gridCol w:w="1747"/>
        <w:gridCol w:w="560"/>
        <w:gridCol w:w="700"/>
        <w:gridCol w:w="700"/>
        <w:gridCol w:w="700"/>
        <w:gridCol w:w="700"/>
        <w:gridCol w:w="700"/>
        <w:gridCol w:w="700"/>
        <w:gridCol w:w="700"/>
        <w:gridCol w:w="700"/>
        <w:gridCol w:w="927"/>
      </w:tblGrid>
      <w:tr w:rsidR="00453D50" w:rsidRPr="00C66F1C" w14:paraId="7D7251E8" w14:textId="77777777" w:rsidTr="00616580">
        <w:trPr>
          <w:trHeight w:val="345"/>
        </w:trPr>
        <w:tc>
          <w:tcPr>
            <w:tcW w:w="2127" w:type="dxa"/>
            <w:gridSpan w:val="2"/>
            <w:tcBorders>
              <w:top w:val="nil"/>
              <w:left w:val="nil"/>
              <w:bottom w:val="single" w:sz="8" w:space="0" w:color="auto"/>
              <w:right w:val="nil"/>
            </w:tcBorders>
            <w:shd w:val="clear" w:color="auto" w:fill="auto"/>
            <w:noWrap/>
            <w:vAlign w:val="center"/>
            <w:hideMark/>
          </w:tcPr>
          <w:p w14:paraId="1F75D454" w14:textId="77777777" w:rsidR="00453D50" w:rsidRPr="00410F45" w:rsidRDefault="00453D50" w:rsidP="00616580">
            <w:pPr>
              <w:spacing w:after="0" w:line="240" w:lineRule="auto"/>
              <w:jc w:val="center"/>
              <w:rPr>
                <w:rFonts w:ascii="Arial Narrow" w:eastAsia="Times New Roman" w:hAnsi="Arial Narrow" w:cs="Calibri"/>
                <w:b/>
                <w:bCs/>
                <w:color w:val="000000"/>
                <w:sz w:val="16"/>
                <w:szCs w:val="16"/>
                <w:lang w:eastAsia="sk-SK"/>
              </w:rPr>
            </w:pPr>
            <w:r w:rsidRPr="00410F45">
              <w:rPr>
                <w:rFonts w:ascii="Arial Narrow" w:eastAsia="Times New Roman" w:hAnsi="Arial Narrow" w:cs="Calibri"/>
                <w:b/>
                <w:bCs/>
                <w:color w:val="000000"/>
                <w:sz w:val="16"/>
                <w:szCs w:val="16"/>
                <w:lang w:eastAsia="sk-SK"/>
              </w:rPr>
              <w:t>Ukazovateľ</w:t>
            </w:r>
          </w:p>
        </w:tc>
        <w:tc>
          <w:tcPr>
            <w:tcW w:w="560" w:type="dxa"/>
            <w:tcBorders>
              <w:top w:val="nil"/>
              <w:left w:val="nil"/>
              <w:bottom w:val="single" w:sz="8" w:space="0" w:color="auto"/>
              <w:right w:val="nil"/>
            </w:tcBorders>
            <w:shd w:val="clear" w:color="auto" w:fill="auto"/>
            <w:noWrap/>
            <w:vAlign w:val="bottom"/>
            <w:hideMark/>
          </w:tcPr>
          <w:p w14:paraId="065F5A49" w14:textId="77777777" w:rsidR="00453D50" w:rsidRPr="00410F45" w:rsidRDefault="00453D50" w:rsidP="00616580">
            <w:pPr>
              <w:spacing w:after="0" w:line="240" w:lineRule="auto"/>
              <w:rPr>
                <w:rFonts w:ascii="Calibri" w:eastAsia="Times New Roman" w:hAnsi="Calibri" w:cs="Calibri"/>
                <w:color w:val="000000"/>
                <w:sz w:val="16"/>
                <w:szCs w:val="16"/>
                <w:lang w:eastAsia="sk-SK"/>
              </w:rPr>
            </w:pPr>
            <w:r w:rsidRPr="00410F45">
              <w:rPr>
                <w:rFonts w:ascii="Calibri" w:eastAsia="Times New Roman" w:hAnsi="Calibri" w:cs="Calibri"/>
                <w:color w:val="000000"/>
                <w:sz w:val="16"/>
                <w:szCs w:val="16"/>
                <w:lang w:eastAsia="sk-SK"/>
              </w:rPr>
              <w:t> </w:t>
            </w:r>
          </w:p>
        </w:tc>
        <w:tc>
          <w:tcPr>
            <w:tcW w:w="700" w:type="dxa"/>
            <w:tcBorders>
              <w:top w:val="nil"/>
              <w:left w:val="nil"/>
              <w:bottom w:val="single" w:sz="8" w:space="0" w:color="auto"/>
              <w:right w:val="nil"/>
            </w:tcBorders>
            <w:shd w:val="clear" w:color="000000" w:fill="FFFFFF"/>
            <w:vAlign w:val="center"/>
            <w:hideMark/>
          </w:tcPr>
          <w:p w14:paraId="131745BD" w14:textId="77777777" w:rsidR="00453D50" w:rsidRPr="00410F45" w:rsidRDefault="00453D50" w:rsidP="00616580">
            <w:pPr>
              <w:spacing w:after="0" w:line="240" w:lineRule="auto"/>
              <w:jc w:val="center"/>
              <w:rPr>
                <w:rFonts w:ascii="Arial Narrow" w:eastAsia="Times New Roman" w:hAnsi="Arial Narrow" w:cs="Calibri"/>
                <w:b/>
                <w:bCs/>
                <w:color w:val="000000"/>
                <w:sz w:val="16"/>
                <w:szCs w:val="16"/>
                <w:lang w:eastAsia="sk-SK"/>
              </w:rPr>
            </w:pPr>
            <w:r w:rsidRPr="00410F45">
              <w:rPr>
                <w:rFonts w:ascii="Arial Narrow" w:eastAsia="Times New Roman" w:hAnsi="Arial Narrow" w:cs="Calibri"/>
                <w:b/>
                <w:bCs/>
                <w:color w:val="000000"/>
                <w:sz w:val="16"/>
                <w:szCs w:val="16"/>
                <w:lang w:eastAsia="sk-SK"/>
              </w:rPr>
              <w:t>2023</w:t>
            </w:r>
          </w:p>
        </w:tc>
        <w:tc>
          <w:tcPr>
            <w:tcW w:w="700" w:type="dxa"/>
            <w:tcBorders>
              <w:top w:val="nil"/>
              <w:left w:val="nil"/>
              <w:bottom w:val="single" w:sz="8" w:space="0" w:color="auto"/>
              <w:right w:val="nil"/>
            </w:tcBorders>
            <w:shd w:val="clear" w:color="000000" w:fill="FFFFFF"/>
            <w:vAlign w:val="center"/>
            <w:hideMark/>
          </w:tcPr>
          <w:p w14:paraId="7EDB255E" w14:textId="77777777" w:rsidR="00453D50" w:rsidRPr="00410F45" w:rsidRDefault="00453D50" w:rsidP="00616580">
            <w:pPr>
              <w:spacing w:after="0" w:line="240" w:lineRule="auto"/>
              <w:jc w:val="center"/>
              <w:rPr>
                <w:rFonts w:ascii="Arial Narrow" w:eastAsia="Times New Roman" w:hAnsi="Arial Narrow" w:cs="Calibri"/>
                <w:b/>
                <w:bCs/>
                <w:color w:val="000000"/>
                <w:sz w:val="16"/>
                <w:szCs w:val="16"/>
                <w:lang w:eastAsia="sk-SK"/>
              </w:rPr>
            </w:pPr>
            <w:r w:rsidRPr="00410F45">
              <w:rPr>
                <w:rFonts w:ascii="Arial Narrow" w:eastAsia="Times New Roman" w:hAnsi="Arial Narrow" w:cs="Calibri"/>
                <w:b/>
                <w:bCs/>
                <w:color w:val="000000"/>
                <w:sz w:val="16"/>
                <w:szCs w:val="16"/>
                <w:lang w:eastAsia="sk-SK"/>
              </w:rPr>
              <w:t>2024</w:t>
            </w:r>
          </w:p>
        </w:tc>
        <w:tc>
          <w:tcPr>
            <w:tcW w:w="700" w:type="dxa"/>
            <w:tcBorders>
              <w:top w:val="nil"/>
              <w:left w:val="nil"/>
              <w:bottom w:val="single" w:sz="8" w:space="0" w:color="auto"/>
              <w:right w:val="nil"/>
            </w:tcBorders>
            <w:shd w:val="clear" w:color="000000" w:fill="FFFFFF"/>
            <w:vAlign w:val="center"/>
            <w:hideMark/>
          </w:tcPr>
          <w:p w14:paraId="383592D1" w14:textId="77777777" w:rsidR="00453D50" w:rsidRPr="00410F45" w:rsidRDefault="00453D50" w:rsidP="00616580">
            <w:pPr>
              <w:spacing w:after="0" w:line="240" w:lineRule="auto"/>
              <w:jc w:val="center"/>
              <w:rPr>
                <w:rFonts w:ascii="Arial Narrow" w:eastAsia="Times New Roman" w:hAnsi="Arial Narrow" w:cs="Calibri"/>
                <w:b/>
                <w:bCs/>
                <w:color w:val="000000"/>
                <w:sz w:val="16"/>
                <w:szCs w:val="16"/>
                <w:lang w:eastAsia="sk-SK"/>
              </w:rPr>
            </w:pPr>
            <w:r w:rsidRPr="00410F45">
              <w:rPr>
                <w:rFonts w:ascii="Arial Narrow" w:eastAsia="Times New Roman" w:hAnsi="Arial Narrow" w:cs="Calibri"/>
                <w:b/>
                <w:bCs/>
                <w:color w:val="000000"/>
                <w:sz w:val="16"/>
                <w:szCs w:val="16"/>
                <w:lang w:eastAsia="sk-SK"/>
              </w:rPr>
              <w:t>2025</w:t>
            </w:r>
          </w:p>
        </w:tc>
        <w:tc>
          <w:tcPr>
            <w:tcW w:w="700" w:type="dxa"/>
            <w:tcBorders>
              <w:top w:val="nil"/>
              <w:left w:val="nil"/>
              <w:bottom w:val="single" w:sz="8" w:space="0" w:color="auto"/>
              <w:right w:val="nil"/>
            </w:tcBorders>
            <w:shd w:val="clear" w:color="000000" w:fill="FFFFFF"/>
            <w:vAlign w:val="center"/>
            <w:hideMark/>
          </w:tcPr>
          <w:p w14:paraId="7A4E2594" w14:textId="77777777" w:rsidR="00453D50" w:rsidRPr="00410F45" w:rsidRDefault="00453D50" w:rsidP="00616580">
            <w:pPr>
              <w:spacing w:after="0" w:line="240" w:lineRule="auto"/>
              <w:jc w:val="center"/>
              <w:rPr>
                <w:rFonts w:ascii="Arial Narrow" w:eastAsia="Times New Roman" w:hAnsi="Arial Narrow" w:cs="Calibri"/>
                <w:b/>
                <w:bCs/>
                <w:color w:val="000000"/>
                <w:sz w:val="16"/>
                <w:szCs w:val="16"/>
                <w:lang w:eastAsia="sk-SK"/>
              </w:rPr>
            </w:pPr>
            <w:r w:rsidRPr="00410F45">
              <w:rPr>
                <w:rFonts w:ascii="Arial Narrow" w:eastAsia="Times New Roman" w:hAnsi="Arial Narrow" w:cs="Calibri"/>
                <w:b/>
                <w:bCs/>
                <w:color w:val="000000"/>
                <w:sz w:val="16"/>
                <w:szCs w:val="16"/>
                <w:lang w:eastAsia="sk-SK"/>
              </w:rPr>
              <w:t>2026</w:t>
            </w:r>
          </w:p>
        </w:tc>
        <w:tc>
          <w:tcPr>
            <w:tcW w:w="700" w:type="dxa"/>
            <w:tcBorders>
              <w:top w:val="nil"/>
              <w:left w:val="nil"/>
              <w:bottom w:val="single" w:sz="8" w:space="0" w:color="auto"/>
              <w:right w:val="nil"/>
            </w:tcBorders>
            <w:shd w:val="clear" w:color="000000" w:fill="FFFFFF"/>
            <w:vAlign w:val="center"/>
            <w:hideMark/>
          </w:tcPr>
          <w:p w14:paraId="23048DD0" w14:textId="77777777" w:rsidR="00453D50" w:rsidRPr="00410F45" w:rsidRDefault="00453D50" w:rsidP="00616580">
            <w:pPr>
              <w:spacing w:after="0" w:line="240" w:lineRule="auto"/>
              <w:jc w:val="center"/>
              <w:rPr>
                <w:rFonts w:ascii="Arial Narrow" w:eastAsia="Times New Roman" w:hAnsi="Arial Narrow" w:cs="Calibri"/>
                <w:b/>
                <w:bCs/>
                <w:color w:val="000000"/>
                <w:sz w:val="16"/>
                <w:szCs w:val="16"/>
                <w:lang w:eastAsia="sk-SK"/>
              </w:rPr>
            </w:pPr>
            <w:r w:rsidRPr="00410F45">
              <w:rPr>
                <w:rFonts w:ascii="Arial Narrow" w:eastAsia="Times New Roman" w:hAnsi="Arial Narrow" w:cs="Calibri"/>
                <w:b/>
                <w:bCs/>
                <w:color w:val="000000"/>
                <w:sz w:val="16"/>
                <w:szCs w:val="16"/>
                <w:lang w:eastAsia="sk-SK"/>
              </w:rPr>
              <w:t>2027</w:t>
            </w:r>
          </w:p>
        </w:tc>
        <w:tc>
          <w:tcPr>
            <w:tcW w:w="700" w:type="dxa"/>
            <w:tcBorders>
              <w:top w:val="nil"/>
              <w:left w:val="nil"/>
              <w:bottom w:val="single" w:sz="8" w:space="0" w:color="auto"/>
              <w:right w:val="nil"/>
            </w:tcBorders>
            <w:shd w:val="clear" w:color="000000" w:fill="FFFFFF"/>
            <w:vAlign w:val="center"/>
            <w:hideMark/>
          </w:tcPr>
          <w:p w14:paraId="00C11F89" w14:textId="77777777" w:rsidR="00453D50" w:rsidRPr="00410F45" w:rsidRDefault="00453D50" w:rsidP="00616580">
            <w:pPr>
              <w:spacing w:after="0" w:line="240" w:lineRule="auto"/>
              <w:jc w:val="center"/>
              <w:rPr>
                <w:rFonts w:ascii="Arial Narrow" w:eastAsia="Times New Roman" w:hAnsi="Arial Narrow" w:cs="Calibri"/>
                <w:b/>
                <w:bCs/>
                <w:color w:val="000000"/>
                <w:sz w:val="16"/>
                <w:szCs w:val="16"/>
                <w:lang w:eastAsia="sk-SK"/>
              </w:rPr>
            </w:pPr>
            <w:r w:rsidRPr="00410F45">
              <w:rPr>
                <w:rFonts w:ascii="Arial Narrow" w:eastAsia="Times New Roman" w:hAnsi="Arial Narrow" w:cs="Calibri"/>
                <w:b/>
                <w:bCs/>
                <w:color w:val="000000"/>
                <w:sz w:val="16"/>
                <w:szCs w:val="16"/>
                <w:lang w:eastAsia="sk-SK"/>
              </w:rPr>
              <w:t>2028</w:t>
            </w:r>
          </w:p>
        </w:tc>
        <w:tc>
          <w:tcPr>
            <w:tcW w:w="700" w:type="dxa"/>
            <w:tcBorders>
              <w:top w:val="nil"/>
              <w:left w:val="nil"/>
              <w:bottom w:val="single" w:sz="8" w:space="0" w:color="auto"/>
              <w:right w:val="nil"/>
            </w:tcBorders>
            <w:shd w:val="clear" w:color="000000" w:fill="FFFFFF"/>
            <w:vAlign w:val="center"/>
            <w:hideMark/>
          </w:tcPr>
          <w:p w14:paraId="0BE37C60" w14:textId="77777777" w:rsidR="00453D50" w:rsidRPr="00410F45" w:rsidRDefault="00453D50" w:rsidP="00616580">
            <w:pPr>
              <w:spacing w:after="0" w:line="240" w:lineRule="auto"/>
              <w:jc w:val="center"/>
              <w:rPr>
                <w:rFonts w:ascii="Arial Narrow" w:eastAsia="Times New Roman" w:hAnsi="Arial Narrow" w:cs="Calibri"/>
                <w:b/>
                <w:bCs/>
                <w:color w:val="000000"/>
                <w:sz w:val="16"/>
                <w:szCs w:val="16"/>
                <w:lang w:eastAsia="sk-SK"/>
              </w:rPr>
            </w:pPr>
            <w:r w:rsidRPr="00410F45">
              <w:rPr>
                <w:rFonts w:ascii="Arial Narrow" w:eastAsia="Times New Roman" w:hAnsi="Arial Narrow" w:cs="Calibri"/>
                <w:b/>
                <w:bCs/>
                <w:color w:val="000000"/>
                <w:sz w:val="16"/>
                <w:szCs w:val="16"/>
                <w:lang w:eastAsia="sk-SK"/>
              </w:rPr>
              <w:t>t+10</w:t>
            </w:r>
          </w:p>
        </w:tc>
        <w:tc>
          <w:tcPr>
            <w:tcW w:w="700" w:type="dxa"/>
            <w:tcBorders>
              <w:top w:val="nil"/>
              <w:left w:val="nil"/>
              <w:bottom w:val="single" w:sz="8" w:space="0" w:color="auto"/>
              <w:right w:val="nil"/>
            </w:tcBorders>
            <w:shd w:val="clear" w:color="000000" w:fill="FFFFFF"/>
            <w:vAlign w:val="center"/>
            <w:hideMark/>
          </w:tcPr>
          <w:p w14:paraId="31272BCB" w14:textId="77777777" w:rsidR="00453D50" w:rsidRPr="00410F45" w:rsidRDefault="00453D50" w:rsidP="00616580">
            <w:pPr>
              <w:spacing w:after="0" w:line="240" w:lineRule="auto"/>
              <w:jc w:val="center"/>
              <w:rPr>
                <w:rFonts w:ascii="Arial Narrow" w:eastAsia="Times New Roman" w:hAnsi="Arial Narrow" w:cs="Calibri"/>
                <w:b/>
                <w:bCs/>
                <w:color w:val="000000"/>
                <w:sz w:val="16"/>
                <w:szCs w:val="16"/>
                <w:lang w:eastAsia="sk-SK"/>
              </w:rPr>
            </w:pPr>
            <w:r w:rsidRPr="00410F45">
              <w:rPr>
                <w:rFonts w:ascii="Arial Narrow" w:eastAsia="Times New Roman" w:hAnsi="Arial Narrow" w:cs="Calibri"/>
                <w:b/>
                <w:bCs/>
                <w:color w:val="000000"/>
                <w:sz w:val="16"/>
                <w:szCs w:val="16"/>
                <w:lang w:eastAsia="sk-SK"/>
              </w:rPr>
              <w:t>t+15</w:t>
            </w:r>
          </w:p>
        </w:tc>
        <w:tc>
          <w:tcPr>
            <w:tcW w:w="927" w:type="dxa"/>
            <w:tcBorders>
              <w:top w:val="nil"/>
              <w:left w:val="nil"/>
              <w:bottom w:val="single" w:sz="8" w:space="0" w:color="auto"/>
              <w:right w:val="nil"/>
            </w:tcBorders>
            <w:shd w:val="clear" w:color="000000" w:fill="FFFFFF"/>
            <w:vAlign w:val="center"/>
            <w:hideMark/>
          </w:tcPr>
          <w:p w14:paraId="46C7E393" w14:textId="77777777" w:rsidR="00453D50" w:rsidRPr="00410F45" w:rsidRDefault="00453D50" w:rsidP="00616580">
            <w:pPr>
              <w:spacing w:after="0" w:line="240" w:lineRule="auto"/>
              <w:jc w:val="center"/>
              <w:rPr>
                <w:rFonts w:ascii="Arial Narrow" w:eastAsia="Times New Roman" w:hAnsi="Arial Narrow" w:cs="Calibri"/>
                <w:b/>
                <w:bCs/>
                <w:color w:val="000000"/>
                <w:sz w:val="16"/>
                <w:szCs w:val="16"/>
                <w:lang w:eastAsia="sk-SK"/>
              </w:rPr>
            </w:pPr>
            <w:r w:rsidRPr="00410F45">
              <w:rPr>
                <w:rFonts w:ascii="Arial Narrow" w:eastAsia="Times New Roman" w:hAnsi="Arial Narrow" w:cs="Calibri"/>
                <w:b/>
                <w:bCs/>
                <w:color w:val="000000"/>
                <w:sz w:val="16"/>
                <w:szCs w:val="16"/>
                <w:lang w:eastAsia="sk-SK"/>
              </w:rPr>
              <w:t>2029-2038</w:t>
            </w:r>
          </w:p>
        </w:tc>
      </w:tr>
      <w:tr w:rsidR="00453D50" w:rsidRPr="00C66F1C" w14:paraId="4C70C0A5" w14:textId="77777777" w:rsidTr="00616580">
        <w:trPr>
          <w:trHeight w:val="300"/>
        </w:trPr>
        <w:tc>
          <w:tcPr>
            <w:tcW w:w="380" w:type="dxa"/>
            <w:tcBorders>
              <w:top w:val="nil"/>
              <w:left w:val="nil"/>
              <w:bottom w:val="nil"/>
              <w:right w:val="nil"/>
            </w:tcBorders>
            <w:shd w:val="clear" w:color="auto" w:fill="auto"/>
            <w:vAlign w:val="center"/>
            <w:hideMark/>
          </w:tcPr>
          <w:p w14:paraId="25BD2F2A"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1</w:t>
            </w:r>
          </w:p>
        </w:tc>
        <w:tc>
          <w:tcPr>
            <w:tcW w:w="1747" w:type="dxa"/>
            <w:tcBorders>
              <w:top w:val="single" w:sz="8" w:space="0" w:color="auto"/>
              <w:left w:val="nil"/>
              <w:bottom w:val="nil"/>
              <w:right w:val="nil"/>
            </w:tcBorders>
            <w:shd w:val="clear" w:color="auto" w:fill="auto"/>
            <w:vAlign w:val="center"/>
            <w:hideMark/>
          </w:tcPr>
          <w:p w14:paraId="65C717BA" w14:textId="77777777" w:rsidR="00453D50" w:rsidRPr="00410F45" w:rsidRDefault="00453D50" w:rsidP="00616580">
            <w:pPr>
              <w:spacing w:after="0" w:line="240" w:lineRule="auto"/>
              <w:rPr>
                <w:rFonts w:ascii="Arial Narrow" w:eastAsia="Times New Roman" w:hAnsi="Arial Narrow" w:cs="Calibri"/>
                <w:color w:val="000000"/>
                <w:sz w:val="16"/>
                <w:szCs w:val="16"/>
                <w:lang w:eastAsia="sk-SK"/>
              </w:rPr>
            </w:pPr>
            <w:r w:rsidRPr="00410F45">
              <w:rPr>
                <w:rFonts w:ascii="Arial Narrow" w:eastAsia="Times New Roman" w:hAnsi="Arial Narrow" w:cs="Calibri"/>
                <w:color w:val="000000"/>
                <w:sz w:val="16"/>
                <w:szCs w:val="16"/>
                <w:lang w:eastAsia="sk-SK"/>
              </w:rPr>
              <w:t>Reálny HDP (% rast)</w:t>
            </w:r>
          </w:p>
        </w:tc>
        <w:tc>
          <w:tcPr>
            <w:tcW w:w="560" w:type="dxa"/>
            <w:tcBorders>
              <w:top w:val="nil"/>
              <w:left w:val="nil"/>
              <w:bottom w:val="nil"/>
              <w:right w:val="nil"/>
            </w:tcBorders>
            <w:shd w:val="clear" w:color="auto" w:fill="auto"/>
            <w:vAlign w:val="center"/>
            <w:hideMark/>
          </w:tcPr>
          <w:p w14:paraId="21E620A0" w14:textId="77777777" w:rsidR="00453D50" w:rsidRPr="00410F45" w:rsidRDefault="00453D50" w:rsidP="00616580">
            <w:pPr>
              <w:spacing w:after="0" w:line="240" w:lineRule="auto"/>
              <w:rPr>
                <w:rFonts w:ascii="Arial Narrow" w:eastAsia="Times New Roman" w:hAnsi="Arial Narrow" w:cs="Calibri"/>
                <w:color w:val="000000"/>
                <w:sz w:val="16"/>
                <w:szCs w:val="16"/>
                <w:lang w:eastAsia="sk-SK"/>
              </w:rPr>
            </w:pPr>
            <w:r w:rsidRPr="00410F45">
              <w:rPr>
                <w:rFonts w:ascii="Arial Narrow" w:eastAsia="Times New Roman" w:hAnsi="Arial Narrow" w:cs="Calibri"/>
                <w:color w:val="000000"/>
                <w:sz w:val="16"/>
                <w:szCs w:val="16"/>
                <w:lang w:eastAsia="sk-SK"/>
              </w:rPr>
              <w:t>MF SR</w:t>
            </w:r>
          </w:p>
        </w:tc>
        <w:tc>
          <w:tcPr>
            <w:tcW w:w="700" w:type="dxa"/>
            <w:tcBorders>
              <w:top w:val="nil"/>
              <w:left w:val="nil"/>
              <w:bottom w:val="nil"/>
              <w:right w:val="nil"/>
            </w:tcBorders>
            <w:shd w:val="clear" w:color="auto" w:fill="auto"/>
            <w:vAlign w:val="center"/>
            <w:hideMark/>
          </w:tcPr>
          <w:p w14:paraId="147E5CBD"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1.60</w:t>
            </w:r>
          </w:p>
        </w:tc>
        <w:tc>
          <w:tcPr>
            <w:tcW w:w="700" w:type="dxa"/>
            <w:tcBorders>
              <w:top w:val="nil"/>
              <w:left w:val="nil"/>
              <w:bottom w:val="nil"/>
              <w:right w:val="nil"/>
            </w:tcBorders>
            <w:shd w:val="clear" w:color="auto" w:fill="auto"/>
            <w:vAlign w:val="center"/>
            <w:hideMark/>
          </w:tcPr>
          <w:p w14:paraId="4EB8847E"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2.30</w:t>
            </w:r>
          </w:p>
        </w:tc>
        <w:tc>
          <w:tcPr>
            <w:tcW w:w="700" w:type="dxa"/>
            <w:tcBorders>
              <w:top w:val="nil"/>
              <w:left w:val="nil"/>
              <w:bottom w:val="nil"/>
              <w:right w:val="nil"/>
            </w:tcBorders>
            <w:shd w:val="clear" w:color="auto" w:fill="auto"/>
            <w:vAlign w:val="center"/>
            <w:hideMark/>
          </w:tcPr>
          <w:p w14:paraId="17BFBAB4"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2.22</w:t>
            </w:r>
          </w:p>
        </w:tc>
        <w:tc>
          <w:tcPr>
            <w:tcW w:w="700" w:type="dxa"/>
            <w:tcBorders>
              <w:top w:val="nil"/>
              <w:left w:val="nil"/>
              <w:bottom w:val="nil"/>
              <w:right w:val="nil"/>
            </w:tcBorders>
            <w:shd w:val="clear" w:color="auto" w:fill="auto"/>
            <w:vAlign w:val="center"/>
            <w:hideMark/>
          </w:tcPr>
          <w:p w14:paraId="316A5891"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2.36</w:t>
            </w:r>
          </w:p>
        </w:tc>
        <w:tc>
          <w:tcPr>
            <w:tcW w:w="700" w:type="dxa"/>
            <w:tcBorders>
              <w:top w:val="nil"/>
              <w:left w:val="nil"/>
              <w:bottom w:val="nil"/>
              <w:right w:val="nil"/>
            </w:tcBorders>
            <w:shd w:val="clear" w:color="auto" w:fill="auto"/>
            <w:vAlign w:val="center"/>
            <w:hideMark/>
          </w:tcPr>
          <w:p w14:paraId="57D48FF6"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1.04</w:t>
            </w:r>
          </w:p>
        </w:tc>
        <w:tc>
          <w:tcPr>
            <w:tcW w:w="700" w:type="dxa"/>
            <w:tcBorders>
              <w:top w:val="nil"/>
              <w:left w:val="nil"/>
              <w:bottom w:val="nil"/>
              <w:right w:val="nil"/>
            </w:tcBorders>
            <w:shd w:val="clear" w:color="auto" w:fill="auto"/>
            <w:vAlign w:val="center"/>
            <w:hideMark/>
          </w:tcPr>
          <w:p w14:paraId="10A3AFAE"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1.89</w:t>
            </w:r>
          </w:p>
        </w:tc>
        <w:tc>
          <w:tcPr>
            <w:tcW w:w="700" w:type="dxa"/>
            <w:tcBorders>
              <w:top w:val="nil"/>
              <w:left w:val="nil"/>
              <w:bottom w:val="nil"/>
              <w:right w:val="nil"/>
            </w:tcBorders>
            <w:shd w:val="clear" w:color="auto" w:fill="auto"/>
            <w:vAlign w:val="center"/>
            <w:hideMark/>
          </w:tcPr>
          <w:p w14:paraId="72975B7B"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1.65</w:t>
            </w:r>
          </w:p>
        </w:tc>
        <w:tc>
          <w:tcPr>
            <w:tcW w:w="700" w:type="dxa"/>
            <w:tcBorders>
              <w:top w:val="nil"/>
              <w:left w:val="nil"/>
              <w:bottom w:val="nil"/>
              <w:right w:val="nil"/>
            </w:tcBorders>
            <w:shd w:val="clear" w:color="auto" w:fill="auto"/>
            <w:vAlign w:val="center"/>
            <w:hideMark/>
          </w:tcPr>
          <w:p w14:paraId="339D8382"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1.61</w:t>
            </w:r>
          </w:p>
        </w:tc>
        <w:tc>
          <w:tcPr>
            <w:tcW w:w="927" w:type="dxa"/>
            <w:tcBorders>
              <w:top w:val="nil"/>
              <w:left w:val="nil"/>
              <w:bottom w:val="nil"/>
              <w:right w:val="nil"/>
            </w:tcBorders>
            <w:shd w:val="clear" w:color="auto" w:fill="auto"/>
            <w:vAlign w:val="center"/>
            <w:hideMark/>
          </w:tcPr>
          <w:p w14:paraId="3CCAD596"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1.65</w:t>
            </w:r>
          </w:p>
        </w:tc>
      </w:tr>
      <w:tr w:rsidR="00453D50" w:rsidRPr="00C66F1C" w14:paraId="1E40610F" w14:textId="77777777" w:rsidTr="00616580">
        <w:trPr>
          <w:trHeight w:val="300"/>
        </w:trPr>
        <w:tc>
          <w:tcPr>
            <w:tcW w:w="380" w:type="dxa"/>
            <w:tcBorders>
              <w:top w:val="nil"/>
              <w:left w:val="nil"/>
              <w:bottom w:val="single" w:sz="4" w:space="0" w:color="auto"/>
              <w:right w:val="nil"/>
            </w:tcBorders>
            <w:shd w:val="clear" w:color="auto" w:fill="auto"/>
            <w:vAlign w:val="center"/>
            <w:hideMark/>
          </w:tcPr>
          <w:p w14:paraId="1C9B5C06"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 </w:t>
            </w:r>
          </w:p>
        </w:tc>
        <w:tc>
          <w:tcPr>
            <w:tcW w:w="1747" w:type="dxa"/>
            <w:tcBorders>
              <w:top w:val="nil"/>
              <w:left w:val="nil"/>
              <w:bottom w:val="single" w:sz="4" w:space="0" w:color="auto"/>
              <w:right w:val="nil"/>
            </w:tcBorders>
            <w:shd w:val="clear" w:color="auto" w:fill="auto"/>
            <w:vAlign w:val="center"/>
            <w:hideMark/>
          </w:tcPr>
          <w:p w14:paraId="0F26231B" w14:textId="77777777" w:rsidR="00453D50" w:rsidRPr="00410F45" w:rsidRDefault="00453D50" w:rsidP="00616580">
            <w:pPr>
              <w:spacing w:after="0" w:line="240" w:lineRule="auto"/>
              <w:jc w:val="center"/>
              <w:rPr>
                <w:rFonts w:ascii="Arial Narrow" w:eastAsia="Times New Roman" w:hAnsi="Arial Narrow" w:cs="Calibri"/>
                <w:color w:val="000000"/>
                <w:sz w:val="16"/>
                <w:szCs w:val="16"/>
                <w:lang w:eastAsia="sk-SK"/>
              </w:rPr>
            </w:pPr>
            <w:r w:rsidRPr="00410F45">
              <w:rPr>
                <w:rFonts w:ascii="Arial Narrow" w:eastAsia="Times New Roman" w:hAnsi="Arial Narrow" w:cs="Calibri"/>
                <w:color w:val="000000"/>
                <w:sz w:val="16"/>
                <w:szCs w:val="16"/>
                <w:lang w:eastAsia="sk-SK"/>
              </w:rPr>
              <w:t> </w:t>
            </w:r>
          </w:p>
        </w:tc>
        <w:tc>
          <w:tcPr>
            <w:tcW w:w="560" w:type="dxa"/>
            <w:tcBorders>
              <w:top w:val="nil"/>
              <w:left w:val="nil"/>
              <w:bottom w:val="single" w:sz="4" w:space="0" w:color="auto"/>
              <w:right w:val="nil"/>
            </w:tcBorders>
            <w:shd w:val="clear" w:color="auto" w:fill="auto"/>
            <w:vAlign w:val="center"/>
            <w:hideMark/>
          </w:tcPr>
          <w:p w14:paraId="451D7CE1" w14:textId="77777777" w:rsidR="00453D50" w:rsidRPr="00410F45" w:rsidRDefault="00453D50" w:rsidP="00616580">
            <w:pPr>
              <w:spacing w:after="0" w:line="240" w:lineRule="auto"/>
              <w:rPr>
                <w:rFonts w:ascii="Arial Narrow" w:eastAsia="Times New Roman" w:hAnsi="Arial Narrow" w:cs="Calibri"/>
                <w:color w:val="4472C4"/>
                <w:sz w:val="16"/>
                <w:szCs w:val="16"/>
                <w:lang w:eastAsia="sk-SK"/>
              </w:rPr>
            </w:pPr>
            <w:r w:rsidRPr="00410F45">
              <w:rPr>
                <w:rFonts w:ascii="Arial Narrow" w:eastAsia="Times New Roman" w:hAnsi="Arial Narrow" w:cs="Calibri"/>
                <w:color w:val="4472C4"/>
                <w:sz w:val="16"/>
                <w:szCs w:val="16"/>
                <w:lang w:eastAsia="sk-SK"/>
              </w:rPr>
              <w:t>EK</w:t>
            </w:r>
          </w:p>
        </w:tc>
        <w:tc>
          <w:tcPr>
            <w:tcW w:w="700" w:type="dxa"/>
            <w:tcBorders>
              <w:top w:val="nil"/>
              <w:left w:val="nil"/>
              <w:bottom w:val="single" w:sz="4" w:space="0" w:color="auto"/>
              <w:right w:val="nil"/>
            </w:tcBorders>
            <w:shd w:val="clear" w:color="auto" w:fill="auto"/>
            <w:vAlign w:val="center"/>
            <w:hideMark/>
          </w:tcPr>
          <w:p w14:paraId="174C94D0"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1.60</w:t>
            </w:r>
          </w:p>
        </w:tc>
        <w:tc>
          <w:tcPr>
            <w:tcW w:w="700" w:type="dxa"/>
            <w:tcBorders>
              <w:top w:val="nil"/>
              <w:left w:val="nil"/>
              <w:bottom w:val="single" w:sz="4" w:space="0" w:color="auto"/>
              <w:right w:val="nil"/>
            </w:tcBorders>
            <w:shd w:val="clear" w:color="auto" w:fill="auto"/>
            <w:vAlign w:val="center"/>
            <w:hideMark/>
          </w:tcPr>
          <w:p w14:paraId="6FF5B791"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2.23</w:t>
            </w:r>
          </w:p>
        </w:tc>
        <w:tc>
          <w:tcPr>
            <w:tcW w:w="700" w:type="dxa"/>
            <w:tcBorders>
              <w:top w:val="nil"/>
              <w:left w:val="nil"/>
              <w:bottom w:val="single" w:sz="4" w:space="0" w:color="auto"/>
              <w:right w:val="nil"/>
            </w:tcBorders>
            <w:shd w:val="clear" w:color="auto" w:fill="auto"/>
            <w:vAlign w:val="center"/>
            <w:hideMark/>
          </w:tcPr>
          <w:p w14:paraId="409024DF"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3.22</w:t>
            </w:r>
          </w:p>
        </w:tc>
        <w:tc>
          <w:tcPr>
            <w:tcW w:w="700" w:type="dxa"/>
            <w:tcBorders>
              <w:top w:val="nil"/>
              <w:left w:val="nil"/>
              <w:bottom w:val="single" w:sz="4" w:space="0" w:color="auto"/>
              <w:right w:val="nil"/>
            </w:tcBorders>
            <w:shd w:val="clear" w:color="auto" w:fill="auto"/>
            <w:vAlign w:val="center"/>
            <w:hideMark/>
          </w:tcPr>
          <w:p w14:paraId="74E347C4"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1.65</w:t>
            </w:r>
          </w:p>
        </w:tc>
        <w:tc>
          <w:tcPr>
            <w:tcW w:w="700" w:type="dxa"/>
            <w:tcBorders>
              <w:top w:val="nil"/>
              <w:left w:val="nil"/>
              <w:bottom w:val="single" w:sz="4" w:space="0" w:color="auto"/>
              <w:right w:val="nil"/>
            </w:tcBorders>
            <w:shd w:val="clear" w:color="auto" w:fill="auto"/>
            <w:vAlign w:val="center"/>
            <w:hideMark/>
          </w:tcPr>
          <w:p w14:paraId="4E45125A"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1.39</w:t>
            </w:r>
          </w:p>
        </w:tc>
        <w:tc>
          <w:tcPr>
            <w:tcW w:w="700" w:type="dxa"/>
            <w:tcBorders>
              <w:top w:val="nil"/>
              <w:left w:val="nil"/>
              <w:bottom w:val="single" w:sz="4" w:space="0" w:color="auto"/>
              <w:right w:val="nil"/>
            </w:tcBorders>
            <w:shd w:val="clear" w:color="auto" w:fill="auto"/>
            <w:vAlign w:val="center"/>
            <w:hideMark/>
          </w:tcPr>
          <w:p w14:paraId="4ADDF31E"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1.38</w:t>
            </w:r>
          </w:p>
        </w:tc>
        <w:tc>
          <w:tcPr>
            <w:tcW w:w="700" w:type="dxa"/>
            <w:tcBorders>
              <w:top w:val="nil"/>
              <w:left w:val="nil"/>
              <w:bottom w:val="single" w:sz="4" w:space="0" w:color="auto"/>
              <w:right w:val="nil"/>
            </w:tcBorders>
            <w:shd w:val="clear" w:color="auto" w:fill="auto"/>
            <w:vAlign w:val="center"/>
            <w:hideMark/>
          </w:tcPr>
          <w:p w14:paraId="3FC4995E"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1.57</w:t>
            </w:r>
          </w:p>
        </w:tc>
        <w:tc>
          <w:tcPr>
            <w:tcW w:w="700" w:type="dxa"/>
            <w:tcBorders>
              <w:top w:val="nil"/>
              <w:left w:val="nil"/>
              <w:bottom w:val="single" w:sz="4" w:space="0" w:color="auto"/>
              <w:right w:val="nil"/>
            </w:tcBorders>
            <w:shd w:val="clear" w:color="auto" w:fill="auto"/>
            <w:vAlign w:val="center"/>
            <w:hideMark/>
          </w:tcPr>
          <w:p w14:paraId="743C9252"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1.61</w:t>
            </w:r>
          </w:p>
        </w:tc>
        <w:tc>
          <w:tcPr>
            <w:tcW w:w="927" w:type="dxa"/>
            <w:tcBorders>
              <w:top w:val="nil"/>
              <w:left w:val="nil"/>
              <w:bottom w:val="single" w:sz="4" w:space="0" w:color="auto"/>
              <w:right w:val="nil"/>
            </w:tcBorders>
            <w:shd w:val="clear" w:color="auto" w:fill="auto"/>
            <w:vAlign w:val="center"/>
            <w:hideMark/>
          </w:tcPr>
          <w:p w14:paraId="52C65890"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1.58</w:t>
            </w:r>
          </w:p>
        </w:tc>
      </w:tr>
      <w:tr w:rsidR="00453D50" w:rsidRPr="00C66F1C" w14:paraId="1A335F5F" w14:textId="77777777" w:rsidTr="00616580">
        <w:trPr>
          <w:trHeight w:val="300"/>
        </w:trPr>
        <w:tc>
          <w:tcPr>
            <w:tcW w:w="380" w:type="dxa"/>
            <w:tcBorders>
              <w:top w:val="nil"/>
              <w:left w:val="nil"/>
              <w:bottom w:val="nil"/>
              <w:right w:val="nil"/>
            </w:tcBorders>
            <w:shd w:val="clear" w:color="auto" w:fill="auto"/>
            <w:vAlign w:val="center"/>
            <w:hideMark/>
          </w:tcPr>
          <w:p w14:paraId="26D840A3"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w:t>
            </w:r>
          </w:p>
        </w:tc>
        <w:tc>
          <w:tcPr>
            <w:tcW w:w="1747" w:type="dxa"/>
            <w:tcBorders>
              <w:top w:val="single" w:sz="4" w:space="0" w:color="auto"/>
              <w:left w:val="nil"/>
              <w:bottom w:val="nil"/>
              <w:right w:val="nil"/>
            </w:tcBorders>
            <w:shd w:val="clear" w:color="auto" w:fill="auto"/>
            <w:vAlign w:val="center"/>
            <w:hideMark/>
          </w:tcPr>
          <w:p w14:paraId="51346BEE" w14:textId="77777777" w:rsidR="00453D50" w:rsidRPr="00410F45" w:rsidRDefault="00453D50" w:rsidP="00616580">
            <w:pPr>
              <w:spacing w:after="0" w:line="240" w:lineRule="auto"/>
              <w:rPr>
                <w:rFonts w:ascii="Arial Narrow" w:eastAsia="Times New Roman" w:hAnsi="Arial Narrow" w:cs="Calibri"/>
                <w:color w:val="000000"/>
                <w:sz w:val="16"/>
                <w:szCs w:val="16"/>
                <w:lang w:eastAsia="sk-SK"/>
              </w:rPr>
            </w:pPr>
            <w:r w:rsidRPr="00410F45">
              <w:rPr>
                <w:rFonts w:ascii="Arial Narrow" w:eastAsia="Times New Roman" w:hAnsi="Arial Narrow" w:cs="Calibri"/>
                <w:color w:val="000000"/>
                <w:sz w:val="16"/>
                <w:szCs w:val="16"/>
                <w:lang w:eastAsia="sk-SK"/>
              </w:rPr>
              <w:t>Potenciálny HDP (% rast)</w:t>
            </w:r>
          </w:p>
        </w:tc>
        <w:tc>
          <w:tcPr>
            <w:tcW w:w="560" w:type="dxa"/>
            <w:tcBorders>
              <w:top w:val="nil"/>
              <w:left w:val="nil"/>
              <w:bottom w:val="nil"/>
              <w:right w:val="nil"/>
            </w:tcBorders>
            <w:shd w:val="clear" w:color="auto" w:fill="auto"/>
            <w:vAlign w:val="center"/>
            <w:hideMark/>
          </w:tcPr>
          <w:p w14:paraId="631D6492" w14:textId="77777777" w:rsidR="00453D50" w:rsidRPr="00410F45" w:rsidRDefault="00453D50" w:rsidP="00616580">
            <w:pPr>
              <w:spacing w:after="0" w:line="240" w:lineRule="auto"/>
              <w:rPr>
                <w:rFonts w:ascii="Arial Narrow" w:eastAsia="Times New Roman" w:hAnsi="Arial Narrow" w:cs="Calibri"/>
                <w:color w:val="000000"/>
                <w:sz w:val="16"/>
                <w:szCs w:val="16"/>
                <w:lang w:eastAsia="sk-SK"/>
              </w:rPr>
            </w:pPr>
            <w:r w:rsidRPr="00410F45">
              <w:rPr>
                <w:rFonts w:ascii="Arial Narrow" w:eastAsia="Times New Roman" w:hAnsi="Arial Narrow" w:cs="Calibri"/>
                <w:color w:val="000000"/>
                <w:sz w:val="16"/>
                <w:szCs w:val="16"/>
                <w:lang w:eastAsia="sk-SK"/>
              </w:rPr>
              <w:t>MF SR</w:t>
            </w:r>
          </w:p>
        </w:tc>
        <w:tc>
          <w:tcPr>
            <w:tcW w:w="700" w:type="dxa"/>
            <w:tcBorders>
              <w:top w:val="nil"/>
              <w:left w:val="nil"/>
              <w:bottom w:val="nil"/>
              <w:right w:val="nil"/>
            </w:tcBorders>
            <w:shd w:val="clear" w:color="auto" w:fill="auto"/>
            <w:vAlign w:val="center"/>
            <w:hideMark/>
          </w:tcPr>
          <w:p w14:paraId="79A83071"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2.41</w:t>
            </w:r>
          </w:p>
        </w:tc>
        <w:tc>
          <w:tcPr>
            <w:tcW w:w="700" w:type="dxa"/>
            <w:tcBorders>
              <w:top w:val="nil"/>
              <w:left w:val="nil"/>
              <w:bottom w:val="nil"/>
              <w:right w:val="nil"/>
            </w:tcBorders>
            <w:shd w:val="clear" w:color="auto" w:fill="auto"/>
            <w:vAlign w:val="center"/>
            <w:hideMark/>
          </w:tcPr>
          <w:p w14:paraId="44576579"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2.32</w:t>
            </w:r>
          </w:p>
        </w:tc>
        <w:tc>
          <w:tcPr>
            <w:tcW w:w="700" w:type="dxa"/>
            <w:tcBorders>
              <w:top w:val="nil"/>
              <w:left w:val="nil"/>
              <w:bottom w:val="nil"/>
              <w:right w:val="nil"/>
            </w:tcBorders>
            <w:shd w:val="clear" w:color="auto" w:fill="auto"/>
            <w:vAlign w:val="center"/>
            <w:hideMark/>
          </w:tcPr>
          <w:p w14:paraId="67DCA7B3"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2.26</w:t>
            </w:r>
          </w:p>
        </w:tc>
        <w:tc>
          <w:tcPr>
            <w:tcW w:w="700" w:type="dxa"/>
            <w:tcBorders>
              <w:top w:val="nil"/>
              <w:left w:val="nil"/>
              <w:bottom w:val="nil"/>
              <w:right w:val="nil"/>
            </w:tcBorders>
            <w:shd w:val="clear" w:color="auto" w:fill="auto"/>
            <w:vAlign w:val="center"/>
            <w:hideMark/>
          </w:tcPr>
          <w:p w14:paraId="171A6894"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2.24</w:t>
            </w:r>
          </w:p>
        </w:tc>
        <w:tc>
          <w:tcPr>
            <w:tcW w:w="700" w:type="dxa"/>
            <w:tcBorders>
              <w:top w:val="nil"/>
              <w:left w:val="nil"/>
              <w:bottom w:val="nil"/>
              <w:right w:val="nil"/>
            </w:tcBorders>
            <w:shd w:val="clear" w:color="auto" w:fill="auto"/>
            <w:vAlign w:val="center"/>
            <w:hideMark/>
          </w:tcPr>
          <w:p w14:paraId="6B2AB47A"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1.90</w:t>
            </w:r>
          </w:p>
        </w:tc>
        <w:tc>
          <w:tcPr>
            <w:tcW w:w="700" w:type="dxa"/>
            <w:tcBorders>
              <w:top w:val="nil"/>
              <w:left w:val="nil"/>
              <w:bottom w:val="nil"/>
              <w:right w:val="nil"/>
            </w:tcBorders>
            <w:shd w:val="clear" w:color="auto" w:fill="auto"/>
            <w:vAlign w:val="center"/>
            <w:hideMark/>
          </w:tcPr>
          <w:p w14:paraId="605AADCB"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1.80</w:t>
            </w:r>
          </w:p>
        </w:tc>
        <w:tc>
          <w:tcPr>
            <w:tcW w:w="700" w:type="dxa"/>
            <w:tcBorders>
              <w:top w:val="nil"/>
              <w:left w:val="nil"/>
              <w:bottom w:val="nil"/>
              <w:right w:val="nil"/>
            </w:tcBorders>
            <w:shd w:val="clear" w:color="auto" w:fill="auto"/>
            <w:vAlign w:val="center"/>
            <w:hideMark/>
          </w:tcPr>
          <w:p w14:paraId="11CA4028"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1.65</w:t>
            </w:r>
          </w:p>
        </w:tc>
        <w:tc>
          <w:tcPr>
            <w:tcW w:w="700" w:type="dxa"/>
            <w:tcBorders>
              <w:top w:val="nil"/>
              <w:left w:val="nil"/>
              <w:bottom w:val="nil"/>
              <w:right w:val="nil"/>
            </w:tcBorders>
            <w:shd w:val="clear" w:color="auto" w:fill="auto"/>
            <w:vAlign w:val="center"/>
            <w:hideMark/>
          </w:tcPr>
          <w:p w14:paraId="170BF83B"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1.61</w:t>
            </w:r>
          </w:p>
        </w:tc>
        <w:tc>
          <w:tcPr>
            <w:tcW w:w="927" w:type="dxa"/>
            <w:tcBorders>
              <w:top w:val="nil"/>
              <w:left w:val="nil"/>
              <w:bottom w:val="nil"/>
              <w:right w:val="nil"/>
            </w:tcBorders>
            <w:shd w:val="clear" w:color="auto" w:fill="auto"/>
            <w:vAlign w:val="center"/>
            <w:hideMark/>
          </w:tcPr>
          <w:p w14:paraId="413E9DAA"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1.65</w:t>
            </w:r>
          </w:p>
        </w:tc>
      </w:tr>
      <w:tr w:rsidR="00453D50" w:rsidRPr="00C66F1C" w14:paraId="3FE6A80B" w14:textId="77777777" w:rsidTr="00616580">
        <w:trPr>
          <w:trHeight w:val="300"/>
        </w:trPr>
        <w:tc>
          <w:tcPr>
            <w:tcW w:w="380" w:type="dxa"/>
            <w:tcBorders>
              <w:top w:val="nil"/>
              <w:left w:val="nil"/>
              <w:bottom w:val="single" w:sz="4" w:space="0" w:color="auto"/>
              <w:right w:val="nil"/>
            </w:tcBorders>
            <w:shd w:val="clear" w:color="auto" w:fill="auto"/>
            <w:vAlign w:val="center"/>
            <w:hideMark/>
          </w:tcPr>
          <w:p w14:paraId="3FDE8678"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 </w:t>
            </w:r>
          </w:p>
        </w:tc>
        <w:tc>
          <w:tcPr>
            <w:tcW w:w="1747" w:type="dxa"/>
            <w:tcBorders>
              <w:top w:val="nil"/>
              <w:left w:val="nil"/>
              <w:bottom w:val="single" w:sz="4" w:space="0" w:color="auto"/>
              <w:right w:val="nil"/>
            </w:tcBorders>
            <w:shd w:val="clear" w:color="auto" w:fill="auto"/>
            <w:vAlign w:val="center"/>
            <w:hideMark/>
          </w:tcPr>
          <w:p w14:paraId="56D983F5" w14:textId="77777777" w:rsidR="00453D50" w:rsidRPr="00410F45" w:rsidRDefault="00453D50" w:rsidP="00616580">
            <w:pPr>
              <w:spacing w:after="0" w:line="240" w:lineRule="auto"/>
              <w:jc w:val="center"/>
              <w:rPr>
                <w:rFonts w:ascii="Arial Narrow" w:eastAsia="Times New Roman" w:hAnsi="Arial Narrow" w:cs="Calibri"/>
                <w:color w:val="000000"/>
                <w:sz w:val="16"/>
                <w:szCs w:val="16"/>
                <w:lang w:eastAsia="sk-SK"/>
              </w:rPr>
            </w:pPr>
            <w:r w:rsidRPr="00410F45">
              <w:rPr>
                <w:rFonts w:ascii="Arial Narrow" w:eastAsia="Times New Roman" w:hAnsi="Arial Narrow" w:cs="Calibri"/>
                <w:color w:val="000000"/>
                <w:sz w:val="16"/>
                <w:szCs w:val="16"/>
                <w:lang w:eastAsia="sk-SK"/>
              </w:rPr>
              <w:t> </w:t>
            </w:r>
          </w:p>
        </w:tc>
        <w:tc>
          <w:tcPr>
            <w:tcW w:w="560" w:type="dxa"/>
            <w:tcBorders>
              <w:top w:val="nil"/>
              <w:left w:val="nil"/>
              <w:bottom w:val="single" w:sz="4" w:space="0" w:color="auto"/>
              <w:right w:val="nil"/>
            </w:tcBorders>
            <w:shd w:val="clear" w:color="auto" w:fill="auto"/>
            <w:vAlign w:val="center"/>
            <w:hideMark/>
          </w:tcPr>
          <w:p w14:paraId="71A82A17" w14:textId="77777777" w:rsidR="00453D50" w:rsidRPr="00410F45" w:rsidRDefault="00453D50" w:rsidP="00616580">
            <w:pPr>
              <w:spacing w:after="0" w:line="240" w:lineRule="auto"/>
              <w:rPr>
                <w:rFonts w:ascii="Arial Narrow" w:eastAsia="Times New Roman" w:hAnsi="Arial Narrow" w:cs="Calibri"/>
                <w:color w:val="4472C4"/>
                <w:sz w:val="16"/>
                <w:szCs w:val="16"/>
                <w:lang w:eastAsia="sk-SK"/>
              </w:rPr>
            </w:pPr>
            <w:r w:rsidRPr="00410F45">
              <w:rPr>
                <w:rFonts w:ascii="Arial Narrow" w:eastAsia="Times New Roman" w:hAnsi="Arial Narrow" w:cs="Calibri"/>
                <w:color w:val="4472C4"/>
                <w:sz w:val="16"/>
                <w:szCs w:val="16"/>
                <w:lang w:eastAsia="sk-SK"/>
              </w:rPr>
              <w:t>EK</w:t>
            </w:r>
          </w:p>
        </w:tc>
        <w:tc>
          <w:tcPr>
            <w:tcW w:w="700" w:type="dxa"/>
            <w:tcBorders>
              <w:top w:val="nil"/>
              <w:left w:val="nil"/>
              <w:bottom w:val="single" w:sz="4" w:space="0" w:color="auto"/>
              <w:right w:val="nil"/>
            </w:tcBorders>
            <w:shd w:val="clear" w:color="auto" w:fill="auto"/>
            <w:vAlign w:val="center"/>
            <w:hideMark/>
          </w:tcPr>
          <w:p w14:paraId="5B639742"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2.77</w:t>
            </w:r>
          </w:p>
        </w:tc>
        <w:tc>
          <w:tcPr>
            <w:tcW w:w="700" w:type="dxa"/>
            <w:tcBorders>
              <w:top w:val="nil"/>
              <w:left w:val="nil"/>
              <w:bottom w:val="single" w:sz="4" w:space="0" w:color="auto"/>
              <w:right w:val="nil"/>
            </w:tcBorders>
            <w:shd w:val="clear" w:color="auto" w:fill="auto"/>
            <w:vAlign w:val="center"/>
            <w:hideMark/>
          </w:tcPr>
          <w:p w14:paraId="16AEB631"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2.33</w:t>
            </w:r>
          </w:p>
        </w:tc>
        <w:tc>
          <w:tcPr>
            <w:tcW w:w="700" w:type="dxa"/>
            <w:tcBorders>
              <w:top w:val="nil"/>
              <w:left w:val="nil"/>
              <w:bottom w:val="single" w:sz="4" w:space="0" w:color="auto"/>
              <w:right w:val="nil"/>
            </w:tcBorders>
            <w:shd w:val="clear" w:color="auto" w:fill="auto"/>
            <w:vAlign w:val="center"/>
            <w:hideMark/>
          </w:tcPr>
          <w:p w14:paraId="479028E7"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2.41</w:t>
            </w:r>
          </w:p>
        </w:tc>
        <w:tc>
          <w:tcPr>
            <w:tcW w:w="700" w:type="dxa"/>
            <w:tcBorders>
              <w:top w:val="nil"/>
              <w:left w:val="nil"/>
              <w:bottom w:val="single" w:sz="4" w:space="0" w:color="auto"/>
              <w:right w:val="nil"/>
            </w:tcBorders>
            <w:shd w:val="clear" w:color="auto" w:fill="auto"/>
            <w:vAlign w:val="center"/>
            <w:hideMark/>
          </w:tcPr>
          <w:p w14:paraId="007DFB1E"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1.69</w:t>
            </w:r>
          </w:p>
        </w:tc>
        <w:tc>
          <w:tcPr>
            <w:tcW w:w="700" w:type="dxa"/>
            <w:tcBorders>
              <w:top w:val="nil"/>
              <w:left w:val="nil"/>
              <w:bottom w:val="single" w:sz="4" w:space="0" w:color="auto"/>
              <w:right w:val="nil"/>
            </w:tcBorders>
            <w:shd w:val="clear" w:color="auto" w:fill="auto"/>
            <w:vAlign w:val="center"/>
            <w:hideMark/>
          </w:tcPr>
          <w:p w14:paraId="7C174F2A"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1.43</w:t>
            </w:r>
          </w:p>
        </w:tc>
        <w:tc>
          <w:tcPr>
            <w:tcW w:w="700" w:type="dxa"/>
            <w:tcBorders>
              <w:top w:val="nil"/>
              <w:left w:val="nil"/>
              <w:bottom w:val="single" w:sz="4" w:space="0" w:color="auto"/>
              <w:right w:val="nil"/>
            </w:tcBorders>
            <w:shd w:val="clear" w:color="auto" w:fill="auto"/>
            <w:vAlign w:val="center"/>
            <w:hideMark/>
          </w:tcPr>
          <w:p w14:paraId="2544F0FA"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1.40</w:t>
            </w:r>
          </w:p>
        </w:tc>
        <w:tc>
          <w:tcPr>
            <w:tcW w:w="700" w:type="dxa"/>
            <w:tcBorders>
              <w:top w:val="nil"/>
              <w:left w:val="nil"/>
              <w:bottom w:val="single" w:sz="4" w:space="0" w:color="auto"/>
              <w:right w:val="nil"/>
            </w:tcBorders>
            <w:shd w:val="clear" w:color="auto" w:fill="auto"/>
            <w:vAlign w:val="center"/>
            <w:hideMark/>
          </w:tcPr>
          <w:p w14:paraId="60DD696E"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1.57</w:t>
            </w:r>
          </w:p>
        </w:tc>
        <w:tc>
          <w:tcPr>
            <w:tcW w:w="700" w:type="dxa"/>
            <w:tcBorders>
              <w:top w:val="nil"/>
              <w:left w:val="nil"/>
              <w:bottom w:val="single" w:sz="4" w:space="0" w:color="auto"/>
              <w:right w:val="nil"/>
            </w:tcBorders>
            <w:shd w:val="clear" w:color="auto" w:fill="auto"/>
            <w:vAlign w:val="center"/>
            <w:hideMark/>
          </w:tcPr>
          <w:p w14:paraId="29228D29"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1.61</w:t>
            </w:r>
          </w:p>
        </w:tc>
        <w:tc>
          <w:tcPr>
            <w:tcW w:w="927" w:type="dxa"/>
            <w:tcBorders>
              <w:top w:val="nil"/>
              <w:left w:val="nil"/>
              <w:bottom w:val="single" w:sz="4" w:space="0" w:color="auto"/>
              <w:right w:val="nil"/>
            </w:tcBorders>
            <w:shd w:val="clear" w:color="auto" w:fill="auto"/>
            <w:vAlign w:val="center"/>
            <w:hideMark/>
          </w:tcPr>
          <w:p w14:paraId="2D8E1C76"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1.58</w:t>
            </w:r>
          </w:p>
        </w:tc>
      </w:tr>
      <w:tr w:rsidR="00453D50" w:rsidRPr="00C66F1C" w14:paraId="57869F92" w14:textId="77777777" w:rsidTr="00616580">
        <w:trPr>
          <w:trHeight w:val="300"/>
        </w:trPr>
        <w:tc>
          <w:tcPr>
            <w:tcW w:w="380" w:type="dxa"/>
            <w:tcBorders>
              <w:top w:val="nil"/>
              <w:left w:val="nil"/>
              <w:bottom w:val="nil"/>
              <w:right w:val="nil"/>
            </w:tcBorders>
            <w:shd w:val="clear" w:color="auto" w:fill="auto"/>
            <w:vAlign w:val="center"/>
            <w:hideMark/>
          </w:tcPr>
          <w:p w14:paraId="0EC98B49"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3</w:t>
            </w:r>
          </w:p>
        </w:tc>
        <w:tc>
          <w:tcPr>
            <w:tcW w:w="1747" w:type="dxa"/>
            <w:tcBorders>
              <w:top w:val="single" w:sz="4" w:space="0" w:color="auto"/>
              <w:left w:val="nil"/>
              <w:bottom w:val="nil"/>
              <w:right w:val="nil"/>
            </w:tcBorders>
            <w:shd w:val="clear" w:color="auto" w:fill="auto"/>
            <w:vAlign w:val="center"/>
            <w:hideMark/>
          </w:tcPr>
          <w:p w14:paraId="64F12877" w14:textId="77777777" w:rsidR="00453D50" w:rsidRPr="00410F45" w:rsidRDefault="00453D50" w:rsidP="00616580">
            <w:pPr>
              <w:spacing w:after="0" w:line="240" w:lineRule="auto"/>
              <w:rPr>
                <w:rFonts w:ascii="Arial Narrow" w:eastAsia="Times New Roman" w:hAnsi="Arial Narrow" w:cs="Calibri"/>
                <w:color w:val="000000"/>
                <w:sz w:val="16"/>
                <w:szCs w:val="16"/>
                <w:lang w:eastAsia="sk-SK"/>
              </w:rPr>
            </w:pPr>
            <w:r w:rsidRPr="00410F45">
              <w:rPr>
                <w:rFonts w:ascii="Arial Narrow" w:eastAsia="Times New Roman" w:hAnsi="Arial Narrow" w:cs="Calibri"/>
                <w:color w:val="000000"/>
                <w:sz w:val="16"/>
                <w:szCs w:val="16"/>
                <w:lang w:eastAsia="sk-SK"/>
              </w:rPr>
              <w:t>Deflátor HDP (% rast)</w:t>
            </w:r>
          </w:p>
        </w:tc>
        <w:tc>
          <w:tcPr>
            <w:tcW w:w="560" w:type="dxa"/>
            <w:tcBorders>
              <w:top w:val="nil"/>
              <w:left w:val="nil"/>
              <w:bottom w:val="nil"/>
              <w:right w:val="nil"/>
            </w:tcBorders>
            <w:shd w:val="clear" w:color="auto" w:fill="auto"/>
            <w:vAlign w:val="center"/>
            <w:hideMark/>
          </w:tcPr>
          <w:p w14:paraId="12AA38DF" w14:textId="77777777" w:rsidR="00453D50" w:rsidRPr="00410F45" w:rsidRDefault="00453D50" w:rsidP="00616580">
            <w:pPr>
              <w:spacing w:after="0" w:line="240" w:lineRule="auto"/>
              <w:rPr>
                <w:rFonts w:ascii="Arial Narrow" w:eastAsia="Times New Roman" w:hAnsi="Arial Narrow" w:cs="Calibri"/>
                <w:color w:val="000000"/>
                <w:sz w:val="16"/>
                <w:szCs w:val="16"/>
                <w:lang w:eastAsia="sk-SK"/>
              </w:rPr>
            </w:pPr>
            <w:r w:rsidRPr="00410F45">
              <w:rPr>
                <w:rFonts w:ascii="Arial Narrow" w:eastAsia="Times New Roman" w:hAnsi="Arial Narrow" w:cs="Calibri"/>
                <w:color w:val="000000"/>
                <w:sz w:val="16"/>
                <w:szCs w:val="16"/>
                <w:lang w:eastAsia="sk-SK"/>
              </w:rPr>
              <w:t>MF SR</w:t>
            </w:r>
          </w:p>
        </w:tc>
        <w:tc>
          <w:tcPr>
            <w:tcW w:w="700" w:type="dxa"/>
            <w:tcBorders>
              <w:top w:val="nil"/>
              <w:left w:val="nil"/>
              <w:bottom w:val="nil"/>
              <w:right w:val="nil"/>
            </w:tcBorders>
            <w:shd w:val="clear" w:color="auto" w:fill="auto"/>
            <w:vAlign w:val="center"/>
            <w:hideMark/>
          </w:tcPr>
          <w:p w14:paraId="27547C1C"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10.13</w:t>
            </w:r>
          </w:p>
        </w:tc>
        <w:tc>
          <w:tcPr>
            <w:tcW w:w="700" w:type="dxa"/>
            <w:tcBorders>
              <w:top w:val="nil"/>
              <w:left w:val="nil"/>
              <w:bottom w:val="nil"/>
              <w:right w:val="nil"/>
            </w:tcBorders>
            <w:shd w:val="clear" w:color="auto" w:fill="auto"/>
            <w:vAlign w:val="center"/>
            <w:hideMark/>
          </w:tcPr>
          <w:p w14:paraId="6F2A0161"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4.43</w:t>
            </w:r>
          </w:p>
        </w:tc>
        <w:tc>
          <w:tcPr>
            <w:tcW w:w="700" w:type="dxa"/>
            <w:tcBorders>
              <w:top w:val="nil"/>
              <w:left w:val="nil"/>
              <w:bottom w:val="nil"/>
              <w:right w:val="nil"/>
            </w:tcBorders>
            <w:shd w:val="clear" w:color="auto" w:fill="auto"/>
            <w:vAlign w:val="center"/>
            <w:hideMark/>
          </w:tcPr>
          <w:p w14:paraId="3983E3D2"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4.31</w:t>
            </w:r>
          </w:p>
        </w:tc>
        <w:tc>
          <w:tcPr>
            <w:tcW w:w="700" w:type="dxa"/>
            <w:tcBorders>
              <w:top w:val="nil"/>
              <w:left w:val="nil"/>
              <w:bottom w:val="nil"/>
              <w:right w:val="nil"/>
            </w:tcBorders>
            <w:shd w:val="clear" w:color="auto" w:fill="auto"/>
            <w:vAlign w:val="center"/>
            <w:hideMark/>
          </w:tcPr>
          <w:p w14:paraId="13C7B341"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2.87</w:t>
            </w:r>
          </w:p>
        </w:tc>
        <w:tc>
          <w:tcPr>
            <w:tcW w:w="700" w:type="dxa"/>
            <w:tcBorders>
              <w:top w:val="nil"/>
              <w:left w:val="nil"/>
              <w:bottom w:val="nil"/>
              <w:right w:val="nil"/>
            </w:tcBorders>
            <w:shd w:val="clear" w:color="auto" w:fill="auto"/>
            <w:vAlign w:val="center"/>
            <w:hideMark/>
          </w:tcPr>
          <w:p w14:paraId="6F346E6C"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2.22</w:t>
            </w:r>
          </w:p>
        </w:tc>
        <w:tc>
          <w:tcPr>
            <w:tcW w:w="700" w:type="dxa"/>
            <w:tcBorders>
              <w:top w:val="nil"/>
              <w:left w:val="nil"/>
              <w:bottom w:val="nil"/>
              <w:right w:val="nil"/>
            </w:tcBorders>
            <w:shd w:val="clear" w:color="auto" w:fill="auto"/>
            <w:vAlign w:val="center"/>
            <w:hideMark/>
          </w:tcPr>
          <w:p w14:paraId="497D0CB6"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2.30</w:t>
            </w:r>
          </w:p>
        </w:tc>
        <w:tc>
          <w:tcPr>
            <w:tcW w:w="700" w:type="dxa"/>
            <w:tcBorders>
              <w:top w:val="nil"/>
              <w:left w:val="nil"/>
              <w:bottom w:val="nil"/>
              <w:right w:val="nil"/>
            </w:tcBorders>
            <w:shd w:val="clear" w:color="auto" w:fill="auto"/>
            <w:vAlign w:val="center"/>
            <w:hideMark/>
          </w:tcPr>
          <w:p w14:paraId="5D5D761C"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2.00</w:t>
            </w:r>
          </w:p>
        </w:tc>
        <w:tc>
          <w:tcPr>
            <w:tcW w:w="700" w:type="dxa"/>
            <w:tcBorders>
              <w:top w:val="nil"/>
              <w:left w:val="nil"/>
              <w:bottom w:val="nil"/>
              <w:right w:val="nil"/>
            </w:tcBorders>
            <w:shd w:val="clear" w:color="auto" w:fill="auto"/>
            <w:vAlign w:val="center"/>
            <w:hideMark/>
          </w:tcPr>
          <w:p w14:paraId="658901C3"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2.00</w:t>
            </w:r>
          </w:p>
        </w:tc>
        <w:tc>
          <w:tcPr>
            <w:tcW w:w="927" w:type="dxa"/>
            <w:tcBorders>
              <w:top w:val="nil"/>
              <w:left w:val="nil"/>
              <w:bottom w:val="nil"/>
              <w:right w:val="nil"/>
            </w:tcBorders>
            <w:shd w:val="clear" w:color="auto" w:fill="auto"/>
            <w:vAlign w:val="center"/>
            <w:hideMark/>
          </w:tcPr>
          <w:p w14:paraId="54157DC4"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2.00</w:t>
            </w:r>
          </w:p>
        </w:tc>
      </w:tr>
      <w:tr w:rsidR="00453D50" w:rsidRPr="00C66F1C" w14:paraId="14A1188A" w14:textId="77777777" w:rsidTr="00616580">
        <w:trPr>
          <w:trHeight w:val="300"/>
        </w:trPr>
        <w:tc>
          <w:tcPr>
            <w:tcW w:w="380" w:type="dxa"/>
            <w:tcBorders>
              <w:top w:val="nil"/>
              <w:left w:val="nil"/>
              <w:bottom w:val="single" w:sz="4" w:space="0" w:color="auto"/>
              <w:right w:val="nil"/>
            </w:tcBorders>
            <w:shd w:val="clear" w:color="auto" w:fill="auto"/>
            <w:vAlign w:val="center"/>
            <w:hideMark/>
          </w:tcPr>
          <w:p w14:paraId="62A475EF"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 </w:t>
            </w:r>
          </w:p>
        </w:tc>
        <w:tc>
          <w:tcPr>
            <w:tcW w:w="1747" w:type="dxa"/>
            <w:tcBorders>
              <w:top w:val="nil"/>
              <w:left w:val="nil"/>
              <w:bottom w:val="single" w:sz="4" w:space="0" w:color="auto"/>
              <w:right w:val="nil"/>
            </w:tcBorders>
            <w:shd w:val="clear" w:color="auto" w:fill="auto"/>
            <w:vAlign w:val="center"/>
            <w:hideMark/>
          </w:tcPr>
          <w:p w14:paraId="5A4D401E" w14:textId="77777777" w:rsidR="00453D50" w:rsidRPr="00410F45" w:rsidRDefault="00453D50" w:rsidP="00616580">
            <w:pPr>
              <w:spacing w:after="0" w:line="240" w:lineRule="auto"/>
              <w:jc w:val="center"/>
              <w:rPr>
                <w:rFonts w:ascii="Arial Narrow" w:eastAsia="Times New Roman" w:hAnsi="Arial Narrow" w:cs="Calibri"/>
                <w:color w:val="000000"/>
                <w:sz w:val="16"/>
                <w:szCs w:val="16"/>
                <w:lang w:eastAsia="sk-SK"/>
              </w:rPr>
            </w:pPr>
            <w:r w:rsidRPr="00410F45">
              <w:rPr>
                <w:rFonts w:ascii="Arial Narrow" w:eastAsia="Times New Roman" w:hAnsi="Arial Narrow" w:cs="Calibri"/>
                <w:color w:val="000000"/>
                <w:sz w:val="16"/>
                <w:szCs w:val="16"/>
                <w:lang w:eastAsia="sk-SK"/>
              </w:rPr>
              <w:t> </w:t>
            </w:r>
          </w:p>
        </w:tc>
        <w:tc>
          <w:tcPr>
            <w:tcW w:w="560" w:type="dxa"/>
            <w:tcBorders>
              <w:top w:val="nil"/>
              <w:left w:val="nil"/>
              <w:bottom w:val="single" w:sz="4" w:space="0" w:color="auto"/>
              <w:right w:val="nil"/>
            </w:tcBorders>
            <w:shd w:val="clear" w:color="auto" w:fill="auto"/>
            <w:vAlign w:val="center"/>
            <w:hideMark/>
          </w:tcPr>
          <w:p w14:paraId="60A1A71F" w14:textId="77777777" w:rsidR="00453D50" w:rsidRPr="00410F45" w:rsidRDefault="00453D50" w:rsidP="00616580">
            <w:pPr>
              <w:spacing w:after="0" w:line="240" w:lineRule="auto"/>
              <w:rPr>
                <w:rFonts w:ascii="Arial Narrow" w:eastAsia="Times New Roman" w:hAnsi="Arial Narrow" w:cs="Calibri"/>
                <w:color w:val="4472C4"/>
                <w:sz w:val="16"/>
                <w:szCs w:val="16"/>
                <w:lang w:eastAsia="sk-SK"/>
              </w:rPr>
            </w:pPr>
            <w:r w:rsidRPr="00410F45">
              <w:rPr>
                <w:rFonts w:ascii="Arial Narrow" w:eastAsia="Times New Roman" w:hAnsi="Arial Narrow" w:cs="Calibri"/>
                <w:color w:val="4472C4"/>
                <w:sz w:val="16"/>
                <w:szCs w:val="16"/>
                <w:lang w:eastAsia="sk-SK"/>
              </w:rPr>
              <w:t>EK</w:t>
            </w:r>
          </w:p>
        </w:tc>
        <w:tc>
          <w:tcPr>
            <w:tcW w:w="700" w:type="dxa"/>
            <w:tcBorders>
              <w:top w:val="nil"/>
              <w:left w:val="nil"/>
              <w:bottom w:val="single" w:sz="4" w:space="0" w:color="auto"/>
              <w:right w:val="nil"/>
            </w:tcBorders>
            <w:shd w:val="clear" w:color="auto" w:fill="auto"/>
            <w:vAlign w:val="center"/>
            <w:hideMark/>
          </w:tcPr>
          <w:p w14:paraId="34954381"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10.13</w:t>
            </w:r>
          </w:p>
        </w:tc>
        <w:tc>
          <w:tcPr>
            <w:tcW w:w="700" w:type="dxa"/>
            <w:tcBorders>
              <w:top w:val="nil"/>
              <w:left w:val="nil"/>
              <w:bottom w:val="single" w:sz="4" w:space="0" w:color="auto"/>
              <w:right w:val="nil"/>
            </w:tcBorders>
            <w:shd w:val="clear" w:color="auto" w:fill="auto"/>
            <w:vAlign w:val="center"/>
            <w:hideMark/>
          </w:tcPr>
          <w:p w14:paraId="5D4B6D46"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4.58</w:t>
            </w:r>
          </w:p>
        </w:tc>
        <w:tc>
          <w:tcPr>
            <w:tcW w:w="700" w:type="dxa"/>
            <w:tcBorders>
              <w:top w:val="nil"/>
              <w:left w:val="nil"/>
              <w:bottom w:val="single" w:sz="4" w:space="0" w:color="auto"/>
              <w:right w:val="nil"/>
            </w:tcBorders>
            <w:shd w:val="clear" w:color="auto" w:fill="auto"/>
            <w:vAlign w:val="center"/>
            <w:hideMark/>
          </w:tcPr>
          <w:p w14:paraId="31AC0639"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3.17</w:t>
            </w:r>
          </w:p>
        </w:tc>
        <w:tc>
          <w:tcPr>
            <w:tcW w:w="700" w:type="dxa"/>
            <w:tcBorders>
              <w:top w:val="nil"/>
              <w:left w:val="nil"/>
              <w:bottom w:val="single" w:sz="4" w:space="0" w:color="auto"/>
              <w:right w:val="nil"/>
            </w:tcBorders>
            <w:shd w:val="clear" w:color="auto" w:fill="auto"/>
            <w:vAlign w:val="center"/>
            <w:hideMark/>
          </w:tcPr>
          <w:p w14:paraId="2F7792D9"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3.09</w:t>
            </w:r>
          </w:p>
        </w:tc>
        <w:tc>
          <w:tcPr>
            <w:tcW w:w="700" w:type="dxa"/>
            <w:tcBorders>
              <w:top w:val="nil"/>
              <w:left w:val="nil"/>
              <w:bottom w:val="single" w:sz="4" w:space="0" w:color="auto"/>
              <w:right w:val="nil"/>
            </w:tcBorders>
            <w:shd w:val="clear" w:color="auto" w:fill="auto"/>
            <w:vAlign w:val="center"/>
            <w:hideMark/>
          </w:tcPr>
          <w:p w14:paraId="19495604"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3.02</w:t>
            </w:r>
          </w:p>
        </w:tc>
        <w:tc>
          <w:tcPr>
            <w:tcW w:w="700" w:type="dxa"/>
            <w:tcBorders>
              <w:top w:val="nil"/>
              <w:left w:val="nil"/>
              <w:bottom w:val="single" w:sz="4" w:space="0" w:color="auto"/>
              <w:right w:val="nil"/>
            </w:tcBorders>
            <w:shd w:val="clear" w:color="auto" w:fill="auto"/>
            <w:vAlign w:val="center"/>
            <w:hideMark/>
          </w:tcPr>
          <w:p w14:paraId="2D75A05C"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2.94</w:t>
            </w:r>
          </w:p>
        </w:tc>
        <w:tc>
          <w:tcPr>
            <w:tcW w:w="700" w:type="dxa"/>
            <w:tcBorders>
              <w:top w:val="nil"/>
              <w:left w:val="nil"/>
              <w:bottom w:val="single" w:sz="4" w:space="0" w:color="auto"/>
              <w:right w:val="nil"/>
            </w:tcBorders>
            <w:shd w:val="clear" w:color="auto" w:fill="auto"/>
            <w:vAlign w:val="center"/>
            <w:hideMark/>
          </w:tcPr>
          <w:p w14:paraId="1495B926"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2.55</w:t>
            </w:r>
          </w:p>
        </w:tc>
        <w:tc>
          <w:tcPr>
            <w:tcW w:w="700" w:type="dxa"/>
            <w:tcBorders>
              <w:top w:val="nil"/>
              <w:left w:val="nil"/>
              <w:bottom w:val="single" w:sz="4" w:space="0" w:color="auto"/>
              <w:right w:val="nil"/>
            </w:tcBorders>
            <w:shd w:val="clear" w:color="auto" w:fill="auto"/>
            <w:vAlign w:val="center"/>
            <w:hideMark/>
          </w:tcPr>
          <w:p w14:paraId="4EECA478"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2.41</w:t>
            </w:r>
          </w:p>
        </w:tc>
        <w:tc>
          <w:tcPr>
            <w:tcW w:w="927" w:type="dxa"/>
            <w:tcBorders>
              <w:top w:val="nil"/>
              <w:left w:val="nil"/>
              <w:bottom w:val="single" w:sz="4" w:space="0" w:color="auto"/>
              <w:right w:val="nil"/>
            </w:tcBorders>
            <w:shd w:val="clear" w:color="auto" w:fill="auto"/>
            <w:vAlign w:val="center"/>
            <w:hideMark/>
          </w:tcPr>
          <w:p w14:paraId="676E7C3D"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2.59</w:t>
            </w:r>
          </w:p>
        </w:tc>
      </w:tr>
      <w:tr w:rsidR="00453D50" w:rsidRPr="00C66F1C" w14:paraId="0F8A00BD" w14:textId="77777777" w:rsidTr="00616580">
        <w:trPr>
          <w:trHeight w:val="300"/>
        </w:trPr>
        <w:tc>
          <w:tcPr>
            <w:tcW w:w="380" w:type="dxa"/>
            <w:tcBorders>
              <w:top w:val="nil"/>
              <w:left w:val="nil"/>
              <w:bottom w:val="nil"/>
              <w:right w:val="nil"/>
            </w:tcBorders>
            <w:shd w:val="clear" w:color="auto" w:fill="auto"/>
            <w:vAlign w:val="center"/>
            <w:hideMark/>
          </w:tcPr>
          <w:p w14:paraId="03371A96"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4</w:t>
            </w:r>
          </w:p>
        </w:tc>
        <w:tc>
          <w:tcPr>
            <w:tcW w:w="1747" w:type="dxa"/>
            <w:tcBorders>
              <w:top w:val="single" w:sz="4" w:space="0" w:color="auto"/>
              <w:left w:val="nil"/>
              <w:bottom w:val="nil"/>
              <w:right w:val="nil"/>
            </w:tcBorders>
            <w:shd w:val="clear" w:color="auto" w:fill="auto"/>
            <w:vAlign w:val="center"/>
            <w:hideMark/>
          </w:tcPr>
          <w:p w14:paraId="7403A5A9" w14:textId="77777777" w:rsidR="00453D50" w:rsidRPr="00410F45" w:rsidRDefault="00453D50" w:rsidP="00616580">
            <w:pPr>
              <w:spacing w:after="0" w:line="240" w:lineRule="auto"/>
              <w:rPr>
                <w:rFonts w:ascii="Arial Narrow" w:eastAsia="Times New Roman" w:hAnsi="Arial Narrow" w:cs="Calibri"/>
                <w:color w:val="000000"/>
                <w:sz w:val="16"/>
                <w:szCs w:val="16"/>
                <w:lang w:eastAsia="sk-SK"/>
              </w:rPr>
            </w:pPr>
            <w:r w:rsidRPr="00410F45">
              <w:rPr>
                <w:rFonts w:ascii="Arial Narrow" w:eastAsia="Times New Roman" w:hAnsi="Arial Narrow" w:cs="Calibri"/>
                <w:color w:val="000000"/>
                <w:sz w:val="16"/>
                <w:szCs w:val="16"/>
                <w:lang w:eastAsia="sk-SK"/>
              </w:rPr>
              <w:t>Nominálny HDP (% rast)</w:t>
            </w:r>
          </w:p>
        </w:tc>
        <w:tc>
          <w:tcPr>
            <w:tcW w:w="560" w:type="dxa"/>
            <w:tcBorders>
              <w:top w:val="nil"/>
              <w:left w:val="nil"/>
              <w:bottom w:val="nil"/>
              <w:right w:val="nil"/>
            </w:tcBorders>
            <w:shd w:val="clear" w:color="auto" w:fill="auto"/>
            <w:vAlign w:val="center"/>
            <w:hideMark/>
          </w:tcPr>
          <w:p w14:paraId="4AF734F0" w14:textId="77777777" w:rsidR="00453D50" w:rsidRPr="00410F45" w:rsidRDefault="00453D50" w:rsidP="00616580">
            <w:pPr>
              <w:spacing w:after="0" w:line="240" w:lineRule="auto"/>
              <w:rPr>
                <w:rFonts w:ascii="Arial Narrow" w:eastAsia="Times New Roman" w:hAnsi="Arial Narrow" w:cs="Calibri"/>
                <w:color w:val="000000"/>
                <w:sz w:val="16"/>
                <w:szCs w:val="16"/>
                <w:lang w:eastAsia="sk-SK"/>
              </w:rPr>
            </w:pPr>
            <w:r w:rsidRPr="00410F45">
              <w:rPr>
                <w:rFonts w:ascii="Arial Narrow" w:eastAsia="Times New Roman" w:hAnsi="Arial Narrow" w:cs="Calibri"/>
                <w:color w:val="000000"/>
                <w:sz w:val="16"/>
                <w:szCs w:val="16"/>
                <w:lang w:eastAsia="sk-SK"/>
              </w:rPr>
              <w:t>MF SR</w:t>
            </w:r>
          </w:p>
        </w:tc>
        <w:tc>
          <w:tcPr>
            <w:tcW w:w="700" w:type="dxa"/>
            <w:tcBorders>
              <w:top w:val="nil"/>
              <w:left w:val="nil"/>
              <w:bottom w:val="nil"/>
              <w:right w:val="nil"/>
            </w:tcBorders>
            <w:shd w:val="clear" w:color="auto" w:fill="auto"/>
            <w:vAlign w:val="center"/>
            <w:hideMark/>
          </w:tcPr>
          <w:p w14:paraId="08B6C55D"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11.89</w:t>
            </w:r>
          </w:p>
        </w:tc>
        <w:tc>
          <w:tcPr>
            <w:tcW w:w="700" w:type="dxa"/>
            <w:tcBorders>
              <w:top w:val="nil"/>
              <w:left w:val="nil"/>
              <w:bottom w:val="nil"/>
              <w:right w:val="nil"/>
            </w:tcBorders>
            <w:shd w:val="clear" w:color="auto" w:fill="auto"/>
            <w:vAlign w:val="center"/>
            <w:hideMark/>
          </w:tcPr>
          <w:p w14:paraId="66BE4305"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6.83</w:t>
            </w:r>
          </w:p>
        </w:tc>
        <w:tc>
          <w:tcPr>
            <w:tcW w:w="700" w:type="dxa"/>
            <w:tcBorders>
              <w:top w:val="nil"/>
              <w:left w:val="nil"/>
              <w:bottom w:val="nil"/>
              <w:right w:val="nil"/>
            </w:tcBorders>
            <w:shd w:val="clear" w:color="auto" w:fill="auto"/>
            <w:vAlign w:val="center"/>
            <w:hideMark/>
          </w:tcPr>
          <w:p w14:paraId="2C1E0689"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6.63</w:t>
            </w:r>
          </w:p>
        </w:tc>
        <w:tc>
          <w:tcPr>
            <w:tcW w:w="700" w:type="dxa"/>
            <w:tcBorders>
              <w:top w:val="nil"/>
              <w:left w:val="nil"/>
              <w:bottom w:val="nil"/>
              <w:right w:val="nil"/>
            </w:tcBorders>
            <w:shd w:val="clear" w:color="auto" w:fill="auto"/>
            <w:vAlign w:val="center"/>
            <w:hideMark/>
          </w:tcPr>
          <w:p w14:paraId="16ED88F1"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5.29</w:t>
            </w:r>
          </w:p>
        </w:tc>
        <w:tc>
          <w:tcPr>
            <w:tcW w:w="700" w:type="dxa"/>
            <w:tcBorders>
              <w:top w:val="nil"/>
              <w:left w:val="nil"/>
              <w:bottom w:val="nil"/>
              <w:right w:val="nil"/>
            </w:tcBorders>
            <w:shd w:val="clear" w:color="auto" w:fill="auto"/>
            <w:vAlign w:val="center"/>
            <w:hideMark/>
          </w:tcPr>
          <w:p w14:paraId="31AB50DB"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3.29</w:t>
            </w:r>
          </w:p>
        </w:tc>
        <w:tc>
          <w:tcPr>
            <w:tcW w:w="700" w:type="dxa"/>
            <w:tcBorders>
              <w:top w:val="nil"/>
              <w:left w:val="nil"/>
              <w:bottom w:val="nil"/>
              <w:right w:val="nil"/>
            </w:tcBorders>
            <w:shd w:val="clear" w:color="auto" w:fill="auto"/>
            <w:vAlign w:val="center"/>
            <w:hideMark/>
          </w:tcPr>
          <w:p w14:paraId="1449AA18"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4.24</w:t>
            </w:r>
          </w:p>
        </w:tc>
        <w:tc>
          <w:tcPr>
            <w:tcW w:w="700" w:type="dxa"/>
            <w:tcBorders>
              <w:top w:val="nil"/>
              <w:left w:val="nil"/>
              <w:bottom w:val="nil"/>
              <w:right w:val="nil"/>
            </w:tcBorders>
            <w:shd w:val="clear" w:color="auto" w:fill="auto"/>
            <w:vAlign w:val="center"/>
            <w:hideMark/>
          </w:tcPr>
          <w:p w14:paraId="690F0799"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3.68</w:t>
            </w:r>
          </w:p>
        </w:tc>
        <w:tc>
          <w:tcPr>
            <w:tcW w:w="700" w:type="dxa"/>
            <w:tcBorders>
              <w:top w:val="nil"/>
              <w:left w:val="nil"/>
              <w:bottom w:val="nil"/>
              <w:right w:val="nil"/>
            </w:tcBorders>
            <w:shd w:val="clear" w:color="auto" w:fill="auto"/>
            <w:vAlign w:val="center"/>
            <w:hideMark/>
          </w:tcPr>
          <w:p w14:paraId="00A37139"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3.65</w:t>
            </w:r>
          </w:p>
        </w:tc>
        <w:tc>
          <w:tcPr>
            <w:tcW w:w="927" w:type="dxa"/>
            <w:tcBorders>
              <w:top w:val="nil"/>
              <w:left w:val="nil"/>
              <w:bottom w:val="nil"/>
              <w:right w:val="nil"/>
            </w:tcBorders>
            <w:shd w:val="clear" w:color="auto" w:fill="auto"/>
            <w:vAlign w:val="center"/>
            <w:hideMark/>
          </w:tcPr>
          <w:p w14:paraId="193B35C2"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3.68</w:t>
            </w:r>
          </w:p>
        </w:tc>
      </w:tr>
      <w:tr w:rsidR="00453D50" w:rsidRPr="00C66F1C" w14:paraId="3B740C71" w14:textId="77777777" w:rsidTr="00616580">
        <w:trPr>
          <w:trHeight w:val="300"/>
        </w:trPr>
        <w:tc>
          <w:tcPr>
            <w:tcW w:w="380" w:type="dxa"/>
            <w:tcBorders>
              <w:top w:val="nil"/>
              <w:left w:val="nil"/>
              <w:bottom w:val="single" w:sz="4" w:space="0" w:color="auto"/>
              <w:right w:val="nil"/>
            </w:tcBorders>
            <w:shd w:val="clear" w:color="auto" w:fill="auto"/>
            <w:vAlign w:val="center"/>
            <w:hideMark/>
          </w:tcPr>
          <w:p w14:paraId="3C4B068C"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 </w:t>
            </w:r>
          </w:p>
        </w:tc>
        <w:tc>
          <w:tcPr>
            <w:tcW w:w="1747" w:type="dxa"/>
            <w:tcBorders>
              <w:top w:val="nil"/>
              <w:left w:val="nil"/>
              <w:bottom w:val="single" w:sz="4" w:space="0" w:color="auto"/>
              <w:right w:val="nil"/>
            </w:tcBorders>
            <w:shd w:val="clear" w:color="auto" w:fill="auto"/>
            <w:vAlign w:val="center"/>
            <w:hideMark/>
          </w:tcPr>
          <w:p w14:paraId="25470DAD" w14:textId="77777777" w:rsidR="00453D50" w:rsidRPr="00410F45" w:rsidRDefault="00453D50" w:rsidP="00616580">
            <w:pPr>
              <w:spacing w:after="0" w:line="240" w:lineRule="auto"/>
              <w:jc w:val="center"/>
              <w:rPr>
                <w:rFonts w:ascii="Arial Narrow" w:eastAsia="Times New Roman" w:hAnsi="Arial Narrow" w:cs="Calibri"/>
                <w:color w:val="000000"/>
                <w:sz w:val="16"/>
                <w:szCs w:val="16"/>
                <w:lang w:eastAsia="sk-SK"/>
              </w:rPr>
            </w:pPr>
            <w:r w:rsidRPr="00410F45">
              <w:rPr>
                <w:rFonts w:ascii="Arial Narrow" w:eastAsia="Times New Roman" w:hAnsi="Arial Narrow" w:cs="Calibri"/>
                <w:color w:val="000000"/>
                <w:sz w:val="16"/>
                <w:szCs w:val="16"/>
                <w:lang w:eastAsia="sk-SK"/>
              </w:rPr>
              <w:t> </w:t>
            </w:r>
          </w:p>
        </w:tc>
        <w:tc>
          <w:tcPr>
            <w:tcW w:w="560" w:type="dxa"/>
            <w:tcBorders>
              <w:top w:val="nil"/>
              <w:left w:val="nil"/>
              <w:bottom w:val="single" w:sz="4" w:space="0" w:color="auto"/>
              <w:right w:val="nil"/>
            </w:tcBorders>
            <w:shd w:val="clear" w:color="auto" w:fill="auto"/>
            <w:vAlign w:val="center"/>
            <w:hideMark/>
          </w:tcPr>
          <w:p w14:paraId="31E47BB7" w14:textId="77777777" w:rsidR="00453D50" w:rsidRPr="00410F45" w:rsidRDefault="00453D50" w:rsidP="00616580">
            <w:pPr>
              <w:spacing w:after="0" w:line="240" w:lineRule="auto"/>
              <w:rPr>
                <w:rFonts w:ascii="Arial Narrow" w:eastAsia="Times New Roman" w:hAnsi="Arial Narrow" w:cs="Calibri"/>
                <w:color w:val="4472C4"/>
                <w:sz w:val="16"/>
                <w:szCs w:val="16"/>
                <w:lang w:eastAsia="sk-SK"/>
              </w:rPr>
            </w:pPr>
            <w:r w:rsidRPr="00410F45">
              <w:rPr>
                <w:rFonts w:ascii="Arial Narrow" w:eastAsia="Times New Roman" w:hAnsi="Arial Narrow" w:cs="Calibri"/>
                <w:color w:val="4472C4"/>
                <w:sz w:val="16"/>
                <w:szCs w:val="16"/>
                <w:lang w:eastAsia="sk-SK"/>
              </w:rPr>
              <w:t>EK</w:t>
            </w:r>
          </w:p>
        </w:tc>
        <w:tc>
          <w:tcPr>
            <w:tcW w:w="700" w:type="dxa"/>
            <w:tcBorders>
              <w:top w:val="nil"/>
              <w:left w:val="nil"/>
              <w:bottom w:val="single" w:sz="4" w:space="0" w:color="auto"/>
              <w:right w:val="nil"/>
            </w:tcBorders>
            <w:shd w:val="clear" w:color="auto" w:fill="auto"/>
            <w:vAlign w:val="center"/>
            <w:hideMark/>
          </w:tcPr>
          <w:p w14:paraId="256AFB77"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11.89</w:t>
            </w:r>
          </w:p>
        </w:tc>
        <w:tc>
          <w:tcPr>
            <w:tcW w:w="700" w:type="dxa"/>
            <w:tcBorders>
              <w:top w:val="nil"/>
              <w:left w:val="nil"/>
              <w:bottom w:val="single" w:sz="4" w:space="0" w:color="auto"/>
              <w:right w:val="nil"/>
            </w:tcBorders>
            <w:shd w:val="clear" w:color="auto" w:fill="auto"/>
            <w:vAlign w:val="center"/>
            <w:hideMark/>
          </w:tcPr>
          <w:p w14:paraId="143DD1DC"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6.91</w:t>
            </w:r>
          </w:p>
        </w:tc>
        <w:tc>
          <w:tcPr>
            <w:tcW w:w="700" w:type="dxa"/>
            <w:tcBorders>
              <w:top w:val="nil"/>
              <w:left w:val="nil"/>
              <w:bottom w:val="single" w:sz="4" w:space="0" w:color="auto"/>
              <w:right w:val="nil"/>
            </w:tcBorders>
            <w:shd w:val="clear" w:color="auto" w:fill="auto"/>
            <w:vAlign w:val="center"/>
            <w:hideMark/>
          </w:tcPr>
          <w:p w14:paraId="22A89F4B"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6.49</w:t>
            </w:r>
          </w:p>
        </w:tc>
        <w:tc>
          <w:tcPr>
            <w:tcW w:w="700" w:type="dxa"/>
            <w:tcBorders>
              <w:top w:val="nil"/>
              <w:left w:val="nil"/>
              <w:bottom w:val="single" w:sz="4" w:space="0" w:color="auto"/>
              <w:right w:val="nil"/>
            </w:tcBorders>
            <w:shd w:val="clear" w:color="auto" w:fill="auto"/>
            <w:vAlign w:val="center"/>
            <w:hideMark/>
          </w:tcPr>
          <w:p w14:paraId="39F3C6D4"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4.80</w:t>
            </w:r>
          </w:p>
        </w:tc>
        <w:tc>
          <w:tcPr>
            <w:tcW w:w="700" w:type="dxa"/>
            <w:tcBorders>
              <w:top w:val="nil"/>
              <w:left w:val="nil"/>
              <w:bottom w:val="single" w:sz="4" w:space="0" w:color="auto"/>
              <w:right w:val="nil"/>
            </w:tcBorders>
            <w:shd w:val="clear" w:color="auto" w:fill="auto"/>
            <w:vAlign w:val="center"/>
            <w:hideMark/>
          </w:tcPr>
          <w:p w14:paraId="581F90E6"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4.44</w:t>
            </w:r>
          </w:p>
        </w:tc>
        <w:tc>
          <w:tcPr>
            <w:tcW w:w="700" w:type="dxa"/>
            <w:tcBorders>
              <w:top w:val="nil"/>
              <w:left w:val="nil"/>
              <w:bottom w:val="single" w:sz="4" w:space="0" w:color="auto"/>
              <w:right w:val="nil"/>
            </w:tcBorders>
            <w:shd w:val="clear" w:color="auto" w:fill="auto"/>
            <w:vAlign w:val="center"/>
            <w:hideMark/>
          </w:tcPr>
          <w:p w14:paraId="4E06B83F"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4.36</w:t>
            </w:r>
          </w:p>
        </w:tc>
        <w:tc>
          <w:tcPr>
            <w:tcW w:w="700" w:type="dxa"/>
            <w:tcBorders>
              <w:top w:val="nil"/>
              <w:left w:val="nil"/>
              <w:bottom w:val="single" w:sz="4" w:space="0" w:color="auto"/>
              <w:right w:val="nil"/>
            </w:tcBorders>
            <w:shd w:val="clear" w:color="auto" w:fill="auto"/>
            <w:vAlign w:val="center"/>
            <w:hideMark/>
          </w:tcPr>
          <w:p w14:paraId="72D729EB"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4.16</w:t>
            </w:r>
          </w:p>
        </w:tc>
        <w:tc>
          <w:tcPr>
            <w:tcW w:w="700" w:type="dxa"/>
            <w:tcBorders>
              <w:top w:val="nil"/>
              <w:left w:val="nil"/>
              <w:bottom w:val="single" w:sz="4" w:space="0" w:color="auto"/>
              <w:right w:val="nil"/>
            </w:tcBorders>
            <w:shd w:val="clear" w:color="auto" w:fill="auto"/>
            <w:vAlign w:val="center"/>
            <w:hideMark/>
          </w:tcPr>
          <w:p w14:paraId="436FFED4"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4.06</w:t>
            </w:r>
          </w:p>
        </w:tc>
        <w:tc>
          <w:tcPr>
            <w:tcW w:w="927" w:type="dxa"/>
            <w:tcBorders>
              <w:top w:val="nil"/>
              <w:left w:val="nil"/>
              <w:bottom w:val="single" w:sz="4" w:space="0" w:color="auto"/>
              <w:right w:val="nil"/>
            </w:tcBorders>
            <w:shd w:val="clear" w:color="auto" w:fill="auto"/>
            <w:vAlign w:val="center"/>
            <w:hideMark/>
          </w:tcPr>
          <w:p w14:paraId="3A8FD891"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4.21</w:t>
            </w:r>
          </w:p>
        </w:tc>
      </w:tr>
      <w:tr w:rsidR="00453D50" w:rsidRPr="00C66F1C" w14:paraId="226D0438" w14:textId="77777777" w:rsidTr="00616580">
        <w:trPr>
          <w:trHeight w:val="330"/>
        </w:trPr>
        <w:tc>
          <w:tcPr>
            <w:tcW w:w="380" w:type="dxa"/>
            <w:tcBorders>
              <w:top w:val="nil"/>
              <w:left w:val="nil"/>
              <w:bottom w:val="nil"/>
              <w:right w:val="nil"/>
            </w:tcBorders>
            <w:shd w:val="clear" w:color="auto" w:fill="auto"/>
            <w:vAlign w:val="center"/>
            <w:hideMark/>
          </w:tcPr>
          <w:p w14:paraId="6E0E15C0"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5</w:t>
            </w:r>
          </w:p>
        </w:tc>
        <w:tc>
          <w:tcPr>
            <w:tcW w:w="1747" w:type="dxa"/>
            <w:tcBorders>
              <w:top w:val="single" w:sz="4" w:space="0" w:color="auto"/>
              <w:left w:val="nil"/>
              <w:bottom w:val="nil"/>
              <w:right w:val="nil"/>
            </w:tcBorders>
            <w:shd w:val="clear" w:color="auto" w:fill="auto"/>
            <w:vAlign w:val="center"/>
            <w:hideMark/>
          </w:tcPr>
          <w:p w14:paraId="2D656AA0" w14:textId="77777777" w:rsidR="00453D50" w:rsidRPr="00410F45" w:rsidRDefault="00453D50" w:rsidP="00616580">
            <w:pPr>
              <w:spacing w:after="0" w:line="240" w:lineRule="auto"/>
              <w:rPr>
                <w:rFonts w:ascii="Arial Narrow" w:eastAsia="Times New Roman" w:hAnsi="Arial Narrow" w:cs="Calibri"/>
                <w:color w:val="000000"/>
                <w:sz w:val="16"/>
                <w:szCs w:val="16"/>
                <w:lang w:eastAsia="sk-SK"/>
              </w:rPr>
            </w:pPr>
            <w:r w:rsidRPr="00410F45">
              <w:rPr>
                <w:rFonts w:ascii="Arial Narrow" w:eastAsia="Times New Roman" w:hAnsi="Arial Narrow" w:cs="Calibri"/>
                <w:color w:val="000000"/>
                <w:sz w:val="16"/>
                <w:szCs w:val="16"/>
                <w:lang w:eastAsia="sk-SK"/>
              </w:rPr>
              <w:t>Dlhodobá úroková miera (%, ročný priemer)</w:t>
            </w:r>
          </w:p>
        </w:tc>
        <w:tc>
          <w:tcPr>
            <w:tcW w:w="560" w:type="dxa"/>
            <w:tcBorders>
              <w:top w:val="nil"/>
              <w:left w:val="nil"/>
              <w:bottom w:val="nil"/>
              <w:right w:val="nil"/>
            </w:tcBorders>
            <w:shd w:val="clear" w:color="auto" w:fill="auto"/>
            <w:vAlign w:val="center"/>
            <w:hideMark/>
          </w:tcPr>
          <w:p w14:paraId="26B849FA" w14:textId="77777777" w:rsidR="00453D50" w:rsidRPr="00410F45" w:rsidRDefault="00453D50" w:rsidP="00616580">
            <w:pPr>
              <w:spacing w:after="0" w:line="240" w:lineRule="auto"/>
              <w:rPr>
                <w:rFonts w:ascii="Arial Narrow" w:eastAsia="Times New Roman" w:hAnsi="Arial Narrow" w:cs="Calibri"/>
                <w:color w:val="000000"/>
                <w:sz w:val="16"/>
                <w:szCs w:val="16"/>
                <w:lang w:eastAsia="sk-SK"/>
              </w:rPr>
            </w:pPr>
            <w:r w:rsidRPr="00410F45">
              <w:rPr>
                <w:rFonts w:ascii="Arial Narrow" w:eastAsia="Times New Roman" w:hAnsi="Arial Narrow" w:cs="Calibri"/>
                <w:color w:val="000000"/>
                <w:sz w:val="16"/>
                <w:szCs w:val="16"/>
                <w:lang w:eastAsia="sk-SK"/>
              </w:rPr>
              <w:t>MF SR</w:t>
            </w:r>
          </w:p>
        </w:tc>
        <w:tc>
          <w:tcPr>
            <w:tcW w:w="700" w:type="dxa"/>
            <w:tcBorders>
              <w:top w:val="nil"/>
              <w:left w:val="nil"/>
              <w:bottom w:val="nil"/>
              <w:right w:val="nil"/>
            </w:tcBorders>
            <w:shd w:val="clear" w:color="auto" w:fill="auto"/>
            <w:vAlign w:val="center"/>
            <w:hideMark/>
          </w:tcPr>
          <w:p w14:paraId="06FACB19"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3.70</w:t>
            </w:r>
          </w:p>
        </w:tc>
        <w:tc>
          <w:tcPr>
            <w:tcW w:w="700" w:type="dxa"/>
            <w:tcBorders>
              <w:top w:val="nil"/>
              <w:left w:val="nil"/>
              <w:bottom w:val="nil"/>
              <w:right w:val="nil"/>
            </w:tcBorders>
            <w:shd w:val="clear" w:color="auto" w:fill="auto"/>
            <w:vAlign w:val="center"/>
            <w:hideMark/>
          </w:tcPr>
          <w:p w14:paraId="5E4E384D"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3.56</w:t>
            </w:r>
          </w:p>
        </w:tc>
        <w:tc>
          <w:tcPr>
            <w:tcW w:w="700" w:type="dxa"/>
            <w:tcBorders>
              <w:top w:val="nil"/>
              <w:left w:val="nil"/>
              <w:bottom w:val="nil"/>
              <w:right w:val="nil"/>
            </w:tcBorders>
            <w:shd w:val="clear" w:color="auto" w:fill="auto"/>
            <w:vAlign w:val="center"/>
            <w:hideMark/>
          </w:tcPr>
          <w:p w14:paraId="79D2C0FB"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3.50</w:t>
            </w:r>
          </w:p>
        </w:tc>
        <w:tc>
          <w:tcPr>
            <w:tcW w:w="700" w:type="dxa"/>
            <w:tcBorders>
              <w:top w:val="nil"/>
              <w:left w:val="nil"/>
              <w:bottom w:val="nil"/>
              <w:right w:val="nil"/>
            </w:tcBorders>
            <w:shd w:val="clear" w:color="auto" w:fill="auto"/>
            <w:vAlign w:val="center"/>
            <w:hideMark/>
          </w:tcPr>
          <w:p w14:paraId="25424350"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3.43</w:t>
            </w:r>
          </w:p>
        </w:tc>
        <w:tc>
          <w:tcPr>
            <w:tcW w:w="700" w:type="dxa"/>
            <w:tcBorders>
              <w:top w:val="nil"/>
              <w:left w:val="nil"/>
              <w:bottom w:val="nil"/>
              <w:right w:val="nil"/>
            </w:tcBorders>
            <w:shd w:val="clear" w:color="auto" w:fill="auto"/>
            <w:vAlign w:val="center"/>
            <w:hideMark/>
          </w:tcPr>
          <w:p w14:paraId="7A1D1DB7"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3.40</w:t>
            </w:r>
          </w:p>
        </w:tc>
        <w:tc>
          <w:tcPr>
            <w:tcW w:w="700" w:type="dxa"/>
            <w:tcBorders>
              <w:top w:val="nil"/>
              <w:left w:val="nil"/>
              <w:bottom w:val="nil"/>
              <w:right w:val="nil"/>
            </w:tcBorders>
            <w:shd w:val="clear" w:color="auto" w:fill="auto"/>
            <w:vAlign w:val="center"/>
            <w:hideMark/>
          </w:tcPr>
          <w:p w14:paraId="4A09E486"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3.39</w:t>
            </w:r>
          </w:p>
        </w:tc>
        <w:tc>
          <w:tcPr>
            <w:tcW w:w="700" w:type="dxa"/>
            <w:tcBorders>
              <w:top w:val="nil"/>
              <w:left w:val="nil"/>
              <w:bottom w:val="nil"/>
              <w:right w:val="nil"/>
            </w:tcBorders>
            <w:shd w:val="clear" w:color="auto" w:fill="auto"/>
            <w:vAlign w:val="center"/>
            <w:hideMark/>
          </w:tcPr>
          <w:p w14:paraId="7890CA02"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3.40</w:t>
            </w:r>
          </w:p>
        </w:tc>
        <w:tc>
          <w:tcPr>
            <w:tcW w:w="700" w:type="dxa"/>
            <w:tcBorders>
              <w:top w:val="nil"/>
              <w:left w:val="nil"/>
              <w:bottom w:val="nil"/>
              <w:right w:val="nil"/>
            </w:tcBorders>
            <w:shd w:val="clear" w:color="auto" w:fill="auto"/>
            <w:vAlign w:val="center"/>
            <w:hideMark/>
          </w:tcPr>
          <w:p w14:paraId="65A2AD0E"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3.41</w:t>
            </w:r>
          </w:p>
        </w:tc>
        <w:tc>
          <w:tcPr>
            <w:tcW w:w="927" w:type="dxa"/>
            <w:tcBorders>
              <w:top w:val="nil"/>
              <w:left w:val="nil"/>
              <w:bottom w:val="nil"/>
              <w:right w:val="nil"/>
            </w:tcBorders>
            <w:shd w:val="clear" w:color="auto" w:fill="auto"/>
            <w:vAlign w:val="center"/>
            <w:hideMark/>
          </w:tcPr>
          <w:p w14:paraId="2CD5D584"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3.40</w:t>
            </w:r>
          </w:p>
        </w:tc>
      </w:tr>
      <w:tr w:rsidR="00453D50" w:rsidRPr="00C66F1C" w14:paraId="358AD0D5" w14:textId="77777777" w:rsidTr="00616580">
        <w:trPr>
          <w:trHeight w:val="330"/>
        </w:trPr>
        <w:tc>
          <w:tcPr>
            <w:tcW w:w="380" w:type="dxa"/>
            <w:tcBorders>
              <w:top w:val="nil"/>
              <w:left w:val="nil"/>
              <w:bottom w:val="single" w:sz="4" w:space="0" w:color="auto"/>
              <w:right w:val="nil"/>
            </w:tcBorders>
            <w:shd w:val="clear" w:color="auto" w:fill="auto"/>
            <w:vAlign w:val="center"/>
            <w:hideMark/>
          </w:tcPr>
          <w:p w14:paraId="4B4794F6"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 </w:t>
            </w:r>
          </w:p>
        </w:tc>
        <w:tc>
          <w:tcPr>
            <w:tcW w:w="1747" w:type="dxa"/>
            <w:tcBorders>
              <w:top w:val="nil"/>
              <w:left w:val="nil"/>
              <w:bottom w:val="single" w:sz="4" w:space="0" w:color="auto"/>
              <w:right w:val="nil"/>
            </w:tcBorders>
            <w:shd w:val="clear" w:color="auto" w:fill="auto"/>
            <w:vAlign w:val="center"/>
            <w:hideMark/>
          </w:tcPr>
          <w:p w14:paraId="142A7930" w14:textId="77777777" w:rsidR="00453D50" w:rsidRPr="00410F45" w:rsidRDefault="00453D50" w:rsidP="00616580">
            <w:pPr>
              <w:spacing w:after="0" w:line="240" w:lineRule="auto"/>
              <w:jc w:val="center"/>
              <w:rPr>
                <w:rFonts w:ascii="Arial Narrow" w:eastAsia="Times New Roman" w:hAnsi="Arial Narrow" w:cs="Calibri"/>
                <w:color w:val="000000"/>
                <w:sz w:val="16"/>
                <w:szCs w:val="16"/>
                <w:lang w:eastAsia="sk-SK"/>
              </w:rPr>
            </w:pPr>
            <w:r w:rsidRPr="00410F45">
              <w:rPr>
                <w:rFonts w:ascii="Arial Narrow" w:eastAsia="Times New Roman" w:hAnsi="Arial Narrow" w:cs="Calibri"/>
                <w:color w:val="000000"/>
                <w:sz w:val="16"/>
                <w:szCs w:val="16"/>
                <w:lang w:eastAsia="sk-SK"/>
              </w:rPr>
              <w:t> </w:t>
            </w:r>
          </w:p>
        </w:tc>
        <w:tc>
          <w:tcPr>
            <w:tcW w:w="560" w:type="dxa"/>
            <w:tcBorders>
              <w:top w:val="nil"/>
              <w:left w:val="nil"/>
              <w:bottom w:val="single" w:sz="4" w:space="0" w:color="auto"/>
              <w:right w:val="nil"/>
            </w:tcBorders>
            <w:shd w:val="clear" w:color="auto" w:fill="auto"/>
            <w:vAlign w:val="center"/>
            <w:hideMark/>
          </w:tcPr>
          <w:p w14:paraId="3C77D56B" w14:textId="77777777" w:rsidR="00453D50" w:rsidRPr="00410F45" w:rsidRDefault="00453D50" w:rsidP="00616580">
            <w:pPr>
              <w:spacing w:after="0" w:line="240" w:lineRule="auto"/>
              <w:rPr>
                <w:rFonts w:ascii="Arial Narrow" w:eastAsia="Times New Roman" w:hAnsi="Arial Narrow" w:cs="Calibri"/>
                <w:color w:val="4472C4"/>
                <w:sz w:val="16"/>
                <w:szCs w:val="16"/>
                <w:lang w:eastAsia="sk-SK"/>
              </w:rPr>
            </w:pPr>
            <w:r w:rsidRPr="00410F45">
              <w:rPr>
                <w:rFonts w:ascii="Arial Narrow" w:eastAsia="Times New Roman" w:hAnsi="Arial Narrow" w:cs="Calibri"/>
                <w:color w:val="4472C4"/>
                <w:sz w:val="16"/>
                <w:szCs w:val="16"/>
                <w:lang w:eastAsia="sk-SK"/>
              </w:rPr>
              <w:t>EK</w:t>
            </w:r>
          </w:p>
        </w:tc>
        <w:tc>
          <w:tcPr>
            <w:tcW w:w="700" w:type="dxa"/>
            <w:tcBorders>
              <w:top w:val="nil"/>
              <w:left w:val="nil"/>
              <w:bottom w:val="single" w:sz="4" w:space="0" w:color="auto"/>
              <w:right w:val="nil"/>
            </w:tcBorders>
            <w:shd w:val="clear" w:color="auto" w:fill="auto"/>
            <w:vAlign w:val="center"/>
            <w:hideMark/>
          </w:tcPr>
          <w:p w14:paraId="5C433F70"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3.65</w:t>
            </w:r>
          </w:p>
        </w:tc>
        <w:tc>
          <w:tcPr>
            <w:tcW w:w="700" w:type="dxa"/>
            <w:tcBorders>
              <w:top w:val="nil"/>
              <w:left w:val="nil"/>
              <w:bottom w:val="single" w:sz="4" w:space="0" w:color="auto"/>
              <w:right w:val="nil"/>
            </w:tcBorders>
            <w:shd w:val="clear" w:color="auto" w:fill="auto"/>
            <w:vAlign w:val="center"/>
            <w:hideMark/>
          </w:tcPr>
          <w:p w14:paraId="1AE5962A"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3.67</w:t>
            </w:r>
          </w:p>
        </w:tc>
        <w:tc>
          <w:tcPr>
            <w:tcW w:w="700" w:type="dxa"/>
            <w:tcBorders>
              <w:top w:val="nil"/>
              <w:left w:val="nil"/>
              <w:bottom w:val="single" w:sz="4" w:space="0" w:color="auto"/>
              <w:right w:val="nil"/>
            </w:tcBorders>
            <w:shd w:val="clear" w:color="auto" w:fill="auto"/>
            <w:vAlign w:val="center"/>
            <w:hideMark/>
          </w:tcPr>
          <w:p w14:paraId="74BE8100"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3.78</w:t>
            </w:r>
          </w:p>
        </w:tc>
        <w:tc>
          <w:tcPr>
            <w:tcW w:w="700" w:type="dxa"/>
            <w:tcBorders>
              <w:top w:val="nil"/>
              <w:left w:val="nil"/>
              <w:bottom w:val="single" w:sz="4" w:space="0" w:color="auto"/>
              <w:right w:val="nil"/>
            </w:tcBorders>
            <w:shd w:val="clear" w:color="auto" w:fill="auto"/>
            <w:vAlign w:val="center"/>
            <w:hideMark/>
          </w:tcPr>
          <w:p w14:paraId="4B67E299"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3.83</w:t>
            </w:r>
          </w:p>
        </w:tc>
        <w:tc>
          <w:tcPr>
            <w:tcW w:w="700" w:type="dxa"/>
            <w:tcBorders>
              <w:top w:val="nil"/>
              <w:left w:val="nil"/>
              <w:bottom w:val="single" w:sz="4" w:space="0" w:color="auto"/>
              <w:right w:val="nil"/>
            </w:tcBorders>
            <w:shd w:val="clear" w:color="auto" w:fill="auto"/>
            <w:vAlign w:val="center"/>
            <w:hideMark/>
          </w:tcPr>
          <w:p w14:paraId="6B6CDC53"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3.88</w:t>
            </w:r>
          </w:p>
        </w:tc>
        <w:tc>
          <w:tcPr>
            <w:tcW w:w="700" w:type="dxa"/>
            <w:tcBorders>
              <w:top w:val="nil"/>
              <w:left w:val="nil"/>
              <w:bottom w:val="single" w:sz="4" w:space="0" w:color="auto"/>
              <w:right w:val="nil"/>
            </w:tcBorders>
            <w:shd w:val="clear" w:color="auto" w:fill="auto"/>
            <w:vAlign w:val="center"/>
            <w:hideMark/>
          </w:tcPr>
          <w:p w14:paraId="4A4D46B3"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3.93</w:t>
            </w:r>
          </w:p>
        </w:tc>
        <w:tc>
          <w:tcPr>
            <w:tcW w:w="700" w:type="dxa"/>
            <w:tcBorders>
              <w:top w:val="nil"/>
              <w:left w:val="nil"/>
              <w:bottom w:val="single" w:sz="4" w:space="0" w:color="auto"/>
              <w:right w:val="nil"/>
            </w:tcBorders>
            <w:shd w:val="clear" w:color="auto" w:fill="auto"/>
            <w:vAlign w:val="center"/>
            <w:hideMark/>
          </w:tcPr>
          <w:p w14:paraId="119E2642"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4.17</w:t>
            </w:r>
          </w:p>
        </w:tc>
        <w:tc>
          <w:tcPr>
            <w:tcW w:w="700" w:type="dxa"/>
            <w:tcBorders>
              <w:top w:val="nil"/>
              <w:left w:val="nil"/>
              <w:bottom w:val="single" w:sz="4" w:space="0" w:color="auto"/>
              <w:right w:val="nil"/>
            </w:tcBorders>
            <w:shd w:val="clear" w:color="auto" w:fill="auto"/>
            <w:vAlign w:val="center"/>
            <w:hideMark/>
          </w:tcPr>
          <w:p w14:paraId="7B2E74A9"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4.13</w:t>
            </w:r>
          </w:p>
        </w:tc>
        <w:tc>
          <w:tcPr>
            <w:tcW w:w="927" w:type="dxa"/>
            <w:tcBorders>
              <w:top w:val="nil"/>
              <w:left w:val="nil"/>
              <w:bottom w:val="single" w:sz="4" w:space="0" w:color="auto"/>
              <w:right w:val="nil"/>
            </w:tcBorders>
            <w:shd w:val="clear" w:color="auto" w:fill="auto"/>
            <w:vAlign w:val="center"/>
            <w:hideMark/>
          </w:tcPr>
          <w:p w14:paraId="403E6A8F"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4.11</w:t>
            </w:r>
          </w:p>
        </w:tc>
      </w:tr>
      <w:tr w:rsidR="00453D50" w:rsidRPr="00C66F1C" w14:paraId="3402DB2F" w14:textId="77777777" w:rsidTr="00616580">
        <w:trPr>
          <w:trHeight w:val="300"/>
        </w:trPr>
        <w:tc>
          <w:tcPr>
            <w:tcW w:w="380" w:type="dxa"/>
            <w:tcBorders>
              <w:top w:val="nil"/>
              <w:left w:val="nil"/>
              <w:bottom w:val="nil"/>
              <w:right w:val="nil"/>
            </w:tcBorders>
            <w:shd w:val="clear" w:color="auto" w:fill="auto"/>
            <w:vAlign w:val="center"/>
            <w:hideMark/>
          </w:tcPr>
          <w:p w14:paraId="297A4FE6"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6</w:t>
            </w:r>
          </w:p>
        </w:tc>
        <w:tc>
          <w:tcPr>
            <w:tcW w:w="1747" w:type="dxa"/>
            <w:tcBorders>
              <w:top w:val="single" w:sz="4" w:space="0" w:color="auto"/>
              <w:left w:val="nil"/>
              <w:bottom w:val="nil"/>
              <w:right w:val="nil"/>
            </w:tcBorders>
            <w:shd w:val="clear" w:color="auto" w:fill="auto"/>
            <w:vAlign w:val="center"/>
            <w:hideMark/>
          </w:tcPr>
          <w:p w14:paraId="54580032" w14:textId="77777777" w:rsidR="00453D50" w:rsidRPr="00410F45" w:rsidRDefault="00453D50" w:rsidP="00616580">
            <w:pPr>
              <w:spacing w:after="0" w:line="240" w:lineRule="auto"/>
              <w:rPr>
                <w:rFonts w:ascii="Arial Narrow" w:eastAsia="Times New Roman" w:hAnsi="Arial Narrow" w:cs="Calibri"/>
                <w:color w:val="000000"/>
                <w:sz w:val="16"/>
                <w:szCs w:val="16"/>
                <w:lang w:eastAsia="sk-SK"/>
              </w:rPr>
            </w:pPr>
            <w:r w:rsidRPr="00410F45">
              <w:rPr>
                <w:rFonts w:ascii="Arial Narrow" w:eastAsia="Times New Roman" w:hAnsi="Arial Narrow" w:cs="Calibri"/>
                <w:color w:val="000000"/>
                <w:sz w:val="16"/>
                <w:szCs w:val="16"/>
                <w:lang w:eastAsia="sk-SK"/>
              </w:rPr>
              <w:t>Krátkodobá úroková miera (%, ročný priemer)</w:t>
            </w:r>
          </w:p>
        </w:tc>
        <w:tc>
          <w:tcPr>
            <w:tcW w:w="560" w:type="dxa"/>
            <w:tcBorders>
              <w:top w:val="nil"/>
              <w:left w:val="nil"/>
              <w:bottom w:val="nil"/>
              <w:right w:val="nil"/>
            </w:tcBorders>
            <w:shd w:val="clear" w:color="auto" w:fill="auto"/>
            <w:vAlign w:val="center"/>
            <w:hideMark/>
          </w:tcPr>
          <w:p w14:paraId="4F0C6F9B" w14:textId="77777777" w:rsidR="00453D50" w:rsidRPr="00410F45" w:rsidRDefault="00453D50" w:rsidP="00616580">
            <w:pPr>
              <w:spacing w:after="0" w:line="240" w:lineRule="auto"/>
              <w:rPr>
                <w:rFonts w:ascii="Arial Narrow" w:eastAsia="Times New Roman" w:hAnsi="Arial Narrow" w:cs="Calibri"/>
                <w:color w:val="000000"/>
                <w:sz w:val="16"/>
                <w:szCs w:val="16"/>
                <w:lang w:eastAsia="sk-SK"/>
              </w:rPr>
            </w:pPr>
            <w:r w:rsidRPr="00410F45">
              <w:rPr>
                <w:rFonts w:ascii="Arial Narrow" w:eastAsia="Times New Roman" w:hAnsi="Arial Narrow" w:cs="Calibri"/>
                <w:color w:val="000000"/>
                <w:sz w:val="16"/>
                <w:szCs w:val="16"/>
                <w:lang w:eastAsia="sk-SK"/>
              </w:rPr>
              <w:t>MF SR</w:t>
            </w:r>
          </w:p>
        </w:tc>
        <w:tc>
          <w:tcPr>
            <w:tcW w:w="700" w:type="dxa"/>
            <w:tcBorders>
              <w:top w:val="nil"/>
              <w:left w:val="nil"/>
              <w:bottom w:val="nil"/>
              <w:right w:val="nil"/>
            </w:tcBorders>
            <w:shd w:val="clear" w:color="auto" w:fill="auto"/>
            <w:vAlign w:val="center"/>
            <w:hideMark/>
          </w:tcPr>
          <w:p w14:paraId="2B22674D"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3.43</w:t>
            </w:r>
          </w:p>
        </w:tc>
        <w:tc>
          <w:tcPr>
            <w:tcW w:w="700" w:type="dxa"/>
            <w:tcBorders>
              <w:top w:val="nil"/>
              <w:left w:val="nil"/>
              <w:bottom w:val="nil"/>
              <w:right w:val="nil"/>
            </w:tcBorders>
            <w:shd w:val="clear" w:color="auto" w:fill="auto"/>
            <w:vAlign w:val="center"/>
            <w:hideMark/>
          </w:tcPr>
          <w:p w14:paraId="61E1AE37"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3.67</w:t>
            </w:r>
          </w:p>
        </w:tc>
        <w:tc>
          <w:tcPr>
            <w:tcW w:w="700" w:type="dxa"/>
            <w:tcBorders>
              <w:top w:val="nil"/>
              <w:left w:val="nil"/>
              <w:bottom w:val="nil"/>
              <w:right w:val="nil"/>
            </w:tcBorders>
            <w:shd w:val="clear" w:color="auto" w:fill="auto"/>
            <w:vAlign w:val="center"/>
            <w:hideMark/>
          </w:tcPr>
          <w:p w14:paraId="29E56B7E"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2.93</w:t>
            </w:r>
          </w:p>
        </w:tc>
        <w:tc>
          <w:tcPr>
            <w:tcW w:w="700" w:type="dxa"/>
            <w:tcBorders>
              <w:top w:val="nil"/>
              <w:left w:val="nil"/>
              <w:bottom w:val="nil"/>
              <w:right w:val="nil"/>
            </w:tcBorders>
            <w:shd w:val="clear" w:color="auto" w:fill="auto"/>
            <w:vAlign w:val="center"/>
            <w:hideMark/>
          </w:tcPr>
          <w:p w14:paraId="61598FBF"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2.45</w:t>
            </w:r>
          </w:p>
        </w:tc>
        <w:tc>
          <w:tcPr>
            <w:tcW w:w="700" w:type="dxa"/>
            <w:tcBorders>
              <w:top w:val="nil"/>
              <w:left w:val="nil"/>
              <w:bottom w:val="nil"/>
              <w:right w:val="nil"/>
            </w:tcBorders>
            <w:shd w:val="clear" w:color="auto" w:fill="auto"/>
            <w:vAlign w:val="center"/>
            <w:hideMark/>
          </w:tcPr>
          <w:p w14:paraId="43EC7D76"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2.28</w:t>
            </w:r>
          </w:p>
        </w:tc>
        <w:tc>
          <w:tcPr>
            <w:tcW w:w="700" w:type="dxa"/>
            <w:tcBorders>
              <w:top w:val="nil"/>
              <w:left w:val="nil"/>
              <w:bottom w:val="nil"/>
              <w:right w:val="nil"/>
            </w:tcBorders>
            <w:shd w:val="clear" w:color="auto" w:fill="auto"/>
            <w:vAlign w:val="center"/>
            <w:hideMark/>
          </w:tcPr>
          <w:p w14:paraId="6295E0FF"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2.21</w:t>
            </w:r>
          </w:p>
        </w:tc>
        <w:tc>
          <w:tcPr>
            <w:tcW w:w="700" w:type="dxa"/>
            <w:tcBorders>
              <w:top w:val="nil"/>
              <w:left w:val="nil"/>
              <w:bottom w:val="nil"/>
              <w:right w:val="nil"/>
            </w:tcBorders>
            <w:shd w:val="clear" w:color="auto" w:fill="auto"/>
            <w:vAlign w:val="center"/>
            <w:hideMark/>
          </w:tcPr>
          <w:p w14:paraId="2AE57B44"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2.26</w:t>
            </w:r>
          </w:p>
        </w:tc>
        <w:tc>
          <w:tcPr>
            <w:tcW w:w="700" w:type="dxa"/>
            <w:tcBorders>
              <w:top w:val="nil"/>
              <w:left w:val="nil"/>
              <w:bottom w:val="nil"/>
              <w:right w:val="nil"/>
            </w:tcBorders>
            <w:shd w:val="clear" w:color="auto" w:fill="auto"/>
            <w:vAlign w:val="center"/>
            <w:hideMark/>
          </w:tcPr>
          <w:p w14:paraId="40B6B75F"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2.34</w:t>
            </w:r>
          </w:p>
        </w:tc>
        <w:tc>
          <w:tcPr>
            <w:tcW w:w="927" w:type="dxa"/>
            <w:tcBorders>
              <w:top w:val="nil"/>
              <w:left w:val="nil"/>
              <w:bottom w:val="nil"/>
              <w:right w:val="nil"/>
            </w:tcBorders>
            <w:shd w:val="clear" w:color="auto" w:fill="auto"/>
            <w:vAlign w:val="center"/>
            <w:hideMark/>
          </w:tcPr>
          <w:p w14:paraId="3CA57EEB" w14:textId="77777777" w:rsidR="00453D50" w:rsidRPr="00C66F1C" w:rsidRDefault="00453D50" w:rsidP="00616580">
            <w:pPr>
              <w:spacing w:after="0" w:line="240" w:lineRule="auto"/>
              <w:jc w:val="center"/>
              <w:rPr>
                <w:rFonts w:ascii="Arial Narrow" w:eastAsia="Times New Roman" w:hAnsi="Arial Narrow" w:cs="Calibri"/>
                <w:color w:val="000000"/>
                <w:sz w:val="16"/>
                <w:szCs w:val="16"/>
                <w:lang w:eastAsia="sk-SK"/>
              </w:rPr>
            </w:pPr>
            <w:r w:rsidRPr="00C66F1C">
              <w:rPr>
                <w:rFonts w:ascii="Arial Narrow" w:eastAsia="Times New Roman" w:hAnsi="Arial Narrow" w:cs="Calibri"/>
                <w:color w:val="000000"/>
                <w:sz w:val="16"/>
                <w:szCs w:val="16"/>
                <w:lang w:eastAsia="sk-SK"/>
              </w:rPr>
              <w:t>2.27</w:t>
            </w:r>
          </w:p>
        </w:tc>
      </w:tr>
      <w:tr w:rsidR="00453D50" w:rsidRPr="00C66F1C" w14:paraId="76C5029C" w14:textId="77777777" w:rsidTr="00616580">
        <w:trPr>
          <w:trHeight w:val="315"/>
        </w:trPr>
        <w:tc>
          <w:tcPr>
            <w:tcW w:w="380" w:type="dxa"/>
            <w:tcBorders>
              <w:top w:val="nil"/>
              <w:left w:val="nil"/>
              <w:bottom w:val="single" w:sz="8" w:space="0" w:color="auto"/>
              <w:right w:val="nil"/>
            </w:tcBorders>
            <w:shd w:val="clear" w:color="auto" w:fill="auto"/>
            <w:noWrap/>
            <w:vAlign w:val="bottom"/>
            <w:hideMark/>
          </w:tcPr>
          <w:p w14:paraId="6C9F5D6F" w14:textId="77777777" w:rsidR="00453D50" w:rsidRPr="00410F45" w:rsidRDefault="00453D50" w:rsidP="00616580">
            <w:pPr>
              <w:spacing w:after="0" w:line="240" w:lineRule="auto"/>
              <w:rPr>
                <w:rFonts w:ascii="Calibri" w:eastAsia="Times New Roman" w:hAnsi="Calibri" w:cs="Calibri"/>
                <w:color w:val="000000"/>
                <w:sz w:val="16"/>
                <w:szCs w:val="16"/>
                <w:lang w:eastAsia="sk-SK"/>
              </w:rPr>
            </w:pPr>
            <w:r w:rsidRPr="00410F45">
              <w:rPr>
                <w:rFonts w:ascii="Calibri" w:eastAsia="Times New Roman" w:hAnsi="Calibri" w:cs="Calibri"/>
                <w:color w:val="000000"/>
                <w:sz w:val="16"/>
                <w:szCs w:val="16"/>
                <w:lang w:eastAsia="sk-SK"/>
              </w:rPr>
              <w:t> </w:t>
            </w:r>
          </w:p>
        </w:tc>
        <w:tc>
          <w:tcPr>
            <w:tcW w:w="1747" w:type="dxa"/>
            <w:tcBorders>
              <w:top w:val="nil"/>
              <w:left w:val="nil"/>
              <w:bottom w:val="single" w:sz="8" w:space="0" w:color="auto"/>
              <w:right w:val="nil"/>
            </w:tcBorders>
            <w:shd w:val="clear" w:color="auto" w:fill="auto"/>
            <w:vAlign w:val="center"/>
            <w:hideMark/>
          </w:tcPr>
          <w:p w14:paraId="38D0507A" w14:textId="77777777" w:rsidR="00453D50" w:rsidRPr="00410F45" w:rsidRDefault="00453D50" w:rsidP="00616580">
            <w:pPr>
              <w:spacing w:after="0" w:line="240" w:lineRule="auto"/>
              <w:rPr>
                <w:rFonts w:ascii="Arial Narrow" w:eastAsia="Times New Roman" w:hAnsi="Arial Narrow" w:cs="Calibri"/>
                <w:color w:val="000000"/>
                <w:sz w:val="16"/>
                <w:szCs w:val="16"/>
                <w:lang w:eastAsia="sk-SK"/>
              </w:rPr>
            </w:pPr>
            <w:r w:rsidRPr="00410F45">
              <w:rPr>
                <w:rFonts w:ascii="Arial Narrow" w:eastAsia="Times New Roman" w:hAnsi="Arial Narrow" w:cs="Calibri"/>
                <w:color w:val="000000"/>
                <w:sz w:val="16"/>
                <w:szCs w:val="16"/>
                <w:lang w:eastAsia="sk-SK"/>
              </w:rPr>
              <w:t> </w:t>
            </w:r>
          </w:p>
        </w:tc>
        <w:tc>
          <w:tcPr>
            <w:tcW w:w="560" w:type="dxa"/>
            <w:tcBorders>
              <w:top w:val="nil"/>
              <w:left w:val="nil"/>
              <w:bottom w:val="single" w:sz="8" w:space="0" w:color="auto"/>
              <w:right w:val="nil"/>
            </w:tcBorders>
            <w:shd w:val="clear" w:color="auto" w:fill="auto"/>
            <w:vAlign w:val="center"/>
            <w:hideMark/>
          </w:tcPr>
          <w:p w14:paraId="2AAC3A8E" w14:textId="77777777" w:rsidR="00453D50" w:rsidRPr="00410F45" w:rsidRDefault="00453D50" w:rsidP="00616580">
            <w:pPr>
              <w:spacing w:after="0" w:line="240" w:lineRule="auto"/>
              <w:rPr>
                <w:rFonts w:ascii="Arial Narrow" w:eastAsia="Times New Roman" w:hAnsi="Arial Narrow" w:cs="Calibri"/>
                <w:color w:val="4472C4"/>
                <w:sz w:val="16"/>
                <w:szCs w:val="16"/>
                <w:lang w:eastAsia="sk-SK"/>
              </w:rPr>
            </w:pPr>
            <w:r w:rsidRPr="00410F45">
              <w:rPr>
                <w:rFonts w:ascii="Arial Narrow" w:eastAsia="Times New Roman" w:hAnsi="Arial Narrow" w:cs="Calibri"/>
                <w:color w:val="4472C4"/>
                <w:sz w:val="16"/>
                <w:szCs w:val="16"/>
                <w:lang w:eastAsia="sk-SK"/>
              </w:rPr>
              <w:t>EK</w:t>
            </w:r>
          </w:p>
        </w:tc>
        <w:tc>
          <w:tcPr>
            <w:tcW w:w="700" w:type="dxa"/>
            <w:tcBorders>
              <w:top w:val="nil"/>
              <w:left w:val="nil"/>
              <w:bottom w:val="single" w:sz="8" w:space="0" w:color="auto"/>
              <w:right w:val="nil"/>
            </w:tcBorders>
            <w:shd w:val="clear" w:color="auto" w:fill="auto"/>
            <w:vAlign w:val="center"/>
            <w:hideMark/>
          </w:tcPr>
          <w:p w14:paraId="2C4F1215"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3.43</w:t>
            </w:r>
          </w:p>
        </w:tc>
        <w:tc>
          <w:tcPr>
            <w:tcW w:w="700" w:type="dxa"/>
            <w:tcBorders>
              <w:top w:val="nil"/>
              <w:left w:val="nil"/>
              <w:bottom w:val="single" w:sz="8" w:space="0" w:color="auto"/>
              <w:right w:val="nil"/>
            </w:tcBorders>
            <w:shd w:val="clear" w:color="auto" w:fill="auto"/>
            <w:vAlign w:val="center"/>
            <w:hideMark/>
          </w:tcPr>
          <w:p w14:paraId="707587D1"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3.56</w:t>
            </w:r>
          </w:p>
        </w:tc>
        <w:tc>
          <w:tcPr>
            <w:tcW w:w="700" w:type="dxa"/>
            <w:tcBorders>
              <w:top w:val="nil"/>
              <w:left w:val="nil"/>
              <w:bottom w:val="single" w:sz="8" w:space="0" w:color="auto"/>
              <w:right w:val="nil"/>
            </w:tcBorders>
            <w:shd w:val="clear" w:color="auto" w:fill="auto"/>
            <w:vAlign w:val="center"/>
            <w:hideMark/>
          </w:tcPr>
          <w:p w14:paraId="67E8551C"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2.82</w:t>
            </w:r>
          </w:p>
        </w:tc>
        <w:tc>
          <w:tcPr>
            <w:tcW w:w="700" w:type="dxa"/>
            <w:tcBorders>
              <w:top w:val="nil"/>
              <w:left w:val="nil"/>
              <w:bottom w:val="single" w:sz="8" w:space="0" w:color="auto"/>
              <w:right w:val="nil"/>
            </w:tcBorders>
            <w:shd w:val="clear" w:color="auto" w:fill="auto"/>
            <w:vAlign w:val="center"/>
            <w:hideMark/>
          </w:tcPr>
          <w:p w14:paraId="5715FA7F"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2.81</w:t>
            </w:r>
          </w:p>
        </w:tc>
        <w:tc>
          <w:tcPr>
            <w:tcW w:w="700" w:type="dxa"/>
            <w:tcBorders>
              <w:top w:val="nil"/>
              <w:left w:val="nil"/>
              <w:bottom w:val="single" w:sz="8" w:space="0" w:color="auto"/>
              <w:right w:val="nil"/>
            </w:tcBorders>
            <w:shd w:val="clear" w:color="auto" w:fill="auto"/>
            <w:vAlign w:val="center"/>
            <w:hideMark/>
          </w:tcPr>
          <w:p w14:paraId="0137C67D"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2.79</w:t>
            </w:r>
          </w:p>
        </w:tc>
        <w:tc>
          <w:tcPr>
            <w:tcW w:w="700" w:type="dxa"/>
            <w:tcBorders>
              <w:top w:val="nil"/>
              <w:left w:val="nil"/>
              <w:bottom w:val="single" w:sz="8" w:space="0" w:color="auto"/>
              <w:right w:val="nil"/>
            </w:tcBorders>
            <w:shd w:val="clear" w:color="auto" w:fill="auto"/>
            <w:vAlign w:val="center"/>
            <w:hideMark/>
          </w:tcPr>
          <w:p w14:paraId="53C64F8C"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2.78</w:t>
            </w:r>
          </w:p>
        </w:tc>
        <w:tc>
          <w:tcPr>
            <w:tcW w:w="700" w:type="dxa"/>
            <w:tcBorders>
              <w:top w:val="nil"/>
              <w:left w:val="nil"/>
              <w:bottom w:val="single" w:sz="8" w:space="0" w:color="auto"/>
              <w:right w:val="nil"/>
            </w:tcBorders>
            <w:shd w:val="clear" w:color="auto" w:fill="auto"/>
            <w:vAlign w:val="center"/>
            <w:hideMark/>
          </w:tcPr>
          <w:p w14:paraId="79E69928"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2.73</w:t>
            </w:r>
          </w:p>
        </w:tc>
        <w:tc>
          <w:tcPr>
            <w:tcW w:w="700" w:type="dxa"/>
            <w:tcBorders>
              <w:top w:val="nil"/>
              <w:left w:val="nil"/>
              <w:bottom w:val="single" w:sz="8" w:space="0" w:color="auto"/>
              <w:right w:val="nil"/>
            </w:tcBorders>
            <w:shd w:val="clear" w:color="auto" w:fill="auto"/>
            <w:vAlign w:val="center"/>
            <w:hideMark/>
          </w:tcPr>
          <w:p w14:paraId="1E8E7D08"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2.54</w:t>
            </w:r>
          </w:p>
        </w:tc>
        <w:tc>
          <w:tcPr>
            <w:tcW w:w="927" w:type="dxa"/>
            <w:tcBorders>
              <w:top w:val="nil"/>
              <w:left w:val="nil"/>
              <w:bottom w:val="single" w:sz="8" w:space="0" w:color="auto"/>
              <w:right w:val="nil"/>
            </w:tcBorders>
            <w:shd w:val="clear" w:color="auto" w:fill="auto"/>
            <w:vAlign w:val="center"/>
            <w:hideMark/>
          </w:tcPr>
          <w:p w14:paraId="5B5F6C27" w14:textId="77777777" w:rsidR="00453D50" w:rsidRPr="00C66F1C" w:rsidRDefault="00453D50" w:rsidP="00616580">
            <w:pPr>
              <w:spacing w:after="0" w:line="240" w:lineRule="auto"/>
              <w:jc w:val="center"/>
              <w:rPr>
                <w:rFonts w:ascii="Arial Narrow" w:eastAsia="Times New Roman" w:hAnsi="Arial Narrow" w:cs="Calibri"/>
                <w:color w:val="4472C4"/>
                <w:sz w:val="16"/>
                <w:szCs w:val="16"/>
                <w:lang w:eastAsia="sk-SK"/>
              </w:rPr>
            </w:pPr>
            <w:r w:rsidRPr="00C66F1C">
              <w:rPr>
                <w:rFonts w:ascii="Arial Narrow" w:eastAsia="Times New Roman" w:hAnsi="Arial Narrow" w:cs="Calibri"/>
                <w:color w:val="4472C4"/>
                <w:sz w:val="16"/>
                <w:szCs w:val="16"/>
                <w:lang w:eastAsia="sk-SK"/>
              </w:rPr>
              <w:t>2.68</w:t>
            </w:r>
          </w:p>
        </w:tc>
      </w:tr>
    </w:tbl>
    <w:p w14:paraId="7F0210D5" w14:textId="77777777" w:rsidR="00453D50" w:rsidRPr="00410F45" w:rsidRDefault="00453D50" w:rsidP="00453D50">
      <w:pPr>
        <w:jc w:val="right"/>
        <w:rPr>
          <w:rFonts w:ascii="Arial Narrow" w:hAnsi="Arial Narrow"/>
          <w:i/>
          <w:iCs/>
          <w:sz w:val="16"/>
          <w:szCs w:val="16"/>
        </w:rPr>
      </w:pPr>
      <w:r w:rsidRPr="00410F45">
        <w:rPr>
          <w:rFonts w:ascii="Arial Narrow" w:hAnsi="Arial Narrow"/>
          <w:i/>
          <w:iCs/>
          <w:sz w:val="16"/>
          <w:szCs w:val="16"/>
        </w:rPr>
        <w:t>Zdroj: EK, MF SR</w:t>
      </w:r>
    </w:p>
    <w:p w14:paraId="0B776123" w14:textId="17DB3E81" w:rsidR="00A55A0D" w:rsidRPr="00A22C01" w:rsidRDefault="00A55A0D" w:rsidP="00A55A0D">
      <w:pPr>
        <w:spacing w:line="276" w:lineRule="auto"/>
        <w:jc w:val="both"/>
        <w:rPr>
          <w:rFonts w:ascii="Arial Narrow" w:hAnsi="Arial Narrow"/>
          <w:b/>
          <w:bCs/>
          <w:color w:val="2C9ADC"/>
          <w:sz w:val="24"/>
          <w:szCs w:val="24"/>
        </w:rPr>
      </w:pPr>
      <w:r w:rsidRPr="00A22C01">
        <w:rPr>
          <w:rFonts w:ascii="Arial Narrow" w:hAnsi="Arial Narrow"/>
          <w:b/>
          <w:bCs/>
          <w:color w:val="2C9ADC"/>
          <w:sz w:val="24"/>
          <w:szCs w:val="24"/>
        </w:rPr>
        <w:lastRenderedPageBreak/>
        <w:t>Príloha 2 – Podmienené a implicitné záväzky</w:t>
      </w:r>
    </w:p>
    <w:p w14:paraId="7B79D184" w14:textId="59BC3520" w:rsidR="002A0289" w:rsidRPr="00A22C01" w:rsidRDefault="002A0289" w:rsidP="002A0289">
      <w:pPr>
        <w:spacing w:line="276" w:lineRule="auto"/>
        <w:jc w:val="both"/>
        <w:rPr>
          <w:rFonts w:ascii="Arial Narrow" w:eastAsia="Times New Roman" w:hAnsi="Arial Narrow" w:cs="Times New Roman"/>
          <w:b/>
          <w:bCs/>
          <w:color w:val="2C9ADC"/>
          <w:sz w:val="24"/>
          <w:szCs w:val="24"/>
          <w:lang w:eastAsia="sk-SK"/>
        </w:rPr>
      </w:pPr>
      <w:r w:rsidRPr="00A22C01">
        <w:rPr>
          <w:rFonts w:ascii="Arial Narrow" w:eastAsia="Times New Roman" w:hAnsi="Arial Narrow" w:cs="Times New Roman"/>
          <w:b/>
          <w:bCs/>
          <w:color w:val="2C9ADC"/>
          <w:sz w:val="24"/>
          <w:szCs w:val="24"/>
          <w:lang w:eastAsia="sk-SK"/>
        </w:rPr>
        <w:t>Podmienené záväzky</w:t>
      </w:r>
    </w:p>
    <w:tbl>
      <w:tblPr>
        <w:tblpPr w:leftFromText="141" w:rightFromText="141" w:vertAnchor="text" w:horzAnchor="margin" w:tblpY="2144"/>
        <w:tblW w:w="9029" w:type="dxa"/>
        <w:tblCellMar>
          <w:left w:w="70" w:type="dxa"/>
          <w:right w:w="70" w:type="dxa"/>
        </w:tblCellMar>
        <w:tblLook w:val="04A0" w:firstRow="1" w:lastRow="0" w:firstColumn="1" w:lastColumn="0" w:noHBand="0" w:noVBand="1"/>
      </w:tblPr>
      <w:tblGrid>
        <w:gridCol w:w="706"/>
        <w:gridCol w:w="6557"/>
        <w:gridCol w:w="720"/>
        <w:gridCol w:w="1046"/>
      </w:tblGrid>
      <w:tr w:rsidR="00AC0F39" w:rsidRPr="003D2AFD" w14:paraId="27FBD206" w14:textId="77777777" w:rsidTr="004B3BF8">
        <w:trPr>
          <w:trHeight w:val="285"/>
        </w:trPr>
        <w:tc>
          <w:tcPr>
            <w:tcW w:w="7263" w:type="dxa"/>
            <w:gridSpan w:val="2"/>
            <w:tcBorders>
              <w:top w:val="nil"/>
              <w:left w:val="nil"/>
              <w:bottom w:val="nil"/>
              <w:right w:val="nil"/>
            </w:tcBorders>
            <w:shd w:val="clear" w:color="000000" w:fill="FFFFFF"/>
            <w:vAlign w:val="center"/>
            <w:hideMark/>
          </w:tcPr>
          <w:p w14:paraId="7E826BFC" w14:textId="1F9321C3" w:rsidR="00AC0F39" w:rsidRPr="00C36AA2" w:rsidRDefault="00F91C7C" w:rsidP="00C96816">
            <w:pPr>
              <w:spacing w:after="0" w:line="240" w:lineRule="auto"/>
              <w:rPr>
                <w:rFonts w:ascii="Arial Narrow" w:eastAsia="Times New Roman" w:hAnsi="Arial Narrow" w:cs="Calibri"/>
                <w:b/>
                <w:bCs/>
                <w:color w:val="2C9ADC"/>
                <w:sz w:val="20"/>
                <w:szCs w:val="20"/>
                <w:lang w:eastAsia="sk-SK"/>
              </w:rPr>
            </w:pPr>
            <w:bookmarkStart w:id="42" w:name="_Toc179814718"/>
            <w:r w:rsidRPr="00D54F12">
              <w:rPr>
                <w:rFonts w:ascii="Arial Narrow" w:hAnsi="Arial Narrow" w:cs="Arial Narrow"/>
                <w:b/>
                <w:bCs/>
                <w:color w:val="2C9ADC"/>
                <w:sz w:val="20"/>
                <w:szCs w:val="20"/>
              </w:rPr>
              <w:t>TABUĽKA</w:t>
            </w:r>
            <w:r w:rsidRPr="00D54F12" w:rsidDel="00F91C7C">
              <w:rPr>
                <w:rFonts w:ascii="Arial Narrow" w:eastAsia="Times New Roman" w:hAnsi="Arial Narrow" w:cs="Calibri"/>
                <w:b/>
                <w:bCs/>
                <w:color w:val="2C9ADC"/>
                <w:sz w:val="20"/>
                <w:szCs w:val="20"/>
                <w:lang w:eastAsia="sk-SK"/>
              </w:rPr>
              <w:t xml:space="preserve"> </w:t>
            </w:r>
            <w:r w:rsidRPr="00D54F12">
              <w:rPr>
                <w:rFonts w:ascii="Arial Narrow" w:eastAsia="Arial Narrow" w:hAnsi="Arial Narrow" w:cs="Arial Narrow"/>
                <w:b/>
                <w:bCs/>
                <w:noProof/>
                <w:color w:val="2C9ADC"/>
                <w:sz w:val="20"/>
                <w:szCs w:val="20"/>
                <w:bdr w:val="nil"/>
                <w:lang w:eastAsia="sk-SK"/>
              </w:rPr>
              <w:fldChar w:fldCharType="begin"/>
            </w:r>
            <w:r w:rsidRPr="00D54F12">
              <w:rPr>
                <w:rFonts w:ascii="Arial Narrow" w:eastAsia="Arial Narrow" w:hAnsi="Arial Narrow" w:cs="Arial Narrow"/>
                <w:b/>
                <w:bCs/>
                <w:noProof/>
                <w:color w:val="2C9ADC"/>
                <w:sz w:val="20"/>
                <w:szCs w:val="20"/>
                <w:bdr w:val="nil"/>
                <w:lang w:eastAsia="sk-SK"/>
              </w:rPr>
              <w:instrText xml:space="preserve"> SEQ TABUĽKA \* ARABIC </w:instrText>
            </w:r>
            <w:r w:rsidRPr="00D54F12">
              <w:rPr>
                <w:rFonts w:ascii="Arial Narrow" w:eastAsia="Arial Narrow" w:hAnsi="Arial Narrow" w:cs="Arial Narrow"/>
                <w:b/>
                <w:bCs/>
                <w:noProof/>
                <w:color w:val="2C9ADC"/>
                <w:sz w:val="20"/>
                <w:szCs w:val="20"/>
                <w:bdr w:val="nil"/>
                <w:lang w:eastAsia="sk-SK"/>
              </w:rPr>
              <w:fldChar w:fldCharType="separate"/>
            </w:r>
            <w:r w:rsidR="007A664D">
              <w:rPr>
                <w:rFonts w:ascii="Arial Narrow" w:eastAsia="Arial Narrow" w:hAnsi="Arial Narrow" w:cs="Arial Narrow"/>
                <w:b/>
                <w:bCs/>
                <w:noProof/>
                <w:color w:val="2C9ADC"/>
                <w:sz w:val="20"/>
                <w:szCs w:val="20"/>
                <w:bdr w:val="nil"/>
                <w:lang w:eastAsia="sk-SK"/>
              </w:rPr>
              <w:t>6</w:t>
            </w:r>
            <w:r w:rsidRPr="00D54F12">
              <w:rPr>
                <w:rFonts w:ascii="Arial Narrow" w:eastAsia="Arial Narrow" w:hAnsi="Arial Narrow" w:cs="Arial Narrow"/>
                <w:b/>
                <w:bCs/>
                <w:noProof/>
                <w:color w:val="2C9ADC"/>
                <w:sz w:val="20"/>
                <w:szCs w:val="20"/>
                <w:bdr w:val="nil"/>
                <w:lang w:eastAsia="sk-SK"/>
              </w:rPr>
              <w:fldChar w:fldCharType="end"/>
            </w:r>
            <w:r w:rsidR="00AC0F39" w:rsidRPr="00D54F12">
              <w:rPr>
                <w:rFonts w:ascii="Arial Narrow" w:eastAsia="Times New Roman" w:hAnsi="Arial Narrow" w:cs="Calibri"/>
                <w:b/>
                <w:bCs/>
                <w:color w:val="2C9ADC"/>
                <w:sz w:val="20"/>
                <w:szCs w:val="20"/>
                <w:lang w:eastAsia="sk-SK"/>
              </w:rPr>
              <w:t xml:space="preserve"> – Podmienené záväzky (% HDP)</w:t>
            </w:r>
            <w:bookmarkEnd w:id="42"/>
          </w:p>
        </w:tc>
        <w:tc>
          <w:tcPr>
            <w:tcW w:w="1766" w:type="dxa"/>
            <w:gridSpan w:val="2"/>
            <w:tcBorders>
              <w:top w:val="nil"/>
              <w:left w:val="nil"/>
              <w:bottom w:val="nil"/>
              <w:right w:val="nil"/>
            </w:tcBorders>
            <w:shd w:val="clear" w:color="000000" w:fill="FFFFFF"/>
            <w:vAlign w:val="center"/>
            <w:hideMark/>
          </w:tcPr>
          <w:p w14:paraId="6C759615" w14:textId="77777777" w:rsidR="00AC0F39" w:rsidRPr="003D2AFD" w:rsidRDefault="00AC0F39" w:rsidP="00C96816">
            <w:pPr>
              <w:spacing w:after="0" w:line="240" w:lineRule="auto"/>
              <w:jc w:val="center"/>
              <w:rPr>
                <w:rFonts w:ascii="Arial Narrow" w:eastAsia="Times New Roman" w:hAnsi="Arial Narrow" w:cs="Calibri"/>
                <w:b/>
                <w:bCs/>
                <w:color w:val="000000"/>
                <w:sz w:val="18"/>
                <w:szCs w:val="18"/>
                <w:lang w:eastAsia="sk-SK"/>
              </w:rPr>
            </w:pPr>
            <w:r w:rsidRPr="003D2AFD">
              <w:rPr>
                <w:rFonts w:ascii="Arial Narrow" w:eastAsia="Times New Roman" w:hAnsi="Arial Narrow" w:cs="Calibri"/>
                <w:b/>
                <w:bCs/>
                <w:color w:val="000000"/>
                <w:sz w:val="18"/>
                <w:szCs w:val="18"/>
                <w:lang w:eastAsia="sk-SK"/>
              </w:rPr>
              <w:t>2023</w:t>
            </w:r>
          </w:p>
        </w:tc>
      </w:tr>
      <w:tr w:rsidR="00AC0F39" w:rsidRPr="003D2AFD" w14:paraId="3B9ADE66" w14:textId="77777777" w:rsidTr="004B3BF8">
        <w:trPr>
          <w:trHeight w:val="283"/>
        </w:trPr>
        <w:tc>
          <w:tcPr>
            <w:tcW w:w="706" w:type="dxa"/>
            <w:tcBorders>
              <w:top w:val="single" w:sz="8" w:space="0" w:color="auto"/>
              <w:left w:val="nil"/>
              <w:bottom w:val="nil"/>
              <w:right w:val="nil"/>
            </w:tcBorders>
            <w:shd w:val="clear" w:color="auto" w:fill="auto"/>
            <w:vAlign w:val="center"/>
            <w:hideMark/>
          </w:tcPr>
          <w:p w14:paraId="3822EDEB" w14:textId="77777777" w:rsidR="00AC0F39" w:rsidRPr="001613CD" w:rsidRDefault="00AC0F39" w:rsidP="00C96816">
            <w:pPr>
              <w:spacing w:after="0" w:line="240" w:lineRule="auto"/>
              <w:jc w:val="center"/>
              <w:rPr>
                <w:rFonts w:ascii="Arial Narrow" w:eastAsia="Times New Roman" w:hAnsi="Arial Narrow" w:cs="Calibri"/>
                <w:color w:val="000000"/>
                <w:sz w:val="18"/>
                <w:szCs w:val="18"/>
                <w:lang w:eastAsia="sk-SK"/>
              </w:rPr>
            </w:pPr>
            <w:r w:rsidRPr="001613CD">
              <w:rPr>
                <w:rFonts w:ascii="Arial Narrow" w:eastAsia="Times New Roman" w:hAnsi="Arial Narrow" w:cs="Calibri"/>
                <w:color w:val="000000"/>
                <w:sz w:val="18"/>
                <w:szCs w:val="18"/>
                <w:lang w:eastAsia="sk-SK"/>
              </w:rPr>
              <w:t>1</w:t>
            </w:r>
          </w:p>
        </w:tc>
        <w:tc>
          <w:tcPr>
            <w:tcW w:w="6556" w:type="dxa"/>
            <w:tcBorders>
              <w:top w:val="single" w:sz="8" w:space="0" w:color="auto"/>
              <w:left w:val="nil"/>
              <w:bottom w:val="nil"/>
              <w:right w:val="nil"/>
            </w:tcBorders>
            <w:shd w:val="clear" w:color="auto" w:fill="auto"/>
            <w:vAlign w:val="center"/>
            <w:hideMark/>
          </w:tcPr>
          <w:p w14:paraId="2F0E2AD0" w14:textId="77777777" w:rsidR="00AC0F39" w:rsidRPr="001613CD" w:rsidRDefault="00AC0F39" w:rsidP="00C96816">
            <w:pPr>
              <w:spacing w:after="0" w:line="240" w:lineRule="auto"/>
              <w:rPr>
                <w:rFonts w:ascii="Arial Narrow" w:eastAsia="Times New Roman" w:hAnsi="Arial Narrow" w:cs="Calibri"/>
                <w:color w:val="000000"/>
                <w:sz w:val="18"/>
                <w:szCs w:val="18"/>
                <w:lang w:eastAsia="sk-SK"/>
              </w:rPr>
            </w:pPr>
            <w:r w:rsidRPr="001613CD">
              <w:rPr>
                <w:rFonts w:ascii="Arial Narrow" w:eastAsia="Times New Roman" w:hAnsi="Arial Narrow" w:cs="Calibri"/>
                <w:color w:val="000000"/>
                <w:sz w:val="18"/>
                <w:szCs w:val="18"/>
                <w:lang w:eastAsia="sk-SK"/>
              </w:rPr>
              <w:t>Ústredná správa a podniky štátnej správy</w:t>
            </w:r>
          </w:p>
        </w:tc>
        <w:tc>
          <w:tcPr>
            <w:tcW w:w="1766" w:type="dxa"/>
            <w:gridSpan w:val="2"/>
            <w:tcBorders>
              <w:top w:val="single" w:sz="8" w:space="0" w:color="auto"/>
              <w:left w:val="nil"/>
              <w:bottom w:val="nil"/>
              <w:right w:val="nil"/>
            </w:tcBorders>
            <w:shd w:val="clear" w:color="auto" w:fill="auto"/>
            <w:vAlign w:val="center"/>
            <w:hideMark/>
          </w:tcPr>
          <w:p w14:paraId="4D8D2A41" w14:textId="4504304E" w:rsidR="00AC0F39" w:rsidRPr="001613CD" w:rsidRDefault="00AC0F39" w:rsidP="00C96816">
            <w:pPr>
              <w:spacing w:after="0" w:line="240" w:lineRule="auto"/>
              <w:jc w:val="center"/>
              <w:rPr>
                <w:rFonts w:ascii="Arial Narrow" w:eastAsia="Times New Roman" w:hAnsi="Arial Narrow" w:cs="Calibri"/>
                <w:sz w:val="18"/>
                <w:szCs w:val="18"/>
                <w:lang w:eastAsia="sk-SK"/>
              </w:rPr>
            </w:pPr>
            <w:r w:rsidRPr="001613CD">
              <w:rPr>
                <w:rFonts w:ascii="Arial Narrow" w:eastAsia="Times New Roman" w:hAnsi="Arial Narrow" w:cs="Calibri"/>
                <w:sz w:val="18"/>
                <w:szCs w:val="18"/>
                <w:lang w:eastAsia="sk-SK"/>
              </w:rPr>
              <w:t>17,15</w:t>
            </w:r>
            <w:r w:rsidR="00C96816">
              <w:rPr>
                <w:rFonts w:ascii="Arial Narrow" w:eastAsia="Times New Roman" w:hAnsi="Arial Narrow" w:cs="Calibri"/>
                <w:sz w:val="18"/>
                <w:szCs w:val="18"/>
                <w:lang w:eastAsia="sk-SK"/>
              </w:rPr>
              <w:t xml:space="preserve"> </w:t>
            </w:r>
            <w:r w:rsidRPr="001613CD">
              <w:rPr>
                <w:rFonts w:ascii="Arial Narrow" w:eastAsia="Times New Roman" w:hAnsi="Arial Narrow" w:cs="Calibri"/>
                <w:sz w:val="18"/>
                <w:szCs w:val="18"/>
                <w:lang w:eastAsia="sk-SK"/>
              </w:rPr>
              <w:t>%</w:t>
            </w:r>
          </w:p>
        </w:tc>
      </w:tr>
      <w:tr w:rsidR="00AC0F39" w:rsidRPr="003D2AFD" w14:paraId="153508C2" w14:textId="77777777" w:rsidTr="004B3BF8">
        <w:trPr>
          <w:trHeight w:val="283"/>
        </w:trPr>
        <w:tc>
          <w:tcPr>
            <w:tcW w:w="706" w:type="dxa"/>
            <w:tcBorders>
              <w:top w:val="nil"/>
              <w:left w:val="nil"/>
              <w:bottom w:val="nil"/>
              <w:right w:val="nil"/>
            </w:tcBorders>
            <w:shd w:val="clear" w:color="auto" w:fill="auto"/>
            <w:vAlign w:val="center"/>
            <w:hideMark/>
          </w:tcPr>
          <w:p w14:paraId="3F52C047" w14:textId="77777777" w:rsidR="00AC0F39" w:rsidRPr="001613CD" w:rsidRDefault="00AC0F39" w:rsidP="00C96816">
            <w:pPr>
              <w:spacing w:after="0" w:line="240" w:lineRule="auto"/>
              <w:jc w:val="center"/>
              <w:rPr>
                <w:rFonts w:ascii="Arial Narrow" w:eastAsia="Times New Roman" w:hAnsi="Arial Narrow" w:cs="Calibri"/>
                <w:color w:val="000000"/>
                <w:sz w:val="18"/>
                <w:szCs w:val="18"/>
                <w:lang w:eastAsia="sk-SK"/>
              </w:rPr>
            </w:pPr>
            <w:r w:rsidRPr="001613CD">
              <w:rPr>
                <w:rFonts w:ascii="Arial Narrow" w:eastAsia="Times New Roman" w:hAnsi="Arial Narrow" w:cs="Calibri"/>
                <w:color w:val="000000"/>
                <w:sz w:val="18"/>
                <w:szCs w:val="18"/>
                <w:lang w:eastAsia="sk-SK"/>
              </w:rPr>
              <w:t>2</w:t>
            </w:r>
          </w:p>
        </w:tc>
        <w:tc>
          <w:tcPr>
            <w:tcW w:w="6556" w:type="dxa"/>
            <w:tcBorders>
              <w:top w:val="nil"/>
              <w:left w:val="nil"/>
              <w:bottom w:val="nil"/>
              <w:right w:val="nil"/>
            </w:tcBorders>
            <w:shd w:val="clear" w:color="auto" w:fill="auto"/>
            <w:vAlign w:val="center"/>
            <w:hideMark/>
          </w:tcPr>
          <w:p w14:paraId="64A739BC" w14:textId="77777777" w:rsidR="00AC0F39" w:rsidRPr="001613CD" w:rsidRDefault="00AC0F39" w:rsidP="00C96816">
            <w:pPr>
              <w:spacing w:after="0" w:line="240" w:lineRule="auto"/>
              <w:rPr>
                <w:rFonts w:ascii="Arial Narrow" w:eastAsia="Times New Roman" w:hAnsi="Arial Narrow" w:cs="Calibri"/>
                <w:color w:val="000000"/>
                <w:sz w:val="18"/>
                <w:szCs w:val="18"/>
                <w:lang w:eastAsia="sk-SK"/>
              </w:rPr>
            </w:pPr>
            <w:r w:rsidRPr="001613CD">
              <w:rPr>
                <w:rFonts w:ascii="Arial Narrow" w:eastAsia="Times New Roman" w:hAnsi="Arial Narrow" w:cs="Calibri"/>
                <w:color w:val="000000"/>
                <w:sz w:val="18"/>
                <w:szCs w:val="18"/>
                <w:lang w:eastAsia="sk-SK"/>
              </w:rPr>
              <w:t>Obce a ich rozpočtové a príspevkové organizácie a podniky územnej samosprávy</w:t>
            </w:r>
          </w:p>
        </w:tc>
        <w:tc>
          <w:tcPr>
            <w:tcW w:w="1766" w:type="dxa"/>
            <w:gridSpan w:val="2"/>
            <w:tcBorders>
              <w:top w:val="nil"/>
              <w:left w:val="nil"/>
              <w:bottom w:val="nil"/>
              <w:right w:val="nil"/>
            </w:tcBorders>
            <w:shd w:val="clear" w:color="auto" w:fill="auto"/>
            <w:vAlign w:val="center"/>
            <w:hideMark/>
          </w:tcPr>
          <w:p w14:paraId="7E5EC83F" w14:textId="30330CD6" w:rsidR="00AC0F39" w:rsidRPr="001613CD" w:rsidRDefault="00AC0F39" w:rsidP="00C96816">
            <w:pPr>
              <w:spacing w:after="0" w:line="240" w:lineRule="auto"/>
              <w:jc w:val="center"/>
              <w:rPr>
                <w:rFonts w:ascii="Arial Narrow" w:eastAsia="Times New Roman" w:hAnsi="Arial Narrow" w:cs="Calibri"/>
                <w:sz w:val="18"/>
                <w:szCs w:val="18"/>
                <w:lang w:eastAsia="sk-SK"/>
              </w:rPr>
            </w:pPr>
            <w:r w:rsidRPr="001613CD">
              <w:rPr>
                <w:rFonts w:ascii="Arial Narrow" w:eastAsia="Times New Roman" w:hAnsi="Arial Narrow" w:cs="Calibri"/>
                <w:sz w:val="18"/>
                <w:szCs w:val="18"/>
                <w:lang w:eastAsia="sk-SK"/>
              </w:rPr>
              <w:t>0,50</w:t>
            </w:r>
            <w:r w:rsidR="00C96816">
              <w:rPr>
                <w:rFonts w:ascii="Arial Narrow" w:eastAsia="Times New Roman" w:hAnsi="Arial Narrow" w:cs="Calibri"/>
                <w:sz w:val="18"/>
                <w:szCs w:val="18"/>
                <w:lang w:eastAsia="sk-SK"/>
              </w:rPr>
              <w:t xml:space="preserve"> </w:t>
            </w:r>
            <w:r w:rsidRPr="001613CD">
              <w:rPr>
                <w:rFonts w:ascii="Arial Narrow" w:eastAsia="Times New Roman" w:hAnsi="Arial Narrow" w:cs="Calibri"/>
                <w:sz w:val="18"/>
                <w:szCs w:val="18"/>
                <w:lang w:eastAsia="sk-SK"/>
              </w:rPr>
              <w:t>%</w:t>
            </w:r>
          </w:p>
        </w:tc>
      </w:tr>
      <w:tr w:rsidR="00AC0F39" w:rsidRPr="003D2AFD" w14:paraId="027AF551" w14:textId="77777777" w:rsidTr="004B3BF8">
        <w:trPr>
          <w:trHeight w:val="283"/>
        </w:trPr>
        <w:tc>
          <w:tcPr>
            <w:tcW w:w="706" w:type="dxa"/>
            <w:tcBorders>
              <w:top w:val="nil"/>
              <w:left w:val="nil"/>
              <w:bottom w:val="single" w:sz="4" w:space="0" w:color="auto"/>
              <w:right w:val="nil"/>
            </w:tcBorders>
            <w:shd w:val="clear" w:color="auto" w:fill="auto"/>
            <w:vAlign w:val="center"/>
          </w:tcPr>
          <w:p w14:paraId="2E9DB54C" w14:textId="77777777" w:rsidR="00AC0F39" w:rsidRPr="001613CD" w:rsidRDefault="00AC0F39" w:rsidP="00C96816">
            <w:pPr>
              <w:spacing w:after="0" w:line="240" w:lineRule="auto"/>
              <w:jc w:val="center"/>
              <w:rPr>
                <w:rFonts w:ascii="Arial Narrow" w:eastAsia="Times New Roman" w:hAnsi="Arial Narrow" w:cs="Calibri"/>
                <w:color w:val="000000"/>
                <w:sz w:val="18"/>
                <w:szCs w:val="18"/>
                <w:lang w:eastAsia="sk-SK"/>
              </w:rPr>
            </w:pPr>
            <w:r w:rsidRPr="001613CD">
              <w:rPr>
                <w:rFonts w:ascii="Arial Narrow" w:eastAsia="Times New Roman" w:hAnsi="Arial Narrow" w:cs="Calibri"/>
                <w:color w:val="000000"/>
                <w:sz w:val="18"/>
                <w:szCs w:val="18"/>
                <w:lang w:eastAsia="sk-SK"/>
              </w:rPr>
              <w:t>3</w:t>
            </w:r>
          </w:p>
        </w:tc>
        <w:tc>
          <w:tcPr>
            <w:tcW w:w="6556" w:type="dxa"/>
            <w:tcBorders>
              <w:top w:val="nil"/>
              <w:left w:val="nil"/>
              <w:bottom w:val="single" w:sz="4" w:space="0" w:color="auto"/>
              <w:right w:val="nil"/>
            </w:tcBorders>
            <w:shd w:val="clear" w:color="auto" w:fill="auto"/>
            <w:vAlign w:val="center"/>
          </w:tcPr>
          <w:p w14:paraId="7340EEA3" w14:textId="77777777" w:rsidR="00AC0F39" w:rsidRPr="001613CD" w:rsidRDefault="00AC0F39" w:rsidP="00C96816">
            <w:pPr>
              <w:spacing w:after="0" w:line="240" w:lineRule="auto"/>
              <w:rPr>
                <w:rFonts w:ascii="Arial Narrow" w:eastAsia="Times New Roman" w:hAnsi="Arial Narrow" w:cs="Calibri"/>
                <w:color w:val="000000"/>
                <w:sz w:val="18"/>
                <w:szCs w:val="18"/>
                <w:lang w:eastAsia="sk-SK"/>
              </w:rPr>
            </w:pPr>
            <w:r w:rsidRPr="001613CD">
              <w:rPr>
                <w:rFonts w:ascii="Arial Narrow" w:eastAsia="Times New Roman" w:hAnsi="Arial Narrow" w:cs="Calibri"/>
                <w:color w:val="000000"/>
                <w:sz w:val="18"/>
                <w:szCs w:val="18"/>
                <w:lang w:eastAsia="sk-SK"/>
              </w:rPr>
              <w:t>Vyššie územné celky a ich rozpočtové a príspevkové organizácie a podniky územnej samosprávy</w:t>
            </w:r>
          </w:p>
        </w:tc>
        <w:tc>
          <w:tcPr>
            <w:tcW w:w="1766" w:type="dxa"/>
            <w:gridSpan w:val="2"/>
            <w:tcBorders>
              <w:top w:val="nil"/>
              <w:left w:val="nil"/>
              <w:bottom w:val="single" w:sz="4" w:space="0" w:color="auto"/>
              <w:right w:val="nil"/>
            </w:tcBorders>
            <w:shd w:val="clear" w:color="auto" w:fill="auto"/>
            <w:vAlign w:val="center"/>
          </w:tcPr>
          <w:p w14:paraId="1D0FCEBD" w14:textId="2D10CB06" w:rsidR="00AC0F39" w:rsidRPr="001613CD" w:rsidRDefault="00AC0F39" w:rsidP="00C96816">
            <w:pPr>
              <w:spacing w:after="0" w:line="240" w:lineRule="auto"/>
              <w:jc w:val="center"/>
              <w:rPr>
                <w:rFonts w:ascii="Arial Narrow" w:eastAsia="Times New Roman" w:hAnsi="Arial Narrow" w:cs="Calibri"/>
                <w:sz w:val="18"/>
                <w:szCs w:val="18"/>
                <w:lang w:eastAsia="sk-SK"/>
              </w:rPr>
            </w:pPr>
            <w:r w:rsidRPr="001613CD">
              <w:rPr>
                <w:rFonts w:ascii="Arial Narrow" w:eastAsia="Times New Roman" w:hAnsi="Arial Narrow" w:cs="Calibri"/>
                <w:sz w:val="18"/>
                <w:szCs w:val="18"/>
                <w:lang w:eastAsia="sk-SK"/>
              </w:rPr>
              <w:t>0,01</w:t>
            </w:r>
            <w:r w:rsidR="00C96816">
              <w:rPr>
                <w:rFonts w:ascii="Arial Narrow" w:eastAsia="Times New Roman" w:hAnsi="Arial Narrow" w:cs="Calibri"/>
                <w:sz w:val="18"/>
                <w:szCs w:val="18"/>
                <w:lang w:eastAsia="sk-SK"/>
              </w:rPr>
              <w:t xml:space="preserve"> </w:t>
            </w:r>
            <w:r w:rsidRPr="001613CD">
              <w:rPr>
                <w:rFonts w:ascii="Arial Narrow" w:eastAsia="Times New Roman" w:hAnsi="Arial Narrow" w:cs="Calibri"/>
                <w:sz w:val="18"/>
                <w:szCs w:val="18"/>
                <w:lang w:eastAsia="sk-SK"/>
              </w:rPr>
              <w:t xml:space="preserve">% </w:t>
            </w:r>
          </w:p>
        </w:tc>
      </w:tr>
      <w:tr w:rsidR="00AC0F39" w:rsidRPr="003D2AFD" w14:paraId="29A1408E" w14:textId="77777777" w:rsidTr="004B3BF8">
        <w:trPr>
          <w:trHeight w:val="283"/>
        </w:trPr>
        <w:tc>
          <w:tcPr>
            <w:tcW w:w="706" w:type="dxa"/>
            <w:tcBorders>
              <w:top w:val="single" w:sz="4" w:space="0" w:color="auto"/>
              <w:left w:val="nil"/>
              <w:bottom w:val="single" w:sz="8" w:space="0" w:color="auto"/>
              <w:right w:val="nil"/>
            </w:tcBorders>
            <w:shd w:val="clear" w:color="auto" w:fill="auto"/>
            <w:vAlign w:val="center"/>
          </w:tcPr>
          <w:p w14:paraId="4221D0EF" w14:textId="77777777" w:rsidR="00AC0F39" w:rsidRPr="001613CD" w:rsidRDefault="00AC0F39" w:rsidP="00C96816">
            <w:pPr>
              <w:spacing w:after="0" w:line="240" w:lineRule="auto"/>
              <w:jc w:val="center"/>
              <w:rPr>
                <w:rFonts w:ascii="Arial Narrow" w:eastAsia="Times New Roman" w:hAnsi="Arial Narrow" w:cs="Calibri"/>
                <w:b/>
                <w:bCs/>
                <w:color w:val="000000"/>
                <w:sz w:val="18"/>
                <w:szCs w:val="18"/>
                <w:lang w:eastAsia="sk-SK"/>
              </w:rPr>
            </w:pPr>
          </w:p>
        </w:tc>
        <w:tc>
          <w:tcPr>
            <w:tcW w:w="6556" w:type="dxa"/>
            <w:tcBorders>
              <w:top w:val="single" w:sz="4" w:space="0" w:color="auto"/>
              <w:left w:val="nil"/>
              <w:bottom w:val="single" w:sz="8" w:space="0" w:color="auto"/>
              <w:right w:val="nil"/>
            </w:tcBorders>
            <w:shd w:val="clear" w:color="auto" w:fill="auto"/>
            <w:vAlign w:val="center"/>
          </w:tcPr>
          <w:p w14:paraId="2659369F" w14:textId="77777777" w:rsidR="00AC0F39" w:rsidRPr="001613CD" w:rsidRDefault="00AC0F39" w:rsidP="00C96816">
            <w:pPr>
              <w:spacing w:after="0" w:line="240" w:lineRule="auto"/>
              <w:rPr>
                <w:rFonts w:ascii="Arial Narrow" w:eastAsia="Times New Roman" w:hAnsi="Arial Narrow" w:cs="Calibri"/>
                <w:b/>
                <w:bCs/>
                <w:color w:val="000000"/>
                <w:sz w:val="18"/>
                <w:szCs w:val="18"/>
                <w:lang w:eastAsia="sk-SK"/>
              </w:rPr>
            </w:pPr>
            <w:r w:rsidRPr="001613CD">
              <w:rPr>
                <w:rFonts w:ascii="Arial Narrow" w:eastAsia="Times New Roman" w:hAnsi="Arial Narrow" w:cs="Calibri"/>
                <w:b/>
                <w:bCs/>
                <w:color w:val="000000"/>
                <w:sz w:val="18"/>
                <w:szCs w:val="18"/>
                <w:lang w:eastAsia="sk-SK"/>
              </w:rPr>
              <w:t>Spolu</w:t>
            </w:r>
          </w:p>
        </w:tc>
        <w:tc>
          <w:tcPr>
            <w:tcW w:w="1766" w:type="dxa"/>
            <w:gridSpan w:val="2"/>
            <w:tcBorders>
              <w:top w:val="single" w:sz="4" w:space="0" w:color="auto"/>
              <w:left w:val="nil"/>
              <w:bottom w:val="single" w:sz="8" w:space="0" w:color="auto"/>
              <w:right w:val="nil"/>
            </w:tcBorders>
            <w:shd w:val="clear" w:color="auto" w:fill="auto"/>
            <w:vAlign w:val="center"/>
          </w:tcPr>
          <w:p w14:paraId="47913B6B" w14:textId="13B66171" w:rsidR="00AC0F39" w:rsidRPr="001613CD" w:rsidRDefault="00AC0F39" w:rsidP="00C96816">
            <w:pPr>
              <w:spacing w:after="0" w:line="240" w:lineRule="auto"/>
              <w:jc w:val="center"/>
              <w:rPr>
                <w:rFonts w:ascii="Arial Narrow" w:eastAsia="Times New Roman" w:hAnsi="Arial Narrow" w:cs="Calibri"/>
                <w:b/>
                <w:bCs/>
                <w:sz w:val="18"/>
                <w:szCs w:val="18"/>
                <w:lang w:eastAsia="sk-SK"/>
              </w:rPr>
            </w:pPr>
            <w:r w:rsidRPr="001613CD">
              <w:rPr>
                <w:rFonts w:ascii="Arial Narrow" w:eastAsia="Times New Roman" w:hAnsi="Arial Narrow" w:cs="Calibri"/>
                <w:b/>
                <w:bCs/>
                <w:sz w:val="18"/>
                <w:szCs w:val="18"/>
                <w:lang w:eastAsia="sk-SK"/>
              </w:rPr>
              <w:t>17,65</w:t>
            </w:r>
            <w:r w:rsidR="00C96816">
              <w:rPr>
                <w:rFonts w:ascii="Arial Narrow" w:eastAsia="Times New Roman" w:hAnsi="Arial Narrow" w:cs="Calibri"/>
                <w:b/>
                <w:bCs/>
                <w:sz w:val="18"/>
                <w:szCs w:val="18"/>
                <w:lang w:eastAsia="sk-SK"/>
              </w:rPr>
              <w:t xml:space="preserve"> </w:t>
            </w:r>
            <w:r w:rsidRPr="001613CD">
              <w:rPr>
                <w:rFonts w:ascii="Arial Narrow" w:eastAsia="Times New Roman" w:hAnsi="Arial Narrow" w:cs="Calibri"/>
                <w:b/>
                <w:bCs/>
                <w:sz w:val="18"/>
                <w:szCs w:val="18"/>
                <w:lang w:eastAsia="sk-SK"/>
              </w:rPr>
              <w:t>%</w:t>
            </w:r>
          </w:p>
        </w:tc>
      </w:tr>
      <w:tr w:rsidR="00AC0F39" w:rsidRPr="003D2AFD" w14:paraId="0D562512" w14:textId="77777777" w:rsidTr="004B3BF8">
        <w:trPr>
          <w:gridAfter w:val="1"/>
          <w:wAfter w:w="1046" w:type="dxa"/>
          <w:trHeight w:val="285"/>
        </w:trPr>
        <w:tc>
          <w:tcPr>
            <w:tcW w:w="7983" w:type="dxa"/>
            <w:gridSpan w:val="3"/>
            <w:tcBorders>
              <w:top w:val="nil"/>
              <w:left w:val="nil"/>
              <w:bottom w:val="nil"/>
              <w:right w:val="nil"/>
            </w:tcBorders>
            <w:shd w:val="clear" w:color="auto" w:fill="auto"/>
            <w:vAlign w:val="center"/>
            <w:hideMark/>
          </w:tcPr>
          <w:p w14:paraId="2A364268" w14:textId="77777777" w:rsidR="00AC0F39" w:rsidRPr="003D2AFD" w:rsidRDefault="00AC0F39" w:rsidP="00C96816">
            <w:pPr>
              <w:spacing w:after="0" w:line="240" w:lineRule="auto"/>
              <w:jc w:val="both"/>
              <w:rPr>
                <w:rFonts w:ascii="Times New Roman" w:eastAsia="Times New Roman" w:hAnsi="Times New Roman" w:cs="Times New Roman"/>
                <w:sz w:val="20"/>
                <w:szCs w:val="20"/>
                <w:lang w:eastAsia="sk-SK"/>
              </w:rPr>
            </w:pPr>
            <w:r w:rsidRPr="003D2AFD">
              <w:rPr>
                <w:rFonts w:ascii="Arial Narrow" w:eastAsia="Times New Roman" w:hAnsi="Arial Narrow" w:cs="Calibri"/>
                <w:i/>
                <w:iCs/>
                <w:color w:val="000000"/>
                <w:sz w:val="16"/>
                <w:szCs w:val="16"/>
                <w:lang w:eastAsia="sk-SK"/>
              </w:rPr>
              <w:t>Zdroj: Individuálne a konsolidované účtovné závierky subjektov k 31.12.2023 zverejnené v</w:t>
            </w:r>
            <w:r>
              <w:rPr>
                <w:rFonts w:ascii="Arial Narrow" w:eastAsia="Times New Roman" w:hAnsi="Arial Narrow" w:cs="Calibri"/>
                <w:i/>
                <w:iCs/>
                <w:color w:val="000000"/>
                <w:sz w:val="16"/>
                <w:szCs w:val="16"/>
                <w:lang w:eastAsia="sk-SK"/>
              </w:rPr>
              <w:t xml:space="preserve"> </w:t>
            </w:r>
            <w:r w:rsidRPr="003D2AFD">
              <w:rPr>
                <w:rFonts w:ascii="Arial Narrow" w:eastAsia="Times New Roman" w:hAnsi="Arial Narrow" w:cs="Calibri"/>
                <w:i/>
                <w:iCs/>
                <w:color w:val="000000"/>
                <w:sz w:val="16"/>
                <w:szCs w:val="16"/>
                <w:lang w:eastAsia="sk-SK"/>
              </w:rPr>
              <w:t>registri www.registeruz.sk a databáza MF SR</w:t>
            </w:r>
          </w:p>
        </w:tc>
      </w:tr>
    </w:tbl>
    <w:p w14:paraId="0B67A640" w14:textId="7BAFE0F6" w:rsidR="002A0289" w:rsidRPr="00EC0FB5" w:rsidRDefault="002A0289" w:rsidP="002A0289">
      <w:pPr>
        <w:spacing w:line="276" w:lineRule="auto"/>
        <w:jc w:val="both"/>
        <w:rPr>
          <w:rFonts w:ascii="Arial Narrow" w:eastAsia="Calibri" w:hAnsi="Arial Narrow" w:cs="Times New Roman"/>
        </w:rPr>
      </w:pPr>
      <w:r w:rsidRPr="008051C6">
        <w:rPr>
          <w:rFonts w:ascii="Arial Narrow" w:eastAsia="Calibri" w:hAnsi="Arial Narrow" w:cs="Times New Roman"/>
          <w:b/>
          <w:bCs/>
        </w:rPr>
        <w:t>Podmienené záväzky</w:t>
      </w:r>
      <w:r w:rsidRPr="008051C6">
        <w:rPr>
          <w:rFonts w:ascii="Arial Narrow" w:eastAsia="Calibri" w:hAnsi="Arial Narrow" w:cs="Times New Roman"/>
          <w:b/>
          <w:bCs/>
          <w:vertAlign w:val="superscript"/>
        </w:rPr>
        <w:footnoteReference w:id="19"/>
      </w:r>
      <w:r w:rsidRPr="008051C6">
        <w:rPr>
          <w:rFonts w:ascii="Arial Narrow" w:eastAsia="Calibri" w:hAnsi="Arial Narrow" w:cs="Times New Roman"/>
          <w:b/>
          <w:bCs/>
        </w:rPr>
        <w:t xml:space="preserve"> k 31.12.2023 na nekonsolidovanej báze dosiahli hodnotu </w:t>
      </w:r>
      <w:r>
        <w:rPr>
          <w:rFonts w:ascii="Arial Narrow" w:eastAsia="Calibri" w:hAnsi="Arial Narrow" w:cs="Times New Roman"/>
          <w:b/>
          <w:bCs/>
        </w:rPr>
        <w:t>17,6</w:t>
      </w:r>
      <w:r w:rsidR="00B90A37">
        <w:rPr>
          <w:rFonts w:ascii="Arial Narrow" w:eastAsia="Calibri" w:hAnsi="Arial Narrow" w:cs="Times New Roman"/>
          <w:b/>
          <w:bCs/>
        </w:rPr>
        <w:t xml:space="preserve"> </w:t>
      </w:r>
      <w:r w:rsidRPr="00EC14EF">
        <w:rPr>
          <w:rFonts w:ascii="Arial Narrow" w:eastAsia="Calibri" w:hAnsi="Arial Narrow" w:cs="Times New Roman"/>
          <w:b/>
          <w:bCs/>
        </w:rPr>
        <w:t>% HDP</w:t>
      </w:r>
      <w:r>
        <w:rPr>
          <w:rFonts w:ascii="Arial Narrow" w:eastAsia="Calibri" w:hAnsi="Arial Narrow" w:cs="Times New Roman"/>
          <w:b/>
          <w:bCs/>
        </w:rPr>
        <w:t xml:space="preserve">. </w:t>
      </w:r>
      <w:r w:rsidRPr="008051C6">
        <w:rPr>
          <w:rFonts w:ascii="Arial Narrow" w:eastAsia="Calibri" w:hAnsi="Arial Narrow" w:cs="Times New Roman"/>
        </w:rPr>
        <w:t>Viac ako 95 % týchto záväzkov je spojených s ústrednou správou a jej štátnymi podnikmi.</w:t>
      </w:r>
      <w:r>
        <w:rPr>
          <w:rFonts w:ascii="Arial Narrow" w:eastAsia="Calibri" w:hAnsi="Arial Narrow" w:cs="Times New Roman"/>
        </w:rPr>
        <w:t xml:space="preserve"> </w:t>
      </w:r>
      <w:r w:rsidRPr="00EC14EF">
        <w:rPr>
          <w:rFonts w:ascii="Arial Narrow" w:eastAsia="Calibri" w:hAnsi="Arial Narrow" w:cs="Times New Roman"/>
        </w:rPr>
        <w:t>Takmer 50 % celkových záväzkov Slovenska súvisí s jeho účasťou v medzinárodných organizáciách</w:t>
      </w:r>
      <w:r>
        <w:rPr>
          <w:rStyle w:val="Odkaznapoznmkupodiarou"/>
          <w:rFonts w:ascii="Arial Narrow" w:eastAsia="Calibri" w:hAnsi="Arial Narrow" w:cs="Times New Roman"/>
        </w:rPr>
        <w:footnoteReference w:id="20"/>
      </w:r>
      <w:r>
        <w:rPr>
          <w:rFonts w:ascii="Arial Narrow" w:eastAsia="Calibri" w:hAnsi="Arial Narrow" w:cs="Times New Roman"/>
        </w:rPr>
        <w:t>.</w:t>
      </w:r>
      <w:r w:rsidRPr="00EC14EF">
        <w:rPr>
          <w:rFonts w:ascii="Arial Narrow" w:eastAsia="Calibri" w:hAnsi="Arial Narrow" w:cs="Times New Roman"/>
        </w:rPr>
        <w:t xml:space="preserve"> Zabezpečovacie operácie, ktoré zahŕňajú štátne podniky alebo záložné práva na ich majetok, dosiahli v roku 2023 hodnotu takmer </w:t>
      </w:r>
      <w:r>
        <w:rPr>
          <w:rFonts w:ascii="Arial Narrow" w:eastAsia="Calibri" w:hAnsi="Arial Narrow" w:cs="Times New Roman"/>
        </w:rPr>
        <w:t>4,3</w:t>
      </w:r>
      <w:r w:rsidR="00C96816">
        <w:rPr>
          <w:rFonts w:ascii="Arial Narrow" w:eastAsia="Calibri" w:hAnsi="Arial Narrow" w:cs="Times New Roman"/>
        </w:rPr>
        <w:t xml:space="preserve"> </w:t>
      </w:r>
      <w:r w:rsidRPr="00A93071">
        <w:rPr>
          <w:rFonts w:ascii="Arial Narrow" w:eastAsia="Calibri" w:hAnsi="Arial Narrow" w:cs="Times New Roman"/>
        </w:rPr>
        <w:t>% HDP</w:t>
      </w:r>
      <w:r w:rsidRPr="00EC14EF">
        <w:rPr>
          <w:rFonts w:ascii="Arial Narrow" w:eastAsia="Calibri" w:hAnsi="Arial Narrow" w:cs="Times New Roman"/>
        </w:rPr>
        <w:t xml:space="preserve">. Okrem toho Slovensko čelí potenciálnym alebo prebiehajúcim súdnym sporom, vrátane medzinárodnej arbitráže. Možné sankcie za tieto právne kroky dosiahli v roku 2023 hodnotu viac ako </w:t>
      </w:r>
      <w:r>
        <w:rPr>
          <w:rFonts w:ascii="Arial Narrow" w:eastAsia="Calibri" w:hAnsi="Arial Narrow" w:cs="Times New Roman"/>
        </w:rPr>
        <w:t>3,4</w:t>
      </w:r>
      <w:r w:rsidR="00C96816">
        <w:rPr>
          <w:rFonts w:ascii="Arial Narrow" w:eastAsia="Calibri" w:hAnsi="Arial Narrow" w:cs="Times New Roman"/>
        </w:rPr>
        <w:t xml:space="preserve"> </w:t>
      </w:r>
      <w:r w:rsidRPr="00A93071">
        <w:rPr>
          <w:rFonts w:ascii="Arial Narrow" w:eastAsia="Calibri" w:hAnsi="Arial Narrow" w:cs="Times New Roman"/>
        </w:rPr>
        <w:t>% HDP</w:t>
      </w:r>
      <w:r w:rsidRPr="00EC14EF">
        <w:rPr>
          <w:rFonts w:ascii="Arial Narrow" w:eastAsia="Calibri" w:hAnsi="Arial Narrow" w:cs="Times New Roman"/>
        </w:rPr>
        <w:t>, pričom najčastejším cieľom žalôb sú ministerstvá</w:t>
      </w:r>
      <w:r>
        <w:rPr>
          <w:rStyle w:val="Odkaznapoznmkupodiarou"/>
          <w:rFonts w:ascii="Arial Narrow" w:eastAsia="Calibri" w:hAnsi="Arial Narrow" w:cs="Times New Roman"/>
        </w:rPr>
        <w:footnoteReference w:id="21"/>
      </w:r>
      <w:r w:rsidRPr="00EC14EF">
        <w:rPr>
          <w:rFonts w:ascii="Arial Narrow" w:eastAsia="Calibri" w:hAnsi="Arial Narrow" w:cs="Times New Roman"/>
        </w:rPr>
        <w:t>.</w:t>
      </w:r>
    </w:p>
    <w:p w14:paraId="4EA4AB2E" w14:textId="77777777" w:rsidR="002A0289" w:rsidRPr="00EC0FB5" w:rsidRDefault="002A0289" w:rsidP="002A0289">
      <w:pPr>
        <w:spacing w:after="0" w:line="240" w:lineRule="auto"/>
        <w:rPr>
          <w:rFonts w:ascii="Times New Roman" w:eastAsia="Calibri" w:hAnsi="Times New Roman" w:cs="Times New Roman"/>
          <w:b/>
          <w:sz w:val="24"/>
          <w:szCs w:val="24"/>
        </w:rPr>
      </w:pPr>
    </w:p>
    <w:p w14:paraId="1E47D71C" w14:textId="77777777" w:rsidR="002A0289" w:rsidRPr="00A22C01" w:rsidRDefault="002A0289" w:rsidP="002A0289">
      <w:pPr>
        <w:spacing w:line="276" w:lineRule="auto"/>
        <w:jc w:val="both"/>
        <w:rPr>
          <w:rFonts w:ascii="Arial Narrow" w:eastAsia="Times New Roman" w:hAnsi="Arial Narrow" w:cs="Times New Roman"/>
          <w:b/>
          <w:bCs/>
          <w:color w:val="2C9ADC"/>
          <w:sz w:val="24"/>
          <w:szCs w:val="24"/>
          <w:lang w:eastAsia="sk-SK"/>
        </w:rPr>
      </w:pPr>
      <w:r w:rsidRPr="00A22C01">
        <w:rPr>
          <w:rFonts w:ascii="Arial Narrow" w:eastAsia="Times New Roman" w:hAnsi="Arial Narrow" w:cs="Times New Roman"/>
          <w:b/>
          <w:bCs/>
          <w:color w:val="2C9ADC"/>
          <w:sz w:val="24"/>
          <w:szCs w:val="24"/>
          <w:lang w:eastAsia="sk-SK"/>
        </w:rPr>
        <w:t>Implicitné záväzky</w:t>
      </w:r>
    </w:p>
    <w:p w14:paraId="45140704" w14:textId="2F35099B" w:rsidR="002A0289" w:rsidRDefault="002A0289" w:rsidP="002A0289">
      <w:pPr>
        <w:spacing w:line="240" w:lineRule="auto"/>
        <w:jc w:val="both"/>
        <w:rPr>
          <w:rFonts w:ascii="Arial Narrow" w:eastAsia="Calibri" w:hAnsi="Arial Narrow" w:cs="Times New Roman"/>
        </w:rPr>
      </w:pPr>
      <w:r w:rsidRPr="0031244D">
        <w:rPr>
          <w:rFonts w:ascii="Arial Narrow" w:eastAsia="Calibri" w:hAnsi="Arial Narrow" w:cs="Times New Roman"/>
          <w:b/>
          <w:bCs/>
        </w:rPr>
        <w:t xml:space="preserve">Celková hodnota odhadovaných implicitných záväzkov na horizonte do roku 2067  dosiahne úroveň </w:t>
      </w:r>
      <w:r w:rsidR="00162308" w:rsidRPr="004D23E0">
        <w:rPr>
          <w:rFonts w:ascii="Arial Narrow" w:eastAsia="Calibri" w:hAnsi="Arial Narrow" w:cs="Times New Roman"/>
          <w:b/>
          <w:bCs/>
        </w:rPr>
        <w:t>1</w:t>
      </w:r>
      <w:r w:rsidR="00162308">
        <w:rPr>
          <w:rFonts w:ascii="Arial Narrow" w:eastAsia="Calibri" w:hAnsi="Arial Narrow" w:cs="Times New Roman"/>
          <w:b/>
          <w:bCs/>
        </w:rPr>
        <w:t>57</w:t>
      </w:r>
      <w:r w:rsidRPr="004D23E0">
        <w:rPr>
          <w:rFonts w:ascii="Arial Narrow" w:eastAsia="Calibri" w:hAnsi="Arial Narrow" w:cs="Times New Roman"/>
          <w:b/>
          <w:bCs/>
        </w:rPr>
        <w:t>,</w:t>
      </w:r>
      <w:r w:rsidR="00162308">
        <w:rPr>
          <w:rFonts w:ascii="Arial Narrow" w:eastAsia="Calibri" w:hAnsi="Arial Narrow" w:cs="Times New Roman"/>
          <w:b/>
          <w:bCs/>
        </w:rPr>
        <w:t>9</w:t>
      </w:r>
      <w:r w:rsidRPr="0031244D">
        <w:rPr>
          <w:rFonts w:ascii="Arial Narrow" w:eastAsia="Calibri" w:hAnsi="Arial Narrow" w:cs="Times New Roman"/>
          <w:b/>
          <w:bCs/>
        </w:rPr>
        <w:t>% HDP.</w:t>
      </w:r>
      <w:r w:rsidRPr="0031244D">
        <w:rPr>
          <w:rFonts w:ascii="Arial Narrow" w:eastAsia="Calibri" w:hAnsi="Arial Narrow" w:cs="Times New Roman"/>
        </w:rPr>
        <w:t xml:space="preserve"> Implicitné záväzky predstavujú rozdiel medzi očakávanými budúcimi príjmami a očakávanými budúcimi výdavkami subjektov verejnej správy, vyplývajúcich z finančných dôsledkov spôsobených budúcim uplatňovaním práv a povinností (ak tieto už nie sú súčasťou dlhu verejnej správy)</w:t>
      </w:r>
      <w:r>
        <w:rPr>
          <w:rStyle w:val="Odkaznapoznmkupodiarou"/>
          <w:rFonts w:ascii="Arial Narrow" w:eastAsia="Calibri" w:hAnsi="Arial Narrow" w:cs="Times New Roman"/>
        </w:rPr>
        <w:footnoteReference w:id="22"/>
      </w:r>
      <w:r w:rsidRPr="0031244D">
        <w:rPr>
          <w:rFonts w:ascii="Arial Narrow" w:eastAsia="Calibri" w:hAnsi="Arial Narrow" w:cs="Times New Roman"/>
        </w:rPr>
        <w:t>. Kvantifikácia implicitných záväzkov</w:t>
      </w:r>
      <w:r>
        <w:rPr>
          <w:rStyle w:val="Odkaznapoznmkupodiarou"/>
          <w:rFonts w:ascii="Arial Narrow" w:eastAsia="Calibri" w:hAnsi="Arial Narrow" w:cs="Times New Roman"/>
        </w:rPr>
        <w:footnoteReference w:id="23"/>
      </w:r>
      <w:r w:rsidRPr="0031244D">
        <w:rPr>
          <w:rFonts w:ascii="Arial Narrow" w:eastAsia="Calibri" w:hAnsi="Arial Narrow" w:cs="Times New Roman"/>
        </w:rPr>
        <w:t xml:space="preserve"> je založená na sume záväzkov vyplývajúcich primárne zo starnutia populácie, najmä v oblasti dôchodkového a zdravotníckeho systému. Tieto záväzky tvoria dominantnú časť (99 %) implicitných záväzkov, ktorá vyplýva z očakávaného negatívneho demografického vývoja v Slovenskej republike. Dodatočné vplyvy na saldo tvoria platby za PPP projekty, náklady na likvidáciu jadrových zariadení a splátky za poskytnuté granty z Plánu obnovy.</w:t>
      </w:r>
    </w:p>
    <w:tbl>
      <w:tblPr>
        <w:tblW w:w="8222" w:type="dxa"/>
        <w:tblInd w:w="428" w:type="dxa"/>
        <w:tblCellMar>
          <w:left w:w="70" w:type="dxa"/>
          <w:right w:w="70" w:type="dxa"/>
        </w:tblCellMar>
        <w:tblLook w:val="04A0" w:firstRow="1" w:lastRow="0" w:firstColumn="1" w:lastColumn="0" w:noHBand="0" w:noVBand="1"/>
      </w:tblPr>
      <w:tblGrid>
        <w:gridCol w:w="530"/>
        <w:gridCol w:w="6272"/>
        <w:gridCol w:w="1420"/>
      </w:tblGrid>
      <w:tr w:rsidR="002A0289" w:rsidRPr="003D2AFD" w14:paraId="3D132296" w14:textId="77777777" w:rsidTr="00616580">
        <w:trPr>
          <w:trHeight w:val="300"/>
        </w:trPr>
        <w:tc>
          <w:tcPr>
            <w:tcW w:w="6802" w:type="dxa"/>
            <w:gridSpan w:val="2"/>
            <w:tcBorders>
              <w:top w:val="nil"/>
              <w:left w:val="nil"/>
              <w:bottom w:val="nil"/>
              <w:right w:val="nil"/>
            </w:tcBorders>
            <w:shd w:val="clear" w:color="000000" w:fill="FFFFFF"/>
            <w:vAlign w:val="center"/>
            <w:hideMark/>
          </w:tcPr>
          <w:p w14:paraId="2E3EC5EB" w14:textId="3B449817" w:rsidR="002A0289" w:rsidRPr="00C36AA2" w:rsidRDefault="00F91C7C" w:rsidP="00616580">
            <w:pPr>
              <w:spacing w:after="0" w:line="240" w:lineRule="auto"/>
              <w:rPr>
                <w:rFonts w:ascii="Arial Narrow" w:eastAsia="Times New Roman" w:hAnsi="Arial Narrow" w:cs="Calibri"/>
                <w:b/>
                <w:bCs/>
                <w:color w:val="2C9ADC"/>
                <w:sz w:val="20"/>
                <w:szCs w:val="20"/>
                <w:lang w:eastAsia="sk-SK"/>
              </w:rPr>
            </w:pPr>
            <w:bookmarkStart w:id="43" w:name="_Toc179814719"/>
            <w:r w:rsidRPr="00F91C7C">
              <w:rPr>
                <w:rFonts w:ascii="Arial Narrow" w:hAnsi="Arial Narrow" w:cs="Arial Narrow"/>
                <w:b/>
                <w:bCs/>
                <w:color w:val="2C9ADC"/>
                <w:sz w:val="20"/>
                <w:szCs w:val="20"/>
              </w:rPr>
              <w:t>TABUĽKA</w:t>
            </w:r>
            <w:r w:rsidR="002A0289" w:rsidRPr="00C36AA2">
              <w:rPr>
                <w:rFonts w:ascii="Arial Narrow" w:eastAsia="Times New Roman" w:hAnsi="Arial Narrow" w:cs="Calibri"/>
                <w:b/>
                <w:bCs/>
                <w:color w:val="2C9ADC"/>
                <w:sz w:val="20"/>
                <w:szCs w:val="20"/>
                <w:lang w:eastAsia="sk-SK"/>
              </w:rPr>
              <w:t xml:space="preserve"> </w:t>
            </w:r>
            <w:r w:rsidRPr="00F91C7C">
              <w:rPr>
                <w:rFonts w:ascii="Arial Narrow" w:eastAsia="Arial Narrow" w:hAnsi="Arial Narrow" w:cs="Arial Narrow"/>
                <w:b/>
                <w:bCs/>
                <w:noProof/>
                <w:color w:val="2C9ADC"/>
                <w:sz w:val="20"/>
                <w:szCs w:val="20"/>
                <w:bdr w:val="nil"/>
                <w:lang w:eastAsia="sk-SK"/>
              </w:rPr>
              <w:fldChar w:fldCharType="begin"/>
            </w:r>
            <w:r w:rsidRPr="00F91C7C">
              <w:rPr>
                <w:rFonts w:ascii="Arial Narrow" w:eastAsia="Arial Narrow" w:hAnsi="Arial Narrow" w:cs="Arial Narrow"/>
                <w:b/>
                <w:bCs/>
                <w:noProof/>
                <w:color w:val="2C9ADC"/>
                <w:sz w:val="20"/>
                <w:szCs w:val="20"/>
                <w:bdr w:val="nil"/>
                <w:lang w:eastAsia="sk-SK"/>
              </w:rPr>
              <w:instrText xml:space="preserve"> SEQ TABUĽKA \* ARABIC </w:instrText>
            </w:r>
            <w:r w:rsidRPr="00F91C7C">
              <w:rPr>
                <w:rFonts w:ascii="Arial Narrow" w:eastAsia="Arial Narrow" w:hAnsi="Arial Narrow" w:cs="Arial Narrow"/>
                <w:b/>
                <w:bCs/>
                <w:noProof/>
                <w:color w:val="2C9ADC"/>
                <w:sz w:val="20"/>
                <w:szCs w:val="20"/>
                <w:bdr w:val="nil"/>
                <w:lang w:eastAsia="sk-SK"/>
              </w:rPr>
              <w:fldChar w:fldCharType="separate"/>
            </w:r>
            <w:r w:rsidR="007A664D">
              <w:rPr>
                <w:rFonts w:ascii="Arial Narrow" w:eastAsia="Arial Narrow" w:hAnsi="Arial Narrow" w:cs="Arial Narrow"/>
                <w:b/>
                <w:bCs/>
                <w:noProof/>
                <w:color w:val="2C9ADC"/>
                <w:sz w:val="20"/>
                <w:szCs w:val="20"/>
                <w:bdr w:val="nil"/>
                <w:lang w:eastAsia="sk-SK"/>
              </w:rPr>
              <w:t>7</w:t>
            </w:r>
            <w:r w:rsidRPr="00F91C7C">
              <w:rPr>
                <w:rFonts w:ascii="Arial Narrow" w:eastAsia="Arial Narrow" w:hAnsi="Arial Narrow" w:cs="Arial Narrow"/>
                <w:b/>
                <w:bCs/>
                <w:noProof/>
                <w:color w:val="2C9ADC"/>
                <w:sz w:val="20"/>
                <w:szCs w:val="20"/>
                <w:bdr w:val="nil"/>
                <w:lang w:eastAsia="sk-SK"/>
              </w:rPr>
              <w:fldChar w:fldCharType="end"/>
            </w:r>
            <w:r w:rsidR="002A0289" w:rsidRPr="00C36AA2">
              <w:rPr>
                <w:rFonts w:ascii="Arial Narrow" w:eastAsia="Times New Roman" w:hAnsi="Arial Narrow" w:cs="Calibri"/>
                <w:b/>
                <w:bCs/>
                <w:color w:val="2C9ADC"/>
                <w:sz w:val="20"/>
                <w:szCs w:val="20"/>
                <w:lang w:eastAsia="sk-SK"/>
              </w:rPr>
              <w:t xml:space="preserve"> – Implicitné záväzky do roku 2067 (% HDP)</w:t>
            </w:r>
            <w:bookmarkEnd w:id="43"/>
          </w:p>
        </w:tc>
        <w:tc>
          <w:tcPr>
            <w:tcW w:w="1420" w:type="dxa"/>
            <w:tcBorders>
              <w:top w:val="nil"/>
              <w:left w:val="nil"/>
              <w:bottom w:val="nil"/>
              <w:right w:val="nil"/>
            </w:tcBorders>
            <w:shd w:val="clear" w:color="000000" w:fill="FFFFFF"/>
            <w:vAlign w:val="center"/>
            <w:hideMark/>
          </w:tcPr>
          <w:p w14:paraId="393B9014" w14:textId="77777777" w:rsidR="002A0289" w:rsidRPr="003D2AFD" w:rsidRDefault="002A0289" w:rsidP="00616580">
            <w:pPr>
              <w:spacing w:after="0" w:line="240" w:lineRule="auto"/>
              <w:jc w:val="center"/>
              <w:rPr>
                <w:rFonts w:ascii="Arial Narrow" w:eastAsia="Times New Roman" w:hAnsi="Arial Narrow" w:cs="Calibri"/>
                <w:b/>
                <w:bCs/>
                <w:color w:val="000000"/>
                <w:sz w:val="18"/>
                <w:szCs w:val="18"/>
                <w:lang w:eastAsia="sk-SK"/>
              </w:rPr>
            </w:pPr>
          </w:p>
        </w:tc>
      </w:tr>
      <w:tr w:rsidR="002A0289" w:rsidRPr="003D2AFD" w14:paraId="2AB989A4" w14:textId="77777777" w:rsidTr="00616580">
        <w:trPr>
          <w:trHeight w:val="300"/>
        </w:trPr>
        <w:tc>
          <w:tcPr>
            <w:tcW w:w="530" w:type="dxa"/>
            <w:tcBorders>
              <w:top w:val="single" w:sz="8" w:space="0" w:color="auto"/>
              <w:left w:val="nil"/>
              <w:bottom w:val="nil"/>
              <w:right w:val="nil"/>
            </w:tcBorders>
            <w:shd w:val="clear" w:color="auto" w:fill="auto"/>
            <w:vAlign w:val="center"/>
            <w:hideMark/>
          </w:tcPr>
          <w:p w14:paraId="2222ADBC" w14:textId="77777777" w:rsidR="002A0289" w:rsidRPr="001613CD" w:rsidRDefault="002A0289" w:rsidP="00616580">
            <w:pPr>
              <w:spacing w:after="0" w:line="240" w:lineRule="auto"/>
              <w:jc w:val="center"/>
              <w:rPr>
                <w:rFonts w:ascii="Arial Narrow" w:eastAsia="Times New Roman" w:hAnsi="Arial Narrow" w:cs="Calibri"/>
                <w:color w:val="000000"/>
                <w:sz w:val="18"/>
                <w:szCs w:val="18"/>
                <w:lang w:eastAsia="sk-SK"/>
              </w:rPr>
            </w:pPr>
            <w:r w:rsidRPr="001613CD">
              <w:rPr>
                <w:rFonts w:ascii="Arial Narrow" w:eastAsia="Times New Roman" w:hAnsi="Arial Narrow" w:cs="Calibri"/>
                <w:color w:val="000000"/>
                <w:sz w:val="18"/>
                <w:szCs w:val="18"/>
                <w:lang w:eastAsia="sk-SK"/>
              </w:rPr>
              <w:t>1</w:t>
            </w:r>
          </w:p>
        </w:tc>
        <w:tc>
          <w:tcPr>
            <w:tcW w:w="6272" w:type="dxa"/>
            <w:tcBorders>
              <w:top w:val="single" w:sz="8" w:space="0" w:color="auto"/>
              <w:left w:val="nil"/>
              <w:bottom w:val="nil"/>
              <w:right w:val="nil"/>
            </w:tcBorders>
            <w:shd w:val="clear" w:color="auto" w:fill="auto"/>
            <w:vAlign w:val="center"/>
            <w:hideMark/>
          </w:tcPr>
          <w:p w14:paraId="276FC596" w14:textId="77777777" w:rsidR="002A0289" w:rsidRPr="001613CD" w:rsidRDefault="002A0289" w:rsidP="00616580">
            <w:pPr>
              <w:spacing w:after="0" w:line="240" w:lineRule="auto"/>
              <w:rPr>
                <w:rFonts w:ascii="Arial Narrow" w:eastAsia="Times New Roman" w:hAnsi="Arial Narrow" w:cs="Calibri"/>
                <w:color w:val="000000"/>
                <w:sz w:val="18"/>
                <w:szCs w:val="18"/>
                <w:lang w:eastAsia="sk-SK"/>
              </w:rPr>
            </w:pPr>
            <w:r w:rsidRPr="001613CD">
              <w:rPr>
                <w:rFonts w:ascii="Arial Narrow" w:eastAsia="Times New Roman" w:hAnsi="Arial Narrow" w:cs="Calibri"/>
                <w:color w:val="000000"/>
                <w:sz w:val="18"/>
                <w:szCs w:val="18"/>
                <w:lang w:eastAsia="sk-SK"/>
              </w:rPr>
              <w:t>Vplyv starnutia populácie</w:t>
            </w:r>
          </w:p>
        </w:tc>
        <w:tc>
          <w:tcPr>
            <w:tcW w:w="1420" w:type="dxa"/>
            <w:tcBorders>
              <w:top w:val="single" w:sz="8" w:space="0" w:color="auto"/>
              <w:left w:val="nil"/>
              <w:bottom w:val="nil"/>
              <w:right w:val="nil"/>
            </w:tcBorders>
            <w:shd w:val="clear" w:color="auto" w:fill="auto"/>
            <w:vAlign w:val="center"/>
            <w:hideMark/>
          </w:tcPr>
          <w:p w14:paraId="05FBDF7E" w14:textId="4BDCE7A0" w:rsidR="002A0289" w:rsidRPr="001613CD" w:rsidRDefault="002A0289" w:rsidP="00616580">
            <w:pPr>
              <w:spacing w:after="0" w:line="240" w:lineRule="auto"/>
              <w:jc w:val="center"/>
              <w:rPr>
                <w:rFonts w:ascii="Arial Narrow" w:eastAsia="Times New Roman" w:hAnsi="Arial Narrow" w:cs="Calibri"/>
                <w:sz w:val="18"/>
                <w:szCs w:val="18"/>
                <w:lang w:eastAsia="sk-SK"/>
              </w:rPr>
            </w:pPr>
            <w:r w:rsidRPr="001613CD">
              <w:rPr>
                <w:rFonts w:ascii="Arial Narrow" w:eastAsia="Times New Roman" w:hAnsi="Arial Narrow" w:cs="Calibri"/>
                <w:sz w:val="18"/>
                <w:szCs w:val="18"/>
                <w:lang w:eastAsia="sk-SK"/>
              </w:rPr>
              <w:t>-</w:t>
            </w:r>
            <w:r w:rsidR="00BB5FC1" w:rsidRPr="001613CD">
              <w:rPr>
                <w:rFonts w:ascii="Arial Narrow" w:eastAsia="Times New Roman" w:hAnsi="Arial Narrow" w:cs="Calibri"/>
                <w:sz w:val="18"/>
                <w:szCs w:val="18"/>
                <w:lang w:eastAsia="sk-SK"/>
              </w:rPr>
              <w:t>15</w:t>
            </w:r>
            <w:r w:rsidR="00BB5FC1">
              <w:rPr>
                <w:rFonts w:ascii="Arial Narrow" w:eastAsia="Times New Roman" w:hAnsi="Arial Narrow" w:cs="Calibri"/>
                <w:sz w:val="18"/>
                <w:szCs w:val="18"/>
                <w:lang w:eastAsia="sk-SK"/>
              </w:rPr>
              <w:t>5</w:t>
            </w:r>
            <w:r w:rsidRPr="001613CD">
              <w:rPr>
                <w:rFonts w:ascii="Arial Narrow" w:eastAsia="Times New Roman" w:hAnsi="Arial Narrow" w:cs="Calibri"/>
                <w:sz w:val="18"/>
                <w:szCs w:val="18"/>
                <w:lang w:eastAsia="sk-SK"/>
              </w:rPr>
              <w:t>,</w:t>
            </w:r>
            <w:r w:rsidR="00BB5FC1">
              <w:rPr>
                <w:rFonts w:ascii="Arial Narrow" w:eastAsia="Times New Roman" w:hAnsi="Arial Narrow" w:cs="Calibri"/>
                <w:sz w:val="18"/>
                <w:szCs w:val="18"/>
                <w:lang w:eastAsia="sk-SK"/>
              </w:rPr>
              <w:t>9</w:t>
            </w:r>
            <w:r w:rsidR="00C96816">
              <w:rPr>
                <w:rFonts w:ascii="Arial Narrow" w:eastAsia="Times New Roman" w:hAnsi="Arial Narrow" w:cs="Calibri"/>
                <w:sz w:val="18"/>
                <w:szCs w:val="18"/>
                <w:lang w:eastAsia="sk-SK"/>
              </w:rPr>
              <w:t xml:space="preserve"> </w:t>
            </w:r>
            <w:r w:rsidRPr="001613CD">
              <w:rPr>
                <w:rFonts w:ascii="Arial Narrow" w:eastAsia="Times New Roman" w:hAnsi="Arial Narrow" w:cs="Calibri"/>
                <w:sz w:val="18"/>
                <w:szCs w:val="18"/>
                <w:lang w:eastAsia="sk-SK"/>
              </w:rPr>
              <w:t>%</w:t>
            </w:r>
          </w:p>
        </w:tc>
      </w:tr>
      <w:tr w:rsidR="002A0289" w:rsidRPr="003D2AFD" w14:paraId="49974DFE" w14:textId="77777777" w:rsidTr="00616580">
        <w:trPr>
          <w:trHeight w:val="300"/>
        </w:trPr>
        <w:tc>
          <w:tcPr>
            <w:tcW w:w="530" w:type="dxa"/>
            <w:tcBorders>
              <w:top w:val="nil"/>
              <w:left w:val="nil"/>
              <w:bottom w:val="nil"/>
              <w:right w:val="nil"/>
            </w:tcBorders>
            <w:shd w:val="clear" w:color="auto" w:fill="auto"/>
            <w:vAlign w:val="center"/>
          </w:tcPr>
          <w:p w14:paraId="2AE21A24" w14:textId="77777777" w:rsidR="002A0289" w:rsidRPr="001613CD" w:rsidRDefault="002A0289" w:rsidP="00616580">
            <w:pPr>
              <w:spacing w:after="0" w:line="240" w:lineRule="auto"/>
              <w:jc w:val="center"/>
              <w:rPr>
                <w:rFonts w:ascii="Arial Narrow" w:eastAsia="Times New Roman" w:hAnsi="Arial Narrow" w:cs="Calibri"/>
                <w:color w:val="000000"/>
                <w:sz w:val="18"/>
                <w:szCs w:val="18"/>
                <w:lang w:eastAsia="sk-SK"/>
              </w:rPr>
            </w:pPr>
            <w:r w:rsidRPr="001613CD">
              <w:rPr>
                <w:rFonts w:ascii="Arial Narrow" w:eastAsia="Times New Roman" w:hAnsi="Arial Narrow" w:cs="Calibri"/>
                <w:color w:val="000000"/>
                <w:sz w:val="18"/>
                <w:szCs w:val="18"/>
                <w:lang w:eastAsia="sk-SK"/>
              </w:rPr>
              <w:t>2</w:t>
            </w:r>
          </w:p>
        </w:tc>
        <w:tc>
          <w:tcPr>
            <w:tcW w:w="6272" w:type="dxa"/>
            <w:tcBorders>
              <w:top w:val="nil"/>
              <w:left w:val="nil"/>
              <w:bottom w:val="nil"/>
              <w:right w:val="nil"/>
            </w:tcBorders>
            <w:shd w:val="clear" w:color="auto" w:fill="auto"/>
            <w:vAlign w:val="center"/>
          </w:tcPr>
          <w:p w14:paraId="3F11AE72" w14:textId="77777777" w:rsidR="002A0289" w:rsidRPr="001613CD" w:rsidRDefault="002A0289" w:rsidP="00616580">
            <w:pPr>
              <w:spacing w:after="0" w:line="240" w:lineRule="auto"/>
              <w:rPr>
                <w:rFonts w:ascii="Arial Narrow" w:eastAsia="Times New Roman" w:hAnsi="Arial Narrow" w:cs="Calibri"/>
                <w:color w:val="000000"/>
                <w:sz w:val="18"/>
                <w:szCs w:val="18"/>
                <w:lang w:eastAsia="sk-SK"/>
              </w:rPr>
            </w:pPr>
            <w:r w:rsidRPr="001613CD">
              <w:rPr>
                <w:rFonts w:ascii="Arial Narrow" w:eastAsia="Times New Roman" w:hAnsi="Arial Narrow" w:cs="Calibri"/>
                <w:color w:val="000000"/>
                <w:sz w:val="18"/>
                <w:szCs w:val="18"/>
                <w:lang w:eastAsia="sk-SK"/>
              </w:rPr>
              <w:t>Vplyv PPP projektov</w:t>
            </w:r>
          </w:p>
        </w:tc>
        <w:tc>
          <w:tcPr>
            <w:tcW w:w="1420" w:type="dxa"/>
            <w:tcBorders>
              <w:top w:val="nil"/>
              <w:left w:val="nil"/>
              <w:bottom w:val="nil"/>
              <w:right w:val="nil"/>
            </w:tcBorders>
            <w:shd w:val="clear" w:color="auto" w:fill="auto"/>
            <w:vAlign w:val="center"/>
          </w:tcPr>
          <w:p w14:paraId="245E1D50" w14:textId="711ECAB6" w:rsidR="002A0289" w:rsidRPr="001613CD" w:rsidRDefault="002A0289" w:rsidP="00616580">
            <w:pPr>
              <w:spacing w:after="0" w:line="240" w:lineRule="auto"/>
              <w:jc w:val="center"/>
              <w:rPr>
                <w:rFonts w:ascii="Arial Narrow" w:eastAsia="Times New Roman" w:hAnsi="Arial Narrow" w:cs="Calibri"/>
                <w:sz w:val="18"/>
                <w:szCs w:val="18"/>
                <w:lang w:eastAsia="sk-SK"/>
              </w:rPr>
            </w:pPr>
            <w:r w:rsidRPr="001613CD">
              <w:rPr>
                <w:rFonts w:ascii="Arial Narrow" w:eastAsia="Times New Roman" w:hAnsi="Arial Narrow" w:cs="Calibri"/>
                <w:sz w:val="18"/>
                <w:szCs w:val="18"/>
                <w:lang w:eastAsia="sk-SK"/>
              </w:rPr>
              <w:t>-2,</w:t>
            </w:r>
            <w:r w:rsidR="00162308">
              <w:rPr>
                <w:rFonts w:ascii="Arial Narrow" w:eastAsia="Times New Roman" w:hAnsi="Arial Narrow" w:cs="Calibri"/>
                <w:sz w:val="18"/>
                <w:szCs w:val="18"/>
                <w:lang w:eastAsia="sk-SK"/>
              </w:rPr>
              <w:t xml:space="preserve">2 </w:t>
            </w:r>
            <w:r w:rsidRPr="001613CD">
              <w:rPr>
                <w:rFonts w:ascii="Arial Narrow" w:eastAsia="Times New Roman" w:hAnsi="Arial Narrow" w:cs="Calibri"/>
                <w:sz w:val="18"/>
                <w:szCs w:val="18"/>
                <w:lang w:eastAsia="sk-SK"/>
              </w:rPr>
              <w:t>%</w:t>
            </w:r>
          </w:p>
        </w:tc>
      </w:tr>
      <w:tr w:rsidR="002A0289" w:rsidRPr="003D2AFD" w14:paraId="04B67A2D" w14:textId="77777777" w:rsidTr="00616580">
        <w:trPr>
          <w:trHeight w:val="300"/>
        </w:trPr>
        <w:tc>
          <w:tcPr>
            <w:tcW w:w="530" w:type="dxa"/>
            <w:tcBorders>
              <w:top w:val="nil"/>
              <w:left w:val="nil"/>
              <w:bottom w:val="nil"/>
              <w:right w:val="nil"/>
            </w:tcBorders>
            <w:shd w:val="clear" w:color="auto" w:fill="auto"/>
            <w:vAlign w:val="center"/>
          </w:tcPr>
          <w:p w14:paraId="4C97F180" w14:textId="77777777" w:rsidR="002A0289" w:rsidRPr="001613CD" w:rsidRDefault="002A0289" w:rsidP="00616580">
            <w:pPr>
              <w:spacing w:after="0" w:line="240" w:lineRule="auto"/>
              <w:jc w:val="center"/>
              <w:rPr>
                <w:rFonts w:ascii="Arial Narrow" w:eastAsia="Times New Roman" w:hAnsi="Arial Narrow" w:cs="Calibri"/>
                <w:color w:val="000000"/>
                <w:sz w:val="18"/>
                <w:szCs w:val="18"/>
                <w:lang w:eastAsia="sk-SK"/>
              </w:rPr>
            </w:pPr>
            <w:r w:rsidRPr="001613CD">
              <w:rPr>
                <w:rFonts w:ascii="Arial Narrow" w:eastAsia="Times New Roman" w:hAnsi="Arial Narrow" w:cs="Calibri"/>
                <w:color w:val="000000"/>
                <w:sz w:val="18"/>
                <w:szCs w:val="18"/>
                <w:lang w:eastAsia="sk-SK"/>
              </w:rPr>
              <w:t>3</w:t>
            </w:r>
          </w:p>
        </w:tc>
        <w:tc>
          <w:tcPr>
            <w:tcW w:w="6272" w:type="dxa"/>
            <w:tcBorders>
              <w:top w:val="nil"/>
              <w:left w:val="nil"/>
              <w:bottom w:val="nil"/>
              <w:right w:val="nil"/>
            </w:tcBorders>
            <w:shd w:val="clear" w:color="auto" w:fill="auto"/>
            <w:vAlign w:val="center"/>
          </w:tcPr>
          <w:p w14:paraId="7C188860" w14:textId="77777777" w:rsidR="002A0289" w:rsidRPr="001613CD" w:rsidRDefault="002A0289" w:rsidP="00616580">
            <w:pPr>
              <w:spacing w:after="0" w:line="240" w:lineRule="auto"/>
              <w:rPr>
                <w:rFonts w:ascii="Arial Narrow" w:eastAsia="Times New Roman" w:hAnsi="Arial Narrow" w:cs="Calibri"/>
                <w:color w:val="000000"/>
                <w:sz w:val="18"/>
                <w:szCs w:val="18"/>
                <w:lang w:eastAsia="sk-SK"/>
              </w:rPr>
            </w:pPr>
            <w:r w:rsidRPr="001613CD">
              <w:rPr>
                <w:rFonts w:ascii="Arial Narrow" w:eastAsia="Times New Roman" w:hAnsi="Arial Narrow" w:cs="Calibri"/>
                <w:color w:val="000000"/>
                <w:sz w:val="18"/>
                <w:szCs w:val="18"/>
                <w:lang w:eastAsia="sk-SK"/>
              </w:rPr>
              <w:t>Vplyv Národného jadrového fondu</w:t>
            </w:r>
          </w:p>
        </w:tc>
        <w:tc>
          <w:tcPr>
            <w:tcW w:w="1420" w:type="dxa"/>
            <w:tcBorders>
              <w:top w:val="nil"/>
              <w:left w:val="nil"/>
              <w:bottom w:val="nil"/>
              <w:right w:val="nil"/>
            </w:tcBorders>
            <w:shd w:val="clear" w:color="auto" w:fill="auto"/>
            <w:vAlign w:val="center"/>
          </w:tcPr>
          <w:p w14:paraId="5434B2A6" w14:textId="34229256" w:rsidR="002A0289" w:rsidRPr="001613CD" w:rsidRDefault="00162308" w:rsidP="00616580">
            <w:pPr>
              <w:spacing w:after="0" w:line="240" w:lineRule="auto"/>
              <w:jc w:val="center"/>
              <w:rPr>
                <w:rFonts w:ascii="Arial Narrow" w:eastAsia="Times New Roman" w:hAnsi="Arial Narrow" w:cs="Calibri"/>
                <w:sz w:val="18"/>
                <w:szCs w:val="18"/>
                <w:lang w:eastAsia="sk-SK"/>
              </w:rPr>
            </w:pPr>
            <w:r>
              <w:rPr>
                <w:rFonts w:ascii="Arial Narrow" w:eastAsia="Times New Roman" w:hAnsi="Arial Narrow" w:cs="Calibri"/>
                <w:sz w:val="18"/>
                <w:szCs w:val="18"/>
                <w:lang w:eastAsia="sk-SK"/>
              </w:rPr>
              <w:t>2,9</w:t>
            </w:r>
            <w:r w:rsidR="00C96816">
              <w:rPr>
                <w:rFonts w:ascii="Arial Narrow" w:eastAsia="Times New Roman" w:hAnsi="Arial Narrow" w:cs="Calibri"/>
                <w:sz w:val="18"/>
                <w:szCs w:val="18"/>
                <w:lang w:eastAsia="sk-SK"/>
              </w:rPr>
              <w:t xml:space="preserve"> </w:t>
            </w:r>
            <w:r w:rsidR="002A0289" w:rsidRPr="001613CD">
              <w:rPr>
                <w:rFonts w:ascii="Arial Narrow" w:eastAsia="Times New Roman" w:hAnsi="Arial Narrow" w:cs="Calibri"/>
                <w:sz w:val="18"/>
                <w:szCs w:val="18"/>
                <w:lang w:eastAsia="sk-SK"/>
              </w:rPr>
              <w:t>%</w:t>
            </w:r>
          </w:p>
        </w:tc>
      </w:tr>
      <w:tr w:rsidR="002A0289" w:rsidRPr="003D2AFD" w14:paraId="075E4A65" w14:textId="77777777" w:rsidTr="00616580">
        <w:trPr>
          <w:trHeight w:val="300"/>
        </w:trPr>
        <w:tc>
          <w:tcPr>
            <w:tcW w:w="530" w:type="dxa"/>
            <w:tcBorders>
              <w:top w:val="nil"/>
              <w:left w:val="nil"/>
              <w:bottom w:val="single" w:sz="4" w:space="0" w:color="auto"/>
              <w:right w:val="nil"/>
            </w:tcBorders>
            <w:shd w:val="clear" w:color="auto" w:fill="auto"/>
            <w:vAlign w:val="center"/>
          </w:tcPr>
          <w:p w14:paraId="6779CB17" w14:textId="77777777" w:rsidR="002A0289" w:rsidRPr="001613CD" w:rsidRDefault="002A0289" w:rsidP="00616580">
            <w:pPr>
              <w:spacing w:after="0" w:line="240" w:lineRule="auto"/>
              <w:jc w:val="center"/>
              <w:rPr>
                <w:rFonts w:ascii="Arial Narrow" w:eastAsia="Times New Roman" w:hAnsi="Arial Narrow" w:cs="Calibri"/>
                <w:color w:val="000000"/>
                <w:sz w:val="18"/>
                <w:szCs w:val="18"/>
                <w:lang w:eastAsia="sk-SK"/>
              </w:rPr>
            </w:pPr>
            <w:r w:rsidRPr="001613CD">
              <w:rPr>
                <w:rFonts w:ascii="Arial Narrow" w:eastAsia="Times New Roman" w:hAnsi="Arial Narrow" w:cs="Calibri"/>
                <w:color w:val="000000"/>
                <w:sz w:val="18"/>
                <w:szCs w:val="18"/>
                <w:lang w:eastAsia="sk-SK"/>
              </w:rPr>
              <w:t>4</w:t>
            </w:r>
          </w:p>
        </w:tc>
        <w:tc>
          <w:tcPr>
            <w:tcW w:w="6272" w:type="dxa"/>
            <w:tcBorders>
              <w:top w:val="nil"/>
              <w:left w:val="nil"/>
              <w:bottom w:val="single" w:sz="4" w:space="0" w:color="auto"/>
              <w:right w:val="nil"/>
            </w:tcBorders>
            <w:shd w:val="clear" w:color="auto" w:fill="auto"/>
            <w:vAlign w:val="center"/>
          </w:tcPr>
          <w:p w14:paraId="46711AC8" w14:textId="77777777" w:rsidR="002A0289" w:rsidRPr="001613CD" w:rsidRDefault="002A0289" w:rsidP="00616580">
            <w:pPr>
              <w:spacing w:after="0" w:line="240" w:lineRule="auto"/>
              <w:rPr>
                <w:rFonts w:ascii="Arial Narrow" w:eastAsia="Times New Roman" w:hAnsi="Arial Narrow" w:cs="Calibri"/>
                <w:color w:val="000000"/>
                <w:sz w:val="18"/>
                <w:szCs w:val="18"/>
                <w:lang w:eastAsia="sk-SK"/>
              </w:rPr>
            </w:pPr>
            <w:r w:rsidRPr="001613CD">
              <w:rPr>
                <w:rFonts w:ascii="Arial Narrow" w:eastAsia="Times New Roman" w:hAnsi="Arial Narrow" w:cs="Calibri"/>
                <w:color w:val="000000"/>
                <w:sz w:val="18"/>
                <w:szCs w:val="18"/>
                <w:lang w:eastAsia="sk-SK"/>
              </w:rPr>
              <w:t>Vplyv Plánu obnovy (NGEU)</w:t>
            </w:r>
          </w:p>
        </w:tc>
        <w:tc>
          <w:tcPr>
            <w:tcW w:w="1420" w:type="dxa"/>
            <w:tcBorders>
              <w:top w:val="nil"/>
              <w:left w:val="nil"/>
              <w:bottom w:val="single" w:sz="4" w:space="0" w:color="auto"/>
              <w:right w:val="nil"/>
            </w:tcBorders>
            <w:shd w:val="clear" w:color="auto" w:fill="auto"/>
            <w:vAlign w:val="center"/>
          </w:tcPr>
          <w:p w14:paraId="7C1D33EF" w14:textId="249D8DE3" w:rsidR="002A0289" w:rsidRPr="001613CD" w:rsidRDefault="002A0289" w:rsidP="00616580">
            <w:pPr>
              <w:spacing w:after="0" w:line="240" w:lineRule="auto"/>
              <w:jc w:val="center"/>
              <w:rPr>
                <w:rFonts w:ascii="Arial Narrow" w:eastAsia="Times New Roman" w:hAnsi="Arial Narrow" w:cs="Calibri"/>
                <w:sz w:val="18"/>
                <w:szCs w:val="18"/>
                <w:lang w:eastAsia="sk-SK"/>
              </w:rPr>
            </w:pPr>
            <w:r w:rsidRPr="001613CD">
              <w:rPr>
                <w:rFonts w:ascii="Arial Narrow" w:eastAsia="Times New Roman" w:hAnsi="Arial Narrow" w:cs="Calibri"/>
                <w:sz w:val="18"/>
                <w:szCs w:val="18"/>
                <w:lang w:eastAsia="sk-SK"/>
              </w:rPr>
              <w:t>-2,</w:t>
            </w:r>
            <w:r w:rsidR="00162308">
              <w:rPr>
                <w:rFonts w:ascii="Arial Narrow" w:eastAsia="Times New Roman" w:hAnsi="Arial Narrow" w:cs="Calibri"/>
                <w:sz w:val="18"/>
                <w:szCs w:val="18"/>
                <w:lang w:eastAsia="sk-SK"/>
              </w:rPr>
              <w:t xml:space="preserve">6 </w:t>
            </w:r>
            <w:r w:rsidRPr="001613CD">
              <w:rPr>
                <w:rFonts w:ascii="Arial Narrow" w:eastAsia="Times New Roman" w:hAnsi="Arial Narrow" w:cs="Calibri"/>
                <w:sz w:val="18"/>
                <w:szCs w:val="18"/>
                <w:lang w:eastAsia="sk-SK"/>
              </w:rPr>
              <w:t>%</w:t>
            </w:r>
          </w:p>
        </w:tc>
      </w:tr>
      <w:tr w:rsidR="002A0289" w:rsidRPr="003D2AFD" w14:paraId="13183076" w14:textId="77777777" w:rsidTr="00616580">
        <w:trPr>
          <w:trHeight w:val="300"/>
        </w:trPr>
        <w:tc>
          <w:tcPr>
            <w:tcW w:w="530" w:type="dxa"/>
            <w:tcBorders>
              <w:top w:val="single" w:sz="4" w:space="0" w:color="auto"/>
              <w:left w:val="nil"/>
              <w:bottom w:val="single" w:sz="8" w:space="0" w:color="auto"/>
              <w:right w:val="nil"/>
            </w:tcBorders>
            <w:shd w:val="clear" w:color="auto" w:fill="auto"/>
            <w:vAlign w:val="center"/>
            <w:hideMark/>
          </w:tcPr>
          <w:p w14:paraId="4758ADD4" w14:textId="77777777" w:rsidR="002A0289" w:rsidRPr="001613CD" w:rsidRDefault="002A0289" w:rsidP="00616580">
            <w:pPr>
              <w:spacing w:after="0" w:line="240" w:lineRule="auto"/>
              <w:jc w:val="center"/>
              <w:rPr>
                <w:rFonts w:ascii="Arial Narrow" w:eastAsia="Times New Roman" w:hAnsi="Arial Narrow" w:cs="Calibri"/>
                <w:b/>
                <w:bCs/>
                <w:color w:val="000000"/>
                <w:sz w:val="18"/>
                <w:szCs w:val="18"/>
                <w:lang w:eastAsia="sk-SK"/>
              </w:rPr>
            </w:pPr>
          </w:p>
        </w:tc>
        <w:tc>
          <w:tcPr>
            <w:tcW w:w="6272" w:type="dxa"/>
            <w:tcBorders>
              <w:top w:val="single" w:sz="4" w:space="0" w:color="auto"/>
              <w:left w:val="nil"/>
              <w:bottom w:val="single" w:sz="8" w:space="0" w:color="auto"/>
              <w:right w:val="nil"/>
            </w:tcBorders>
            <w:shd w:val="clear" w:color="auto" w:fill="auto"/>
            <w:vAlign w:val="center"/>
            <w:hideMark/>
          </w:tcPr>
          <w:p w14:paraId="30116D24" w14:textId="77777777" w:rsidR="002A0289" w:rsidRPr="001613CD" w:rsidRDefault="002A0289" w:rsidP="00616580">
            <w:pPr>
              <w:spacing w:after="0" w:line="240" w:lineRule="auto"/>
              <w:rPr>
                <w:rFonts w:ascii="Arial Narrow" w:eastAsia="Times New Roman" w:hAnsi="Arial Narrow" w:cs="Calibri"/>
                <w:b/>
                <w:bCs/>
                <w:color w:val="000000"/>
                <w:sz w:val="18"/>
                <w:szCs w:val="18"/>
                <w:lang w:eastAsia="sk-SK"/>
              </w:rPr>
            </w:pPr>
            <w:r w:rsidRPr="001613CD">
              <w:rPr>
                <w:rFonts w:ascii="Arial Narrow" w:eastAsia="Times New Roman" w:hAnsi="Arial Narrow" w:cs="Calibri"/>
                <w:b/>
                <w:bCs/>
                <w:color w:val="000000"/>
                <w:sz w:val="18"/>
                <w:szCs w:val="18"/>
                <w:lang w:eastAsia="sk-SK"/>
              </w:rPr>
              <w:t>Celkom</w:t>
            </w:r>
          </w:p>
        </w:tc>
        <w:tc>
          <w:tcPr>
            <w:tcW w:w="1420" w:type="dxa"/>
            <w:tcBorders>
              <w:top w:val="single" w:sz="4" w:space="0" w:color="auto"/>
              <w:left w:val="nil"/>
              <w:bottom w:val="single" w:sz="8" w:space="0" w:color="auto"/>
              <w:right w:val="nil"/>
            </w:tcBorders>
            <w:shd w:val="clear" w:color="auto" w:fill="auto"/>
            <w:vAlign w:val="center"/>
            <w:hideMark/>
          </w:tcPr>
          <w:p w14:paraId="2794D0BA" w14:textId="6DB39BF9" w:rsidR="002A0289" w:rsidRPr="001613CD" w:rsidRDefault="002A0289" w:rsidP="00616580">
            <w:pPr>
              <w:spacing w:after="0" w:line="240" w:lineRule="auto"/>
              <w:jc w:val="center"/>
              <w:rPr>
                <w:rFonts w:ascii="Arial Narrow" w:eastAsia="Times New Roman" w:hAnsi="Arial Narrow" w:cs="Calibri"/>
                <w:b/>
                <w:bCs/>
                <w:sz w:val="18"/>
                <w:szCs w:val="18"/>
                <w:lang w:eastAsia="sk-SK"/>
              </w:rPr>
            </w:pPr>
            <w:r w:rsidRPr="001613CD">
              <w:rPr>
                <w:rFonts w:ascii="Arial Narrow" w:eastAsia="Times New Roman" w:hAnsi="Arial Narrow" w:cs="Calibri"/>
                <w:b/>
                <w:bCs/>
                <w:sz w:val="18"/>
                <w:szCs w:val="18"/>
                <w:lang w:eastAsia="sk-SK"/>
              </w:rPr>
              <w:t>-</w:t>
            </w:r>
            <w:r w:rsidR="00162308" w:rsidRPr="001613CD">
              <w:rPr>
                <w:rFonts w:ascii="Arial Narrow" w:eastAsia="Times New Roman" w:hAnsi="Arial Narrow" w:cs="Calibri"/>
                <w:b/>
                <w:bCs/>
                <w:sz w:val="18"/>
                <w:szCs w:val="18"/>
                <w:lang w:eastAsia="sk-SK"/>
              </w:rPr>
              <w:t>15</w:t>
            </w:r>
            <w:r w:rsidR="00162308">
              <w:rPr>
                <w:rFonts w:ascii="Arial Narrow" w:eastAsia="Times New Roman" w:hAnsi="Arial Narrow" w:cs="Calibri"/>
                <w:b/>
                <w:bCs/>
                <w:sz w:val="18"/>
                <w:szCs w:val="18"/>
                <w:lang w:eastAsia="sk-SK"/>
              </w:rPr>
              <w:t>7</w:t>
            </w:r>
            <w:r w:rsidRPr="001613CD">
              <w:rPr>
                <w:rFonts w:ascii="Arial Narrow" w:eastAsia="Times New Roman" w:hAnsi="Arial Narrow" w:cs="Calibri"/>
                <w:b/>
                <w:bCs/>
                <w:sz w:val="18"/>
                <w:szCs w:val="18"/>
                <w:lang w:eastAsia="sk-SK"/>
              </w:rPr>
              <w:t>,</w:t>
            </w:r>
            <w:r w:rsidR="00162308">
              <w:rPr>
                <w:rFonts w:ascii="Arial Narrow" w:eastAsia="Times New Roman" w:hAnsi="Arial Narrow" w:cs="Calibri"/>
                <w:b/>
                <w:bCs/>
                <w:sz w:val="18"/>
                <w:szCs w:val="18"/>
                <w:lang w:eastAsia="sk-SK"/>
              </w:rPr>
              <w:t xml:space="preserve">9 </w:t>
            </w:r>
            <w:r w:rsidRPr="001613CD">
              <w:rPr>
                <w:rFonts w:ascii="Arial Narrow" w:eastAsia="Times New Roman" w:hAnsi="Arial Narrow" w:cs="Calibri"/>
                <w:b/>
                <w:bCs/>
                <w:sz w:val="18"/>
                <w:szCs w:val="18"/>
                <w:lang w:eastAsia="sk-SK"/>
              </w:rPr>
              <w:t>%</w:t>
            </w:r>
          </w:p>
        </w:tc>
      </w:tr>
      <w:tr w:rsidR="002A0289" w:rsidRPr="003D2AFD" w14:paraId="52475F21" w14:textId="77777777" w:rsidTr="00616580">
        <w:trPr>
          <w:trHeight w:val="300"/>
        </w:trPr>
        <w:tc>
          <w:tcPr>
            <w:tcW w:w="6802" w:type="dxa"/>
            <w:gridSpan w:val="2"/>
            <w:tcBorders>
              <w:top w:val="single" w:sz="8" w:space="0" w:color="auto"/>
              <w:left w:val="nil"/>
              <w:bottom w:val="nil"/>
              <w:right w:val="nil"/>
            </w:tcBorders>
            <w:shd w:val="clear" w:color="auto" w:fill="auto"/>
            <w:vAlign w:val="center"/>
            <w:hideMark/>
          </w:tcPr>
          <w:p w14:paraId="2207DDE2" w14:textId="77777777" w:rsidR="002A0289" w:rsidRPr="003D2AFD" w:rsidRDefault="002A0289" w:rsidP="00616580">
            <w:pPr>
              <w:spacing w:after="0" w:line="240" w:lineRule="auto"/>
              <w:rPr>
                <w:rFonts w:ascii="Arial Narrow" w:eastAsia="Times New Roman" w:hAnsi="Arial Narrow" w:cs="Calibri"/>
                <w:i/>
                <w:iCs/>
                <w:color w:val="000000"/>
                <w:sz w:val="16"/>
                <w:szCs w:val="16"/>
                <w:lang w:eastAsia="sk-SK"/>
              </w:rPr>
            </w:pPr>
            <w:r w:rsidRPr="003D2AFD">
              <w:rPr>
                <w:rFonts w:ascii="Arial Narrow" w:eastAsia="Times New Roman" w:hAnsi="Arial Narrow" w:cs="Calibri"/>
                <w:i/>
                <w:iCs/>
                <w:color w:val="000000"/>
                <w:sz w:val="16"/>
                <w:szCs w:val="16"/>
                <w:lang w:eastAsia="sk-SK"/>
              </w:rPr>
              <w:t>Pozn.: (+) vplyvy znižujúce výšku implicitných záväzkov (-) vplyvy zvyšujúce výšku implicitných záväzkov.</w:t>
            </w:r>
          </w:p>
        </w:tc>
        <w:tc>
          <w:tcPr>
            <w:tcW w:w="1420" w:type="dxa"/>
            <w:tcBorders>
              <w:top w:val="single" w:sz="8" w:space="0" w:color="auto"/>
              <w:left w:val="nil"/>
              <w:bottom w:val="nil"/>
              <w:right w:val="nil"/>
            </w:tcBorders>
            <w:shd w:val="clear" w:color="auto" w:fill="auto"/>
            <w:noWrap/>
            <w:vAlign w:val="center"/>
            <w:hideMark/>
          </w:tcPr>
          <w:p w14:paraId="22D7F7BA" w14:textId="77777777" w:rsidR="002A0289" w:rsidRPr="003D2AFD" w:rsidRDefault="002A0289" w:rsidP="00616580">
            <w:pPr>
              <w:spacing w:after="0" w:line="240" w:lineRule="auto"/>
              <w:jc w:val="right"/>
              <w:rPr>
                <w:rFonts w:ascii="Arial Narrow" w:eastAsia="Times New Roman" w:hAnsi="Arial Narrow" w:cs="Calibri"/>
                <w:i/>
                <w:iCs/>
                <w:color w:val="000000"/>
                <w:sz w:val="16"/>
                <w:szCs w:val="16"/>
                <w:lang w:eastAsia="sk-SK"/>
              </w:rPr>
            </w:pPr>
            <w:r w:rsidRPr="003D2AFD">
              <w:rPr>
                <w:rFonts w:ascii="Arial Narrow" w:eastAsia="Times New Roman" w:hAnsi="Arial Narrow" w:cs="Calibri"/>
                <w:i/>
                <w:iCs/>
                <w:color w:val="000000"/>
                <w:sz w:val="16"/>
                <w:szCs w:val="16"/>
                <w:lang w:eastAsia="sk-SK"/>
              </w:rPr>
              <w:t>Zdroj: MF SR</w:t>
            </w:r>
          </w:p>
        </w:tc>
      </w:tr>
    </w:tbl>
    <w:p w14:paraId="71264FCD" w14:textId="77777777" w:rsidR="00AC0F39" w:rsidRDefault="00AC0F39" w:rsidP="002A0289"/>
    <w:p w14:paraId="66509898" w14:textId="77777777" w:rsidR="00F91C7C" w:rsidRDefault="00F91C7C" w:rsidP="002A0289"/>
    <w:p w14:paraId="0298DCF7" w14:textId="77777777" w:rsidR="00AC0F39" w:rsidRPr="00A22C01" w:rsidRDefault="00AC0F39" w:rsidP="00AC0F39">
      <w:pPr>
        <w:spacing w:line="276" w:lineRule="auto"/>
        <w:jc w:val="both"/>
        <w:rPr>
          <w:rFonts w:ascii="Arial Narrow" w:hAnsi="Arial Narrow"/>
          <w:b/>
          <w:bCs/>
          <w:color w:val="2C9ADC"/>
          <w:sz w:val="24"/>
          <w:szCs w:val="24"/>
        </w:rPr>
      </w:pPr>
      <w:r w:rsidRPr="00A22C01">
        <w:rPr>
          <w:rFonts w:ascii="Arial Narrow" w:hAnsi="Arial Narrow"/>
          <w:b/>
          <w:bCs/>
          <w:color w:val="2C9ADC"/>
          <w:sz w:val="24"/>
          <w:szCs w:val="24"/>
        </w:rPr>
        <w:lastRenderedPageBreak/>
        <w:t xml:space="preserve">Príloha 3 – Cieľ deficitu dosahovaný pomocou rastu čistých výdavkov </w:t>
      </w:r>
    </w:p>
    <w:p w14:paraId="3D61968B" w14:textId="36908207" w:rsidR="00AC0F39" w:rsidRDefault="00AC0F39" w:rsidP="00AC0F39">
      <w:pPr>
        <w:jc w:val="both"/>
        <w:rPr>
          <w:rFonts w:ascii="Arial Narrow" w:eastAsia="Calibri" w:hAnsi="Arial Narrow" w:cs="Times New Roman"/>
        </w:rPr>
      </w:pPr>
      <w:r>
        <w:rPr>
          <w:rFonts w:ascii="Arial Narrow" w:eastAsia="Calibri" w:hAnsi="Arial Narrow" w:cs="Times New Roman"/>
          <w:b/>
          <w:bCs/>
        </w:rPr>
        <w:t xml:space="preserve">Analýza dlhovej udržateľnosti (DSA) zisťuje potrebné konsolidačné úsilie pre zníženie deficitu na úroveň, ktorá zabezpečí splnenie kritérií pre deficit aj hrubý dlh. </w:t>
      </w:r>
      <w:r>
        <w:rPr>
          <w:rFonts w:ascii="Arial Narrow" w:eastAsia="Calibri" w:hAnsi="Arial Narrow" w:cs="Times New Roman"/>
        </w:rPr>
        <w:t xml:space="preserve">V úvode procesu stanovenia referenčnej trajektórie Európskou komisiou sa posúdi fiškálna pozícia krajiny v podobe úrovne primárneho štrukturálneho salda, z toho vyplývajúceho nominálneho deficitu a úrovne hrubého dlhu. Analýza dlhovej udržateľnosti na základe makro-fiškálnych predpokladov overuje potrebné ročné zníženie primárneho štrukturálneho salda (v závislosti od strednodobého plánu na 4 alebo 7 rokov) na úroveň, aby deficit následne v 10-ročnom horizonte bez zmeny politík nevzrástol nad 3 % HDP. Úroveň deficitu súčasne musí zabezpečiť, aby hrubý dlh počas 10 rokov po </w:t>
      </w:r>
      <w:r w:rsidR="00C96816">
        <w:rPr>
          <w:rFonts w:ascii="Arial Narrow" w:eastAsia="Calibri" w:hAnsi="Arial Narrow" w:cs="Times New Roman"/>
        </w:rPr>
        <w:t xml:space="preserve">horizonte plánu </w:t>
      </w:r>
      <w:r>
        <w:rPr>
          <w:rFonts w:ascii="Arial Narrow" w:eastAsia="Calibri" w:hAnsi="Arial Narrow" w:cs="Times New Roman"/>
        </w:rPr>
        <w:t>pri vysoko zadlžených krajinách klesal v priemere o 0,5, resp. 1 p. b. ročne, resp. sa udržal pod 60 % HDP pri nízko zadlžených krajinách. Tieto kritériá vývoja dlhu musia byť splnené aj v rizikových scenároch.</w:t>
      </w:r>
    </w:p>
    <w:p w14:paraId="63D92FC8" w14:textId="77777777" w:rsidR="00AC0F39" w:rsidRDefault="00AC0F39" w:rsidP="00AC0F39">
      <w:pPr>
        <w:jc w:val="both"/>
        <w:rPr>
          <w:rFonts w:ascii="Arial Narrow" w:eastAsia="Calibri" w:hAnsi="Arial Narrow" w:cs="Times New Roman"/>
        </w:rPr>
      </w:pPr>
      <w:r w:rsidRPr="001706DD">
        <w:rPr>
          <w:rFonts w:ascii="Arial Narrow" w:eastAsia="Calibri" w:hAnsi="Arial Narrow" w:cs="Times New Roman"/>
          <w:b/>
          <w:bCs/>
        </w:rPr>
        <w:t xml:space="preserve">Ročné </w:t>
      </w:r>
      <w:r>
        <w:rPr>
          <w:rFonts w:ascii="Arial Narrow" w:eastAsia="Calibri" w:hAnsi="Arial Narrow" w:cs="Times New Roman"/>
          <w:b/>
          <w:bCs/>
        </w:rPr>
        <w:t xml:space="preserve">požadované </w:t>
      </w:r>
      <w:r w:rsidRPr="001706DD">
        <w:rPr>
          <w:rFonts w:ascii="Arial Narrow" w:eastAsia="Calibri" w:hAnsi="Arial Narrow" w:cs="Times New Roman"/>
          <w:b/>
          <w:bCs/>
        </w:rPr>
        <w:t xml:space="preserve">zníženie primárneho štrukturálneho salda sa premieta do rastu </w:t>
      </w:r>
      <w:r>
        <w:rPr>
          <w:rFonts w:ascii="Arial Narrow" w:eastAsia="Calibri" w:hAnsi="Arial Narrow" w:cs="Times New Roman"/>
          <w:b/>
          <w:bCs/>
        </w:rPr>
        <w:t>primárnych</w:t>
      </w:r>
      <w:r w:rsidRPr="001706DD">
        <w:rPr>
          <w:rFonts w:ascii="Arial Narrow" w:eastAsia="Calibri" w:hAnsi="Arial Narrow" w:cs="Times New Roman"/>
          <w:b/>
          <w:bCs/>
        </w:rPr>
        <w:t xml:space="preserve"> výdavkov.</w:t>
      </w:r>
      <w:r>
        <w:rPr>
          <w:rFonts w:ascii="Arial Narrow" w:eastAsia="Calibri" w:hAnsi="Arial Narrow" w:cs="Times New Roman"/>
          <w:b/>
          <w:bCs/>
        </w:rPr>
        <w:t xml:space="preserve"> </w:t>
      </w:r>
      <w:r>
        <w:rPr>
          <w:rFonts w:ascii="Arial Narrow" w:eastAsia="Calibri" w:hAnsi="Arial Narrow" w:cs="Times New Roman"/>
        </w:rPr>
        <w:t>Fiškálne pravidlo využíva zjednodušený predpoklad jednotkovej elasticity príjmov, t. j. rast príjmov je ekvivalentný rastu nominálneho produktu</w:t>
      </w:r>
      <w:r>
        <w:rPr>
          <w:rStyle w:val="Odkaznapoznmkupodiarou"/>
          <w:rFonts w:ascii="Arial Narrow" w:eastAsia="Calibri" w:hAnsi="Arial Narrow" w:cs="Times New Roman"/>
        </w:rPr>
        <w:footnoteReference w:id="24"/>
      </w:r>
      <w:r>
        <w:rPr>
          <w:rFonts w:ascii="Arial Narrow" w:eastAsia="Calibri" w:hAnsi="Arial Narrow" w:cs="Times New Roman"/>
        </w:rPr>
        <w:t>. Pri takomto predpoklade pravidlo umožňuje rásť výdavkom tempom nominálneho produktu, a to bez vplyvu na zhoršenie nominálneho deficitu. Na výdavkovej strane rozpočtu následne dochádza k spomaleniu rastu primárnych výdavkov práve o požadované tempo zníženia primárneho štrukturálneho salda určeného z DSA v pomere k primárnym výdavkom.</w:t>
      </w:r>
    </w:p>
    <w:p w14:paraId="1E0B01F8" w14:textId="77777777" w:rsidR="00AC0F39" w:rsidRDefault="00AC0F39" w:rsidP="00AC0F39">
      <w:pPr>
        <w:jc w:val="both"/>
        <w:rPr>
          <w:rFonts w:ascii="Arial Narrow" w:eastAsia="Calibri" w:hAnsi="Arial Narrow" w:cs="Times New Roman"/>
        </w:rPr>
      </w:pPr>
    </w:p>
    <w:p w14:paraId="275759AB" w14:textId="77777777" w:rsidR="00AC0F39" w:rsidRPr="009B63DB" w:rsidRDefault="00AC0F39" w:rsidP="00AC0F39">
      <w:pPr>
        <w:jc w:val="both"/>
        <w:rPr>
          <w:rFonts w:ascii="Arial Narrow" w:eastAsia="Calibri" w:hAnsi="Arial Narrow" w:cs="Times New Roman"/>
        </w:rPr>
      </w:pPr>
      <m:oMathPara>
        <m:oMath>
          <m:r>
            <w:rPr>
              <w:rFonts w:ascii="Cambria Math" w:eastAsia="Calibri" w:hAnsi="Cambria Math" w:cs="Times New Roman"/>
              <w:sz w:val="20"/>
              <w:szCs w:val="20"/>
            </w:rPr>
            <m:t>maximálny rast primárnych výdavkov (NFPE)=</m:t>
          </m:r>
          <m:r>
            <m:rPr>
              <m:sty m:val="p"/>
            </m:rPr>
            <w:rPr>
              <w:rFonts w:ascii="Cambria Math" w:hAnsi="Cambria Math"/>
              <w:sz w:val="20"/>
              <w:szCs w:val="20"/>
            </w:rPr>
            <m:t>g</m:t>
          </m:r>
          <m:sSub>
            <m:sSubPr>
              <m:ctrlPr>
                <w:rPr>
                  <w:rFonts w:ascii="Cambria Math" w:hAnsi="Cambria Math"/>
                  <w:sz w:val="20"/>
                  <w:szCs w:val="20"/>
                </w:rPr>
              </m:ctrlPr>
            </m:sSubPr>
            <m:e>
              <m:r>
                <w:rPr>
                  <w:rFonts w:ascii="Cambria Math" w:hAnsi="Cambria Math"/>
                  <w:sz w:val="20"/>
                  <w:szCs w:val="20"/>
                </w:rPr>
                <m:t>Pot</m:t>
              </m:r>
            </m:e>
            <m:sub>
              <m:r>
                <w:rPr>
                  <w:rFonts w:ascii="Cambria Math" w:hAnsi="Cambria Math"/>
                  <w:sz w:val="20"/>
                  <w:szCs w:val="20"/>
                </w:rPr>
                <m:t>t</m:t>
              </m:r>
            </m:sub>
          </m:sSub>
          <m:r>
            <m:rPr>
              <m:sty m:val="p"/>
            </m:rP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π</m:t>
              </m:r>
            </m:e>
            <m:sub>
              <m:r>
                <w:rPr>
                  <w:rFonts w:ascii="Cambria Math" w:hAnsi="Cambria Math"/>
                  <w:sz w:val="20"/>
                  <w:szCs w:val="20"/>
                </w:rPr>
                <m:t>t</m:t>
              </m:r>
            </m:sub>
          </m:sSub>
          <m:r>
            <w:rPr>
              <w:rFonts w:ascii="Cambria Math" w:hAnsi="Cambria Math"/>
              <w:sz w:val="20"/>
              <w:szCs w:val="20"/>
            </w:rPr>
            <m:t>-∆SPB/NFPE</m:t>
          </m:r>
        </m:oMath>
      </m:oMathPara>
    </w:p>
    <w:p w14:paraId="5D17AF0A" w14:textId="77777777" w:rsidR="00AC0F39" w:rsidRDefault="00AC0F39" w:rsidP="00AC0F39">
      <w:pPr>
        <w:jc w:val="both"/>
        <w:rPr>
          <w:rFonts w:ascii="Arial Narrow" w:hAnsi="Arial Narrow"/>
        </w:rPr>
      </w:pPr>
    </w:p>
    <w:p w14:paraId="70A2FC21" w14:textId="77777777" w:rsidR="00AC0F39" w:rsidRPr="00766FF6" w:rsidRDefault="00AC0F39" w:rsidP="00AC0F39">
      <w:pPr>
        <w:jc w:val="both"/>
        <w:rPr>
          <w:rFonts w:ascii="Arial Narrow" w:hAnsi="Arial Narrow"/>
        </w:rPr>
      </w:pPr>
      <w:r>
        <w:rPr>
          <w:rFonts w:ascii="Arial Narrow" w:hAnsi="Arial Narrow"/>
        </w:rPr>
        <w:t>k</w:t>
      </w:r>
      <w:r w:rsidRPr="00766FF6">
        <w:rPr>
          <w:rFonts w:ascii="Arial Narrow" w:hAnsi="Arial Narrow"/>
        </w:rPr>
        <w:t>de</w:t>
      </w:r>
      <w:r>
        <w:rPr>
          <w:rFonts w:ascii="Arial Narrow" w:hAnsi="Arial Narrow"/>
        </w:rPr>
        <w:t xml:space="preserve"> </w:t>
      </w:r>
      <m:oMath>
        <m:r>
          <m:rPr>
            <m:sty m:val="p"/>
          </m:rPr>
          <w:rPr>
            <w:rFonts w:ascii="Cambria Math" w:hAnsi="Cambria Math"/>
          </w:rPr>
          <m:t>g</m:t>
        </m:r>
        <m:sSub>
          <m:sSubPr>
            <m:ctrlPr>
              <w:rPr>
                <w:rFonts w:ascii="Cambria Math" w:hAnsi="Cambria Math"/>
              </w:rPr>
            </m:ctrlPr>
          </m:sSubPr>
          <m:e>
            <m:r>
              <w:rPr>
                <w:rFonts w:ascii="Cambria Math" w:hAnsi="Cambria Math"/>
              </w:rPr>
              <m:t>Pot</m:t>
            </m:r>
          </m:e>
          <m:sub>
            <m:r>
              <w:rPr>
                <w:rFonts w:ascii="Cambria Math" w:hAnsi="Cambria Math"/>
              </w:rPr>
              <m:t>t</m:t>
            </m:r>
          </m:sub>
        </m:sSub>
      </m:oMath>
      <w:r>
        <w:rPr>
          <w:rFonts w:ascii="Arial Narrow" w:eastAsiaTheme="minorEastAsia" w:hAnsi="Arial Narrow"/>
        </w:rPr>
        <w:t xml:space="preserve"> predstavuje rast potenciálneho produktu v %, </w:t>
      </w:r>
      <m:oMath>
        <m:sSub>
          <m:sSubPr>
            <m:ctrlPr>
              <w:rPr>
                <w:rFonts w:ascii="Cambria Math" w:hAnsi="Cambria Math"/>
              </w:rPr>
            </m:ctrlPr>
          </m:sSubPr>
          <m:e>
            <m:r>
              <w:rPr>
                <w:rFonts w:ascii="Cambria Math" w:hAnsi="Cambria Math"/>
              </w:rPr>
              <m:t>π</m:t>
            </m:r>
          </m:e>
          <m:sub>
            <m:r>
              <w:rPr>
                <w:rFonts w:ascii="Cambria Math" w:hAnsi="Cambria Math"/>
              </w:rPr>
              <m:t>t</m:t>
            </m:r>
          </m:sub>
        </m:sSub>
      </m:oMath>
      <w:r>
        <w:rPr>
          <w:rFonts w:ascii="Arial Narrow" w:eastAsiaTheme="minorEastAsia" w:hAnsi="Arial Narrow"/>
        </w:rPr>
        <w:t xml:space="preserve"> deflátor HDP v % a </w:t>
      </w:r>
      <m:oMath>
        <m:r>
          <w:rPr>
            <w:rFonts w:ascii="Cambria Math" w:hAnsi="Cambria Math"/>
          </w:rPr>
          <m:t>∆SPB/NFPE</m:t>
        </m:r>
      </m:oMath>
      <w:r>
        <w:rPr>
          <w:rFonts w:ascii="Arial Narrow" w:eastAsiaTheme="minorEastAsia" w:hAnsi="Arial Narrow"/>
        </w:rPr>
        <w:t xml:space="preserve"> požadované zníženie primárneho štrukturálneho salda v pomere k národne financovaným primárnym výdavkom vyjadrené v %.</w:t>
      </w:r>
    </w:p>
    <w:p w14:paraId="37AF749A" w14:textId="77777777" w:rsidR="00AC0F39" w:rsidRPr="00AA6D46" w:rsidRDefault="00AC0F39" w:rsidP="00AC0F39">
      <w:pPr>
        <w:jc w:val="both"/>
        <w:rPr>
          <w:rFonts w:ascii="Arial Narrow" w:eastAsia="Calibri" w:hAnsi="Arial Narrow" w:cs="Times New Roman"/>
        </w:rPr>
      </w:pPr>
      <w:r w:rsidRPr="00AA6D46">
        <w:rPr>
          <w:rFonts w:ascii="Arial Narrow" w:eastAsia="Calibri" w:hAnsi="Arial Narrow" w:cs="Times New Roman"/>
          <w:b/>
          <w:bCs/>
        </w:rPr>
        <w:t>Rast národne financovaných primárnych výdavkov upravený o príjmové diskrečné opatrenia predstavuje jediné operatívne pravidlo nového fiškálneho rámca EÚ.</w:t>
      </w:r>
      <w:r>
        <w:rPr>
          <w:rFonts w:ascii="Arial Narrow" w:eastAsia="Calibri" w:hAnsi="Arial Narrow" w:cs="Times New Roman"/>
        </w:rPr>
        <w:t xml:space="preserve"> </w:t>
      </w:r>
      <w:r w:rsidRPr="00AA6D46">
        <w:rPr>
          <w:rFonts w:ascii="Arial Narrow" w:eastAsia="Calibri" w:hAnsi="Arial Narrow" w:cs="Times New Roman"/>
        </w:rPr>
        <w:t xml:space="preserve">Rast primárnych výdavkov sa podľa pravidiel upravuje </w:t>
      </w:r>
      <w:r>
        <w:rPr>
          <w:rFonts w:ascii="Arial Narrow" w:eastAsia="Calibri" w:hAnsi="Arial Narrow" w:cs="Times New Roman"/>
        </w:rPr>
        <w:t xml:space="preserve">ešte </w:t>
      </w:r>
      <w:r w:rsidRPr="00AA6D46">
        <w:rPr>
          <w:rFonts w:ascii="Arial Narrow" w:eastAsia="Calibri" w:hAnsi="Arial Narrow" w:cs="Times New Roman"/>
        </w:rPr>
        <w:t xml:space="preserve">o príjmové opatrenia do rastu </w:t>
      </w:r>
      <w:r>
        <w:rPr>
          <w:rFonts w:ascii="Arial Narrow" w:eastAsia="Calibri" w:hAnsi="Arial Narrow" w:cs="Times New Roman"/>
        </w:rPr>
        <w:t xml:space="preserve">tzv. </w:t>
      </w:r>
      <w:r w:rsidRPr="00AA6D46">
        <w:rPr>
          <w:rFonts w:ascii="Arial Narrow" w:eastAsia="Calibri" w:hAnsi="Arial Narrow" w:cs="Times New Roman"/>
        </w:rPr>
        <w:t>čistých výdavkov</w:t>
      </w:r>
      <w:r>
        <w:rPr>
          <w:rFonts w:ascii="Arial Narrow" w:eastAsia="Calibri" w:hAnsi="Arial Narrow" w:cs="Times New Roman"/>
        </w:rPr>
        <w:t xml:space="preserve">. To </w:t>
      </w:r>
      <w:r w:rsidRPr="00AA6D46">
        <w:rPr>
          <w:rFonts w:ascii="Arial Narrow" w:eastAsia="Calibri" w:hAnsi="Arial Narrow" w:cs="Times New Roman"/>
        </w:rPr>
        <w:t xml:space="preserve">umožňuje </w:t>
      </w:r>
      <w:r>
        <w:rPr>
          <w:rFonts w:ascii="Arial Narrow" w:eastAsia="Calibri" w:hAnsi="Arial Narrow" w:cs="Times New Roman"/>
        </w:rPr>
        <w:t>prijímať opatrenia</w:t>
      </w:r>
      <w:r w:rsidRPr="00AA6D46">
        <w:rPr>
          <w:rFonts w:ascii="Arial Narrow" w:eastAsia="Calibri" w:hAnsi="Arial Narrow" w:cs="Times New Roman"/>
        </w:rPr>
        <w:t xml:space="preserve"> </w:t>
      </w:r>
      <w:r>
        <w:rPr>
          <w:rFonts w:ascii="Arial Narrow" w:eastAsia="Calibri" w:hAnsi="Arial Narrow" w:cs="Times New Roman"/>
        </w:rPr>
        <w:t xml:space="preserve">na </w:t>
      </w:r>
      <w:r w:rsidRPr="00AA6D46">
        <w:rPr>
          <w:rFonts w:ascii="Arial Narrow" w:eastAsia="Calibri" w:hAnsi="Arial Narrow" w:cs="Times New Roman"/>
        </w:rPr>
        <w:t xml:space="preserve">znižovanie deficitu tak na výdavkovej ako aj príjmovej strane rozpočtu. </w:t>
      </w:r>
      <w:r>
        <w:rPr>
          <w:rFonts w:ascii="Arial Narrow" w:eastAsia="Calibri" w:hAnsi="Arial Narrow" w:cs="Times New Roman"/>
        </w:rPr>
        <w:t>Takéto pravidlo súčasne umožňuje príjmom voľne fluktuovať počas cyklu a zabezpečovať proti-cyklickú fiškálnu politiku.</w:t>
      </w:r>
    </w:p>
    <w:p w14:paraId="61190019" w14:textId="77777777" w:rsidR="00AC0F39" w:rsidRDefault="00AC0F39" w:rsidP="00AC0F39">
      <w:pPr>
        <w:jc w:val="both"/>
        <w:rPr>
          <w:rFonts w:ascii="Arial Narrow" w:eastAsia="Calibri" w:hAnsi="Arial Narrow" w:cs="Times New Roman"/>
        </w:rPr>
      </w:pPr>
    </w:p>
    <w:p w14:paraId="1725BC37" w14:textId="77777777" w:rsidR="00AC0F39" w:rsidRDefault="00AC0F39" w:rsidP="00AC0F39">
      <w:pPr>
        <w:jc w:val="both"/>
        <w:rPr>
          <w:rFonts w:ascii="Arial Narrow" w:eastAsia="Calibri" w:hAnsi="Arial Narrow" w:cs="Times New Roman"/>
        </w:rPr>
      </w:pPr>
      <m:oMathPara>
        <m:oMath>
          <m:r>
            <w:rPr>
              <w:rFonts w:ascii="Cambria Math" w:eastAsia="Calibri" w:hAnsi="Cambria Math" w:cs="Times New Roman"/>
              <w:sz w:val="20"/>
              <w:szCs w:val="20"/>
            </w:rPr>
            <m:t>rast čistých výdavkov=</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(NFPE</m:t>
              </m:r>
            </m:e>
            <m:sub>
              <m:r>
                <w:rPr>
                  <w:rFonts w:ascii="Cambria Math" w:eastAsia="Calibri" w:hAnsi="Cambria Math" w:cs="Times New Roman"/>
                  <w:sz w:val="20"/>
                  <w:szCs w:val="20"/>
                </w:rPr>
                <m:t>t</m:t>
              </m:r>
            </m:sub>
          </m:sSub>
          <m:r>
            <w:rPr>
              <w:rFonts w:ascii="Cambria Math" w:eastAsia="Calibri" w:hAnsi="Cambria Math" w:cs="Times New Roman"/>
              <w:sz w:val="20"/>
              <w:szCs w:val="20"/>
            </w:rPr>
            <m:t>-</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DRM</m:t>
              </m:r>
            </m:e>
            <m:sub>
              <m:r>
                <w:rPr>
                  <w:rFonts w:ascii="Cambria Math" w:eastAsia="Calibri" w:hAnsi="Cambria Math" w:cs="Times New Roman"/>
                  <w:sz w:val="20"/>
                  <w:szCs w:val="20"/>
                </w:rPr>
                <m:t>t</m:t>
              </m:r>
            </m:sub>
          </m:sSub>
          <m:r>
            <w:rPr>
              <w:rFonts w:ascii="Cambria Math" w:eastAsia="Calibri" w:hAnsi="Cambria Math" w:cs="Times New Roman"/>
              <w:sz w:val="20"/>
              <w:szCs w:val="20"/>
            </w:rPr>
            <m:t>)/</m:t>
          </m:r>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NFPE</m:t>
              </m:r>
            </m:e>
            <m:sub>
              <m:r>
                <w:rPr>
                  <w:rFonts w:ascii="Cambria Math" w:eastAsia="Calibri" w:hAnsi="Cambria Math" w:cs="Times New Roman"/>
                  <w:sz w:val="20"/>
                  <w:szCs w:val="20"/>
                </w:rPr>
                <m:t>t-1</m:t>
              </m:r>
            </m:sub>
          </m:sSub>
          <m:r>
            <w:rPr>
              <w:rFonts w:ascii="Cambria Math" w:eastAsia="Calibri" w:hAnsi="Cambria Math" w:cs="Times New Roman"/>
              <w:sz w:val="20"/>
              <w:szCs w:val="20"/>
            </w:rPr>
            <m:t>-1</m:t>
          </m:r>
        </m:oMath>
      </m:oMathPara>
    </w:p>
    <w:p w14:paraId="1DB24A7F" w14:textId="77777777" w:rsidR="00AC0F39" w:rsidRDefault="00AC0F39" w:rsidP="00AC0F39">
      <w:pPr>
        <w:rPr>
          <w:rFonts w:ascii="Arial Narrow" w:eastAsiaTheme="minorEastAsia" w:hAnsi="Arial Narrow"/>
        </w:rPr>
      </w:pPr>
    </w:p>
    <w:p w14:paraId="5BE0ACAC" w14:textId="77777777" w:rsidR="00AC0F39" w:rsidRPr="00FD1F3A" w:rsidRDefault="00AC0F39" w:rsidP="00AC0F39">
      <w:pPr>
        <w:jc w:val="both"/>
      </w:pPr>
      <w:r>
        <w:rPr>
          <w:rFonts w:ascii="Arial Narrow" w:eastAsiaTheme="minorEastAsia" w:hAnsi="Arial Narrow"/>
        </w:rPr>
        <w:t xml:space="preserve">kde </w:t>
      </w:r>
      <m:oMath>
        <m:r>
          <w:rPr>
            <w:rFonts w:ascii="Cambria Math" w:eastAsia="Calibri" w:hAnsi="Cambria Math" w:cs="Times New Roman"/>
            <w:sz w:val="20"/>
            <w:szCs w:val="20"/>
          </w:rPr>
          <m:t>NFPE</m:t>
        </m:r>
      </m:oMath>
      <w:r>
        <w:rPr>
          <w:rFonts w:ascii="Arial Narrow" w:eastAsiaTheme="minorEastAsia" w:hAnsi="Arial Narrow"/>
          <w:sz w:val="20"/>
          <w:szCs w:val="20"/>
        </w:rPr>
        <w:t xml:space="preserve"> sú národne financované primárne výdavky v aktuálnom roku </w:t>
      </w:r>
      <w:r>
        <w:rPr>
          <w:rFonts w:ascii="Arial Narrow" w:eastAsiaTheme="minorEastAsia" w:hAnsi="Arial Narrow"/>
          <w:i/>
          <w:iCs/>
          <w:sz w:val="20"/>
          <w:szCs w:val="20"/>
        </w:rPr>
        <w:t>t</w:t>
      </w:r>
      <w:r>
        <w:rPr>
          <w:rFonts w:ascii="Arial Narrow" w:eastAsiaTheme="minorEastAsia" w:hAnsi="Arial Narrow"/>
          <w:sz w:val="20"/>
          <w:szCs w:val="20"/>
        </w:rPr>
        <w:t xml:space="preserve"> a predchádzajúcom roku </w:t>
      </w:r>
      <w:r>
        <w:rPr>
          <w:rFonts w:ascii="Arial Narrow" w:eastAsiaTheme="minorEastAsia" w:hAnsi="Arial Narrow"/>
          <w:i/>
          <w:iCs/>
          <w:sz w:val="20"/>
          <w:szCs w:val="20"/>
        </w:rPr>
        <w:t>t-1</w:t>
      </w:r>
      <w:r>
        <w:rPr>
          <w:rFonts w:ascii="Arial Narrow" w:eastAsiaTheme="minorEastAsia" w:hAnsi="Arial Narrow"/>
          <w:sz w:val="20"/>
          <w:szCs w:val="20"/>
        </w:rPr>
        <w:t xml:space="preserve">, a </w:t>
      </w:r>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DRM</m:t>
            </m:r>
          </m:e>
          <m:sub>
            <m:r>
              <w:rPr>
                <w:rFonts w:ascii="Cambria Math" w:eastAsia="Calibri" w:hAnsi="Cambria Math" w:cs="Times New Roman"/>
                <w:sz w:val="20"/>
                <w:szCs w:val="20"/>
              </w:rPr>
              <m:t>t</m:t>
            </m:r>
          </m:sub>
        </m:sSub>
      </m:oMath>
      <w:r>
        <w:rPr>
          <w:rFonts w:ascii="Arial Narrow" w:eastAsiaTheme="minorEastAsia" w:hAnsi="Arial Narrow"/>
          <w:sz w:val="20"/>
          <w:szCs w:val="20"/>
        </w:rPr>
        <w:t xml:space="preserve"> predstavujú príjmové diskrečné opatrenia vlády v zmysle metodiky EK.</w:t>
      </w:r>
    </w:p>
    <w:p w14:paraId="32B28097" w14:textId="051B47A9" w:rsidR="002A0289" w:rsidRDefault="002A0289" w:rsidP="00AC0F39">
      <w:pPr>
        <w:spacing w:line="276" w:lineRule="auto"/>
        <w:jc w:val="both"/>
        <w:rPr>
          <w:rFonts w:ascii="Arial Narrow" w:hAnsi="Arial Narrow"/>
          <w:strike/>
        </w:rPr>
      </w:pPr>
    </w:p>
    <w:p w14:paraId="7D9351D1" w14:textId="17B6B684" w:rsidR="00C1228B" w:rsidRDefault="00C1228B">
      <w:pPr>
        <w:rPr>
          <w:rFonts w:ascii="Arial Narrow" w:hAnsi="Arial Narrow"/>
          <w:strike/>
        </w:rPr>
      </w:pPr>
      <w:r>
        <w:rPr>
          <w:rFonts w:ascii="Arial Narrow" w:hAnsi="Arial Narrow"/>
          <w:strike/>
        </w:rPr>
        <w:br w:type="page"/>
      </w:r>
    </w:p>
    <w:p w14:paraId="2DCB2EC6" w14:textId="60F32163" w:rsidR="00C1228B" w:rsidRPr="00D54F12" w:rsidRDefault="00C1228B" w:rsidP="00C1228B">
      <w:pPr>
        <w:widowControl w:val="0"/>
        <w:spacing w:before="40" w:after="40"/>
        <w:jc w:val="both"/>
        <w:rPr>
          <w:color w:val="2C9ADC"/>
          <w:lang w:eastAsia="sk-SK"/>
        </w:rPr>
      </w:pPr>
      <w:r w:rsidRPr="00D54F12">
        <w:rPr>
          <w:rFonts w:ascii="Arial Narrow" w:hAnsi="Arial Narrow"/>
          <w:b/>
          <w:bCs/>
          <w:color w:val="2C9ADC"/>
          <w:sz w:val="24"/>
          <w:szCs w:val="24"/>
        </w:rPr>
        <w:lastRenderedPageBreak/>
        <w:t>Príloha 4 – Povinné tabuľky</w:t>
      </w:r>
    </w:p>
    <w:p w14:paraId="15CBE035" w14:textId="77777777" w:rsidR="00C1228B" w:rsidRPr="00D54F12" w:rsidRDefault="00C1228B" w:rsidP="00C1228B">
      <w:pPr>
        <w:widowControl w:val="0"/>
        <w:spacing w:before="40" w:after="40"/>
        <w:jc w:val="both"/>
        <w:rPr>
          <w:rFonts w:ascii="Arial Narrow" w:eastAsia="NeueHaasGroteskText W02" w:hAnsi="Arial Narrow" w:cs="Arial"/>
          <w:b/>
          <w:bCs/>
          <w:color w:val="2C9ADC"/>
          <w:sz w:val="20"/>
          <w:szCs w:val="20"/>
          <w:u w:color="2C9ADC"/>
        </w:rPr>
      </w:pPr>
    </w:p>
    <w:tbl>
      <w:tblPr>
        <w:tblW w:w="9214" w:type="dxa"/>
        <w:tblCellMar>
          <w:left w:w="70" w:type="dxa"/>
          <w:right w:w="70" w:type="dxa"/>
        </w:tblCellMar>
        <w:tblLook w:val="04A0" w:firstRow="1" w:lastRow="0" w:firstColumn="1" w:lastColumn="0" w:noHBand="0" w:noVBand="1"/>
      </w:tblPr>
      <w:tblGrid>
        <w:gridCol w:w="281"/>
        <w:gridCol w:w="1105"/>
        <w:gridCol w:w="872"/>
        <w:gridCol w:w="870"/>
        <w:gridCol w:w="867"/>
        <w:gridCol w:w="891"/>
        <w:gridCol w:w="891"/>
        <w:gridCol w:w="891"/>
        <w:gridCol w:w="891"/>
        <w:gridCol w:w="891"/>
        <w:gridCol w:w="764"/>
      </w:tblGrid>
      <w:tr w:rsidR="00D54F12" w:rsidRPr="00D54F12" w14:paraId="58EBC5C0" w14:textId="77777777" w:rsidTr="00616580">
        <w:trPr>
          <w:trHeight w:val="300"/>
        </w:trPr>
        <w:tc>
          <w:tcPr>
            <w:tcW w:w="3995" w:type="dxa"/>
            <w:gridSpan w:val="5"/>
            <w:tcBorders>
              <w:top w:val="nil"/>
              <w:left w:val="nil"/>
              <w:bottom w:val="nil"/>
              <w:right w:val="nil"/>
            </w:tcBorders>
            <w:shd w:val="clear" w:color="auto" w:fill="auto"/>
            <w:vAlign w:val="center"/>
          </w:tcPr>
          <w:p w14:paraId="49651451" w14:textId="77777777" w:rsidR="00C1228B" w:rsidRPr="00A22C01" w:rsidRDefault="00C1228B" w:rsidP="00616580">
            <w:pPr>
              <w:spacing w:after="0" w:line="240" w:lineRule="auto"/>
              <w:rPr>
                <w:rFonts w:ascii="Arial Narrow" w:eastAsia="Times New Roman" w:hAnsi="Arial Narrow" w:cs="Calibri"/>
                <w:b/>
                <w:bCs/>
                <w:color w:val="2C9ADC"/>
                <w:sz w:val="18"/>
                <w:szCs w:val="18"/>
                <w:lang w:eastAsia="sk-SK"/>
              </w:rPr>
            </w:pPr>
            <w:r w:rsidRPr="00D54F12">
              <w:rPr>
                <w:rFonts w:ascii="Arial Narrow" w:eastAsia="Times New Roman" w:hAnsi="Arial Narrow" w:cs="Calibri"/>
                <w:b/>
                <w:bCs/>
                <w:color w:val="2C9ADC"/>
                <w:sz w:val="18"/>
                <w:szCs w:val="18"/>
                <w:lang w:eastAsia="sk-SK"/>
              </w:rPr>
              <w:t>TABUĽKA 1a – Fiškálny záväzok</w:t>
            </w:r>
          </w:p>
        </w:tc>
        <w:tc>
          <w:tcPr>
            <w:tcW w:w="891" w:type="dxa"/>
            <w:tcBorders>
              <w:top w:val="nil"/>
              <w:left w:val="nil"/>
              <w:bottom w:val="nil"/>
              <w:right w:val="nil"/>
            </w:tcBorders>
            <w:shd w:val="clear" w:color="auto" w:fill="auto"/>
            <w:vAlign w:val="center"/>
          </w:tcPr>
          <w:p w14:paraId="45C930B5" w14:textId="77777777" w:rsidR="00C1228B" w:rsidRPr="00A22C01" w:rsidRDefault="00C1228B" w:rsidP="00616580">
            <w:pPr>
              <w:spacing w:after="0" w:line="240" w:lineRule="auto"/>
              <w:jc w:val="center"/>
              <w:rPr>
                <w:rFonts w:ascii="Arial Narrow" w:eastAsia="Times New Roman" w:hAnsi="Arial Narrow" w:cs="Calibri"/>
                <w:b/>
                <w:bCs/>
                <w:color w:val="2C9ADC"/>
                <w:sz w:val="18"/>
                <w:szCs w:val="18"/>
                <w:lang w:eastAsia="sk-SK"/>
              </w:rPr>
            </w:pPr>
          </w:p>
        </w:tc>
        <w:tc>
          <w:tcPr>
            <w:tcW w:w="891" w:type="dxa"/>
            <w:tcBorders>
              <w:top w:val="nil"/>
              <w:left w:val="nil"/>
              <w:bottom w:val="nil"/>
              <w:right w:val="nil"/>
            </w:tcBorders>
            <w:shd w:val="clear" w:color="auto" w:fill="auto"/>
            <w:vAlign w:val="center"/>
          </w:tcPr>
          <w:p w14:paraId="525E5BF5" w14:textId="77777777" w:rsidR="00C1228B" w:rsidRPr="00A22C01" w:rsidRDefault="00C1228B" w:rsidP="00616580">
            <w:pPr>
              <w:spacing w:after="0" w:line="240" w:lineRule="auto"/>
              <w:jc w:val="center"/>
              <w:rPr>
                <w:rFonts w:ascii="Arial Narrow" w:eastAsia="Times New Roman" w:hAnsi="Arial Narrow" w:cs="Calibri"/>
                <w:b/>
                <w:bCs/>
                <w:color w:val="2C9ADC"/>
                <w:sz w:val="18"/>
                <w:szCs w:val="18"/>
                <w:lang w:eastAsia="sk-SK"/>
              </w:rPr>
            </w:pPr>
          </w:p>
        </w:tc>
        <w:tc>
          <w:tcPr>
            <w:tcW w:w="891" w:type="dxa"/>
            <w:tcBorders>
              <w:top w:val="nil"/>
              <w:left w:val="nil"/>
              <w:bottom w:val="nil"/>
              <w:right w:val="nil"/>
            </w:tcBorders>
            <w:shd w:val="clear" w:color="auto" w:fill="auto"/>
            <w:vAlign w:val="center"/>
          </w:tcPr>
          <w:p w14:paraId="08FA956E" w14:textId="77777777" w:rsidR="00C1228B" w:rsidRPr="00A22C01" w:rsidRDefault="00C1228B" w:rsidP="00616580">
            <w:pPr>
              <w:spacing w:after="0" w:line="240" w:lineRule="auto"/>
              <w:jc w:val="center"/>
              <w:rPr>
                <w:rFonts w:ascii="Arial Narrow" w:eastAsia="Times New Roman" w:hAnsi="Arial Narrow" w:cs="Calibri"/>
                <w:b/>
                <w:bCs/>
                <w:color w:val="2C9ADC"/>
                <w:sz w:val="18"/>
                <w:szCs w:val="18"/>
                <w:lang w:eastAsia="sk-SK"/>
              </w:rPr>
            </w:pPr>
          </w:p>
        </w:tc>
        <w:tc>
          <w:tcPr>
            <w:tcW w:w="891" w:type="dxa"/>
            <w:tcBorders>
              <w:top w:val="nil"/>
              <w:left w:val="nil"/>
              <w:bottom w:val="nil"/>
              <w:right w:val="nil"/>
            </w:tcBorders>
            <w:shd w:val="clear" w:color="auto" w:fill="auto"/>
            <w:vAlign w:val="center"/>
          </w:tcPr>
          <w:p w14:paraId="1043651F" w14:textId="77777777" w:rsidR="00C1228B" w:rsidRPr="00A22C01" w:rsidRDefault="00C1228B" w:rsidP="00616580">
            <w:pPr>
              <w:spacing w:after="0" w:line="240" w:lineRule="auto"/>
              <w:jc w:val="center"/>
              <w:rPr>
                <w:rFonts w:ascii="Arial Narrow" w:eastAsia="Times New Roman" w:hAnsi="Arial Narrow" w:cs="Calibri"/>
                <w:b/>
                <w:bCs/>
                <w:color w:val="2C9ADC"/>
                <w:sz w:val="18"/>
                <w:szCs w:val="18"/>
                <w:lang w:eastAsia="sk-SK"/>
              </w:rPr>
            </w:pPr>
          </w:p>
        </w:tc>
        <w:tc>
          <w:tcPr>
            <w:tcW w:w="891" w:type="dxa"/>
            <w:tcBorders>
              <w:top w:val="nil"/>
              <w:left w:val="nil"/>
              <w:bottom w:val="nil"/>
              <w:right w:val="nil"/>
            </w:tcBorders>
            <w:shd w:val="clear" w:color="auto" w:fill="auto"/>
            <w:vAlign w:val="center"/>
          </w:tcPr>
          <w:p w14:paraId="048B06AB" w14:textId="77777777" w:rsidR="00C1228B" w:rsidRPr="00A22C01" w:rsidRDefault="00C1228B" w:rsidP="00616580">
            <w:pPr>
              <w:spacing w:after="0" w:line="240" w:lineRule="auto"/>
              <w:jc w:val="center"/>
              <w:rPr>
                <w:rFonts w:ascii="Arial Narrow" w:eastAsia="Times New Roman" w:hAnsi="Arial Narrow" w:cs="Calibri"/>
                <w:b/>
                <w:bCs/>
                <w:color w:val="2C9ADC"/>
                <w:sz w:val="18"/>
                <w:szCs w:val="18"/>
                <w:lang w:eastAsia="sk-SK"/>
              </w:rPr>
            </w:pPr>
          </w:p>
        </w:tc>
        <w:tc>
          <w:tcPr>
            <w:tcW w:w="764" w:type="dxa"/>
            <w:tcBorders>
              <w:top w:val="nil"/>
              <w:left w:val="nil"/>
              <w:bottom w:val="nil"/>
              <w:right w:val="nil"/>
            </w:tcBorders>
            <w:shd w:val="clear" w:color="auto" w:fill="auto"/>
            <w:vAlign w:val="center"/>
          </w:tcPr>
          <w:p w14:paraId="648B8EA2" w14:textId="77777777" w:rsidR="00C1228B" w:rsidRPr="00A22C01" w:rsidRDefault="00C1228B" w:rsidP="00616580">
            <w:pPr>
              <w:spacing w:after="0" w:line="240" w:lineRule="auto"/>
              <w:jc w:val="center"/>
              <w:rPr>
                <w:rFonts w:ascii="Arial Narrow" w:eastAsia="Times New Roman" w:hAnsi="Arial Narrow" w:cs="Calibri"/>
                <w:b/>
                <w:bCs/>
                <w:color w:val="2C9ADC"/>
                <w:sz w:val="18"/>
                <w:szCs w:val="18"/>
                <w:lang w:eastAsia="sk-SK"/>
              </w:rPr>
            </w:pPr>
          </w:p>
        </w:tc>
      </w:tr>
      <w:tr w:rsidR="00C1228B" w:rsidRPr="00B3111E" w14:paraId="4FE76F2E" w14:textId="77777777" w:rsidTr="00616580">
        <w:trPr>
          <w:trHeight w:val="300"/>
        </w:trPr>
        <w:tc>
          <w:tcPr>
            <w:tcW w:w="3995" w:type="dxa"/>
            <w:gridSpan w:val="5"/>
            <w:tcBorders>
              <w:top w:val="nil"/>
              <w:left w:val="nil"/>
              <w:bottom w:val="nil"/>
              <w:right w:val="nil"/>
            </w:tcBorders>
            <w:shd w:val="clear" w:color="auto" w:fill="auto"/>
            <w:vAlign w:val="center"/>
            <w:hideMark/>
          </w:tcPr>
          <w:p w14:paraId="680E3BFA" w14:textId="77777777" w:rsidR="00C1228B" w:rsidRPr="001727BF" w:rsidRDefault="00C1228B" w:rsidP="00616580">
            <w:pPr>
              <w:spacing w:after="0" w:line="240" w:lineRule="auto"/>
              <w:rPr>
                <w:rFonts w:ascii="Arial Narrow" w:eastAsia="Times New Roman" w:hAnsi="Arial Narrow" w:cs="Calibri"/>
                <w:b/>
                <w:bCs/>
                <w:sz w:val="18"/>
                <w:szCs w:val="18"/>
                <w:lang w:eastAsia="sk-SK"/>
              </w:rPr>
            </w:pPr>
          </w:p>
        </w:tc>
        <w:tc>
          <w:tcPr>
            <w:tcW w:w="891" w:type="dxa"/>
            <w:tcBorders>
              <w:top w:val="nil"/>
              <w:left w:val="nil"/>
              <w:bottom w:val="nil"/>
              <w:right w:val="nil"/>
            </w:tcBorders>
            <w:shd w:val="clear" w:color="auto" w:fill="auto"/>
            <w:vAlign w:val="center"/>
            <w:hideMark/>
          </w:tcPr>
          <w:p w14:paraId="051FCEE0"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2023</w:t>
            </w:r>
          </w:p>
        </w:tc>
        <w:tc>
          <w:tcPr>
            <w:tcW w:w="891" w:type="dxa"/>
            <w:tcBorders>
              <w:top w:val="nil"/>
              <w:left w:val="nil"/>
              <w:bottom w:val="nil"/>
              <w:right w:val="nil"/>
            </w:tcBorders>
            <w:shd w:val="clear" w:color="auto" w:fill="auto"/>
            <w:vAlign w:val="center"/>
            <w:hideMark/>
          </w:tcPr>
          <w:p w14:paraId="30500DD1"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2024</w:t>
            </w:r>
          </w:p>
        </w:tc>
        <w:tc>
          <w:tcPr>
            <w:tcW w:w="891" w:type="dxa"/>
            <w:tcBorders>
              <w:top w:val="nil"/>
              <w:left w:val="nil"/>
              <w:bottom w:val="nil"/>
              <w:right w:val="nil"/>
            </w:tcBorders>
            <w:shd w:val="clear" w:color="auto" w:fill="auto"/>
            <w:vAlign w:val="center"/>
            <w:hideMark/>
          </w:tcPr>
          <w:p w14:paraId="0A2EC560"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2025</w:t>
            </w:r>
          </w:p>
        </w:tc>
        <w:tc>
          <w:tcPr>
            <w:tcW w:w="891" w:type="dxa"/>
            <w:tcBorders>
              <w:top w:val="nil"/>
              <w:left w:val="nil"/>
              <w:bottom w:val="nil"/>
              <w:right w:val="nil"/>
            </w:tcBorders>
            <w:shd w:val="clear" w:color="auto" w:fill="auto"/>
            <w:vAlign w:val="center"/>
            <w:hideMark/>
          </w:tcPr>
          <w:p w14:paraId="3F569B10"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2026</w:t>
            </w:r>
          </w:p>
        </w:tc>
        <w:tc>
          <w:tcPr>
            <w:tcW w:w="891" w:type="dxa"/>
            <w:tcBorders>
              <w:top w:val="nil"/>
              <w:left w:val="nil"/>
              <w:bottom w:val="nil"/>
              <w:right w:val="nil"/>
            </w:tcBorders>
            <w:shd w:val="clear" w:color="auto" w:fill="auto"/>
            <w:vAlign w:val="center"/>
            <w:hideMark/>
          </w:tcPr>
          <w:p w14:paraId="78878E93"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2027</w:t>
            </w:r>
          </w:p>
        </w:tc>
        <w:tc>
          <w:tcPr>
            <w:tcW w:w="764" w:type="dxa"/>
            <w:tcBorders>
              <w:top w:val="nil"/>
              <w:left w:val="nil"/>
              <w:bottom w:val="nil"/>
              <w:right w:val="nil"/>
            </w:tcBorders>
            <w:shd w:val="clear" w:color="auto" w:fill="auto"/>
            <w:vAlign w:val="center"/>
            <w:hideMark/>
          </w:tcPr>
          <w:p w14:paraId="03758E79"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2028</w:t>
            </w:r>
          </w:p>
        </w:tc>
      </w:tr>
      <w:tr w:rsidR="00C1228B" w:rsidRPr="001727BF" w14:paraId="6D28D639" w14:textId="77777777" w:rsidTr="00616580">
        <w:trPr>
          <w:trHeight w:val="315"/>
        </w:trPr>
        <w:tc>
          <w:tcPr>
            <w:tcW w:w="1386" w:type="dxa"/>
            <w:gridSpan w:val="2"/>
            <w:tcBorders>
              <w:top w:val="nil"/>
              <w:left w:val="nil"/>
              <w:bottom w:val="single" w:sz="8" w:space="0" w:color="auto"/>
              <w:right w:val="nil"/>
            </w:tcBorders>
            <w:shd w:val="clear" w:color="auto" w:fill="auto"/>
            <w:vAlign w:val="center"/>
            <w:hideMark/>
          </w:tcPr>
          <w:p w14:paraId="7CA10C87"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 </w:t>
            </w:r>
          </w:p>
        </w:tc>
        <w:tc>
          <w:tcPr>
            <w:tcW w:w="872" w:type="dxa"/>
            <w:tcBorders>
              <w:top w:val="nil"/>
              <w:left w:val="nil"/>
              <w:bottom w:val="single" w:sz="8" w:space="0" w:color="auto"/>
              <w:right w:val="nil"/>
            </w:tcBorders>
            <w:shd w:val="clear" w:color="auto" w:fill="auto"/>
            <w:vAlign w:val="center"/>
            <w:hideMark/>
          </w:tcPr>
          <w:p w14:paraId="496A888F" w14:textId="77777777" w:rsidR="00C1228B" w:rsidRPr="001727BF" w:rsidRDefault="00C1228B" w:rsidP="00616580">
            <w:pPr>
              <w:spacing w:after="0" w:line="240" w:lineRule="auto"/>
              <w:jc w:val="center"/>
              <w:rPr>
                <w:rFonts w:ascii="Arial Narrow" w:eastAsia="Times New Roman" w:hAnsi="Arial Narrow" w:cs="Calibri"/>
                <w:b/>
                <w:bCs/>
                <w:i/>
                <w:iCs/>
                <w:sz w:val="18"/>
                <w:szCs w:val="18"/>
                <w:lang w:eastAsia="sk-SK"/>
              </w:rPr>
            </w:pPr>
            <w:r w:rsidRPr="001727BF">
              <w:rPr>
                <w:rFonts w:ascii="Arial Narrow" w:eastAsia="Times New Roman" w:hAnsi="Arial Narrow" w:cs="Calibri"/>
                <w:b/>
                <w:bCs/>
                <w:i/>
                <w:iCs/>
                <w:sz w:val="18"/>
                <w:szCs w:val="18"/>
                <w:lang w:eastAsia="sk-SK"/>
              </w:rPr>
              <w:t> </w:t>
            </w:r>
          </w:p>
        </w:tc>
        <w:tc>
          <w:tcPr>
            <w:tcW w:w="870" w:type="dxa"/>
            <w:tcBorders>
              <w:top w:val="nil"/>
              <w:left w:val="nil"/>
              <w:bottom w:val="single" w:sz="8" w:space="0" w:color="auto"/>
              <w:right w:val="nil"/>
            </w:tcBorders>
            <w:shd w:val="clear" w:color="auto" w:fill="auto"/>
            <w:vAlign w:val="center"/>
            <w:hideMark/>
          </w:tcPr>
          <w:p w14:paraId="1705B6FC" w14:textId="77777777" w:rsidR="00C1228B" w:rsidRPr="001727BF" w:rsidRDefault="00C1228B" w:rsidP="00616580">
            <w:pPr>
              <w:spacing w:after="0" w:line="240" w:lineRule="auto"/>
              <w:jc w:val="center"/>
              <w:rPr>
                <w:rFonts w:ascii="Arial Narrow" w:eastAsia="Times New Roman" w:hAnsi="Arial Narrow" w:cs="Calibri"/>
                <w:b/>
                <w:bCs/>
                <w:i/>
                <w:iCs/>
                <w:sz w:val="18"/>
                <w:szCs w:val="18"/>
                <w:lang w:eastAsia="sk-SK"/>
              </w:rPr>
            </w:pPr>
            <w:r w:rsidRPr="001727BF">
              <w:rPr>
                <w:rFonts w:ascii="Arial Narrow" w:eastAsia="Times New Roman" w:hAnsi="Arial Narrow" w:cs="Calibri"/>
                <w:b/>
                <w:bCs/>
                <w:i/>
                <w:iCs/>
                <w:sz w:val="18"/>
                <w:szCs w:val="18"/>
                <w:lang w:eastAsia="sk-SK"/>
              </w:rPr>
              <w:t> </w:t>
            </w:r>
          </w:p>
        </w:tc>
        <w:tc>
          <w:tcPr>
            <w:tcW w:w="867" w:type="dxa"/>
            <w:tcBorders>
              <w:top w:val="nil"/>
              <w:left w:val="nil"/>
              <w:bottom w:val="single" w:sz="8" w:space="0" w:color="auto"/>
              <w:right w:val="nil"/>
            </w:tcBorders>
            <w:shd w:val="clear" w:color="auto" w:fill="auto"/>
            <w:vAlign w:val="center"/>
            <w:hideMark/>
          </w:tcPr>
          <w:p w14:paraId="51499DA3" w14:textId="77777777" w:rsidR="00C1228B" w:rsidRPr="001727BF" w:rsidRDefault="00C1228B" w:rsidP="00616580">
            <w:pPr>
              <w:spacing w:after="0" w:line="240" w:lineRule="auto"/>
              <w:jc w:val="center"/>
              <w:rPr>
                <w:rFonts w:ascii="Arial Narrow" w:eastAsia="Times New Roman" w:hAnsi="Arial Narrow" w:cs="Calibri"/>
                <w:b/>
                <w:bCs/>
                <w:i/>
                <w:iCs/>
                <w:sz w:val="18"/>
                <w:szCs w:val="18"/>
                <w:lang w:eastAsia="sk-SK"/>
              </w:rPr>
            </w:pPr>
            <w:r w:rsidRPr="001727BF">
              <w:rPr>
                <w:rFonts w:ascii="Arial Narrow" w:eastAsia="Times New Roman" w:hAnsi="Arial Narrow" w:cs="Calibri"/>
                <w:b/>
                <w:bCs/>
                <w:i/>
                <w:iCs/>
                <w:sz w:val="18"/>
                <w:szCs w:val="18"/>
                <w:lang w:eastAsia="sk-SK"/>
              </w:rPr>
              <w:t> </w:t>
            </w:r>
          </w:p>
        </w:tc>
        <w:tc>
          <w:tcPr>
            <w:tcW w:w="891" w:type="dxa"/>
            <w:tcBorders>
              <w:top w:val="nil"/>
              <w:left w:val="nil"/>
              <w:bottom w:val="single" w:sz="8" w:space="0" w:color="auto"/>
              <w:right w:val="nil"/>
            </w:tcBorders>
            <w:shd w:val="clear" w:color="auto" w:fill="auto"/>
            <w:vAlign w:val="center"/>
            <w:hideMark/>
          </w:tcPr>
          <w:p w14:paraId="103169FB"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rast v %</w:t>
            </w:r>
          </w:p>
        </w:tc>
        <w:tc>
          <w:tcPr>
            <w:tcW w:w="891" w:type="dxa"/>
            <w:tcBorders>
              <w:top w:val="nil"/>
              <w:left w:val="nil"/>
              <w:bottom w:val="single" w:sz="8" w:space="0" w:color="auto"/>
              <w:right w:val="nil"/>
            </w:tcBorders>
            <w:shd w:val="clear" w:color="auto" w:fill="auto"/>
            <w:vAlign w:val="center"/>
            <w:hideMark/>
          </w:tcPr>
          <w:p w14:paraId="52BB8E03"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rast v %</w:t>
            </w:r>
          </w:p>
        </w:tc>
        <w:tc>
          <w:tcPr>
            <w:tcW w:w="891" w:type="dxa"/>
            <w:tcBorders>
              <w:top w:val="nil"/>
              <w:left w:val="nil"/>
              <w:bottom w:val="single" w:sz="8" w:space="0" w:color="auto"/>
              <w:right w:val="nil"/>
            </w:tcBorders>
            <w:shd w:val="clear" w:color="auto" w:fill="auto"/>
            <w:vAlign w:val="center"/>
            <w:hideMark/>
          </w:tcPr>
          <w:p w14:paraId="0043DC0A"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rast v %</w:t>
            </w:r>
          </w:p>
        </w:tc>
        <w:tc>
          <w:tcPr>
            <w:tcW w:w="891" w:type="dxa"/>
            <w:tcBorders>
              <w:top w:val="nil"/>
              <w:left w:val="nil"/>
              <w:bottom w:val="single" w:sz="8" w:space="0" w:color="auto"/>
              <w:right w:val="nil"/>
            </w:tcBorders>
            <w:shd w:val="clear" w:color="auto" w:fill="auto"/>
            <w:vAlign w:val="center"/>
            <w:hideMark/>
          </w:tcPr>
          <w:p w14:paraId="465D2208"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rast v %</w:t>
            </w:r>
          </w:p>
        </w:tc>
        <w:tc>
          <w:tcPr>
            <w:tcW w:w="891" w:type="dxa"/>
            <w:tcBorders>
              <w:top w:val="nil"/>
              <w:left w:val="nil"/>
              <w:bottom w:val="single" w:sz="8" w:space="0" w:color="auto"/>
              <w:right w:val="nil"/>
            </w:tcBorders>
            <w:shd w:val="clear" w:color="auto" w:fill="auto"/>
            <w:vAlign w:val="center"/>
            <w:hideMark/>
          </w:tcPr>
          <w:p w14:paraId="7DEF61CC"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rast v %</w:t>
            </w:r>
          </w:p>
        </w:tc>
        <w:tc>
          <w:tcPr>
            <w:tcW w:w="764" w:type="dxa"/>
            <w:tcBorders>
              <w:top w:val="nil"/>
              <w:left w:val="nil"/>
              <w:bottom w:val="single" w:sz="8" w:space="0" w:color="auto"/>
              <w:right w:val="nil"/>
            </w:tcBorders>
            <w:shd w:val="clear" w:color="auto" w:fill="auto"/>
            <w:vAlign w:val="center"/>
            <w:hideMark/>
          </w:tcPr>
          <w:p w14:paraId="6387D5FA"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rast v %</w:t>
            </w:r>
          </w:p>
        </w:tc>
      </w:tr>
      <w:tr w:rsidR="002E18EF" w:rsidRPr="00B3111E" w14:paraId="1B0BAA54" w14:textId="77777777" w:rsidTr="00797DC1">
        <w:trPr>
          <w:trHeight w:val="300"/>
        </w:trPr>
        <w:tc>
          <w:tcPr>
            <w:tcW w:w="281" w:type="dxa"/>
            <w:tcBorders>
              <w:top w:val="nil"/>
              <w:left w:val="nil"/>
              <w:bottom w:val="nil"/>
              <w:right w:val="nil"/>
            </w:tcBorders>
            <w:shd w:val="clear" w:color="auto" w:fill="DEEAF6" w:themeFill="accent5" w:themeFillTint="33"/>
            <w:vAlign w:val="center"/>
            <w:hideMark/>
          </w:tcPr>
          <w:p w14:paraId="52AF32F4" w14:textId="77777777" w:rsidR="002E18EF" w:rsidRPr="001727BF" w:rsidRDefault="002E18EF" w:rsidP="002E18EF">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1</w:t>
            </w:r>
          </w:p>
        </w:tc>
        <w:tc>
          <w:tcPr>
            <w:tcW w:w="3714" w:type="dxa"/>
            <w:gridSpan w:val="4"/>
            <w:tcBorders>
              <w:top w:val="single" w:sz="8" w:space="0" w:color="auto"/>
              <w:left w:val="nil"/>
              <w:bottom w:val="nil"/>
              <w:right w:val="nil"/>
            </w:tcBorders>
            <w:shd w:val="clear" w:color="auto" w:fill="DEEAF6" w:themeFill="accent5" w:themeFillTint="33"/>
            <w:vAlign w:val="center"/>
            <w:hideMark/>
          </w:tcPr>
          <w:p w14:paraId="2642AA5C" w14:textId="77777777" w:rsidR="002E18EF" w:rsidRPr="001727BF" w:rsidRDefault="002E18EF" w:rsidP="002E18EF">
            <w:pPr>
              <w:spacing w:after="0" w:line="240" w:lineRule="auto"/>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Čisté národne financované primárne výdavky (NFPE)</w:t>
            </w:r>
          </w:p>
        </w:tc>
        <w:tc>
          <w:tcPr>
            <w:tcW w:w="891" w:type="dxa"/>
            <w:tcBorders>
              <w:top w:val="nil"/>
              <w:left w:val="nil"/>
              <w:bottom w:val="nil"/>
              <w:right w:val="nil"/>
            </w:tcBorders>
            <w:shd w:val="clear" w:color="auto" w:fill="DEEAF6" w:themeFill="accent5" w:themeFillTint="33"/>
            <w:vAlign w:val="center"/>
            <w:hideMark/>
          </w:tcPr>
          <w:p w14:paraId="668E5E97" w14:textId="77777777" w:rsidR="002E18EF" w:rsidRPr="001727BF" w:rsidRDefault="002E18EF" w:rsidP="002E18EF">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 </w:t>
            </w:r>
          </w:p>
        </w:tc>
        <w:tc>
          <w:tcPr>
            <w:tcW w:w="891" w:type="dxa"/>
            <w:tcBorders>
              <w:top w:val="nil"/>
              <w:left w:val="nil"/>
              <w:bottom w:val="nil"/>
              <w:right w:val="nil"/>
            </w:tcBorders>
            <w:shd w:val="clear" w:color="auto" w:fill="DEEAF6" w:themeFill="accent5" w:themeFillTint="33"/>
            <w:vAlign w:val="center"/>
            <w:hideMark/>
          </w:tcPr>
          <w:p w14:paraId="7ECFB885" w14:textId="5E65E1ED"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b/>
                <w:bCs/>
                <w:color w:val="000000" w:themeColor="text1"/>
                <w:sz w:val="18"/>
                <w:szCs w:val="18"/>
              </w:rPr>
              <w:t>6,2</w:t>
            </w:r>
          </w:p>
        </w:tc>
        <w:tc>
          <w:tcPr>
            <w:tcW w:w="891" w:type="dxa"/>
            <w:tcBorders>
              <w:top w:val="nil"/>
              <w:left w:val="nil"/>
              <w:bottom w:val="nil"/>
              <w:right w:val="nil"/>
            </w:tcBorders>
            <w:shd w:val="clear" w:color="auto" w:fill="DEEAF6" w:themeFill="accent5" w:themeFillTint="33"/>
            <w:vAlign w:val="center"/>
            <w:hideMark/>
          </w:tcPr>
          <w:p w14:paraId="01E6B537" w14:textId="0599274E"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b/>
                <w:bCs/>
                <w:color w:val="000000" w:themeColor="text1"/>
                <w:sz w:val="18"/>
                <w:szCs w:val="18"/>
              </w:rPr>
              <w:t>3,</w:t>
            </w:r>
            <w:r>
              <w:rPr>
                <w:rFonts w:ascii="Arial Narrow" w:hAnsi="Arial Narrow" w:cs="Calibri"/>
                <w:b/>
                <w:bCs/>
                <w:color w:val="000000" w:themeColor="text1"/>
                <w:sz w:val="18"/>
                <w:szCs w:val="18"/>
              </w:rPr>
              <w:t>8</w:t>
            </w:r>
          </w:p>
        </w:tc>
        <w:tc>
          <w:tcPr>
            <w:tcW w:w="891" w:type="dxa"/>
            <w:tcBorders>
              <w:top w:val="nil"/>
              <w:left w:val="nil"/>
              <w:bottom w:val="nil"/>
              <w:right w:val="nil"/>
            </w:tcBorders>
            <w:shd w:val="clear" w:color="auto" w:fill="DEEAF6" w:themeFill="accent5" w:themeFillTint="33"/>
            <w:vAlign w:val="center"/>
            <w:hideMark/>
          </w:tcPr>
          <w:p w14:paraId="0AC2ABDE" w14:textId="5F858585"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b/>
                <w:bCs/>
                <w:color w:val="000000" w:themeColor="text1"/>
                <w:sz w:val="18"/>
                <w:szCs w:val="18"/>
              </w:rPr>
              <w:t>0,</w:t>
            </w:r>
            <w:r>
              <w:rPr>
                <w:rFonts w:ascii="Arial Narrow" w:hAnsi="Arial Narrow" w:cs="Calibri"/>
                <w:b/>
                <w:bCs/>
                <w:color w:val="000000" w:themeColor="text1"/>
                <w:sz w:val="18"/>
                <w:szCs w:val="18"/>
              </w:rPr>
              <w:t>9</w:t>
            </w:r>
          </w:p>
        </w:tc>
        <w:tc>
          <w:tcPr>
            <w:tcW w:w="891" w:type="dxa"/>
            <w:tcBorders>
              <w:top w:val="nil"/>
              <w:left w:val="nil"/>
              <w:bottom w:val="nil"/>
              <w:right w:val="nil"/>
            </w:tcBorders>
            <w:shd w:val="clear" w:color="auto" w:fill="DEEAF6" w:themeFill="accent5" w:themeFillTint="33"/>
            <w:vAlign w:val="center"/>
            <w:hideMark/>
          </w:tcPr>
          <w:p w14:paraId="69480F8E" w14:textId="20602346"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b/>
                <w:bCs/>
                <w:color w:val="000000" w:themeColor="text1"/>
                <w:sz w:val="18"/>
                <w:szCs w:val="18"/>
              </w:rPr>
              <w:t>1,6</w:t>
            </w:r>
          </w:p>
        </w:tc>
        <w:tc>
          <w:tcPr>
            <w:tcW w:w="764" w:type="dxa"/>
            <w:tcBorders>
              <w:top w:val="nil"/>
              <w:left w:val="nil"/>
              <w:bottom w:val="nil"/>
              <w:right w:val="nil"/>
            </w:tcBorders>
            <w:shd w:val="clear" w:color="auto" w:fill="DEEAF6" w:themeFill="accent5" w:themeFillTint="33"/>
            <w:vAlign w:val="center"/>
            <w:hideMark/>
          </w:tcPr>
          <w:p w14:paraId="0C89BC5B" w14:textId="2335F3BF"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b/>
                <w:bCs/>
                <w:color w:val="000000" w:themeColor="text1"/>
                <w:sz w:val="18"/>
                <w:szCs w:val="18"/>
              </w:rPr>
              <w:t>1,5</w:t>
            </w:r>
          </w:p>
        </w:tc>
      </w:tr>
      <w:tr w:rsidR="002E18EF" w:rsidRPr="00B3111E" w14:paraId="7EAD1771" w14:textId="77777777" w:rsidTr="00616580">
        <w:trPr>
          <w:trHeight w:val="300"/>
        </w:trPr>
        <w:tc>
          <w:tcPr>
            <w:tcW w:w="281" w:type="dxa"/>
            <w:tcBorders>
              <w:top w:val="nil"/>
              <w:left w:val="nil"/>
              <w:bottom w:val="nil"/>
              <w:right w:val="nil"/>
            </w:tcBorders>
            <w:shd w:val="clear" w:color="auto" w:fill="auto"/>
            <w:vAlign w:val="center"/>
            <w:hideMark/>
          </w:tcPr>
          <w:p w14:paraId="299225FE" w14:textId="77777777" w:rsidR="002E18EF" w:rsidRPr="001727BF" w:rsidRDefault="002E18EF" w:rsidP="002E18EF">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2</w:t>
            </w:r>
          </w:p>
        </w:tc>
        <w:tc>
          <w:tcPr>
            <w:tcW w:w="3714" w:type="dxa"/>
            <w:gridSpan w:val="4"/>
            <w:tcBorders>
              <w:top w:val="nil"/>
              <w:left w:val="nil"/>
              <w:bottom w:val="nil"/>
              <w:right w:val="nil"/>
            </w:tcBorders>
            <w:shd w:val="clear" w:color="auto" w:fill="auto"/>
            <w:vAlign w:val="center"/>
            <w:hideMark/>
          </w:tcPr>
          <w:p w14:paraId="66C85411" w14:textId="77777777" w:rsidR="002E18EF" w:rsidRPr="001727BF" w:rsidRDefault="002E18EF" w:rsidP="002E18EF">
            <w:pPr>
              <w:spacing w:after="0" w:line="240" w:lineRule="auto"/>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Kumulatívny rast NFPE</w:t>
            </w:r>
          </w:p>
        </w:tc>
        <w:tc>
          <w:tcPr>
            <w:tcW w:w="891" w:type="dxa"/>
            <w:tcBorders>
              <w:top w:val="nil"/>
              <w:left w:val="nil"/>
              <w:bottom w:val="nil"/>
              <w:right w:val="nil"/>
            </w:tcBorders>
            <w:shd w:val="clear" w:color="auto" w:fill="auto"/>
            <w:vAlign w:val="center"/>
            <w:hideMark/>
          </w:tcPr>
          <w:p w14:paraId="2E4E055D" w14:textId="77777777" w:rsidR="002E18EF" w:rsidRPr="001727BF" w:rsidRDefault="002E18EF" w:rsidP="002E18EF">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 </w:t>
            </w:r>
          </w:p>
        </w:tc>
        <w:tc>
          <w:tcPr>
            <w:tcW w:w="891" w:type="dxa"/>
            <w:tcBorders>
              <w:top w:val="nil"/>
              <w:left w:val="nil"/>
              <w:bottom w:val="nil"/>
              <w:right w:val="nil"/>
            </w:tcBorders>
            <w:shd w:val="clear" w:color="auto" w:fill="auto"/>
            <w:vAlign w:val="center"/>
            <w:hideMark/>
          </w:tcPr>
          <w:p w14:paraId="02309DED" w14:textId="67D4AC84"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6,2</w:t>
            </w:r>
          </w:p>
        </w:tc>
        <w:tc>
          <w:tcPr>
            <w:tcW w:w="891" w:type="dxa"/>
            <w:tcBorders>
              <w:top w:val="nil"/>
              <w:left w:val="nil"/>
              <w:bottom w:val="nil"/>
              <w:right w:val="nil"/>
            </w:tcBorders>
            <w:shd w:val="clear" w:color="auto" w:fill="auto"/>
            <w:vAlign w:val="center"/>
            <w:hideMark/>
          </w:tcPr>
          <w:p w14:paraId="1E27381C" w14:textId="64EB44C1"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10,3</w:t>
            </w:r>
          </w:p>
        </w:tc>
        <w:tc>
          <w:tcPr>
            <w:tcW w:w="891" w:type="dxa"/>
            <w:tcBorders>
              <w:top w:val="nil"/>
              <w:left w:val="nil"/>
              <w:bottom w:val="nil"/>
              <w:right w:val="nil"/>
            </w:tcBorders>
            <w:shd w:val="clear" w:color="auto" w:fill="auto"/>
            <w:vAlign w:val="center"/>
            <w:hideMark/>
          </w:tcPr>
          <w:p w14:paraId="61A047B0" w14:textId="30B9832B"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11,2</w:t>
            </w:r>
          </w:p>
        </w:tc>
        <w:tc>
          <w:tcPr>
            <w:tcW w:w="891" w:type="dxa"/>
            <w:tcBorders>
              <w:top w:val="nil"/>
              <w:left w:val="nil"/>
              <w:bottom w:val="nil"/>
              <w:right w:val="nil"/>
            </w:tcBorders>
            <w:shd w:val="clear" w:color="auto" w:fill="auto"/>
            <w:vAlign w:val="center"/>
            <w:hideMark/>
          </w:tcPr>
          <w:p w14:paraId="5CEB20A6" w14:textId="57E9E767"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13,0</w:t>
            </w:r>
          </w:p>
        </w:tc>
        <w:tc>
          <w:tcPr>
            <w:tcW w:w="764" w:type="dxa"/>
            <w:tcBorders>
              <w:top w:val="nil"/>
              <w:left w:val="nil"/>
              <w:bottom w:val="nil"/>
              <w:right w:val="nil"/>
            </w:tcBorders>
            <w:shd w:val="clear" w:color="auto" w:fill="auto"/>
            <w:vAlign w:val="center"/>
            <w:hideMark/>
          </w:tcPr>
          <w:p w14:paraId="435067DB" w14:textId="435F5201"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14,8</w:t>
            </w:r>
          </w:p>
        </w:tc>
      </w:tr>
    </w:tbl>
    <w:p w14:paraId="293C5400" w14:textId="3AD9C64F" w:rsidR="00B218F9" w:rsidRPr="00A22C01" w:rsidRDefault="00B218F9" w:rsidP="00A22C01">
      <w:pPr>
        <w:widowControl w:val="0"/>
        <w:spacing w:before="40" w:after="40"/>
        <w:jc w:val="right"/>
        <w:rPr>
          <w:rFonts w:ascii="Arial Narrow" w:eastAsia="NeueHaasGroteskText W02" w:hAnsi="Arial Narrow" w:cs="Arial"/>
          <w:i/>
          <w:iCs/>
          <w:color w:val="000000" w:themeColor="text1"/>
          <w:sz w:val="16"/>
          <w:szCs w:val="16"/>
          <w:u w:color="2C9ADC"/>
        </w:rPr>
      </w:pPr>
      <w:r w:rsidRPr="00A22C01">
        <w:rPr>
          <w:rFonts w:ascii="Arial Narrow" w:eastAsia="NeueHaasGroteskText W02" w:hAnsi="Arial Narrow" w:cs="Arial"/>
          <w:i/>
          <w:iCs/>
          <w:color w:val="000000" w:themeColor="text1"/>
          <w:sz w:val="16"/>
          <w:szCs w:val="16"/>
          <w:u w:color="2C9ADC"/>
        </w:rPr>
        <w:t>Zdroj: Európska komisia</w:t>
      </w:r>
    </w:p>
    <w:p w14:paraId="51383B6E" w14:textId="77777777" w:rsidR="00C1228B" w:rsidRPr="001727BF" w:rsidRDefault="00C1228B" w:rsidP="00A22C01">
      <w:pPr>
        <w:widowControl w:val="0"/>
        <w:spacing w:before="40" w:after="40"/>
        <w:jc w:val="right"/>
        <w:rPr>
          <w:rFonts w:ascii="Arial Narrow" w:eastAsia="NeueHaasGroteskText W02" w:hAnsi="Arial Narrow" w:cs="Arial"/>
          <w:b/>
          <w:bCs/>
          <w:color w:val="2C9ADC"/>
          <w:sz w:val="20"/>
          <w:szCs w:val="20"/>
          <w:u w:color="2C9ADC"/>
        </w:rPr>
      </w:pPr>
    </w:p>
    <w:tbl>
      <w:tblPr>
        <w:tblW w:w="9065" w:type="dxa"/>
        <w:tblCellMar>
          <w:left w:w="70" w:type="dxa"/>
          <w:right w:w="70" w:type="dxa"/>
        </w:tblCellMar>
        <w:tblLook w:val="04A0" w:firstRow="1" w:lastRow="0" w:firstColumn="1" w:lastColumn="0" w:noHBand="0" w:noVBand="1"/>
      </w:tblPr>
      <w:tblGrid>
        <w:gridCol w:w="517"/>
        <w:gridCol w:w="901"/>
        <w:gridCol w:w="904"/>
        <w:gridCol w:w="904"/>
        <w:gridCol w:w="775"/>
        <w:gridCol w:w="964"/>
        <w:gridCol w:w="834"/>
        <w:gridCol w:w="834"/>
        <w:gridCol w:w="834"/>
        <w:gridCol w:w="834"/>
        <w:gridCol w:w="764"/>
      </w:tblGrid>
      <w:tr w:rsidR="00C1228B" w:rsidRPr="00B3111E" w14:paraId="41A96DAA" w14:textId="77777777" w:rsidTr="00C1228B">
        <w:trPr>
          <w:trHeight w:val="333"/>
        </w:trPr>
        <w:tc>
          <w:tcPr>
            <w:tcW w:w="4001" w:type="dxa"/>
            <w:gridSpan w:val="5"/>
            <w:tcBorders>
              <w:top w:val="nil"/>
              <w:left w:val="nil"/>
              <w:bottom w:val="nil"/>
              <w:right w:val="nil"/>
            </w:tcBorders>
            <w:shd w:val="clear" w:color="auto" w:fill="auto"/>
            <w:noWrap/>
            <w:vAlign w:val="center"/>
          </w:tcPr>
          <w:p w14:paraId="754CBE6E" w14:textId="77777777" w:rsidR="00C1228B" w:rsidRPr="001727BF" w:rsidRDefault="00C1228B" w:rsidP="00616580">
            <w:pPr>
              <w:spacing w:after="0" w:line="240" w:lineRule="auto"/>
              <w:rPr>
                <w:rFonts w:ascii="Arial Narrow" w:eastAsia="Times New Roman" w:hAnsi="Arial Narrow" w:cs="Calibri"/>
                <w:b/>
                <w:bCs/>
                <w:sz w:val="18"/>
                <w:szCs w:val="18"/>
                <w:lang w:eastAsia="sk-SK"/>
              </w:rPr>
            </w:pPr>
            <w:r w:rsidRPr="00B3111E">
              <w:rPr>
                <w:rFonts w:ascii="Arial Narrow" w:eastAsia="Times New Roman" w:hAnsi="Arial Narrow" w:cs="Calibri"/>
                <w:b/>
                <w:bCs/>
                <w:color w:val="2C9ADC"/>
                <w:sz w:val="18"/>
                <w:szCs w:val="18"/>
                <w:lang w:eastAsia="sk-SK"/>
              </w:rPr>
              <w:t>TABUĽKA 1b – Hlavné ukazovatele</w:t>
            </w:r>
          </w:p>
        </w:tc>
        <w:tc>
          <w:tcPr>
            <w:tcW w:w="964" w:type="dxa"/>
            <w:tcBorders>
              <w:top w:val="nil"/>
              <w:left w:val="nil"/>
              <w:bottom w:val="nil"/>
              <w:right w:val="nil"/>
            </w:tcBorders>
            <w:shd w:val="clear" w:color="auto" w:fill="auto"/>
            <w:vAlign w:val="center"/>
          </w:tcPr>
          <w:p w14:paraId="1C326924"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p>
        </w:tc>
        <w:tc>
          <w:tcPr>
            <w:tcW w:w="834" w:type="dxa"/>
            <w:tcBorders>
              <w:top w:val="nil"/>
              <w:left w:val="nil"/>
              <w:bottom w:val="nil"/>
              <w:right w:val="nil"/>
            </w:tcBorders>
            <w:shd w:val="clear" w:color="auto" w:fill="auto"/>
            <w:vAlign w:val="center"/>
          </w:tcPr>
          <w:p w14:paraId="54F84233"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p>
        </w:tc>
        <w:tc>
          <w:tcPr>
            <w:tcW w:w="834" w:type="dxa"/>
            <w:tcBorders>
              <w:top w:val="nil"/>
              <w:left w:val="nil"/>
              <w:bottom w:val="nil"/>
              <w:right w:val="nil"/>
            </w:tcBorders>
            <w:shd w:val="clear" w:color="auto" w:fill="auto"/>
            <w:vAlign w:val="center"/>
          </w:tcPr>
          <w:p w14:paraId="53107A3D"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p>
        </w:tc>
        <w:tc>
          <w:tcPr>
            <w:tcW w:w="834" w:type="dxa"/>
            <w:tcBorders>
              <w:top w:val="nil"/>
              <w:left w:val="nil"/>
              <w:bottom w:val="nil"/>
              <w:right w:val="nil"/>
            </w:tcBorders>
            <w:shd w:val="clear" w:color="auto" w:fill="auto"/>
            <w:vAlign w:val="center"/>
          </w:tcPr>
          <w:p w14:paraId="3A2E5C96"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p>
        </w:tc>
        <w:tc>
          <w:tcPr>
            <w:tcW w:w="834" w:type="dxa"/>
            <w:tcBorders>
              <w:top w:val="nil"/>
              <w:left w:val="nil"/>
              <w:bottom w:val="nil"/>
              <w:right w:val="nil"/>
            </w:tcBorders>
            <w:shd w:val="clear" w:color="auto" w:fill="auto"/>
            <w:vAlign w:val="center"/>
          </w:tcPr>
          <w:p w14:paraId="1FA2CBF3"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p>
        </w:tc>
        <w:tc>
          <w:tcPr>
            <w:tcW w:w="764" w:type="dxa"/>
            <w:tcBorders>
              <w:top w:val="nil"/>
              <w:left w:val="nil"/>
              <w:bottom w:val="nil"/>
              <w:right w:val="nil"/>
            </w:tcBorders>
            <w:shd w:val="clear" w:color="auto" w:fill="auto"/>
            <w:vAlign w:val="center"/>
          </w:tcPr>
          <w:p w14:paraId="4376DA81"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p>
        </w:tc>
      </w:tr>
      <w:tr w:rsidR="00C1228B" w:rsidRPr="00B3111E" w14:paraId="0483C0A8" w14:textId="77777777" w:rsidTr="00C1228B">
        <w:trPr>
          <w:trHeight w:val="333"/>
        </w:trPr>
        <w:tc>
          <w:tcPr>
            <w:tcW w:w="4001" w:type="dxa"/>
            <w:gridSpan w:val="5"/>
            <w:tcBorders>
              <w:top w:val="nil"/>
              <w:left w:val="nil"/>
              <w:bottom w:val="nil"/>
              <w:right w:val="nil"/>
            </w:tcBorders>
            <w:shd w:val="clear" w:color="auto" w:fill="auto"/>
            <w:noWrap/>
            <w:vAlign w:val="center"/>
            <w:hideMark/>
          </w:tcPr>
          <w:p w14:paraId="1BE0F4B1" w14:textId="77777777" w:rsidR="00C1228B" w:rsidRPr="001727BF" w:rsidRDefault="00C1228B" w:rsidP="00616580">
            <w:pPr>
              <w:spacing w:after="0" w:line="240" w:lineRule="auto"/>
              <w:rPr>
                <w:rFonts w:ascii="Arial Narrow" w:eastAsia="Times New Roman" w:hAnsi="Arial Narrow" w:cs="Calibri"/>
                <w:b/>
                <w:bCs/>
                <w:sz w:val="18"/>
                <w:szCs w:val="18"/>
                <w:lang w:eastAsia="sk-SK"/>
              </w:rPr>
            </w:pPr>
          </w:p>
        </w:tc>
        <w:tc>
          <w:tcPr>
            <w:tcW w:w="964" w:type="dxa"/>
            <w:tcBorders>
              <w:top w:val="nil"/>
              <w:left w:val="nil"/>
              <w:bottom w:val="nil"/>
              <w:right w:val="nil"/>
            </w:tcBorders>
            <w:shd w:val="clear" w:color="auto" w:fill="auto"/>
            <w:vAlign w:val="center"/>
            <w:hideMark/>
          </w:tcPr>
          <w:p w14:paraId="2017ED4A"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2023</w:t>
            </w:r>
          </w:p>
        </w:tc>
        <w:tc>
          <w:tcPr>
            <w:tcW w:w="834" w:type="dxa"/>
            <w:tcBorders>
              <w:top w:val="nil"/>
              <w:left w:val="nil"/>
              <w:bottom w:val="nil"/>
              <w:right w:val="nil"/>
            </w:tcBorders>
            <w:shd w:val="clear" w:color="auto" w:fill="auto"/>
            <w:vAlign w:val="center"/>
            <w:hideMark/>
          </w:tcPr>
          <w:p w14:paraId="50F6F232"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2024</w:t>
            </w:r>
          </w:p>
        </w:tc>
        <w:tc>
          <w:tcPr>
            <w:tcW w:w="834" w:type="dxa"/>
            <w:tcBorders>
              <w:top w:val="nil"/>
              <w:left w:val="nil"/>
              <w:bottom w:val="nil"/>
              <w:right w:val="nil"/>
            </w:tcBorders>
            <w:shd w:val="clear" w:color="auto" w:fill="auto"/>
            <w:vAlign w:val="center"/>
            <w:hideMark/>
          </w:tcPr>
          <w:p w14:paraId="2CB6387D"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2025</w:t>
            </w:r>
          </w:p>
        </w:tc>
        <w:tc>
          <w:tcPr>
            <w:tcW w:w="834" w:type="dxa"/>
            <w:tcBorders>
              <w:top w:val="nil"/>
              <w:left w:val="nil"/>
              <w:bottom w:val="nil"/>
              <w:right w:val="nil"/>
            </w:tcBorders>
            <w:shd w:val="clear" w:color="auto" w:fill="auto"/>
            <w:vAlign w:val="center"/>
            <w:hideMark/>
          </w:tcPr>
          <w:p w14:paraId="65A1E275"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2026</w:t>
            </w:r>
          </w:p>
        </w:tc>
        <w:tc>
          <w:tcPr>
            <w:tcW w:w="834" w:type="dxa"/>
            <w:tcBorders>
              <w:top w:val="nil"/>
              <w:left w:val="nil"/>
              <w:bottom w:val="nil"/>
              <w:right w:val="nil"/>
            </w:tcBorders>
            <w:shd w:val="clear" w:color="auto" w:fill="auto"/>
            <w:vAlign w:val="center"/>
            <w:hideMark/>
          </w:tcPr>
          <w:p w14:paraId="0E79948C"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2027</w:t>
            </w:r>
          </w:p>
        </w:tc>
        <w:tc>
          <w:tcPr>
            <w:tcW w:w="764" w:type="dxa"/>
            <w:tcBorders>
              <w:top w:val="nil"/>
              <w:left w:val="nil"/>
              <w:bottom w:val="nil"/>
              <w:right w:val="nil"/>
            </w:tcBorders>
            <w:shd w:val="clear" w:color="auto" w:fill="auto"/>
            <w:vAlign w:val="center"/>
            <w:hideMark/>
          </w:tcPr>
          <w:p w14:paraId="694483DE"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2028</w:t>
            </w:r>
          </w:p>
        </w:tc>
      </w:tr>
      <w:tr w:rsidR="00C1228B" w:rsidRPr="001727BF" w14:paraId="15C51E99" w14:textId="77777777" w:rsidTr="002E18EF">
        <w:trPr>
          <w:trHeight w:val="349"/>
        </w:trPr>
        <w:tc>
          <w:tcPr>
            <w:tcW w:w="1418" w:type="dxa"/>
            <w:gridSpan w:val="2"/>
            <w:tcBorders>
              <w:top w:val="nil"/>
              <w:left w:val="nil"/>
              <w:bottom w:val="single" w:sz="8" w:space="0" w:color="auto"/>
              <w:right w:val="nil"/>
            </w:tcBorders>
            <w:shd w:val="clear" w:color="auto" w:fill="auto"/>
            <w:vAlign w:val="center"/>
            <w:hideMark/>
          </w:tcPr>
          <w:p w14:paraId="4D829AD0"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 </w:t>
            </w:r>
          </w:p>
        </w:tc>
        <w:tc>
          <w:tcPr>
            <w:tcW w:w="904" w:type="dxa"/>
            <w:tcBorders>
              <w:top w:val="nil"/>
              <w:left w:val="nil"/>
              <w:bottom w:val="single" w:sz="8" w:space="0" w:color="auto"/>
              <w:right w:val="nil"/>
            </w:tcBorders>
            <w:shd w:val="clear" w:color="auto" w:fill="auto"/>
            <w:vAlign w:val="center"/>
            <w:hideMark/>
          </w:tcPr>
          <w:p w14:paraId="2679F6BB" w14:textId="77777777" w:rsidR="00C1228B" w:rsidRPr="001727BF" w:rsidRDefault="00C1228B" w:rsidP="00616580">
            <w:pPr>
              <w:spacing w:after="0" w:line="240" w:lineRule="auto"/>
              <w:jc w:val="center"/>
              <w:rPr>
                <w:rFonts w:ascii="Arial Narrow" w:eastAsia="Times New Roman" w:hAnsi="Arial Narrow" w:cs="Calibri"/>
                <w:b/>
                <w:bCs/>
                <w:i/>
                <w:iCs/>
                <w:sz w:val="18"/>
                <w:szCs w:val="18"/>
                <w:lang w:eastAsia="sk-SK"/>
              </w:rPr>
            </w:pPr>
            <w:r w:rsidRPr="001727BF">
              <w:rPr>
                <w:rFonts w:ascii="Arial Narrow" w:eastAsia="Times New Roman" w:hAnsi="Arial Narrow" w:cs="Calibri"/>
                <w:b/>
                <w:bCs/>
                <w:i/>
                <w:iCs/>
                <w:sz w:val="18"/>
                <w:szCs w:val="18"/>
                <w:lang w:eastAsia="sk-SK"/>
              </w:rPr>
              <w:t> </w:t>
            </w:r>
          </w:p>
        </w:tc>
        <w:tc>
          <w:tcPr>
            <w:tcW w:w="904" w:type="dxa"/>
            <w:tcBorders>
              <w:top w:val="nil"/>
              <w:left w:val="nil"/>
              <w:bottom w:val="single" w:sz="8" w:space="0" w:color="auto"/>
              <w:right w:val="nil"/>
            </w:tcBorders>
            <w:shd w:val="clear" w:color="auto" w:fill="auto"/>
            <w:vAlign w:val="center"/>
            <w:hideMark/>
          </w:tcPr>
          <w:p w14:paraId="2FFB1D41" w14:textId="77777777" w:rsidR="00C1228B" w:rsidRPr="001727BF" w:rsidRDefault="00C1228B" w:rsidP="00616580">
            <w:pPr>
              <w:spacing w:after="0" w:line="240" w:lineRule="auto"/>
              <w:jc w:val="center"/>
              <w:rPr>
                <w:rFonts w:ascii="Arial Narrow" w:eastAsia="Times New Roman" w:hAnsi="Arial Narrow" w:cs="Calibri"/>
                <w:b/>
                <w:bCs/>
                <w:i/>
                <w:iCs/>
                <w:sz w:val="18"/>
                <w:szCs w:val="18"/>
                <w:lang w:eastAsia="sk-SK"/>
              </w:rPr>
            </w:pPr>
            <w:r w:rsidRPr="001727BF">
              <w:rPr>
                <w:rFonts w:ascii="Arial Narrow" w:eastAsia="Times New Roman" w:hAnsi="Arial Narrow" w:cs="Calibri"/>
                <w:b/>
                <w:bCs/>
                <w:i/>
                <w:iCs/>
                <w:sz w:val="18"/>
                <w:szCs w:val="18"/>
                <w:lang w:eastAsia="sk-SK"/>
              </w:rPr>
              <w:t> </w:t>
            </w:r>
          </w:p>
        </w:tc>
        <w:tc>
          <w:tcPr>
            <w:tcW w:w="775" w:type="dxa"/>
            <w:tcBorders>
              <w:top w:val="nil"/>
              <w:left w:val="nil"/>
              <w:bottom w:val="single" w:sz="8" w:space="0" w:color="auto"/>
              <w:right w:val="nil"/>
            </w:tcBorders>
            <w:shd w:val="clear" w:color="auto" w:fill="auto"/>
            <w:vAlign w:val="center"/>
            <w:hideMark/>
          </w:tcPr>
          <w:p w14:paraId="4F9E1EBA" w14:textId="77777777" w:rsidR="00C1228B" w:rsidRPr="001727BF" w:rsidRDefault="00C1228B" w:rsidP="00616580">
            <w:pPr>
              <w:spacing w:after="0" w:line="240" w:lineRule="auto"/>
              <w:jc w:val="center"/>
              <w:rPr>
                <w:rFonts w:ascii="Arial Narrow" w:eastAsia="Times New Roman" w:hAnsi="Arial Narrow" w:cs="Calibri"/>
                <w:b/>
                <w:bCs/>
                <w:i/>
                <w:iCs/>
                <w:sz w:val="18"/>
                <w:szCs w:val="18"/>
                <w:lang w:eastAsia="sk-SK"/>
              </w:rPr>
            </w:pPr>
            <w:r w:rsidRPr="001727BF">
              <w:rPr>
                <w:rFonts w:ascii="Arial Narrow" w:eastAsia="Times New Roman" w:hAnsi="Arial Narrow" w:cs="Calibri"/>
                <w:b/>
                <w:bCs/>
                <w:i/>
                <w:iCs/>
                <w:sz w:val="18"/>
                <w:szCs w:val="18"/>
                <w:lang w:eastAsia="sk-SK"/>
              </w:rPr>
              <w:t> </w:t>
            </w:r>
          </w:p>
        </w:tc>
        <w:tc>
          <w:tcPr>
            <w:tcW w:w="964" w:type="dxa"/>
            <w:tcBorders>
              <w:top w:val="nil"/>
              <w:left w:val="nil"/>
              <w:bottom w:val="single" w:sz="8" w:space="0" w:color="auto"/>
              <w:right w:val="nil"/>
            </w:tcBorders>
            <w:shd w:val="clear" w:color="auto" w:fill="auto"/>
            <w:vAlign w:val="center"/>
            <w:hideMark/>
          </w:tcPr>
          <w:p w14:paraId="000DB6CB"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rast v %</w:t>
            </w:r>
          </w:p>
        </w:tc>
        <w:tc>
          <w:tcPr>
            <w:tcW w:w="834" w:type="dxa"/>
            <w:tcBorders>
              <w:top w:val="nil"/>
              <w:left w:val="nil"/>
              <w:bottom w:val="single" w:sz="8" w:space="0" w:color="auto"/>
              <w:right w:val="nil"/>
            </w:tcBorders>
            <w:shd w:val="clear" w:color="auto" w:fill="auto"/>
            <w:vAlign w:val="center"/>
            <w:hideMark/>
          </w:tcPr>
          <w:p w14:paraId="292A2878"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rast v %</w:t>
            </w:r>
          </w:p>
        </w:tc>
        <w:tc>
          <w:tcPr>
            <w:tcW w:w="834" w:type="dxa"/>
            <w:tcBorders>
              <w:top w:val="nil"/>
              <w:left w:val="nil"/>
              <w:bottom w:val="single" w:sz="8" w:space="0" w:color="auto"/>
              <w:right w:val="nil"/>
            </w:tcBorders>
            <w:shd w:val="clear" w:color="auto" w:fill="auto"/>
            <w:vAlign w:val="center"/>
            <w:hideMark/>
          </w:tcPr>
          <w:p w14:paraId="515F4934"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rast v %</w:t>
            </w:r>
          </w:p>
        </w:tc>
        <w:tc>
          <w:tcPr>
            <w:tcW w:w="834" w:type="dxa"/>
            <w:tcBorders>
              <w:top w:val="nil"/>
              <w:left w:val="nil"/>
              <w:bottom w:val="single" w:sz="8" w:space="0" w:color="auto"/>
              <w:right w:val="nil"/>
            </w:tcBorders>
            <w:shd w:val="clear" w:color="auto" w:fill="auto"/>
            <w:vAlign w:val="center"/>
            <w:hideMark/>
          </w:tcPr>
          <w:p w14:paraId="4F882D8D"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rast v %</w:t>
            </w:r>
          </w:p>
        </w:tc>
        <w:tc>
          <w:tcPr>
            <w:tcW w:w="834" w:type="dxa"/>
            <w:tcBorders>
              <w:top w:val="nil"/>
              <w:left w:val="nil"/>
              <w:bottom w:val="single" w:sz="8" w:space="0" w:color="auto"/>
              <w:right w:val="nil"/>
            </w:tcBorders>
            <w:shd w:val="clear" w:color="auto" w:fill="auto"/>
            <w:vAlign w:val="center"/>
            <w:hideMark/>
          </w:tcPr>
          <w:p w14:paraId="36485603"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rast v %</w:t>
            </w:r>
          </w:p>
        </w:tc>
        <w:tc>
          <w:tcPr>
            <w:tcW w:w="764" w:type="dxa"/>
            <w:tcBorders>
              <w:top w:val="nil"/>
              <w:left w:val="nil"/>
              <w:bottom w:val="single" w:sz="8" w:space="0" w:color="auto"/>
              <w:right w:val="nil"/>
            </w:tcBorders>
            <w:shd w:val="clear" w:color="auto" w:fill="auto"/>
            <w:vAlign w:val="center"/>
            <w:hideMark/>
          </w:tcPr>
          <w:p w14:paraId="10187820"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rast v %</w:t>
            </w:r>
          </w:p>
        </w:tc>
      </w:tr>
      <w:tr w:rsidR="002E18EF" w:rsidRPr="00B3111E" w14:paraId="728BEBFC" w14:textId="77777777" w:rsidTr="00797DC1">
        <w:trPr>
          <w:trHeight w:val="333"/>
        </w:trPr>
        <w:tc>
          <w:tcPr>
            <w:tcW w:w="517" w:type="dxa"/>
            <w:tcBorders>
              <w:top w:val="nil"/>
              <w:left w:val="nil"/>
              <w:bottom w:val="nil"/>
              <w:right w:val="nil"/>
            </w:tcBorders>
            <w:shd w:val="clear" w:color="auto" w:fill="DEEAF6" w:themeFill="accent5" w:themeFillTint="33"/>
            <w:vAlign w:val="center"/>
            <w:hideMark/>
          </w:tcPr>
          <w:p w14:paraId="4633852F" w14:textId="77777777" w:rsidR="002E18EF" w:rsidRPr="001727BF" w:rsidRDefault="002E18EF" w:rsidP="002E18EF">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1</w:t>
            </w:r>
          </w:p>
        </w:tc>
        <w:tc>
          <w:tcPr>
            <w:tcW w:w="3484" w:type="dxa"/>
            <w:gridSpan w:val="4"/>
            <w:tcBorders>
              <w:top w:val="single" w:sz="8" w:space="0" w:color="auto"/>
              <w:left w:val="nil"/>
              <w:bottom w:val="nil"/>
              <w:right w:val="nil"/>
            </w:tcBorders>
            <w:shd w:val="clear" w:color="auto" w:fill="DEEAF6" w:themeFill="accent5" w:themeFillTint="33"/>
            <w:vAlign w:val="center"/>
            <w:hideMark/>
          </w:tcPr>
          <w:p w14:paraId="41893F5B" w14:textId="77777777" w:rsidR="002E18EF" w:rsidRPr="00195DA9" w:rsidRDefault="002E18EF" w:rsidP="002E18EF">
            <w:pPr>
              <w:spacing w:after="0" w:line="240" w:lineRule="auto"/>
              <w:rPr>
                <w:rFonts w:ascii="Arial Narrow" w:eastAsia="Times New Roman" w:hAnsi="Arial Narrow" w:cs="Calibri"/>
                <w:b/>
                <w:bCs/>
                <w:sz w:val="18"/>
                <w:szCs w:val="18"/>
                <w:lang w:eastAsia="sk-SK"/>
              </w:rPr>
            </w:pPr>
            <w:r w:rsidRPr="00195DA9">
              <w:rPr>
                <w:rFonts w:ascii="Arial Narrow" w:eastAsia="Times New Roman" w:hAnsi="Arial Narrow" w:cs="Calibri"/>
                <w:b/>
                <w:bCs/>
                <w:sz w:val="18"/>
                <w:szCs w:val="18"/>
                <w:lang w:eastAsia="sk-SK"/>
              </w:rPr>
              <w:t>Potenciálny HDP</w:t>
            </w:r>
          </w:p>
        </w:tc>
        <w:tc>
          <w:tcPr>
            <w:tcW w:w="964" w:type="dxa"/>
            <w:tcBorders>
              <w:top w:val="nil"/>
              <w:left w:val="nil"/>
              <w:bottom w:val="nil"/>
              <w:right w:val="nil"/>
            </w:tcBorders>
            <w:shd w:val="clear" w:color="auto" w:fill="DEEAF6" w:themeFill="accent5" w:themeFillTint="33"/>
            <w:vAlign w:val="center"/>
            <w:hideMark/>
          </w:tcPr>
          <w:p w14:paraId="49505362" w14:textId="4F998549"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2,8</w:t>
            </w:r>
          </w:p>
        </w:tc>
        <w:tc>
          <w:tcPr>
            <w:tcW w:w="834" w:type="dxa"/>
            <w:tcBorders>
              <w:top w:val="nil"/>
              <w:left w:val="nil"/>
              <w:bottom w:val="nil"/>
              <w:right w:val="nil"/>
            </w:tcBorders>
            <w:shd w:val="clear" w:color="auto" w:fill="DEEAF6" w:themeFill="accent5" w:themeFillTint="33"/>
            <w:vAlign w:val="center"/>
            <w:hideMark/>
          </w:tcPr>
          <w:p w14:paraId="299BC1D3" w14:textId="4F9B3163"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2,3</w:t>
            </w:r>
          </w:p>
        </w:tc>
        <w:tc>
          <w:tcPr>
            <w:tcW w:w="834" w:type="dxa"/>
            <w:tcBorders>
              <w:top w:val="nil"/>
              <w:left w:val="nil"/>
              <w:bottom w:val="nil"/>
              <w:right w:val="nil"/>
            </w:tcBorders>
            <w:shd w:val="clear" w:color="auto" w:fill="DEEAF6" w:themeFill="accent5" w:themeFillTint="33"/>
            <w:vAlign w:val="center"/>
            <w:hideMark/>
          </w:tcPr>
          <w:p w14:paraId="576792B8" w14:textId="0FC28413"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2,4</w:t>
            </w:r>
          </w:p>
        </w:tc>
        <w:tc>
          <w:tcPr>
            <w:tcW w:w="834" w:type="dxa"/>
            <w:tcBorders>
              <w:top w:val="nil"/>
              <w:left w:val="nil"/>
              <w:bottom w:val="nil"/>
              <w:right w:val="nil"/>
            </w:tcBorders>
            <w:shd w:val="clear" w:color="auto" w:fill="DEEAF6" w:themeFill="accent5" w:themeFillTint="33"/>
            <w:vAlign w:val="center"/>
            <w:hideMark/>
          </w:tcPr>
          <w:p w14:paraId="3B74793B" w14:textId="34518FF7"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1,7</w:t>
            </w:r>
          </w:p>
        </w:tc>
        <w:tc>
          <w:tcPr>
            <w:tcW w:w="834" w:type="dxa"/>
            <w:tcBorders>
              <w:top w:val="nil"/>
              <w:left w:val="nil"/>
              <w:bottom w:val="nil"/>
              <w:right w:val="nil"/>
            </w:tcBorders>
            <w:shd w:val="clear" w:color="auto" w:fill="DEEAF6" w:themeFill="accent5" w:themeFillTint="33"/>
            <w:vAlign w:val="center"/>
            <w:hideMark/>
          </w:tcPr>
          <w:p w14:paraId="7E5BA4D8" w14:textId="380CC003"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1,4</w:t>
            </w:r>
          </w:p>
        </w:tc>
        <w:tc>
          <w:tcPr>
            <w:tcW w:w="764" w:type="dxa"/>
            <w:tcBorders>
              <w:top w:val="nil"/>
              <w:left w:val="nil"/>
              <w:bottom w:val="nil"/>
              <w:right w:val="nil"/>
            </w:tcBorders>
            <w:shd w:val="clear" w:color="auto" w:fill="DEEAF6" w:themeFill="accent5" w:themeFillTint="33"/>
            <w:vAlign w:val="center"/>
            <w:hideMark/>
          </w:tcPr>
          <w:p w14:paraId="1CCFFF90" w14:textId="5C2EFF4A"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1,4</w:t>
            </w:r>
          </w:p>
        </w:tc>
      </w:tr>
      <w:tr w:rsidR="002E18EF" w:rsidRPr="00B3111E" w14:paraId="26F6CB11" w14:textId="77777777" w:rsidTr="00797DC1">
        <w:trPr>
          <w:trHeight w:val="333"/>
        </w:trPr>
        <w:tc>
          <w:tcPr>
            <w:tcW w:w="517" w:type="dxa"/>
            <w:tcBorders>
              <w:top w:val="nil"/>
              <w:left w:val="nil"/>
              <w:bottom w:val="nil"/>
              <w:right w:val="nil"/>
            </w:tcBorders>
            <w:shd w:val="clear" w:color="auto" w:fill="DEEAF6" w:themeFill="accent5" w:themeFillTint="33"/>
            <w:vAlign w:val="center"/>
            <w:hideMark/>
          </w:tcPr>
          <w:p w14:paraId="7CE916FB" w14:textId="77777777" w:rsidR="002E18EF" w:rsidRPr="001727BF" w:rsidRDefault="002E18EF" w:rsidP="002E18EF">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2</w:t>
            </w:r>
          </w:p>
        </w:tc>
        <w:tc>
          <w:tcPr>
            <w:tcW w:w="3484" w:type="dxa"/>
            <w:gridSpan w:val="4"/>
            <w:tcBorders>
              <w:top w:val="nil"/>
              <w:left w:val="nil"/>
              <w:bottom w:val="nil"/>
              <w:right w:val="nil"/>
            </w:tcBorders>
            <w:shd w:val="clear" w:color="auto" w:fill="DEEAF6" w:themeFill="accent5" w:themeFillTint="33"/>
            <w:vAlign w:val="center"/>
            <w:hideMark/>
          </w:tcPr>
          <w:p w14:paraId="1523A5E1" w14:textId="77777777" w:rsidR="002E18EF" w:rsidRPr="00195DA9" w:rsidRDefault="002E18EF" w:rsidP="002E18EF">
            <w:pPr>
              <w:spacing w:after="0" w:line="240" w:lineRule="auto"/>
              <w:rPr>
                <w:rFonts w:ascii="Arial Narrow" w:eastAsia="Times New Roman" w:hAnsi="Arial Narrow" w:cs="Calibri"/>
                <w:b/>
                <w:bCs/>
                <w:sz w:val="18"/>
                <w:szCs w:val="18"/>
                <w:lang w:eastAsia="sk-SK"/>
              </w:rPr>
            </w:pPr>
            <w:r w:rsidRPr="00195DA9">
              <w:rPr>
                <w:rFonts w:ascii="Arial Narrow" w:eastAsia="Times New Roman" w:hAnsi="Arial Narrow" w:cs="Calibri"/>
                <w:b/>
                <w:bCs/>
                <w:sz w:val="18"/>
                <w:szCs w:val="18"/>
                <w:lang w:eastAsia="sk-SK"/>
              </w:rPr>
              <w:t>Deflátor HDP</w:t>
            </w:r>
          </w:p>
        </w:tc>
        <w:tc>
          <w:tcPr>
            <w:tcW w:w="964" w:type="dxa"/>
            <w:tcBorders>
              <w:top w:val="nil"/>
              <w:left w:val="nil"/>
              <w:bottom w:val="nil"/>
              <w:right w:val="nil"/>
            </w:tcBorders>
            <w:shd w:val="clear" w:color="auto" w:fill="DEEAF6" w:themeFill="accent5" w:themeFillTint="33"/>
            <w:vAlign w:val="center"/>
            <w:hideMark/>
          </w:tcPr>
          <w:p w14:paraId="139F649C" w14:textId="1204AFAC"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10,1</w:t>
            </w:r>
          </w:p>
        </w:tc>
        <w:tc>
          <w:tcPr>
            <w:tcW w:w="834" w:type="dxa"/>
            <w:tcBorders>
              <w:top w:val="nil"/>
              <w:left w:val="nil"/>
              <w:bottom w:val="nil"/>
              <w:right w:val="nil"/>
            </w:tcBorders>
            <w:shd w:val="clear" w:color="auto" w:fill="DEEAF6" w:themeFill="accent5" w:themeFillTint="33"/>
            <w:vAlign w:val="center"/>
            <w:hideMark/>
          </w:tcPr>
          <w:p w14:paraId="64E36D2A" w14:textId="58D421A4"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4,6</w:t>
            </w:r>
          </w:p>
        </w:tc>
        <w:tc>
          <w:tcPr>
            <w:tcW w:w="834" w:type="dxa"/>
            <w:tcBorders>
              <w:top w:val="nil"/>
              <w:left w:val="nil"/>
              <w:bottom w:val="nil"/>
              <w:right w:val="nil"/>
            </w:tcBorders>
            <w:shd w:val="clear" w:color="auto" w:fill="DEEAF6" w:themeFill="accent5" w:themeFillTint="33"/>
            <w:vAlign w:val="center"/>
            <w:hideMark/>
          </w:tcPr>
          <w:p w14:paraId="03DFE2D1" w14:textId="5D1B6758"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3,2</w:t>
            </w:r>
          </w:p>
        </w:tc>
        <w:tc>
          <w:tcPr>
            <w:tcW w:w="834" w:type="dxa"/>
            <w:tcBorders>
              <w:top w:val="nil"/>
              <w:left w:val="nil"/>
              <w:bottom w:val="nil"/>
              <w:right w:val="nil"/>
            </w:tcBorders>
            <w:shd w:val="clear" w:color="auto" w:fill="DEEAF6" w:themeFill="accent5" w:themeFillTint="33"/>
            <w:vAlign w:val="center"/>
            <w:hideMark/>
          </w:tcPr>
          <w:p w14:paraId="3F0D1762" w14:textId="7F5881D7"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3,1</w:t>
            </w:r>
          </w:p>
        </w:tc>
        <w:tc>
          <w:tcPr>
            <w:tcW w:w="834" w:type="dxa"/>
            <w:tcBorders>
              <w:top w:val="nil"/>
              <w:left w:val="nil"/>
              <w:bottom w:val="nil"/>
              <w:right w:val="nil"/>
            </w:tcBorders>
            <w:shd w:val="clear" w:color="auto" w:fill="DEEAF6" w:themeFill="accent5" w:themeFillTint="33"/>
            <w:vAlign w:val="center"/>
            <w:hideMark/>
          </w:tcPr>
          <w:p w14:paraId="7446F1ED" w14:textId="017A245F"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3,0</w:t>
            </w:r>
          </w:p>
        </w:tc>
        <w:tc>
          <w:tcPr>
            <w:tcW w:w="764" w:type="dxa"/>
            <w:tcBorders>
              <w:top w:val="nil"/>
              <w:left w:val="nil"/>
              <w:bottom w:val="nil"/>
              <w:right w:val="nil"/>
            </w:tcBorders>
            <w:shd w:val="clear" w:color="auto" w:fill="DEEAF6" w:themeFill="accent5" w:themeFillTint="33"/>
            <w:vAlign w:val="center"/>
            <w:hideMark/>
          </w:tcPr>
          <w:p w14:paraId="60BBFD71" w14:textId="45D20F60"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2,9</w:t>
            </w:r>
          </w:p>
        </w:tc>
      </w:tr>
      <w:tr w:rsidR="00C1228B" w:rsidRPr="001727BF" w14:paraId="0AAE8235" w14:textId="77777777" w:rsidTr="00C1228B">
        <w:trPr>
          <w:trHeight w:val="333"/>
        </w:trPr>
        <w:tc>
          <w:tcPr>
            <w:tcW w:w="517" w:type="dxa"/>
            <w:tcBorders>
              <w:top w:val="nil"/>
              <w:left w:val="nil"/>
              <w:bottom w:val="nil"/>
              <w:right w:val="nil"/>
            </w:tcBorders>
            <w:shd w:val="clear" w:color="auto" w:fill="auto"/>
            <w:vAlign w:val="center"/>
            <w:hideMark/>
          </w:tcPr>
          <w:p w14:paraId="64D91E0B" w14:textId="77777777" w:rsidR="00C1228B" w:rsidRPr="001727BF" w:rsidRDefault="00C1228B" w:rsidP="00616580">
            <w:pPr>
              <w:spacing w:after="0" w:line="240" w:lineRule="auto"/>
              <w:rPr>
                <w:rFonts w:ascii="Arial Narrow" w:eastAsia="Times New Roman" w:hAnsi="Arial Narrow" w:cs="Calibri"/>
                <w:sz w:val="18"/>
                <w:szCs w:val="18"/>
                <w:lang w:eastAsia="sk-SK"/>
              </w:rPr>
            </w:pPr>
          </w:p>
        </w:tc>
        <w:tc>
          <w:tcPr>
            <w:tcW w:w="3484" w:type="dxa"/>
            <w:gridSpan w:val="4"/>
            <w:tcBorders>
              <w:top w:val="nil"/>
              <w:left w:val="nil"/>
              <w:bottom w:val="nil"/>
              <w:right w:val="nil"/>
            </w:tcBorders>
            <w:shd w:val="clear" w:color="auto" w:fill="auto"/>
            <w:vAlign w:val="center"/>
            <w:hideMark/>
          </w:tcPr>
          <w:p w14:paraId="78628826" w14:textId="77777777" w:rsidR="00C1228B" w:rsidRPr="001727BF" w:rsidRDefault="00C1228B" w:rsidP="00616580">
            <w:pPr>
              <w:spacing w:after="0" w:line="240" w:lineRule="auto"/>
              <w:jc w:val="center"/>
              <w:rPr>
                <w:rFonts w:ascii="Arial Narrow" w:eastAsia="Times New Roman" w:hAnsi="Arial Narrow" w:cs="Times New Roman"/>
                <w:sz w:val="18"/>
                <w:szCs w:val="18"/>
                <w:lang w:eastAsia="sk-SK"/>
              </w:rPr>
            </w:pPr>
          </w:p>
        </w:tc>
        <w:tc>
          <w:tcPr>
            <w:tcW w:w="964" w:type="dxa"/>
            <w:tcBorders>
              <w:top w:val="nil"/>
              <w:left w:val="nil"/>
              <w:bottom w:val="nil"/>
              <w:right w:val="nil"/>
            </w:tcBorders>
            <w:shd w:val="clear" w:color="auto" w:fill="auto"/>
            <w:vAlign w:val="center"/>
            <w:hideMark/>
          </w:tcPr>
          <w:p w14:paraId="770E192E"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 HDP</w:t>
            </w:r>
          </w:p>
        </w:tc>
        <w:tc>
          <w:tcPr>
            <w:tcW w:w="834" w:type="dxa"/>
            <w:tcBorders>
              <w:top w:val="nil"/>
              <w:left w:val="nil"/>
              <w:bottom w:val="nil"/>
              <w:right w:val="nil"/>
            </w:tcBorders>
            <w:shd w:val="clear" w:color="auto" w:fill="auto"/>
            <w:vAlign w:val="center"/>
            <w:hideMark/>
          </w:tcPr>
          <w:p w14:paraId="72E8F1D1"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 HDP</w:t>
            </w:r>
          </w:p>
        </w:tc>
        <w:tc>
          <w:tcPr>
            <w:tcW w:w="834" w:type="dxa"/>
            <w:tcBorders>
              <w:top w:val="nil"/>
              <w:left w:val="nil"/>
              <w:bottom w:val="nil"/>
              <w:right w:val="nil"/>
            </w:tcBorders>
            <w:shd w:val="clear" w:color="auto" w:fill="auto"/>
            <w:vAlign w:val="center"/>
            <w:hideMark/>
          </w:tcPr>
          <w:p w14:paraId="6D91E5B8"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 HDP</w:t>
            </w:r>
          </w:p>
        </w:tc>
        <w:tc>
          <w:tcPr>
            <w:tcW w:w="834" w:type="dxa"/>
            <w:tcBorders>
              <w:top w:val="nil"/>
              <w:left w:val="nil"/>
              <w:bottom w:val="nil"/>
              <w:right w:val="nil"/>
            </w:tcBorders>
            <w:shd w:val="clear" w:color="auto" w:fill="auto"/>
            <w:vAlign w:val="center"/>
            <w:hideMark/>
          </w:tcPr>
          <w:p w14:paraId="1126BB5C"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 HDP</w:t>
            </w:r>
          </w:p>
        </w:tc>
        <w:tc>
          <w:tcPr>
            <w:tcW w:w="834" w:type="dxa"/>
            <w:tcBorders>
              <w:top w:val="nil"/>
              <w:left w:val="nil"/>
              <w:bottom w:val="nil"/>
              <w:right w:val="nil"/>
            </w:tcBorders>
            <w:shd w:val="clear" w:color="auto" w:fill="auto"/>
            <w:vAlign w:val="center"/>
            <w:hideMark/>
          </w:tcPr>
          <w:p w14:paraId="15EE611C"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 HDP</w:t>
            </w:r>
          </w:p>
        </w:tc>
        <w:tc>
          <w:tcPr>
            <w:tcW w:w="764" w:type="dxa"/>
            <w:tcBorders>
              <w:top w:val="nil"/>
              <w:left w:val="nil"/>
              <w:bottom w:val="nil"/>
              <w:right w:val="nil"/>
            </w:tcBorders>
            <w:shd w:val="clear" w:color="auto" w:fill="auto"/>
            <w:vAlign w:val="center"/>
            <w:hideMark/>
          </w:tcPr>
          <w:p w14:paraId="75103AD9"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 HDP</w:t>
            </w:r>
          </w:p>
        </w:tc>
      </w:tr>
      <w:tr w:rsidR="002E18EF" w:rsidRPr="00B3111E" w14:paraId="7BDB45B3" w14:textId="77777777" w:rsidTr="00797DC1">
        <w:trPr>
          <w:trHeight w:val="333"/>
        </w:trPr>
        <w:tc>
          <w:tcPr>
            <w:tcW w:w="517" w:type="dxa"/>
            <w:tcBorders>
              <w:top w:val="nil"/>
              <w:left w:val="nil"/>
              <w:bottom w:val="nil"/>
              <w:right w:val="nil"/>
            </w:tcBorders>
            <w:shd w:val="clear" w:color="auto" w:fill="DEEAF6" w:themeFill="accent5" w:themeFillTint="33"/>
            <w:vAlign w:val="center"/>
            <w:hideMark/>
          </w:tcPr>
          <w:p w14:paraId="63C5E9F8" w14:textId="77777777" w:rsidR="002E18EF" w:rsidRPr="001727BF" w:rsidRDefault="002E18EF" w:rsidP="002E18EF">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3</w:t>
            </w:r>
          </w:p>
        </w:tc>
        <w:tc>
          <w:tcPr>
            <w:tcW w:w="3484" w:type="dxa"/>
            <w:gridSpan w:val="4"/>
            <w:tcBorders>
              <w:top w:val="nil"/>
              <w:left w:val="nil"/>
              <w:bottom w:val="nil"/>
              <w:right w:val="nil"/>
            </w:tcBorders>
            <w:shd w:val="clear" w:color="auto" w:fill="DEEAF6" w:themeFill="accent5" w:themeFillTint="33"/>
            <w:vAlign w:val="center"/>
            <w:hideMark/>
          </w:tcPr>
          <w:p w14:paraId="3AADAA35" w14:textId="77777777" w:rsidR="002E18EF" w:rsidRPr="001727BF" w:rsidRDefault="002E18EF" w:rsidP="002E18EF">
            <w:pPr>
              <w:spacing w:after="0" w:line="240" w:lineRule="auto"/>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Čisté pôžičky poskytnuté / prijaté verejnej správy</w:t>
            </w:r>
          </w:p>
        </w:tc>
        <w:tc>
          <w:tcPr>
            <w:tcW w:w="964" w:type="dxa"/>
            <w:tcBorders>
              <w:top w:val="nil"/>
              <w:left w:val="nil"/>
              <w:bottom w:val="nil"/>
              <w:right w:val="nil"/>
            </w:tcBorders>
            <w:shd w:val="clear" w:color="auto" w:fill="DEEAF6" w:themeFill="accent5" w:themeFillTint="33"/>
            <w:vAlign w:val="center"/>
            <w:hideMark/>
          </w:tcPr>
          <w:p w14:paraId="3367884C" w14:textId="26A4BEED"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-4,9</w:t>
            </w:r>
          </w:p>
        </w:tc>
        <w:tc>
          <w:tcPr>
            <w:tcW w:w="834" w:type="dxa"/>
            <w:tcBorders>
              <w:top w:val="nil"/>
              <w:left w:val="nil"/>
              <w:bottom w:val="nil"/>
              <w:right w:val="nil"/>
            </w:tcBorders>
            <w:shd w:val="clear" w:color="auto" w:fill="DEEAF6" w:themeFill="accent5" w:themeFillTint="33"/>
            <w:vAlign w:val="center"/>
            <w:hideMark/>
          </w:tcPr>
          <w:p w14:paraId="25E4ABAB" w14:textId="193D625E"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-5,9</w:t>
            </w:r>
          </w:p>
        </w:tc>
        <w:tc>
          <w:tcPr>
            <w:tcW w:w="834" w:type="dxa"/>
            <w:tcBorders>
              <w:top w:val="nil"/>
              <w:left w:val="nil"/>
              <w:bottom w:val="nil"/>
              <w:right w:val="nil"/>
            </w:tcBorders>
            <w:shd w:val="clear" w:color="auto" w:fill="DEEAF6" w:themeFill="accent5" w:themeFillTint="33"/>
            <w:vAlign w:val="center"/>
            <w:hideMark/>
          </w:tcPr>
          <w:p w14:paraId="509A93B7" w14:textId="62F36293"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-5,1</w:t>
            </w:r>
          </w:p>
        </w:tc>
        <w:tc>
          <w:tcPr>
            <w:tcW w:w="834" w:type="dxa"/>
            <w:tcBorders>
              <w:top w:val="nil"/>
              <w:left w:val="nil"/>
              <w:bottom w:val="nil"/>
              <w:right w:val="nil"/>
            </w:tcBorders>
            <w:shd w:val="clear" w:color="auto" w:fill="DEEAF6" w:themeFill="accent5" w:themeFillTint="33"/>
            <w:vAlign w:val="center"/>
            <w:hideMark/>
          </w:tcPr>
          <w:p w14:paraId="5521B017" w14:textId="2E19849C"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-3,9</w:t>
            </w:r>
          </w:p>
        </w:tc>
        <w:tc>
          <w:tcPr>
            <w:tcW w:w="834" w:type="dxa"/>
            <w:tcBorders>
              <w:top w:val="nil"/>
              <w:left w:val="nil"/>
              <w:bottom w:val="nil"/>
              <w:right w:val="nil"/>
            </w:tcBorders>
            <w:shd w:val="clear" w:color="auto" w:fill="DEEAF6" w:themeFill="accent5" w:themeFillTint="33"/>
            <w:vAlign w:val="center"/>
            <w:hideMark/>
          </w:tcPr>
          <w:p w14:paraId="086D4FAE" w14:textId="24011B08"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-2,9</w:t>
            </w:r>
          </w:p>
        </w:tc>
        <w:tc>
          <w:tcPr>
            <w:tcW w:w="764" w:type="dxa"/>
            <w:tcBorders>
              <w:top w:val="nil"/>
              <w:left w:val="nil"/>
              <w:bottom w:val="nil"/>
              <w:right w:val="nil"/>
            </w:tcBorders>
            <w:shd w:val="clear" w:color="auto" w:fill="DEEAF6" w:themeFill="accent5" w:themeFillTint="33"/>
            <w:vAlign w:val="center"/>
            <w:hideMark/>
          </w:tcPr>
          <w:p w14:paraId="64967A36" w14:textId="5976CAE3"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-1,8</w:t>
            </w:r>
          </w:p>
        </w:tc>
      </w:tr>
      <w:tr w:rsidR="002E18EF" w:rsidRPr="00B3111E" w14:paraId="279138F5" w14:textId="77777777" w:rsidTr="00797DC1">
        <w:trPr>
          <w:trHeight w:val="333"/>
        </w:trPr>
        <w:tc>
          <w:tcPr>
            <w:tcW w:w="517" w:type="dxa"/>
            <w:tcBorders>
              <w:top w:val="nil"/>
              <w:left w:val="nil"/>
              <w:bottom w:val="nil"/>
              <w:right w:val="nil"/>
            </w:tcBorders>
            <w:shd w:val="clear" w:color="auto" w:fill="DEEAF6" w:themeFill="accent5" w:themeFillTint="33"/>
            <w:vAlign w:val="center"/>
            <w:hideMark/>
          </w:tcPr>
          <w:p w14:paraId="260DED4C" w14:textId="77777777" w:rsidR="002E18EF" w:rsidRPr="001727BF" w:rsidRDefault="002E18EF" w:rsidP="002E18EF">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4</w:t>
            </w:r>
          </w:p>
        </w:tc>
        <w:tc>
          <w:tcPr>
            <w:tcW w:w="3484" w:type="dxa"/>
            <w:gridSpan w:val="4"/>
            <w:tcBorders>
              <w:top w:val="nil"/>
              <w:left w:val="nil"/>
              <w:bottom w:val="nil"/>
              <w:right w:val="nil"/>
            </w:tcBorders>
            <w:shd w:val="clear" w:color="auto" w:fill="DEEAF6" w:themeFill="accent5" w:themeFillTint="33"/>
            <w:vAlign w:val="center"/>
            <w:hideMark/>
          </w:tcPr>
          <w:p w14:paraId="7F554D74" w14:textId="77777777" w:rsidR="002E18EF" w:rsidRPr="001727BF" w:rsidRDefault="002E18EF" w:rsidP="002E18EF">
            <w:pPr>
              <w:spacing w:after="0" w:line="240" w:lineRule="auto"/>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Štrukturálne saldo</w:t>
            </w:r>
          </w:p>
        </w:tc>
        <w:tc>
          <w:tcPr>
            <w:tcW w:w="964" w:type="dxa"/>
            <w:tcBorders>
              <w:top w:val="nil"/>
              <w:left w:val="nil"/>
              <w:bottom w:val="nil"/>
              <w:right w:val="nil"/>
            </w:tcBorders>
            <w:shd w:val="clear" w:color="auto" w:fill="DEEAF6" w:themeFill="accent5" w:themeFillTint="33"/>
            <w:vAlign w:val="center"/>
            <w:hideMark/>
          </w:tcPr>
          <w:p w14:paraId="06895AF9" w14:textId="3D523D28"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-4,7</w:t>
            </w:r>
          </w:p>
        </w:tc>
        <w:tc>
          <w:tcPr>
            <w:tcW w:w="834" w:type="dxa"/>
            <w:tcBorders>
              <w:top w:val="nil"/>
              <w:left w:val="nil"/>
              <w:bottom w:val="nil"/>
              <w:right w:val="nil"/>
            </w:tcBorders>
            <w:shd w:val="clear" w:color="auto" w:fill="DEEAF6" w:themeFill="accent5" w:themeFillTint="33"/>
            <w:vAlign w:val="center"/>
            <w:hideMark/>
          </w:tcPr>
          <w:p w14:paraId="5E73B16F" w14:textId="17010771"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-5,6</w:t>
            </w:r>
          </w:p>
        </w:tc>
        <w:tc>
          <w:tcPr>
            <w:tcW w:w="834" w:type="dxa"/>
            <w:tcBorders>
              <w:top w:val="nil"/>
              <w:left w:val="nil"/>
              <w:bottom w:val="nil"/>
              <w:right w:val="nil"/>
            </w:tcBorders>
            <w:shd w:val="clear" w:color="auto" w:fill="DEEAF6" w:themeFill="accent5" w:themeFillTint="33"/>
            <w:vAlign w:val="center"/>
            <w:hideMark/>
          </w:tcPr>
          <w:p w14:paraId="176AEB42" w14:textId="1D8740B6"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-5,0</w:t>
            </w:r>
          </w:p>
        </w:tc>
        <w:tc>
          <w:tcPr>
            <w:tcW w:w="834" w:type="dxa"/>
            <w:tcBorders>
              <w:top w:val="nil"/>
              <w:left w:val="nil"/>
              <w:bottom w:val="nil"/>
              <w:right w:val="nil"/>
            </w:tcBorders>
            <w:shd w:val="clear" w:color="auto" w:fill="DEEAF6" w:themeFill="accent5" w:themeFillTint="33"/>
            <w:vAlign w:val="center"/>
            <w:hideMark/>
          </w:tcPr>
          <w:p w14:paraId="7BD00715" w14:textId="68CA449B"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-3,3</w:t>
            </w:r>
          </w:p>
        </w:tc>
        <w:tc>
          <w:tcPr>
            <w:tcW w:w="834" w:type="dxa"/>
            <w:tcBorders>
              <w:top w:val="nil"/>
              <w:left w:val="nil"/>
              <w:bottom w:val="nil"/>
              <w:right w:val="nil"/>
            </w:tcBorders>
            <w:shd w:val="clear" w:color="auto" w:fill="DEEAF6" w:themeFill="accent5" w:themeFillTint="33"/>
            <w:vAlign w:val="center"/>
            <w:hideMark/>
          </w:tcPr>
          <w:p w14:paraId="76ACB519" w14:textId="32B6DAE1"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-2,1</w:t>
            </w:r>
          </w:p>
        </w:tc>
        <w:tc>
          <w:tcPr>
            <w:tcW w:w="764" w:type="dxa"/>
            <w:tcBorders>
              <w:top w:val="nil"/>
              <w:left w:val="nil"/>
              <w:bottom w:val="nil"/>
              <w:right w:val="nil"/>
            </w:tcBorders>
            <w:shd w:val="clear" w:color="auto" w:fill="DEEAF6" w:themeFill="accent5" w:themeFillTint="33"/>
            <w:vAlign w:val="center"/>
            <w:hideMark/>
          </w:tcPr>
          <w:p w14:paraId="5AAC85AE" w14:textId="2BF7CB26"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-0,9</w:t>
            </w:r>
          </w:p>
        </w:tc>
      </w:tr>
      <w:tr w:rsidR="002E18EF" w:rsidRPr="00B3111E" w14:paraId="5671BFEF" w14:textId="77777777" w:rsidTr="00797DC1">
        <w:trPr>
          <w:trHeight w:val="333"/>
        </w:trPr>
        <w:tc>
          <w:tcPr>
            <w:tcW w:w="517" w:type="dxa"/>
            <w:tcBorders>
              <w:top w:val="nil"/>
              <w:left w:val="nil"/>
              <w:bottom w:val="nil"/>
              <w:right w:val="nil"/>
            </w:tcBorders>
            <w:shd w:val="clear" w:color="auto" w:fill="DEEAF6" w:themeFill="accent5" w:themeFillTint="33"/>
            <w:vAlign w:val="center"/>
            <w:hideMark/>
          </w:tcPr>
          <w:p w14:paraId="0942D331" w14:textId="77777777" w:rsidR="002E18EF" w:rsidRPr="001727BF" w:rsidRDefault="002E18EF" w:rsidP="002E18EF">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5</w:t>
            </w:r>
          </w:p>
        </w:tc>
        <w:tc>
          <w:tcPr>
            <w:tcW w:w="3484" w:type="dxa"/>
            <w:gridSpan w:val="4"/>
            <w:tcBorders>
              <w:top w:val="nil"/>
              <w:left w:val="nil"/>
              <w:bottom w:val="nil"/>
              <w:right w:val="nil"/>
            </w:tcBorders>
            <w:shd w:val="clear" w:color="auto" w:fill="DEEAF6" w:themeFill="accent5" w:themeFillTint="33"/>
            <w:vAlign w:val="center"/>
            <w:hideMark/>
          </w:tcPr>
          <w:p w14:paraId="63ACBD84" w14:textId="77777777" w:rsidR="002E18EF" w:rsidRPr="001727BF" w:rsidRDefault="002E18EF" w:rsidP="002E18EF">
            <w:pPr>
              <w:spacing w:after="0" w:line="240" w:lineRule="auto"/>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Primárne štrukturálne saldo</w:t>
            </w:r>
          </w:p>
        </w:tc>
        <w:tc>
          <w:tcPr>
            <w:tcW w:w="964" w:type="dxa"/>
            <w:tcBorders>
              <w:top w:val="nil"/>
              <w:left w:val="nil"/>
              <w:bottom w:val="nil"/>
              <w:right w:val="nil"/>
            </w:tcBorders>
            <w:shd w:val="clear" w:color="auto" w:fill="DEEAF6" w:themeFill="accent5" w:themeFillTint="33"/>
            <w:vAlign w:val="center"/>
            <w:hideMark/>
          </w:tcPr>
          <w:p w14:paraId="74EF4C10" w14:textId="5C392960"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-3,5</w:t>
            </w:r>
          </w:p>
        </w:tc>
        <w:tc>
          <w:tcPr>
            <w:tcW w:w="834" w:type="dxa"/>
            <w:tcBorders>
              <w:top w:val="nil"/>
              <w:left w:val="nil"/>
              <w:bottom w:val="nil"/>
              <w:right w:val="nil"/>
            </w:tcBorders>
            <w:shd w:val="clear" w:color="auto" w:fill="DEEAF6" w:themeFill="accent5" w:themeFillTint="33"/>
            <w:vAlign w:val="center"/>
            <w:hideMark/>
          </w:tcPr>
          <w:p w14:paraId="1B45FD39" w14:textId="17F52709"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-4,3</w:t>
            </w:r>
          </w:p>
        </w:tc>
        <w:tc>
          <w:tcPr>
            <w:tcW w:w="834" w:type="dxa"/>
            <w:tcBorders>
              <w:top w:val="nil"/>
              <w:left w:val="nil"/>
              <w:bottom w:val="nil"/>
              <w:right w:val="nil"/>
            </w:tcBorders>
            <w:shd w:val="clear" w:color="auto" w:fill="DEEAF6" w:themeFill="accent5" w:themeFillTint="33"/>
            <w:vAlign w:val="center"/>
            <w:hideMark/>
          </w:tcPr>
          <w:p w14:paraId="67102D7A" w14:textId="32E751F9"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-3,5</w:t>
            </w:r>
          </w:p>
        </w:tc>
        <w:tc>
          <w:tcPr>
            <w:tcW w:w="834" w:type="dxa"/>
            <w:tcBorders>
              <w:top w:val="nil"/>
              <w:left w:val="nil"/>
              <w:bottom w:val="nil"/>
              <w:right w:val="nil"/>
            </w:tcBorders>
            <w:shd w:val="clear" w:color="auto" w:fill="DEEAF6" w:themeFill="accent5" w:themeFillTint="33"/>
            <w:vAlign w:val="center"/>
            <w:hideMark/>
          </w:tcPr>
          <w:p w14:paraId="72AD7CE1" w14:textId="6F407ECB"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-1,7</w:t>
            </w:r>
          </w:p>
        </w:tc>
        <w:tc>
          <w:tcPr>
            <w:tcW w:w="834" w:type="dxa"/>
            <w:tcBorders>
              <w:top w:val="nil"/>
              <w:left w:val="nil"/>
              <w:bottom w:val="nil"/>
              <w:right w:val="nil"/>
            </w:tcBorders>
            <w:shd w:val="clear" w:color="auto" w:fill="DEEAF6" w:themeFill="accent5" w:themeFillTint="33"/>
            <w:vAlign w:val="center"/>
            <w:hideMark/>
          </w:tcPr>
          <w:p w14:paraId="049CC299" w14:textId="184D1A93"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-0,3</w:t>
            </w:r>
          </w:p>
        </w:tc>
        <w:tc>
          <w:tcPr>
            <w:tcW w:w="764" w:type="dxa"/>
            <w:tcBorders>
              <w:top w:val="nil"/>
              <w:left w:val="nil"/>
              <w:bottom w:val="nil"/>
              <w:right w:val="nil"/>
            </w:tcBorders>
            <w:shd w:val="clear" w:color="auto" w:fill="DEEAF6" w:themeFill="accent5" w:themeFillTint="33"/>
            <w:vAlign w:val="center"/>
            <w:hideMark/>
          </w:tcPr>
          <w:p w14:paraId="0CE208A1" w14:textId="6101315F"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1,0</w:t>
            </w:r>
          </w:p>
        </w:tc>
      </w:tr>
      <w:tr w:rsidR="002E18EF" w:rsidRPr="00B3111E" w14:paraId="66F2296C" w14:textId="77777777" w:rsidTr="00797DC1">
        <w:trPr>
          <w:trHeight w:val="333"/>
        </w:trPr>
        <w:tc>
          <w:tcPr>
            <w:tcW w:w="517" w:type="dxa"/>
            <w:tcBorders>
              <w:top w:val="nil"/>
              <w:left w:val="nil"/>
              <w:bottom w:val="nil"/>
              <w:right w:val="nil"/>
            </w:tcBorders>
            <w:shd w:val="clear" w:color="auto" w:fill="DEEAF6" w:themeFill="accent5" w:themeFillTint="33"/>
            <w:vAlign w:val="center"/>
            <w:hideMark/>
          </w:tcPr>
          <w:p w14:paraId="64DD1D8C" w14:textId="77777777" w:rsidR="002E18EF" w:rsidRPr="001727BF" w:rsidRDefault="002E18EF" w:rsidP="002E18EF">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6</w:t>
            </w:r>
          </w:p>
        </w:tc>
        <w:tc>
          <w:tcPr>
            <w:tcW w:w="3484" w:type="dxa"/>
            <w:gridSpan w:val="4"/>
            <w:tcBorders>
              <w:top w:val="nil"/>
              <w:left w:val="nil"/>
              <w:bottom w:val="nil"/>
              <w:right w:val="nil"/>
            </w:tcBorders>
            <w:shd w:val="clear" w:color="auto" w:fill="DEEAF6" w:themeFill="accent5" w:themeFillTint="33"/>
            <w:vAlign w:val="center"/>
            <w:hideMark/>
          </w:tcPr>
          <w:p w14:paraId="11C36904" w14:textId="77777777" w:rsidR="002E18EF" w:rsidRPr="001727BF" w:rsidRDefault="002E18EF" w:rsidP="002E18EF">
            <w:pPr>
              <w:spacing w:after="0" w:line="240" w:lineRule="auto"/>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Hrubý dlh</w:t>
            </w:r>
          </w:p>
        </w:tc>
        <w:tc>
          <w:tcPr>
            <w:tcW w:w="964" w:type="dxa"/>
            <w:tcBorders>
              <w:top w:val="nil"/>
              <w:left w:val="nil"/>
              <w:bottom w:val="nil"/>
              <w:right w:val="nil"/>
            </w:tcBorders>
            <w:shd w:val="clear" w:color="auto" w:fill="DEEAF6" w:themeFill="accent5" w:themeFillTint="33"/>
            <w:vAlign w:val="center"/>
            <w:hideMark/>
          </w:tcPr>
          <w:p w14:paraId="10A07A2D" w14:textId="05CFFDA8"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56,0</w:t>
            </w:r>
          </w:p>
        </w:tc>
        <w:tc>
          <w:tcPr>
            <w:tcW w:w="834" w:type="dxa"/>
            <w:tcBorders>
              <w:top w:val="nil"/>
              <w:left w:val="nil"/>
              <w:bottom w:val="nil"/>
              <w:right w:val="nil"/>
            </w:tcBorders>
            <w:shd w:val="clear" w:color="auto" w:fill="DEEAF6" w:themeFill="accent5" w:themeFillTint="33"/>
            <w:vAlign w:val="center"/>
            <w:hideMark/>
          </w:tcPr>
          <w:p w14:paraId="777BBAE7" w14:textId="1742B7FA"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58,5</w:t>
            </w:r>
          </w:p>
        </w:tc>
        <w:tc>
          <w:tcPr>
            <w:tcW w:w="834" w:type="dxa"/>
            <w:tcBorders>
              <w:top w:val="nil"/>
              <w:left w:val="nil"/>
              <w:bottom w:val="nil"/>
              <w:right w:val="nil"/>
            </w:tcBorders>
            <w:shd w:val="clear" w:color="auto" w:fill="DEEAF6" w:themeFill="accent5" w:themeFillTint="33"/>
            <w:vAlign w:val="center"/>
            <w:hideMark/>
          </w:tcPr>
          <w:p w14:paraId="60BE36B6" w14:textId="7598B028"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59,8</w:t>
            </w:r>
          </w:p>
        </w:tc>
        <w:tc>
          <w:tcPr>
            <w:tcW w:w="834" w:type="dxa"/>
            <w:tcBorders>
              <w:top w:val="nil"/>
              <w:left w:val="nil"/>
              <w:bottom w:val="nil"/>
              <w:right w:val="nil"/>
            </w:tcBorders>
            <w:shd w:val="clear" w:color="auto" w:fill="DEEAF6" w:themeFill="accent5" w:themeFillTint="33"/>
            <w:vAlign w:val="center"/>
            <w:hideMark/>
          </w:tcPr>
          <w:p w14:paraId="7C45DBA0" w14:textId="7DAAF387"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61,6</w:t>
            </w:r>
          </w:p>
        </w:tc>
        <w:tc>
          <w:tcPr>
            <w:tcW w:w="834" w:type="dxa"/>
            <w:tcBorders>
              <w:top w:val="nil"/>
              <w:left w:val="nil"/>
              <w:bottom w:val="nil"/>
              <w:right w:val="nil"/>
            </w:tcBorders>
            <w:shd w:val="clear" w:color="auto" w:fill="DEEAF6" w:themeFill="accent5" w:themeFillTint="33"/>
            <w:vAlign w:val="center"/>
            <w:hideMark/>
          </w:tcPr>
          <w:p w14:paraId="1F077E77" w14:textId="224D6BC5"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62,1</w:t>
            </w:r>
          </w:p>
        </w:tc>
        <w:tc>
          <w:tcPr>
            <w:tcW w:w="764" w:type="dxa"/>
            <w:tcBorders>
              <w:top w:val="nil"/>
              <w:left w:val="nil"/>
              <w:bottom w:val="nil"/>
              <w:right w:val="nil"/>
            </w:tcBorders>
            <w:shd w:val="clear" w:color="auto" w:fill="DEEAF6" w:themeFill="accent5" w:themeFillTint="33"/>
            <w:vAlign w:val="center"/>
            <w:hideMark/>
          </w:tcPr>
          <w:p w14:paraId="7D8B6016" w14:textId="0F2C236F" w:rsidR="002E18EF" w:rsidRPr="002E18EF"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61,4</w:t>
            </w:r>
          </w:p>
        </w:tc>
      </w:tr>
      <w:tr w:rsidR="002E18EF" w:rsidRPr="00B3111E" w14:paraId="315F3AB8" w14:textId="77777777" w:rsidTr="00797DC1">
        <w:trPr>
          <w:trHeight w:val="333"/>
        </w:trPr>
        <w:tc>
          <w:tcPr>
            <w:tcW w:w="517" w:type="dxa"/>
            <w:tcBorders>
              <w:top w:val="nil"/>
              <w:left w:val="nil"/>
              <w:bottom w:val="nil"/>
              <w:right w:val="nil"/>
            </w:tcBorders>
            <w:shd w:val="clear" w:color="auto" w:fill="DEEAF6" w:themeFill="accent5" w:themeFillTint="33"/>
            <w:vAlign w:val="center"/>
            <w:hideMark/>
          </w:tcPr>
          <w:p w14:paraId="732BF0C5" w14:textId="77777777" w:rsidR="002E18EF" w:rsidRPr="001727BF" w:rsidRDefault="002E18EF" w:rsidP="002E18EF">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7</w:t>
            </w:r>
          </w:p>
        </w:tc>
        <w:tc>
          <w:tcPr>
            <w:tcW w:w="3484" w:type="dxa"/>
            <w:gridSpan w:val="4"/>
            <w:tcBorders>
              <w:top w:val="nil"/>
              <w:left w:val="nil"/>
              <w:bottom w:val="nil"/>
              <w:right w:val="nil"/>
            </w:tcBorders>
            <w:shd w:val="clear" w:color="auto" w:fill="DEEAF6" w:themeFill="accent5" w:themeFillTint="33"/>
            <w:vAlign w:val="center"/>
            <w:hideMark/>
          </w:tcPr>
          <w:p w14:paraId="77C09BEA" w14:textId="77777777" w:rsidR="002E18EF" w:rsidRPr="001727BF" w:rsidRDefault="002E18EF" w:rsidP="002E18EF">
            <w:pPr>
              <w:spacing w:after="0" w:line="240" w:lineRule="auto"/>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Zmena hrubého dlhu</w:t>
            </w:r>
          </w:p>
        </w:tc>
        <w:tc>
          <w:tcPr>
            <w:tcW w:w="964" w:type="dxa"/>
            <w:tcBorders>
              <w:top w:val="nil"/>
              <w:left w:val="nil"/>
              <w:bottom w:val="nil"/>
              <w:right w:val="nil"/>
            </w:tcBorders>
            <w:shd w:val="clear" w:color="auto" w:fill="DEEAF6" w:themeFill="accent5" w:themeFillTint="33"/>
            <w:vAlign w:val="center"/>
            <w:hideMark/>
          </w:tcPr>
          <w:p w14:paraId="332A6502" w14:textId="2B581C03"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-1,7</w:t>
            </w:r>
          </w:p>
        </w:tc>
        <w:tc>
          <w:tcPr>
            <w:tcW w:w="834" w:type="dxa"/>
            <w:tcBorders>
              <w:top w:val="nil"/>
              <w:left w:val="nil"/>
              <w:bottom w:val="nil"/>
              <w:right w:val="nil"/>
            </w:tcBorders>
            <w:shd w:val="clear" w:color="auto" w:fill="DEEAF6" w:themeFill="accent5" w:themeFillTint="33"/>
            <w:vAlign w:val="center"/>
            <w:hideMark/>
          </w:tcPr>
          <w:p w14:paraId="7C71C115" w14:textId="6E376BE4"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2,4</w:t>
            </w:r>
          </w:p>
        </w:tc>
        <w:tc>
          <w:tcPr>
            <w:tcW w:w="834" w:type="dxa"/>
            <w:tcBorders>
              <w:top w:val="nil"/>
              <w:left w:val="nil"/>
              <w:bottom w:val="nil"/>
              <w:right w:val="nil"/>
            </w:tcBorders>
            <w:shd w:val="clear" w:color="auto" w:fill="DEEAF6" w:themeFill="accent5" w:themeFillTint="33"/>
            <w:vAlign w:val="center"/>
            <w:hideMark/>
          </w:tcPr>
          <w:p w14:paraId="33094E26" w14:textId="5F32EAA2"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1,3</w:t>
            </w:r>
          </w:p>
        </w:tc>
        <w:tc>
          <w:tcPr>
            <w:tcW w:w="834" w:type="dxa"/>
            <w:tcBorders>
              <w:top w:val="nil"/>
              <w:left w:val="nil"/>
              <w:bottom w:val="nil"/>
              <w:right w:val="nil"/>
            </w:tcBorders>
            <w:shd w:val="clear" w:color="auto" w:fill="DEEAF6" w:themeFill="accent5" w:themeFillTint="33"/>
            <w:vAlign w:val="center"/>
            <w:hideMark/>
          </w:tcPr>
          <w:p w14:paraId="0707C3AD" w14:textId="3F603CC4"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1,9</w:t>
            </w:r>
          </w:p>
        </w:tc>
        <w:tc>
          <w:tcPr>
            <w:tcW w:w="834" w:type="dxa"/>
            <w:tcBorders>
              <w:top w:val="nil"/>
              <w:left w:val="nil"/>
              <w:bottom w:val="nil"/>
              <w:right w:val="nil"/>
            </w:tcBorders>
            <w:shd w:val="clear" w:color="auto" w:fill="DEEAF6" w:themeFill="accent5" w:themeFillTint="33"/>
            <w:vAlign w:val="center"/>
            <w:hideMark/>
          </w:tcPr>
          <w:p w14:paraId="4FEA7C58" w14:textId="6A0804F7"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0,5</w:t>
            </w:r>
          </w:p>
        </w:tc>
        <w:tc>
          <w:tcPr>
            <w:tcW w:w="764" w:type="dxa"/>
            <w:tcBorders>
              <w:top w:val="nil"/>
              <w:left w:val="nil"/>
              <w:bottom w:val="nil"/>
              <w:right w:val="nil"/>
            </w:tcBorders>
            <w:shd w:val="clear" w:color="auto" w:fill="DEEAF6" w:themeFill="accent5" w:themeFillTint="33"/>
            <w:vAlign w:val="center"/>
            <w:hideMark/>
          </w:tcPr>
          <w:p w14:paraId="71B11428" w14:textId="50B368CC" w:rsidR="002E18EF" w:rsidRPr="00A22C01" w:rsidRDefault="002E18EF" w:rsidP="002E18EF">
            <w:pPr>
              <w:spacing w:after="0" w:line="240" w:lineRule="auto"/>
              <w:jc w:val="center"/>
              <w:rPr>
                <w:rFonts w:ascii="Arial Narrow" w:eastAsia="Times New Roman" w:hAnsi="Arial Narrow" w:cs="Calibri"/>
                <w:color w:val="000000" w:themeColor="text1"/>
                <w:sz w:val="18"/>
                <w:szCs w:val="18"/>
                <w:lang w:eastAsia="sk-SK"/>
              </w:rPr>
            </w:pPr>
            <w:r w:rsidRPr="00A22C01">
              <w:rPr>
                <w:rFonts w:ascii="Arial Narrow" w:hAnsi="Arial Narrow" w:cs="Calibri"/>
                <w:color w:val="000000" w:themeColor="text1"/>
                <w:sz w:val="18"/>
                <w:szCs w:val="18"/>
              </w:rPr>
              <w:t>-0,7</w:t>
            </w:r>
          </w:p>
        </w:tc>
      </w:tr>
    </w:tbl>
    <w:p w14:paraId="2D5C65CF" w14:textId="5196AC63" w:rsidR="00C1228B" w:rsidRPr="00A22C01" w:rsidRDefault="00B218F9" w:rsidP="00A22C01">
      <w:pPr>
        <w:widowControl w:val="0"/>
        <w:spacing w:before="40" w:after="40"/>
        <w:jc w:val="right"/>
        <w:rPr>
          <w:rFonts w:ascii="Arial Narrow" w:eastAsia="NeueHaasGroteskText W02" w:hAnsi="Arial Narrow" w:cs="Arial"/>
          <w:i/>
          <w:iCs/>
          <w:color w:val="000000" w:themeColor="text1"/>
          <w:sz w:val="16"/>
          <w:szCs w:val="16"/>
          <w:u w:color="2C9ADC"/>
        </w:rPr>
      </w:pPr>
      <w:r w:rsidRPr="00135823">
        <w:rPr>
          <w:rFonts w:ascii="Arial Narrow" w:eastAsia="NeueHaasGroteskText W02" w:hAnsi="Arial Narrow" w:cs="Arial"/>
          <w:i/>
          <w:iCs/>
          <w:color w:val="000000" w:themeColor="text1"/>
          <w:sz w:val="16"/>
          <w:szCs w:val="16"/>
          <w:u w:color="2C9ADC"/>
        </w:rPr>
        <w:t>Zdroj: Európska komisia</w:t>
      </w:r>
    </w:p>
    <w:p w14:paraId="4CBA7C2F" w14:textId="77777777" w:rsidR="00C1228B" w:rsidRPr="001727BF" w:rsidRDefault="00C1228B" w:rsidP="00C1228B">
      <w:pPr>
        <w:widowControl w:val="0"/>
        <w:spacing w:before="40" w:after="40"/>
        <w:jc w:val="both"/>
        <w:rPr>
          <w:rFonts w:ascii="Arial Narrow" w:eastAsia="NeueHaasGroteskText W02" w:hAnsi="Arial Narrow" w:cs="Arial"/>
          <w:b/>
          <w:bCs/>
          <w:color w:val="2C9ADC"/>
          <w:sz w:val="20"/>
          <w:szCs w:val="20"/>
          <w:u w:color="2C9ADC"/>
        </w:rPr>
      </w:pPr>
    </w:p>
    <w:tbl>
      <w:tblPr>
        <w:tblW w:w="9498" w:type="dxa"/>
        <w:tblCellMar>
          <w:left w:w="70" w:type="dxa"/>
          <w:right w:w="70" w:type="dxa"/>
        </w:tblCellMar>
        <w:tblLook w:val="04A0" w:firstRow="1" w:lastRow="0" w:firstColumn="1" w:lastColumn="0" w:noHBand="0" w:noVBand="1"/>
      </w:tblPr>
      <w:tblGrid>
        <w:gridCol w:w="541"/>
        <w:gridCol w:w="958"/>
        <w:gridCol w:w="958"/>
        <w:gridCol w:w="959"/>
        <w:gridCol w:w="252"/>
        <w:gridCol w:w="968"/>
        <w:gridCol w:w="943"/>
        <w:gridCol w:w="943"/>
        <w:gridCol w:w="72"/>
        <w:gridCol w:w="600"/>
        <w:gridCol w:w="36"/>
        <w:gridCol w:w="559"/>
        <w:gridCol w:w="44"/>
        <w:gridCol w:w="44"/>
        <w:gridCol w:w="532"/>
        <w:gridCol w:w="52"/>
        <w:gridCol w:w="52"/>
        <w:gridCol w:w="58"/>
        <w:gridCol w:w="479"/>
        <w:gridCol w:w="48"/>
        <w:gridCol w:w="49"/>
        <w:gridCol w:w="38"/>
        <w:gridCol w:w="313"/>
      </w:tblGrid>
      <w:tr w:rsidR="00C1228B" w:rsidRPr="001727BF" w14:paraId="0A4B91AF" w14:textId="77777777" w:rsidTr="00525C87">
        <w:trPr>
          <w:gridAfter w:val="1"/>
          <w:wAfter w:w="313" w:type="dxa"/>
          <w:trHeight w:val="330"/>
        </w:trPr>
        <w:tc>
          <w:tcPr>
            <w:tcW w:w="3416" w:type="dxa"/>
            <w:gridSpan w:val="4"/>
            <w:tcBorders>
              <w:top w:val="nil"/>
              <w:left w:val="nil"/>
              <w:bottom w:val="nil"/>
              <w:right w:val="nil"/>
            </w:tcBorders>
            <w:shd w:val="clear" w:color="000000" w:fill="FFFFFF"/>
            <w:vAlign w:val="center"/>
          </w:tcPr>
          <w:p w14:paraId="293AE394" w14:textId="77777777" w:rsidR="00C1228B" w:rsidRPr="001727BF" w:rsidRDefault="00C1228B" w:rsidP="00616580">
            <w:pPr>
              <w:spacing w:after="0" w:line="240" w:lineRule="auto"/>
              <w:rPr>
                <w:rFonts w:ascii="Arial Narrow" w:eastAsia="Times New Roman" w:hAnsi="Arial Narrow" w:cs="Calibri"/>
                <w:b/>
                <w:bCs/>
                <w:color w:val="2C9ADC"/>
                <w:sz w:val="18"/>
                <w:szCs w:val="18"/>
                <w:lang w:eastAsia="sk-SK"/>
              </w:rPr>
            </w:pPr>
            <w:r w:rsidRPr="00B3111E">
              <w:rPr>
                <w:rFonts w:ascii="Arial Narrow" w:eastAsia="Times New Roman" w:hAnsi="Arial Narrow" w:cs="Calibri"/>
                <w:b/>
                <w:bCs/>
                <w:color w:val="2C9ADC"/>
                <w:sz w:val="18"/>
                <w:szCs w:val="18"/>
                <w:lang w:eastAsia="sk-SK"/>
              </w:rPr>
              <w:t>TABUĽKA 2 – Makroekonomický scenár</w:t>
            </w:r>
          </w:p>
        </w:tc>
        <w:tc>
          <w:tcPr>
            <w:tcW w:w="252" w:type="dxa"/>
            <w:tcBorders>
              <w:top w:val="nil"/>
              <w:left w:val="nil"/>
              <w:bottom w:val="nil"/>
              <w:right w:val="nil"/>
            </w:tcBorders>
            <w:shd w:val="clear" w:color="000000" w:fill="FFFFFF"/>
            <w:vAlign w:val="center"/>
          </w:tcPr>
          <w:p w14:paraId="533969B3" w14:textId="77777777" w:rsidR="00C1228B" w:rsidRPr="001727BF" w:rsidRDefault="00C1228B" w:rsidP="00616580">
            <w:pPr>
              <w:spacing w:after="0" w:line="240" w:lineRule="auto"/>
              <w:jc w:val="center"/>
              <w:rPr>
                <w:rFonts w:ascii="Arial Narrow" w:eastAsia="Times New Roman" w:hAnsi="Arial Narrow" w:cs="Calibri"/>
                <w:b/>
                <w:bCs/>
                <w:color w:val="2F5496"/>
                <w:sz w:val="18"/>
                <w:szCs w:val="18"/>
                <w:lang w:eastAsia="sk-SK"/>
              </w:rPr>
            </w:pPr>
          </w:p>
        </w:tc>
        <w:tc>
          <w:tcPr>
            <w:tcW w:w="968" w:type="dxa"/>
            <w:tcBorders>
              <w:top w:val="nil"/>
              <w:left w:val="nil"/>
              <w:bottom w:val="nil"/>
              <w:right w:val="nil"/>
            </w:tcBorders>
            <w:shd w:val="clear" w:color="000000" w:fill="FFFFFF"/>
            <w:vAlign w:val="center"/>
          </w:tcPr>
          <w:p w14:paraId="5C98D610" w14:textId="77777777" w:rsidR="00C1228B" w:rsidRPr="001727BF" w:rsidRDefault="00C1228B" w:rsidP="00616580">
            <w:pPr>
              <w:spacing w:after="0" w:line="240" w:lineRule="auto"/>
              <w:jc w:val="center"/>
              <w:rPr>
                <w:rFonts w:ascii="Arial Narrow" w:eastAsia="Times New Roman" w:hAnsi="Arial Narrow" w:cs="Calibri"/>
                <w:b/>
                <w:bCs/>
                <w:color w:val="000000"/>
                <w:sz w:val="18"/>
                <w:szCs w:val="18"/>
                <w:lang w:eastAsia="sk-SK"/>
              </w:rPr>
            </w:pPr>
          </w:p>
        </w:tc>
        <w:tc>
          <w:tcPr>
            <w:tcW w:w="943" w:type="dxa"/>
            <w:tcBorders>
              <w:top w:val="nil"/>
              <w:left w:val="nil"/>
              <w:bottom w:val="nil"/>
              <w:right w:val="nil"/>
            </w:tcBorders>
            <w:shd w:val="clear" w:color="000000" w:fill="FFFFFF"/>
            <w:vAlign w:val="center"/>
          </w:tcPr>
          <w:p w14:paraId="6E58FC13" w14:textId="77777777" w:rsidR="00C1228B" w:rsidRPr="001727BF" w:rsidRDefault="00C1228B" w:rsidP="00616580">
            <w:pPr>
              <w:spacing w:after="0" w:line="240" w:lineRule="auto"/>
              <w:jc w:val="center"/>
              <w:rPr>
                <w:rFonts w:ascii="Arial Narrow" w:eastAsia="Times New Roman" w:hAnsi="Arial Narrow" w:cs="Calibri"/>
                <w:b/>
                <w:bCs/>
                <w:color w:val="000000"/>
                <w:sz w:val="18"/>
                <w:szCs w:val="18"/>
                <w:lang w:eastAsia="sk-SK"/>
              </w:rPr>
            </w:pPr>
          </w:p>
        </w:tc>
        <w:tc>
          <w:tcPr>
            <w:tcW w:w="943" w:type="dxa"/>
            <w:tcBorders>
              <w:top w:val="nil"/>
              <w:left w:val="nil"/>
              <w:bottom w:val="nil"/>
              <w:right w:val="nil"/>
            </w:tcBorders>
            <w:shd w:val="clear" w:color="000000" w:fill="FFFFFF"/>
            <w:vAlign w:val="center"/>
          </w:tcPr>
          <w:p w14:paraId="66CB640E" w14:textId="77777777" w:rsidR="00C1228B" w:rsidRPr="001727BF" w:rsidRDefault="00C1228B" w:rsidP="00616580">
            <w:pPr>
              <w:spacing w:after="0" w:line="240" w:lineRule="auto"/>
              <w:jc w:val="center"/>
              <w:rPr>
                <w:rFonts w:ascii="Arial Narrow" w:eastAsia="Times New Roman" w:hAnsi="Arial Narrow" w:cs="Calibri"/>
                <w:b/>
                <w:bCs/>
                <w:color w:val="000000"/>
                <w:sz w:val="18"/>
                <w:szCs w:val="18"/>
                <w:lang w:eastAsia="sk-SK"/>
              </w:rPr>
            </w:pPr>
          </w:p>
        </w:tc>
        <w:tc>
          <w:tcPr>
            <w:tcW w:w="708" w:type="dxa"/>
            <w:gridSpan w:val="3"/>
            <w:tcBorders>
              <w:top w:val="nil"/>
              <w:left w:val="nil"/>
              <w:bottom w:val="nil"/>
              <w:right w:val="nil"/>
            </w:tcBorders>
            <w:shd w:val="clear" w:color="000000" w:fill="FFFFFF"/>
            <w:vAlign w:val="center"/>
          </w:tcPr>
          <w:p w14:paraId="23CA505E" w14:textId="77777777" w:rsidR="00C1228B" w:rsidRPr="001727BF" w:rsidRDefault="00C1228B" w:rsidP="00616580">
            <w:pPr>
              <w:spacing w:after="0" w:line="240" w:lineRule="auto"/>
              <w:jc w:val="center"/>
              <w:rPr>
                <w:rFonts w:ascii="Arial Narrow" w:eastAsia="Times New Roman" w:hAnsi="Arial Narrow" w:cs="Calibri"/>
                <w:b/>
                <w:bCs/>
                <w:color w:val="000000"/>
                <w:sz w:val="18"/>
                <w:szCs w:val="18"/>
                <w:lang w:eastAsia="sk-SK"/>
              </w:rPr>
            </w:pPr>
          </w:p>
        </w:tc>
        <w:tc>
          <w:tcPr>
            <w:tcW w:w="559" w:type="dxa"/>
            <w:tcBorders>
              <w:top w:val="nil"/>
              <w:left w:val="nil"/>
              <w:bottom w:val="nil"/>
              <w:right w:val="nil"/>
            </w:tcBorders>
            <w:shd w:val="clear" w:color="000000" w:fill="FFFFFF"/>
            <w:vAlign w:val="center"/>
          </w:tcPr>
          <w:p w14:paraId="2379F37A" w14:textId="77777777" w:rsidR="00C1228B" w:rsidRPr="001727BF" w:rsidRDefault="00C1228B" w:rsidP="00616580">
            <w:pPr>
              <w:spacing w:after="0" w:line="240" w:lineRule="auto"/>
              <w:jc w:val="center"/>
              <w:rPr>
                <w:rFonts w:ascii="Arial Narrow" w:eastAsia="Times New Roman" w:hAnsi="Arial Narrow" w:cs="Calibri"/>
                <w:b/>
                <w:bCs/>
                <w:color w:val="000000"/>
                <w:sz w:val="18"/>
                <w:szCs w:val="18"/>
                <w:lang w:eastAsia="sk-SK"/>
              </w:rPr>
            </w:pPr>
          </w:p>
        </w:tc>
        <w:tc>
          <w:tcPr>
            <w:tcW w:w="782" w:type="dxa"/>
            <w:gridSpan w:val="6"/>
            <w:tcBorders>
              <w:top w:val="nil"/>
              <w:left w:val="nil"/>
              <w:bottom w:val="nil"/>
              <w:right w:val="nil"/>
            </w:tcBorders>
            <w:shd w:val="clear" w:color="000000" w:fill="FFFFFF"/>
            <w:vAlign w:val="center"/>
          </w:tcPr>
          <w:p w14:paraId="187E542F" w14:textId="77777777" w:rsidR="00C1228B" w:rsidRPr="001727BF" w:rsidRDefault="00C1228B" w:rsidP="00616580">
            <w:pPr>
              <w:spacing w:after="0" w:line="240" w:lineRule="auto"/>
              <w:jc w:val="center"/>
              <w:rPr>
                <w:rFonts w:ascii="Arial Narrow" w:eastAsia="Times New Roman" w:hAnsi="Arial Narrow" w:cs="Calibri"/>
                <w:b/>
                <w:bCs/>
                <w:color w:val="000000"/>
                <w:sz w:val="18"/>
                <w:szCs w:val="18"/>
                <w:lang w:eastAsia="sk-SK"/>
              </w:rPr>
            </w:pPr>
          </w:p>
        </w:tc>
        <w:tc>
          <w:tcPr>
            <w:tcW w:w="614" w:type="dxa"/>
            <w:gridSpan w:val="4"/>
            <w:tcBorders>
              <w:top w:val="nil"/>
              <w:left w:val="nil"/>
              <w:bottom w:val="nil"/>
              <w:right w:val="nil"/>
            </w:tcBorders>
            <w:shd w:val="clear" w:color="000000" w:fill="FFFFFF"/>
            <w:vAlign w:val="center"/>
          </w:tcPr>
          <w:p w14:paraId="41703FC7" w14:textId="77777777" w:rsidR="00C1228B" w:rsidRPr="001727BF" w:rsidRDefault="00C1228B" w:rsidP="00616580">
            <w:pPr>
              <w:spacing w:after="0" w:line="240" w:lineRule="auto"/>
              <w:jc w:val="center"/>
              <w:rPr>
                <w:rFonts w:ascii="Arial Narrow" w:eastAsia="Times New Roman" w:hAnsi="Arial Narrow" w:cs="Calibri"/>
                <w:b/>
                <w:bCs/>
                <w:color w:val="000000"/>
                <w:sz w:val="18"/>
                <w:szCs w:val="18"/>
                <w:lang w:eastAsia="sk-SK"/>
              </w:rPr>
            </w:pPr>
          </w:p>
        </w:tc>
      </w:tr>
      <w:tr w:rsidR="00C1228B" w:rsidRPr="001727BF" w14:paraId="50D227EF" w14:textId="77777777" w:rsidTr="00525C87">
        <w:trPr>
          <w:gridAfter w:val="2"/>
          <w:wAfter w:w="351" w:type="dxa"/>
          <w:trHeight w:val="330"/>
        </w:trPr>
        <w:tc>
          <w:tcPr>
            <w:tcW w:w="3416" w:type="dxa"/>
            <w:gridSpan w:val="4"/>
            <w:tcBorders>
              <w:top w:val="nil"/>
              <w:left w:val="nil"/>
              <w:bottom w:val="nil"/>
              <w:right w:val="nil"/>
            </w:tcBorders>
            <w:shd w:val="clear" w:color="auto" w:fill="auto"/>
            <w:vAlign w:val="center"/>
            <w:hideMark/>
          </w:tcPr>
          <w:p w14:paraId="102098A1" w14:textId="77777777" w:rsidR="00C1228B" w:rsidRPr="001727BF" w:rsidRDefault="00C1228B" w:rsidP="00616580">
            <w:pPr>
              <w:spacing w:after="0" w:line="240" w:lineRule="auto"/>
              <w:rPr>
                <w:rFonts w:ascii="Arial Narrow" w:eastAsia="Times New Roman" w:hAnsi="Arial Narrow" w:cs="Calibri"/>
                <w:b/>
                <w:bCs/>
                <w:sz w:val="18"/>
                <w:szCs w:val="18"/>
                <w:lang w:eastAsia="sk-SK"/>
              </w:rPr>
            </w:pPr>
          </w:p>
        </w:tc>
        <w:tc>
          <w:tcPr>
            <w:tcW w:w="252" w:type="dxa"/>
            <w:tcBorders>
              <w:top w:val="nil"/>
              <w:left w:val="nil"/>
              <w:bottom w:val="nil"/>
              <w:right w:val="nil"/>
            </w:tcBorders>
            <w:shd w:val="clear" w:color="auto" w:fill="auto"/>
            <w:vAlign w:val="center"/>
            <w:hideMark/>
          </w:tcPr>
          <w:p w14:paraId="4D8C18DA"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 </w:t>
            </w:r>
          </w:p>
        </w:tc>
        <w:tc>
          <w:tcPr>
            <w:tcW w:w="968" w:type="dxa"/>
            <w:tcBorders>
              <w:top w:val="nil"/>
              <w:left w:val="nil"/>
              <w:bottom w:val="nil"/>
              <w:right w:val="nil"/>
            </w:tcBorders>
            <w:shd w:val="clear" w:color="auto" w:fill="auto"/>
            <w:vAlign w:val="center"/>
            <w:hideMark/>
          </w:tcPr>
          <w:p w14:paraId="12A23E29"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2023</w:t>
            </w:r>
          </w:p>
        </w:tc>
        <w:tc>
          <w:tcPr>
            <w:tcW w:w="943" w:type="dxa"/>
            <w:tcBorders>
              <w:top w:val="nil"/>
              <w:left w:val="nil"/>
              <w:bottom w:val="nil"/>
              <w:right w:val="nil"/>
            </w:tcBorders>
            <w:shd w:val="clear" w:color="auto" w:fill="auto"/>
            <w:vAlign w:val="center"/>
            <w:hideMark/>
          </w:tcPr>
          <w:p w14:paraId="75377200"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2023</w:t>
            </w:r>
          </w:p>
        </w:tc>
        <w:tc>
          <w:tcPr>
            <w:tcW w:w="943" w:type="dxa"/>
            <w:tcBorders>
              <w:top w:val="nil"/>
              <w:left w:val="nil"/>
              <w:bottom w:val="nil"/>
              <w:right w:val="nil"/>
            </w:tcBorders>
            <w:shd w:val="clear" w:color="auto" w:fill="auto"/>
            <w:vAlign w:val="center"/>
            <w:hideMark/>
          </w:tcPr>
          <w:p w14:paraId="6B1D524C"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2024</w:t>
            </w:r>
          </w:p>
        </w:tc>
        <w:tc>
          <w:tcPr>
            <w:tcW w:w="708" w:type="dxa"/>
            <w:gridSpan w:val="3"/>
            <w:tcBorders>
              <w:top w:val="nil"/>
              <w:left w:val="nil"/>
              <w:bottom w:val="nil"/>
              <w:right w:val="nil"/>
            </w:tcBorders>
            <w:shd w:val="clear" w:color="auto" w:fill="auto"/>
            <w:vAlign w:val="center"/>
            <w:hideMark/>
          </w:tcPr>
          <w:p w14:paraId="5EEB27D1"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2025</w:t>
            </w:r>
          </w:p>
        </w:tc>
        <w:tc>
          <w:tcPr>
            <w:tcW w:w="647" w:type="dxa"/>
            <w:gridSpan w:val="3"/>
            <w:tcBorders>
              <w:top w:val="nil"/>
              <w:left w:val="nil"/>
              <w:bottom w:val="nil"/>
              <w:right w:val="nil"/>
            </w:tcBorders>
            <w:shd w:val="clear" w:color="auto" w:fill="auto"/>
            <w:vAlign w:val="center"/>
            <w:hideMark/>
          </w:tcPr>
          <w:p w14:paraId="7E6360A7"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2026</w:t>
            </w:r>
          </w:p>
        </w:tc>
        <w:tc>
          <w:tcPr>
            <w:tcW w:w="636" w:type="dxa"/>
            <w:gridSpan w:val="3"/>
            <w:tcBorders>
              <w:top w:val="nil"/>
              <w:left w:val="nil"/>
              <w:bottom w:val="nil"/>
              <w:right w:val="nil"/>
            </w:tcBorders>
            <w:shd w:val="clear" w:color="auto" w:fill="auto"/>
            <w:vAlign w:val="center"/>
            <w:hideMark/>
          </w:tcPr>
          <w:p w14:paraId="457FDDCE"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2027</w:t>
            </w:r>
          </w:p>
        </w:tc>
        <w:tc>
          <w:tcPr>
            <w:tcW w:w="634" w:type="dxa"/>
            <w:gridSpan w:val="4"/>
            <w:tcBorders>
              <w:top w:val="nil"/>
              <w:left w:val="nil"/>
              <w:bottom w:val="nil"/>
              <w:right w:val="nil"/>
            </w:tcBorders>
            <w:shd w:val="clear" w:color="auto" w:fill="auto"/>
            <w:vAlign w:val="center"/>
            <w:hideMark/>
          </w:tcPr>
          <w:p w14:paraId="556CFA7B"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2028</w:t>
            </w:r>
          </w:p>
        </w:tc>
      </w:tr>
      <w:tr w:rsidR="00C1228B" w:rsidRPr="001727BF" w14:paraId="40950159" w14:textId="77777777" w:rsidTr="00525C87">
        <w:trPr>
          <w:gridAfter w:val="3"/>
          <w:wAfter w:w="400" w:type="dxa"/>
          <w:trHeight w:val="315"/>
        </w:trPr>
        <w:tc>
          <w:tcPr>
            <w:tcW w:w="1499" w:type="dxa"/>
            <w:gridSpan w:val="2"/>
            <w:tcBorders>
              <w:top w:val="nil"/>
              <w:left w:val="nil"/>
              <w:bottom w:val="single" w:sz="8" w:space="0" w:color="auto"/>
              <w:right w:val="nil"/>
            </w:tcBorders>
            <w:shd w:val="clear" w:color="auto" w:fill="auto"/>
            <w:vAlign w:val="center"/>
            <w:hideMark/>
          </w:tcPr>
          <w:p w14:paraId="2952E134"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 </w:t>
            </w:r>
          </w:p>
        </w:tc>
        <w:tc>
          <w:tcPr>
            <w:tcW w:w="958" w:type="dxa"/>
            <w:tcBorders>
              <w:top w:val="nil"/>
              <w:left w:val="nil"/>
              <w:bottom w:val="single" w:sz="8" w:space="0" w:color="auto"/>
              <w:right w:val="nil"/>
            </w:tcBorders>
            <w:shd w:val="clear" w:color="auto" w:fill="auto"/>
            <w:vAlign w:val="center"/>
            <w:hideMark/>
          </w:tcPr>
          <w:p w14:paraId="6B965883" w14:textId="77777777" w:rsidR="00C1228B" w:rsidRPr="001727BF" w:rsidRDefault="00C1228B" w:rsidP="00616580">
            <w:pPr>
              <w:spacing w:after="0" w:line="240" w:lineRule="auto"/>
              <w:jc w:val="center"/>
              <w:rPr>
                <w:rFonts w:ascii="Arial Narrow" w:eastAsia="Times New Roman" w:hAnsi="Arial Narrow" w:cs="Calibri"/>
                <w:b/>
                <w:bCs/>
                <w:i/>
                <w:iCs/>
                <w:sz w:val="18"/>
                <w:szCs w:val="18"/>
                <w:lang w:eastAsia="sk-SK"/>
              </w:rPr>
            </w:pPr>
            <w:r w:rsidRPr="001727BF">
              <w:rPr>
                <w:rFonts w:ascii="Arial Narrow" w:eastAsia="Times New Roman" w:hAnsi="Arial Narrow" w:cs="Calibri"/>
                <w:b/>
                <w:bCs/>
                <w:i/>
                <w:iCs/>
                <w:sz w:val="18"/>
                <w:szCs w:val="18"/>
                <w:lang w:eastAsia="sk-SK"/>
              </w:rPr>
              <w:t> </w:t>
            </w:r>
          </w:p>
        </w:tc>
        <w:tc>
          <w:tcPr>
            <w:tcW w:w="959" w:type="dxa"/>
            <w:tcBorders>
              <w:top w:val="nil"/>
              <w:left w:val="nil"/>
              <w:bottom w:val="single" w:sz="8" w:space="0" w:color="auto"/>
              <w:right w:val="nil"/>
            </w:tcBorders>
            <w:shd w:val="clear" w:color="auto" w:fill="auto"/>
            <w:vAlign w:val="center"/>
            <w:hideMark/>
          </w:tcPr>
          <w:p w14:paraId="01CE8484" w14:textId="77777777" w:rsidR="00C1228B" w:rsidRPr="001727BF" w:rsidRDefault="00C1228B" w:rsidP="00616580">
            <w:pPr>
              <w:spacing w:after="0" w:line="240" w:lineRule="auto"/>
              <w:jc w:val="center"/>
              <w:rPr>
                <w:rFonts w:ascii="Arial Narrow" w:eastAsia="Times New Roman" w:hAnsi="Arial Narrow" w:cs="Calibri"/>
                <w:b/>
                <w:bCs/>
                <w:i/>
                <w:iCs/>
                <w:sz w:val="18"/>
                <w:szCs w:val="18"/>
                <w:lang w:eastAsia="sk-SK"/>
              </w:rPr>
            </w:pPr>
            <w:r w:rsidRPr="001727BF">
              <w:rPr>
                <w:rFonts w:ascii="Arial Narrow" w:eastAsia="Times New Roman" w:hAnsi="Arial Narrow" w:cs="Calibri"/>
                <w:b/>
                <w:bCs/>
                <w:i/>
                <w:iCs/>
                <w:sz w:val="18"/>
                <w:szCs w:val="18"/>
                <w:lang w:eastAsia="sk-SK"/>
              </w:rPr>
              <w:t> </w:t>
            </w:r>
          </w:p>
        </w:tc>
        <w:tc>
          <w:tcPr>
            <w:tcW w:w="252" w:type="dxa"/>
            <w:tcBorders>
              <w:top w:val="nil"/>
              <w:left w:val="nil"/>
              <w:bottom w:val="single" w:sz="8" w:space="0" w:color="auto"/>
              <w:right w:val="nil"/>
            </w:tcBorders>
            <w:shd w:val="clear" w:color="auto" w:fill="auto"/>
            <w:vAlign w:val="center"/>
            <w:hideMark/>
          </w:tcPr>
          <w:p w14:paraId="6ABE7738" w14:textId="77777777" w:rsidR="00C1228B" w:rsidRPr="001727BF" w:rsidRDefault="00C1228B" w:rsidP="00616580">
            <w:pPr>
              <w:spacing w:after="0" w:line="240" w:lineRule="auto"/>
              <w:jc w:val="center"/>
              <w:rPr>
                <w:rFonts w:ascii="Arial Narrow" w:eastAsia="Times New Roman" w:hAnsi="Arial Narrow" w:cs="Calibri"/>
                <w:b/>
                <w:bCs/>
                <w:i/>
                <w:iCs/>
                <w:sz w:val="18"/>
                <w:szCs w:val="18"/>
                <w:lang w:eastAsia="sk-SK"/>
              </w:rPr>
            </w:pPr>
            <w:r w:rsidRPr="001727BF">
              <w:rPr>
                <w:rFonts w:ascii="Arial Narrow" w:eastAsia="Times New Roman" w:hAnsi="Arial Narrow" w:cs="Calibri"/>
                <w:b/>
                <w:bCs/>
                <w:i/>
                <w:iCs/>
                <w:sz w:val="18"/>
                <w:szCs w:val="18"/>
                <w:lang w:eastAsia="sk-SK"/>
              </w:rPr>
              <w:t> </w:t>
            </w:r>
          </w:p>
        </w:tc>
        <w:tc>
          <w:tcPr>
            <w:tcW w:w="968" w:type="dxa"/>
            <w:tcBorders>
              <w:top w:val="nil"/>
              <w:left w:val="nil"/>
              <w:bottom w:val="single" w:sz="8" w:space="0" w:color="auto"/>
              <w:right w:val="nil"/>
            </w:tcBorders>
            <w:shd w:val="clear" w:color="auto" w:fill="auto"/>
            <w:vAlign w:val="center"/>
            <w:hideMark/>
          </w:tcPr>
          <w:p w14:paraId="27F09330"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mld. eur</w:t>
            </w:r>
          </w:p>
        </w:tc>
        <w:tc>
          <w:tcPr>
            <w:tcW w:w="943" w:type="dxa"/>
            <w:tcBorders>
              <w:top w:val="nil"/>
              <w:left w:val="nil"/>
              <w:bottom w:val="single" w:sz="8" w:space="0" w:color="auto"/>
              <w:right w:val="nil"/>
            </w:tcBorders>
            <w:shd w:val="clear" w:color="auto" w:fill="auto"/>
            <w:vAlign w:val="center"/>
            <w:hideMark/>
          </w:tcPr>
          <w:p w14:paraId="534B5BDF" w14:textId="77777777" w:rsidR="00C1228B"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 xml:space="preserve">rast </w:t>
            </w:r>
          </w:p>
          <w:p w14:paraId="0D106623"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v %</w:t>
            </w:r>
          </w:p>
        </w:tc>
        <w:tc>
          <w:tcPr>
            <w:tcW w:w="1015" w:type="dxa"/>
            <w:gridSpan w:val="2"/>
            <w:tcBorders>
              <w:top w:val="nil"/>
              <w:left w:val="nil"/>
              <w:bottom w:val="single" w:sz="8" w:space="0" w:color="auto"/>
              <w:right w:val="nil"/>
            </w:tcBorders>
            <w:shd w:val="clear" w:color="auto" w:fill="auto"/>
            <w:vAlign w:val="center"/>
            <w:hideMark/>
          </w:tcPr>
          <w:p w14:paraId="492B0450" w14:textId="77777777" w:rsidR="00C1228B"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 xml:space="preserve">rast </w:t>
            </w:r>
          </w:p>
          <w:p w14:paraId="1251425D"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v %</w:t>
            </w:r>
          </w:p>
        </w:tc>
        <w:tc>
          <w:tcPr>
            <w:tcW w:w="600" w:type="dxa"/>
            <w:tcBorders>
              <w:top w:val="nil"/>
              <w:left w:val="nil"/>
              <w:bottom w:val="single" w:sz="8" w:space="0" w:color="auto"/>
              <w:right w:val="nil"/>
            </w:tcBorders>
            <w:shd w:val="clear" w:color="auto" w:fill="auto"/>
            <w:vAlign w:val="center"/>
            <w:hideMark/>
          </w:tcPr>
          <w:p w14:paraId="526BA055" w14:textId="77777777" w:rsidR="00C1228B"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 xml:space="preserve">rast </w:t>
            </w:r>
          </w:p>
          <w:p w14:paraId="05F2BFB7"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v %</w:t>
            </w:r>
          </w:p>
        </w:tc>
        <w:tc>
          <w:tcPr>
            <w:tcW w:w="639" w:type="dxa"/>
            <w:gridSpan w:val="3"/>
            <w:tcBorders>
              <w:top w:val="nil"/>
              <w:left w:val="nil"/>
              <w:bottom w:val="single" w:sz="8" w:space="0" w:color="auto"/>
              <w:right w:val="nil"/>
            </w:tcBorders>
            <w:shd w:val="clear" w:color="auto" w:fill="auto"/>
            <w:vAlign w:val="center"/>
            <w:hideMark/>
          </w:tcPr>
          <w:p w14:paraId="4CB172FF" w14:textId="77777777" w:rsidR="00C1228B" w:rsidRDefault="00C1228B" w:rsidP="00616580">
            <w:pPr>
              <w:spacing w:after="0" w:line="240" w:lineRule="auto"/>
              <w:jc w:val="center"/>
              <w:rPr>
                <w:rFonts w:ascii="Arial Narrow" w:eastAsia="Times New Roman" w:hAnsi="Arial Narrow" w:cs="Calibri"/>
                <w:sz w:val="18"/>
                <w:szCs w:val="18"/>
                <w:lang w:eastAsia="sk-SK"/>
              </w:rPr>
            </w:pPr>
            <w:r>
              <w:rPr>
                <w:rFonts w:ascii="Arial Narrow" w:eastAsia="Times New Roman" w:hAnsi="Arial Narrow" w:cs="Calibri"/>
                <w:sz w:val="18"/>
                <w:szCs w:val="18"/>
                <w:lang w:eastAsia="sk-SK"/>
              </w:rPr>
              <w:t>r</w:t>
            </w:r>
            <w:r w:rsidRPr="001727BF">
              <w:rPr>
                <w:rFonts w:ascii="Arial Narrow" w:eastAsia="Times New Roman" w:hAnsi="Arial Narrow" w:cs="Calibri"/>
                <w:sz w:val="18"/>
                <w:szCs w:val="18"/>
                <w:lang w:eastAsia="sk-SK"/>
              </w:rPr>
              <w:t>ast</w:t>
            </w:r>
          </w:p>
          <w:p w14:paraId="4E957E39"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v %</w:t>
            </w:r>
          </w:p>
        </w:tc>
        <w:tc>
          <w:tcPr>
            <w:tcW w:w="628" w:type="dxa"/>
            <w:gridSpan w:val="3"/>
            <w:tcBorders>
              <w:top w:val="nil"/>
              <w:left w:val="nil"/>
              <w:bottom w:val="single" w:sz="8" w:space="0" w:color="auto"/>
              <w:right w:val="nil"/>
            </w:tcBorders>
            <w:shd w:val="clear" w:color="auto" w:fill="auto"/>
            <w:vAlign w:val="center"/>
            <w:hideMark/>
          </w:tcPr>
          <w:p w14:paraId="58182586" w14:textId="77777777" w:rsidR="00C1228B"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 xml:space="preserve">rast </w:t>
            </w:r>
          </w:p>
          <w:p w14:paraId="31647732" w14:textId="77777777" w:rsidR="00C1228B" w:rsidRPr="001727BF" w:rsidRDefault="00C1228B" w:rsidP="00616580">
            <w:pPr>
              <w:spacing w:after="0" w:line="240" w:lineRule="auto"/>
              <w:jc w:val="center"/>
              <w:rPr>
                <w:rFonts w:ascii="Arial Narrow" w:eastAsia="Times New Roman" w:hAnsi="Arial Narrow" w:cs="Calibri"/>
                <w:sz w:val="18"/>
                <w:szCs w:val="18"/>
                <w:lang w:eastAsia="sk-SK"/>
              </w:rPr>
            </w:pPr>
            <w:r w:rsidRPr="001727BF">
              <w:rPr>
                <w:rFonts w:ascii="Arial Narrow" w:eastAsia="Times New Roman" w:hAnsi="Arial Narrow" w:cs="Calibri"/>
                <w:sz w:val="18"/>
                <w:szCs w:val="18"/>
                <w:lang w:eastAsia="sk-SK"/>
              </w:rPr>
              <w:t>v %</w:t>
            </w:r>
          </w:p>
        </w:tc>
        <w:tc>
          <w:tcPr>
            <w:tcW w:w="637" w:type="dxa"/>
            <w:gridSpan w:val="4"/>
            <w:tcBorders>
              <w:top w:val="nil"/>
              <w:left w:val="nil"/>
              <w:bottom w:val="single" w:sz="8" w:space="0" w:color="auto"/>
              <w:right w:val="nil"/>
            </w:tcBorders>
            <w:shd w:val="clear" w:color="auto" w:fill="auto"/>
            <w:vAlign w:val="center"/>
            <w:hideMark/>
          </w:tcPr>
          <w:p w14:paraId="763D9A1E" w14:textId="77777777" w:rsidR="00C1228B" w:rsidRDefault="00C1228B" w:rsidP="00616580">
            <w:pPr>
              <w:spacing w:after="0" w:line="240" w:lineRule="auto"/>
              <w:jc w:val="center"/>
              <w:rPr>
                <w:rFonts w:ascii="Arial Narrow" w:eastAsia="Times New Roman" w:hAnsi="Arial Narrow" w:cs="Calibri"/>
                <w:sz w:val="16"/>
                <w:szCs w:val="16"/>
                <w:lang w:eastAsia="sk-SK"/>
              </w:rPr>
            </w:pPr>
            <w:r w:rsidRPr="001727BF">
              <w:rPr>
                <w:rFonts w:ascii="Arial Narrow" w:eastAsia="Times New Roman" w:hAnsi="Arial Narrow" w:cs="Calibri"/>
                <w:sz w:val="16"/>
                <w:szCs w:val="16"/>
                <w:lang w:eastAsia="sk-SK"/>
              </w:rPr>
              <w:t xml:space="preserve">rast </w:t>
            </w:r>
          </w:p>
          <w:p w14:paraId="344E72C0" w14:textId="77777777" w:rsidR="00C1228B" w:rsidRPr="001727BF" w:rsidRDefault="00C1228B" w:rsidP="00616580">
            <w:pPr>
              <w:spacing w:after="0" w:line="240" w:lineRule="auto"/>
              <w:jc w:val="center"/>
              <w:rPr>
                <w:rFonts w:ascii="Arial Narrow" w:eastAsia="Times New Roman" w:hAnsi="Arial Narrow" w:cs="Calibri"/>
                <w:sz w:val="16"/>
                <w:szCs w:val="16"/>
                <w:lang w:eastAsia="sk-SK"/>
              </w:rPr>
            </w:pPr>
            <w:r w:rsidRPr="001727BF">
              <w:rPr>
                <w:rFonts w:ascii="Arial Narrow" w:eastAsia="Times New Roman" w:hAnsi="Arial Narrow" w:cs="Calibri"/>
                <w:sz w:val="16"/>
                <w:szCs w:val="16"/>
                <w:lang w:eastAsia="sk-SK"/>
              </w:rPr>
              <w:t>v %</w:t>
            </w:r>
          </w:p>
        </w:tc>
      </w:tr>
      <w:tr w:rsidR="00C1228B" w:rsidRPr="001727BF" w14:paraId="05E68EDB" w14:textId="77777777" w:rsidTr="00525C87">
        <w:trPr>
          <w:trHeight w:val="300"/>
        </w:trPr>
        <w:tc>
          <w:tcPr>
            <w:tcW w:w="3668" w:type="dxa"/>
            <w:gridSpan w:val="5"/>
            <w:tcBorders>
              <w:top w:val="single" w:sz="8" w:space="0" w:color="auto"/>
              <w:left w:val="nil"/>
              <w:bottom w:val="nil"/>
              <w:right w:val="nil"/>
            </w:tcBorders>
            <w:shd w:val="clear" w:color="auto" w:fill="auto"/>
            <w:vAlign w:val="center"/>
            <w:hideMark/>
          </w:tcPr>
          <w:p w14:paraId="2F6185C1" w14:textId="77777777" w:rsidR="00C1228B" w:rsidRPr="001727BF" w:rsidRDefault="00C1228B" w:rsidP="00616580">
            <w:pPr>
              <w:spacing w:after="0" w:line="240" w:lineRule="auto"/>
              <w:rPr>
                <w:rFonts w:ascii="Arial Narrow" w:eastAsia="Times New Roman" w:hAnsi="Arial Narrow" w:cs="Calibri"/>
                <w:i/>
                <w:iCs/>
                <w:sz w:val="18"/>
                <w:szCs w:val="18"/>
                <w:lang w:eastAsia="sk-SK"/>
              </w:rPr>
            </w:pPr>
            <w:r w:rsidRPr="001727BF">
              <w:rPr>
                <w:rFonts w:ascii="Arial Narrow" w:eastAsia="Times New Roman" w:hAnsi="Arial Narrow" w:cs="Calibri"/>
                <w:i/>
                <w:iCs/>
                <w:sz w:val="18"/>
                <w:szCs w:val="18"/>
                <w:lang w:eastAsia="sk-SK"/>
              </w:rPr>
              <w:t>Hrubý domáci produkt</w:t>
            </w:r>
          </w:p>
        </w:tc>
        <w:tc>
          <w:tcPr>
            <w:tcW w:w="968" w:type="dxa"/>
            <w:tcBorders>
              <w:top w:val="nil"/>
              <w:left w:val="nil"/>
              <w:bottom w:val="nil"/>
              <w:right w:val="nil"/>
            </w:tcBorders>
            <w:shd w:val="clear" w:color="auto" w:fill="auto"/>
            <w:vAlign w:val="center"/>
            <w:hideMark/>
          </w:tcPr>
          <w:p w14:paraId="4B550F76"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r w:rsidRPr="001727BF">
              <w:rPr>
                <w:rFonts w:ascii="Arial Narrow" w:eastAsia="Times New Roman" w:hAnsi="Arial Narrow" w:cs="Calibri"/>
                <w:b/>
                <w:bCs/>
                <w:sz w:val="18"/>
                <w:szCs w:val="18"/>
                <w:lang w:eastAsia="sk-SK"/>
              </w:rPr>
              <w:t> </w:t>
            </w:r>
          </w:p>
        </w:tc>
        <w:tc>
          <w:tcPr>
            <w:tcW w:w="943" w:type="dxa"/>
            <w:tcBorders>
              <w:top w:val="nil"/>
              <w:left w:val="nil"/>
              <w:bottom w:val="nil"/>
              <w:right w:val="nil"/>
            </w:tcBorders>
            <w:shd w:val="clear" w:color="auto" w:fill="auto"/>
            <w:vAlign w:val="center"/>
            <w:hideMark/>
          </w:tcPr>
          <w:p w14:paraId="193EED3F" w14:textId="77777777" w:rsidR="00C1228B" w:rsidRPr="001727BF" w:rsidRDefault="00C1228B" w:rsidP="00616580">
            <w:pPr>
              <w:spacing w:after="0" w:line="240" w:lineRule="auto"/>
              <w:jc w:val="center"/>
              <w:rPr>
                <w:rFonts w:ascii="Arial Narrow" w:eastAsia="Times New Roman" w:hAnsi="Arial Narrow" w:cs="Calibri"/>
                <w:b/>
                <w:bCs/>
                <w:sz w:val="18"/>
                <w:szCs w:val="18"/>
                <w:lang w:eastAsia="sk-SK"/>
              </w:rPr>
            </w:pPr>
          </w:p>
        </w:tc>
        <w:tc>
          <w:tcPr>
            <w:tcW w:w="943" w:type="dxa"/>
            <w:tcBorders>
              <w:top w:val="nil"/>
              <w:left w:val="nil"/>
              <w:bottom w:val="nil"/>
              <w:right w:val="nil"/>
            </w:tcBorders>
            <w:shd w:val="clear" w:color="auto" w:fill="auto"/>
            <w:vAlign w:val="center"/>
            <w:hideMark/>
          </w:tcPr>
          <w:p w14:paraId="1E205963" w14:textId="77777777" w:rsidR="00C1228B" w:rsidRPr="001727BF" w:rsidRDefault="00C1228B" w:rsidP="00616580">
            <w:pPr>
              <w:spacing w:after="0" w:line="240" w:lineRule="auto"/>
              <w:jc w:val="center"/>
              <w:rPr>
                <w:rFonts w:ascii="Arial Narrow" w:eastAsia="Times New Roman" w:hAnsi="Arial Narrow" w:cs="Times New Roman"/>
                <w:sz w:val="18"/>
                <w:szCs w:val="18"/>
                <w:lang w:eastAsia="sk-SK"/>
              </w:rPr>
            </w:pPr>
          </w:p>
        </w:tc>
        <w:tc>
          <w:tcPr>
            <w:tcW w:w="708" w:type="dxa"/>
            <w:gridSpan w:val="3"/>
            <w:tcBorders>
              <w:top w:val="nil"/>
              <w:left w:val="nil"/>
              <w:bottom w:val="nil"/>
              <w:right w:val="nil"/>
            </w:tcBorders>
            <w:shd w:val="clear" w:color="auto" w:fill="auto"/>
            <w:vAlign w:val="center"/>
            <w:hideMark/>
          </w:tcPr>
          <w:p w14:paraId="5A11FA16" w14:textId="77777777" w:rsidR="00C1228B" w:rsidRPr="001727BF" w:rsidRDefault="00C1228B" w:rsidP="00616580">
            <w:pPr>
              <w:spacing w:after="0" w:line="240" w:lineRule="auto"/>
              <w:jc w:val="center"/>
              <w:rPr>
                <w:rFonts w:ascii="Arial Narrow" w:eastAsia="Times New Roman" w:hAnsi="Arial Narrow" w:cs="Times New Roman"/>
                <w:sz w:val="18"/>
                <w:szCs w:val="18"/>
                <w:lang w:eastAsia="sk-SK"/>
              </w:rPr>
            </w:pPr>
          </w:p>
        </w:tc>
        <w:tc>
          <w:tcPr>
            <w:tcW w:w="559" w:type="dxa"/>
            <w:tcBorders>
              <w:top w:val="nil"/>
              <w:left w:val="nil"/>
              <w:bottom w:val="nil"/>
              <w:right w:val="nil"/>
            </w:tcBorders>
            <w:shd w:val="clear" w:color="auto" w:fill="auto"/>
            <w:vAlign w:val="center"/>
            <w:hideMark/>
          </w:tcPr>
          <w:p w14:paraId="7EB416FF" w14:textId="77777777" w:rsidR="00C1228B" w:rsidRPr="001727BF" w:rsidRDefault="00C1228B" w:rsidP="00616580">
            <w:pPr>
              <w:spacing w:after="0" w:line="240" w:lineRule="auto"/>
              <w:jc w:val="center"/>
              <w:rPr>
                <w:rFonts w:ascii="Arial Narrow" w:eastAsia="Times New Roman" w:hAnsi="Arial Narrow" w:cs="Times New Roman"/>
                <w:sz w:val="18"/>
                <w:szCs w:val="18"/>
                <w:lang w:eastAsia="sk-SK"/>
              </w:rPr>
            </w:pPr>
          </w:p>
        </w:tc>
        <w:tc>
          <w:tcPr>
            <w:tcW w:w="782" w:type="dxa"/>
            <w:gridSpan w:val="6"/>
            <w:tcBorders>
              <w:top w:val="nil"/>
              <w:left w:val="nil"/>
              <w:bottom w:val="nil"/>
              <w:right w:val="nil"/>
            </w:tcBorders>
            <w:shd w:val="clear" w:color="auto" w:fill="auto"/>
            <w:vAlign w:val="center"/>
            <w:hideMark/>
          </w:tcPr>
          <w:p w14:paraId="5DE34240" w14:textId="77777777" w:rsidR="00C1228B" w:rsidRPr="001727BF" w:rsidRDefault="00C1228B" w:rsidP="00616580">
            <w:pPr>
              <w:spacing w:after="0" w:line="240" w:lineRule="auto"/>
              <w:jc w:val="center"/>
              <w:rPr>
                <w:rFonts w:ascii="Arial Narrow" w:eastAsia="Times New Roman" w:hAnsi="Arial Narrow" w:cs="Times New Roman"/>
                <w:sz w:val="18"/>
                <w:szCs w:val="18"/>
                <w:lang w:eastAsia="sk-SK"/>
              </w:rPr>
            </w:pPr>
          </w:p>
        </w:tc>
        <w:tc>
          <w:tcPr>
            <w:tcW w:w="927" w:type="dxa"/>
            <w:gridSpan w:val="5"/>
            <w:tcBorders>
              <w:top w:val="nil"/>
              <w:left w:val="nil"/>
              <w:bottom w:val="nil"/>
              <w:right w:val="nil"/>
            </w:tcBorders>
            <w:shd w:val="clear" w:color="auto" w:fill="auto"/>
            <w:vAlign w:val="center"/>
            <w:hideMark/>
          </w:tcPr>
          <w:p w14:paraId="727176C6" w14:textId="77777777" w:rsidR="00C1228B" w:rsidRPr="001727BF" w:rsidRDefault="00C1228B" w:rsidP="00616580">
            <w:pPr>
              <w:spacing w:after="0" w:line="240" w:lineRule="auto"/>
              <w:jc w:val="center"/>
              <w:rPr>
                <w:rFonts w:ascii="Times New Roman" w:eastAsia="Times New Roman" w:hAnsi="Times New Roman" w:cs="Times New Roman"/>
                <w:sz w:val="20"/>
                <w:szCs w:val="20"/>
                <w:lang w:eastAsia="sk-SK"/>
              </w:rPr>
            </w:pPr>
          </w:p>
        </w:tc>
      </w:tr>
      <w:tr w:rsidR="002E18EF" w:rsidRPr="00525C87" w14:paraId="72FFD2C7" w14:textId="77777777" w:rsidTr="00525C87">
        <w:trPr>
          <w:gridAfter w:val="4"/>
          <w:wAfter w:w="448" w:type="dxa"/>
          <w:trHeight w:val="300"/>
        </w:trPr>
        <w:tc>
          <w:tcPr>
            <w:tcW w:w="541" w:type="dxa"/>
            <w:tcBorders>
              <w:top w:val="nil"/>
              <w:left w:val="nil"/>
              <w:bottom w:val="nil"/>
              <w:right w:val="nil"/>
            </w:tcBorders>
            <w:shd w:val="clear" w:color="auto" w:fill="DEEAF6" w:themeFill="accent5" w:themeFillTint="33"/>
            <w:vAlign w:val="center"/>
            <w:hideMark/>
          </w:tcPr>
          <w:p w14:paraId="79032406" w14:textId="77777777" w:rsidR="002E18EF" w:rsidRPr="00A22C01" w:rsidRDefault="002E18EF" w:rsidP="002E18EF">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1</w:t>
            </w:r>
          </w:p>
        </w:tc>
        <w:tc>
          <w:tcPr>
            <w:tcW w:w="3127" w:type="dxa"/>
            <w:gridSpan w:val="4"/>
            <w:tcBorders>
              <w:top w:val="nil"/>
              <w:left w:val="nil"/>
              <w:bottom w:val="nil"/>
              <w:right w:val="nil"/>
            </w:tcBorders>
            <w:shd w:val="clear" w:color="auto" w:fill="DEEAF6" w:themeFill="accent5" w:themeFillTint="33"/>
            <w:vAlign w:val="center"/>
            <w:hideMark/>
          </w:tcPr>
          <w:p w14:paraId="0889EA6D" w14:textId="77777777" w:rsidR="002E18EF" w:rsidRPr="00A22C01" w:rsidRDefault="002E18EF" w:rsidP="002E18EF">
            <w:pPr>
              <w:spacing w:after="0" w:line="240" w:lineRule="auto"/>
              <w:rPr>
                <w:rFonts w:ascii="Arial Narrow" w:eastAsia="Times New Roman" w:hAnsi="Arial Narrow" w:cs="Calibri"/>
                <w:b/>
                <w:bCs/>
                <w:sz w:val="16"/>
                <w:szCs w:val="16"/>
                <w:lang w:eastAsia="sk-SK"/>
              </w:rPr>
            </w:pPr>
            <w:r w:rsidRPr="00A22C01">
              <w:rPr>
                <w:rFonts w:ascii="Arial Narrow" w:eastAsia="Times New Roman" w:hAnsi="Arial Narrow" w:cs="Calibri"/>
                <w:b/>
                <w:bCs/>
                <w:sz w:val="16"/>
                <w:szCs w:val="16"/>
                <w:lang w:eastAsia="sk-SK"/>
              </w:rPr>
              <w:t>Reálny HDP</w:t>
            </w:r>
          </w:p>
        </w:tc>
        <w:tc>
          <w:tcPr>
            <w:tcW w:w="968" w:type="dxa"/>
            <w:tcBorders>
              <w:top w:val="nil"/>
              <w:left w:val="nil"/>
              <w:bottom w:val="nil"/>
              <w:right w:val="nil"/>
            </w:tcBorders>
            <w:shd w:val="clear" w:color="auto" w:fill="DEEAF6" w:themeFill="accent5" w:themeFillTint="33"/>
            <w:vAlign w:val="center"/>
            <w:hideMark/>
          </w:tcPr>
          <w:p w14:paraId="2DF30EF9" w14:textId="77777777" w:rsidR="002E18EF" w:rsidRPr="00A22C01" w:rsidRDefault="002E18EF" w:rsidP="002E18EF">
            <w:pPr>
              <w:spacing w:after="0" w:line="240" w:lineRule="auto"/>
              <w:rPr>
                <w:rFonts w:ascii="Arial Narrow" w:eastAsia="Times New Roman" w:hAnsi="Arial Narrow" w:cs="Calibri"/>
                <w:b/>
                <w:bCs/>
                <w:sz w:val="16"/>
                <w:szCs w:val="16"/>
                <w:lang w:eastAsia="sk-SK"/>
              </w:rPr>
            </w:pPr>
          </w:p>
        </w:tc>
        <w:tc>
          <w:tcPr>
            <w:tcW w:w="943" w:type="dxa"/>
            <w:tcBorders>
              <w:top w:val="nil"/>
              <w:left w:val="nil"/>
              <w:bottom w:val="nil"/>
              <w:right w:val="nil"/>
            </w:tcBorders>
            <w:shd w:val="clear" w:color="auto" w:fill="DEEAF6" w:themeFill="accent5" w:themeFillTint="33"/>
            <w:vAlign w:val="center"/>
            <w:hideMark/>
          </w:tcPr>
          <w:p w14:paraId="609222D9" w14:textId="0DC837A0"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1,6</w:t>
            </w:r>
          </w:p>
        </w:tc>
        <w:tc>
          <w:tcPr>
            <w:tcW w:w="943" w:type="dxa"/>
            <w:tcBorders>
              <w:top w:val="nil"/>
              <w:left w:val="nil"/>
              <w:bottom w:val="nil"/>
              <w:right w:val="nil"/>
            </w:tcBorders>
            <w:shd w:val="clear" w:color="auto" w:fill="DEEAF6" w:themeFill="accent5" w:themeFillTint="33"/>
            <w:vAlign w:val="center"/>
            <w:hideMark/>
          </w:tcPr>
          <w:p w14:paraId="614FC81B" w14:textId="550A9C9C"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2,2</w:t>
            </w:r>
          </w:p>
        </w:tc>
        <w:tc>
          <w:tcPr>
            <w:tcW w:w="708" w:type="dxa"/>
            <w:gridSpan w:val="3"/>
            <w:tcBorders>
              <w:top w:val="nil"/>
              <w:left w:val="nil"/>
              <w:bottom w:val="nil"/>
              <w:right w:val="nil"/>
            </w:tcBorders>
            <w:shd w:val="clear" w:color="auto" w:fill="DEEAF6" w:themeFill="accent5" w:themeFillTint="33"/>
            <w:vAlign w:val="center"/>
            <w:hideMark/>
          </w:tcPr>
          <w:p w14:paraId="4CBC9584" w14:textId="13270250"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2,6</w:t>
            </w:r>
          </w:p>
        </w:tc>
        <w:tc>
          <w:tcPr>
            <w:tcW w:w="559" w:type="dxa"/>
            <w:tcBorders>
              <w:top w:val="nil"/>
              <w:left w:val="nil"/>
              <w:bottom w:val="nil"/>
              <w:right w:val="nil"/>
            </w:tcBorders>
            <w:shd w:val="clear" w:color="auto" w:fill="DEEAF6" w:themeFill="accent5" w:themeFillTint="33"/>
            <w:vAlign w:val="center"/>
            <w:hideMark/>
          </w:tcPr>
          <w:p w14:paraId="79C0BD65" w14:textId="5A907148"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0,5</w:t>
            </w:r>
          </w:p>
        </w:tc>
        <w:tc>
          <w:tcPr>
            <w:tcW w:w="620" w:type="dxa"/>
            <w:gridSpan w:val="3"/>
            <w:tcBorders>
              <w:top w:val="nil"/>
              <w:left w:val="nil"/>
              <w:bottom w:val="nil"/>
              <w:right w:val="nil"/>
            </w:tcBorders>
            <w:shd w:val="clear" w:color="auto" w:fill="DEEAF6" w:themeFill="accent5" w:themeFillTint="33"/>
            <w:vAlign w:val="center"/>
            <w:hideMark/>
          </w:tcPr>
          <w:p w14:paraId="722EC0BA" w14:textId="7256B62A"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1,0</w:t>
            </w:r>
          </w:p>
        </w:tc>
        <w:tc>
          <w:tcPr>
            <w:tcW w:w="641" w:type="dxa"/>
            <w:gridSpan w:val="4"/>
            <w:tcBorders>
              <w:top w:val="nil"/>
              <w:left w:val="nil"/>
              <w:bottom w:val="nil"/>
              <w:right w:val="nil"/>
            </w:tcBorders>
            <w:shd w:val="clear" w:color="auto" w:fill="DEEAF6" w:themeFill="accent5" w:themeFillTint="33"/>
            <w:vAlign w:val="center"/>
            <w:hideMark/>
          </w:tcPr>
          <w:p w14:paraId="06A49549" w14:textId="03974F64"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w:t>
            </w:r>
          </w:p>
        </w:tc>
      </w:tr>
      <w:tr w:rsidR="002E18EF" w:rsidRPr="00525C87" w14:paraId="6D92E926" w14:textId="77777777" w:rsidTr="00525C87">
        <w:trPr>
          <w:gridAfter w:val="4"/>
          <w:wAfter w:w="448" w:type="dxa"/>
          <w:trHeight w:val="300"/>
        </w:trPr>
        <w:tc>
          <w:tcPr>
            <w:tcW w:w="541" w:type="dxa"/>
            <w:tcBorders>
              <w:top w:val="nil"/>
              <w:left w:val="nil"/>
              <w:bottom w:val="nil"/>
              <w:right w:val="nil"/>
            </w:tcBorders>
            <w:shd w:val="clear" w:color="auto" w:fill="DEEAF6" w:themeFill="accent5" w:themeFillTint="33"/>
            <w:vAlign w:val="center"/>
            <w:hideMark/>
          </w:tcPr>
          <w:p w14:paraId="5B462483" w14:textId="77777777" w:rsidR="002E18EF" w:rsidRPr="00A22C01" w:rsidRDefault="002E18EF" w:rsidP="002E18EF">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2</w:t>
            </w:r>
          </w:p>
        </w:tc>
        <w:tc>
          <w:tcPr>
            <w:tcW w:w="3127" w:type="dxa"/>
            <w:gridSpan w:val="4"/>
            <w:tcBorders>
              <w:top w:val="nil"/>
              <w:left w:val="nil"/>
              <w:bottom w:val="nil"/>
              <w:right w:val="nil"/>
            </w:tcBorders>
            <w:shd w:val="clear" w:color="auto" w:fill="DEEAF6" w:themeFill="accent5" w:themeFillTint="33"/>
            <w:vAlign w:val="center"/>
            <w:hideMark/>
          </w:tcPr>
          <w:p w14:paraId="2CF3981F" w14:textId="77777777" w:rsidR="002E18EF" w:rsidRPr="00A22C01" w:rsidRDefault="002E18EF" w:rsidP="002E18EF">
            <w:pPr>
              <w:spacing w:after="0" w:line="240" w:lineRule="auto"/>
              <w:rPr>
                <w:rFonts w:ascii="Arial Narrow" w:eastAsia="Times New Roman" w:hAnsi="Arial Narrow" w:cs="Calibri"/>
                <w:b/>
                <w:bCs/>
                <w:sz w:val="16"/>
                <w:szCs w:val="16"/>
                <w:lang w:eastAsia="sk-SK"/>
              </w:rPr>
            </w:pPr>
            <w:r w:rsidRPr="00A22C01">
              <w:rPr>
                <w:rFonts w:ascii="Arial Narrow" w:eastAsia="Times New Roman" w:hAnsi="Arial Narrow" w:cs="Calibri"/>
                <w:b/>
                <w:bCs/>
                <w:sz w:val="16"/>
                <w:szCs w:val="16"/>
                <w:lang w:eastAsia="sk-SK"/>
              </w:rPr>
              <w:t>Deflátor HDP</w:t>
            </w:r>
          </w:p>
        </w:tc>
        <w:tc>
          <w:tcPr>
            <w:tcW w:w="968" w:type="dxa"/>
            <w:tcBorders>
              <w:top w:val="nil"/>
              <w:left w:val="nil"/>
              <w:bottom w:val="nil"/>
              <w:right w:val="nil"/>
            </w:tcBorders>
            <w:shd w:val="clear" w:color="auto" w:fill="DEEAF6" w:themeFill="accent5" w:themeFillTint="33"/>
            <w:vAlign w:val="center"/>
            <w:hideMark/>
          </w:tcPr>
          <w:p w14:paraId="181FB1A2" w14:textId="77777777" w:rsidR="002E18EF" w:rsidRPr="00A22C01" w:rsidRDefault="002E18EF" w:rsidP="002E18EF">
            <w:pPr>
              <w:spacing w:after="0" w:line="240" w:lineRule="auto"/>
              <w:rPr>
                <w:rFonts w:ascii="Arial Narrow" w:eastAsia="Times New Roman" w:hAnsi="Arial Narrow" w:cs="Calibri"/>
                <w:b/>
                <w:bCs/>
                <w:sz w:val="16"/>
                <w:szCs w:val="16"/>
                <w:lang w:eastAsia="sk-SK"/>
              </w:rPr>
            </w:pPr>
          </w:p>
        </w:tc>
        <w:tc>
          <w:tcPr>
            <w:tcW w:w="943" w:type="dxa"/>
            <w:tcBorders>
              <w:top w:val="nil"/>
              <w:left w:val="nil"/>
              <w:bottom w:val="nil"/>
              <w:right w:val="nil"/>
            </w:tcBorders>
            <w:shd w:val="clear" w:color="auto" w:fill="DEEAF6" w:themeFill="accent5" w:themeFillTint="33"/>
            <w:vAlign w:val="center"/>
            <w:hideMark/>
          </w:tcPr>
          <w:p w14:paraId="12EE5B90" w14:textId="5ECD529E"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10,1</w:t>
            </w:r>
          </w:p>
        </w:tc>
        <w:tc>
          <w:tcPr>
            <w:tcW w:w="943" w:type="dxa"/>
            <w:tcBorders>
              <w:top w:val="nil"/>
              <w:left w:val="nil"/>
              <w:bottom w:val="nil"/>
              <w:right w:val="nil"/>
            </w:tcBorders>
            <w:shd w:val="clear" w:color="auto" w:fill="DEEAF6" w:themeFill="accent5" w:themeFillTint="33"/>
            <w:vAlign w:val="center"/>
            <w:hideMark/>
          </w:tcPr>
          <w:p w14:paraId="5D3B5045" w14:textId="05E76672"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4,6</w:t>
            </w:r>
          </w:p>
        </w:tc>
        <w:tc>
          <w:tcPr>
            <w:tcW w:w="708" w:type="dxa"/>
            <w:gridSpan w:val="3"/>
            <w:tcBorders>
              <w:top w:val="nil"/>
              <w:left w:val="nil"/>
              <w:bottom w:val="nil"/>
              <w:right w:val="nil"/>
            </w:tcBorders>
            <w:shd w:val="clear" w:color="auto" w:fill="DEEAF6" w:themeFill="accent5" w:themeFillTint="33"/>
            <w:vAlign w:val="center"/>
            <w:hideMark/>
          </w:tcPr>
          <w:p w14:paraId="4783404E" w14:textId="1951DE3C"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3,2</w:t>
            </w:r>
          </w:p>
        </w:tc>
        <w:tc>
          <w:tcPr>
            <w:tcW w:w="559" w:type="dxa"/>
            <w:tcBorders>
              <w:top w:val="nil"/>
              <w:left w:val="nil"/>
              <w:bottom w:val="nil"/>
              <w:right w:val="nil"/>
            </w:tcBorders>
            <w:shd w:val="clear" w:color="auto" w:fill="DEEAF6" w:themeFill="accent5" w:themeFillTint="33"/>
            <w:vAlign w:val="center"/>
            <w:hideMark/>
          </w:tcPr>
          <w:p w14:paraId="1146D6FE" w14:textId="74C76DD3"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3,1</w:t>
            </w:r>
          </w:p>
        </w:tc>
        <w:tc>
          <w:tcPr>
            <w:tcW w:w="620" w:type="dxa"/>
            <w:gridSpan w:val="3"/>
            <w:tcBorders>
              <w:top w:val="nil"/>
              <w:left w:val="nil"/>
              <w:bottom w:val="nil"/>
              <w:right w:val="nil"/>
            </w:tcBorders>
            <w:shd w:val="clear" w:color="auto" w:fill="DEEAF6" w:themeFill="accent5" w:themeFillTint="33"/>
            <w:vAlign w:val="center"/>
            <w:hideMark/>
          </w:tcPr>
          <w:p w14:paraId="65B27BE7" w14:textId="21CD232D"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3,0</w:t>
            </w:r>
          </w:p>
        </w:tc>
        <w:tc>
          <w:tcPr>
            <w:tcW w:w="641" w:type="dxa"/>
            <w:gridSpan w:val="4"/>
            <w:tcBorders>
              <w:top w:val="nil"/>
              <w:left w:val="nil"/>
              <w:bottom w:val="nil"/>
              <w:right w:val="nil"/>
            </w:tcBorders>
            <w:shd w:val="clear" w:color="auto" w:fill="DEEAF6" w:themeFill="accent5" w:themeFillTint="33"/>
            <w:vAlign w:val="center"/>
            <w:hideMark/>
          </w:tcPr>
          <w:p w14:paraId="0B483E83" w14:textId="55CB4200"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2,9</w:t>
            </w:r>
          </w:p>
        </w:tc>
      </w:tr>
      <w:tr w:rsidR="002E18EF" w:rsidRPr="00525C87" w14:paraId="1E041D5C" w14:textId="77777777" w:rsidTr="00525C87">
        <w:trPr>
          <w:gridAfter w:val="4"/>
          <w:wAfter w:w="448" w:type="dxa"/>
          <w:trHeight w:val="300"/>
        </w:trPr>
        <w:tc>
          <w:tcPr>
            <w:tcW w:w="541" w:type="dxa"/>
            <w:tcBorders>
              <w:top w:val="nil"/>
              <w:left w:val="nil"/>
              <w:bottom w:val="nil"/>
              <w:right w:val="nil"/>
            </w:tcBorders>
            <w:shd w:val="clear" w:color="auto" w:fill="DEEAF6" w:themeFill="accent5" w:themeFillTint="33"/>
            <w:vAlign w:val="center"/>
            <w:hideMark/>
          </w:tcPr>
          <w:p w14:paraId="38075489" w14:textId="77777777" w:rsidR="002E18EF" w:rsidRPr="00A22C01" w:rsidRDefault="002E18EF" w:rsidP="002E18EF">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3</w:t>
            </w:r>
          </w:p>
        </w:tc>
        <w:tc>
          <w:tcPr>
            <w:tcW w:w="3127" w:type="dxa"/>
            <w:gridSpan w:val="4"/>
            <w:tcBorders>
              <w:top w:val="nil"/>
              <w:left w:val="nil"/>
              <w:bottom w:val="nil"/>
              <w:right w:val="nil"/>
            </w:tcBorders>
            <w:shd w:val="clear" w:color="auto" w:fill="DEEAF6" w:themeFill="accent5" w:themeFillTint="33"/>
            <w:vAlign w:val="center"/>
            <w:hideMark/>
          </w:tcPr>
          <w:p w14:paraId="0C42DDD2" w14:textId="77777777" w:rsidR="002E18EF" w:rsidRPr="00A22C01" w:rsidRDefault="002E18EF" w:rsidP="002E18EF">
            <w:pPr>
              <w:spacing w:after="0" w:line="240" w:lineRule="auto"/>
              <w:rPr>
                <w:rFonts w:ascii="Arial Narrow" w:eastAsia="Times New Roman" w:hAnsi="Arial Narrow" w:cs="Calibri"/>
                <w:b/>
                <w:bCs/>
                <w:sz w:val="16"/>
                <w:szCs w:val="16"/>
                <w:lang w:eastAsia="sk-SK"/>
              </w:rPr>
            </w:pPr>
            <w:r w:rsidRPr="00A22C01">
              <w:rPr>
                <w:rFonts w:ascii="Arial Narrow" w:eastAsia="Times New Roman" w:hAnsi="Arial Narrow" w:cs="Calibri"/>
                <w:b/>
                <w:bCs/>
                <w:sz w:val="16"/>
                <w:szCs w:val="16"/>
                <w:lang w:eastAsia="sk-SK"/>
              </w:rPr>
              <w:t>Nominálny HDP</w:t>
            </w:r>
          </w:p>
        </w:tc>
        <w:tc>
          <w:tcPr>
            <w:tcW w:w="968" w:type="dxa"/>
            <w:tcBorders>
              <w:top w:val="nil"/>
              <w:left w:val="nil"/>
              <w:bottom w:val="nil"/>
              <w:right w:val="nil"/>
            </w:tcBorders>
            <w:shd w:val="clear" w:color="auto" w:fill="DEEAF6" w:themeFill="accent5" w:themeFillTint="33"/>
            <w:vAlign w:val="center"/>
            <w:hideMark/>
          </w:tcPr>
          <w:p w14:paraId="7C4470CA" w14:textId="77777777" w:rsidR="002E18EF" w:rsidRPr="00A22C01" w:rsidRDefault="002E18EF" w:rsidP="002E18EF">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122,8</w:t>
            </w:r>
          </w:p>
        </w:tc>
        <w:tc>
          <w:tcPr>
            <w:tcW w:w="943" w:type="dxa"/>
            <w:tcBorders>
              <w:top w:val="nil"/>
              <w:left w:val="nil"/>
              <w:bottom w:val="nil"/>
              <w:right w:val="nil"/>
            </w:tcBorders>
            <w:shd w:val="clear" w:color="auto" w:fill="DEEAF6" w:themeFill="accent5" w:themeFillTint="33"/>
            <w:vAlign w:val="center"/>
            <w:hideMark/>
          </w:tcPr>
          <w:p w14:paraId="68A7FBBA" w14:textId="71AFCCDE"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11,9</w:t>
            </w:r>
          </w:p>
        </w:tc>
        <w:tc>
          <w:tcPr>
            <w:tcW w:w="943" w:type="dxa"/>
            <w:tcBorders>
              <w:top w:val="nil"/>
              <w:left w:val="nil"/>
              <w:bottom w:val="nil"/>
              <w:right w:val="nil"/>
            </w:tcBorders>
            <w:shd w:val="clear" w:color="auto" w:fill="DEEAF6" w:themeFill="accent5" w:themeFillTint="33"/>
            <w:vAlign w:val="center"/>
            <w:hideMark/>
          </w:tcPr>
          <w:p w14:paraId="0F7102A3" w14:textId="00535CCF"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6,9</w:t>
            </w:r>
          </w:p>
        </w:tc>
        <w:tc>
          <w:tcPr>
            <w:tcW w:w="708" w:type="dxa"/>
            <w:gridSpan w:val="3"/>
            <w:tcBorders>
              <w:top w:val="nil"/>
              <w:left w:val="nil"/>
              <w:bottom w:val="nil"/>
              <w:right w:val="nil"/>
            </w:tcBorders>
            <w:shd w:val="clear" w:color="auto" w:fill="DEEAF6" w:themeFill="accent5" w:themeFillTint="33"/>
            <w:vAlign w:val="center"/>
            <w:hideMark/>
          </w:tcPr>
          <w:p w14:paraId="7D7EE88D" w14:textId="191C23EE"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5,9</w:t>
            </w:r>
          </w:p>
        </w:tc>
        <w:tc>
          <w:tcPr>
            <w:tcW w:w="559" w:type="dxa"/>
            <w:tcBorders>
              <w:top w:val="nil"/>
              <w:left w:val="nil"/>
              <w:bottom w:val="nil"/>
              <w:right w:val="nil"/>
            </w:tcBorders>
            <w:shd w:val="clear" w:color="auto" w:fill="DEEAF6" w:themeFill="accent5" w:themeFillTint="33"/>
            <w:vAlign w:val="center"/>
            <w:hideMark/>
          </w:tcPr>
          <w:p w14:paraId="08AC520D" w14:textId="679B13D0"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3,6</w:t>
            </w:r>
          </w:p>
        </w:tc>
        <w:tc>
          <w:tcPr>
            <w:tcW w:w="620" w:type="dxa"/>
            <w:gridSpan w:val="3"/>
            <w:tcBorders>
              <w:top w:val="nil"/>
              <w:left w:val="nil"/>
              <w:bottom w:val="nil"/>
              <w:right w:val="nil"/>
            </w:tcBorders>
            <w:shd w:val="clear" w:color="auto" w:fill="DEEAF6" w:themeFill="accent5" w:themeFillTint="33"/>
            <w:vAlign w:val="center"/>
            <w:hideMark/>
          </w:tcPr>
          <w:p w14:paraId="55D474B1" w14:textId="4353FD2B"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4,1</w:t>
            </w:r>
          </w:p>
        </w:tc>
        <w:tc>
          <w:tcPr>
            <w:tcW w:w="641" w:type="dxa"/>
            <w:gridSpan w:val="4"/>
            <w:tcBorders>
              <w:top w:val="nil"/>
              <w:left w:val="nil"/>
              <w:bottom w:val="nil"/>
              <w:right w:val="nil"/>
            </w:tcBorders>
            <w:shd w:val="clear" w:color="auto" w:fill="DEEAF6" w:themeFill="accent5" w:themeFillTint="33"/>
            <w:vAlign w:val="center"/>
            <w:hideMark/>
          </w:tcPr>
          <w:p w14:paraId="528D9E70" w14:textId="0824282D"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4,1</w:t>
            </w:r>
          </w:p>
        </w:tc>
      </w:tr>
      <w:tr w:rsidR="00C1228B" w:rsidRPr="001727BF" w14:paraId="75B43148" w14:textId="77777777" w:rsidTr="00525C87">
        <w:trPr>
          <w:trHeight w:val="300"/>
        </w:trPr>
        <w:tc>
          <w:tcPr>
            <w:tcW w:w="3668" w:type="dxa"/>
            <w:gridSpan w:val="5"/>
            <w:tcBorders>
              <w:top w:val="nil"/>
              <w:left w:val="nil"/>
              <w:bottom w:val="nil"/>
              <w:right w:val="nil"/>
            </w:tcBorders>
            <w:shd w:val="clear" w:color="auto" w:fill="auto"/>
            <w:vAlign w:val="center"/>
            <w:hideMark/>
          </w:tcPr>
          <w:p w14:paraId="1EE710C4" w14:textId="77777777" w:rsidR="00C1228B" w:rsidRPr="00A22C01" w:rsidRDefault="00C1228B" w:rsidP="00616580">
            <w:pPr>
              <w:spacing w:after="0" w:line="240" w:lineRule="auto"/>
              <w:rPr>
                <w:rFonts w:ascii="Arial Narrow" w:eastAsia="Times New Roman" w:hAnsi="Arial Narrow" w:cs="Calibri"/>
                <w:i/>
                <w:iCs/>
                <w:sz w:val="16"/>
                <w:szCs w:val="16"/>
                <w:lang w:eastAsia="sk-SK"/>
              </w:rPr>
            </w:pPr>
            <w:r w:rsidRPr="00A22C01">
              <w:rPr>
                <w:rFonts w:ascii="Arial Narrow" w:eastAsia="Times New Roman" w:hAnsi="Arial Narrow" w:cs="Calibri"/>
                <w:i/>
                <w:iCs/>
                <w:sz w:val="16"/>
                <w:szCs w:val="16"/>
                <w:lang w:eastAsia="sk-SK"/>
              </w:rPr>
              <w:t>Dekompozícia reálneho HDP</w:t>
            </w:r>
          </w:p>
        </w:tc>
        <w:tc>
          <w:tcPr>
            <w:tcW w:w="968" w:type="dxa"/>
            <w:tcBorders>
              <w:top w:val="nil"/>
              <w:left w:val="nil"/>
              <w:bottom w:val="nil"/>
              <w:right w:val="nil"/>
            </w:tcBorders>
            <w:shd w:val="clear" w:color="auto" w:fill="auto"/>
            <w:vAlign w:val="center"/>
            <w:hideMark/>
          </w:tcPr>
          <w:p w14:paraId="217AE77A" w14:textId="77777777" w:rsidR="00C1228B" w:rsidRPr="00A22C01" w:rsidRDefault="00C1228B" w:rsidP="00616580">
            <w:pPr>
              <w:spacing w:after="0" w:line="240" w:lineRule="auto"/>
              <w:rPr>
                <w:rFonts w:ascii="Arial Narrow" w:eastAsia="Times New Roman" w:hAnsi="Arial Narrow" w:cs="Calibri"/>
                <w:i/>
                <w:iCs/>
                <w:sz w:val="16"/>
                <w:szCs w:val="16"/>
                <w:lang w:eastAsia="sk-SK"/>
              </w:rPr>
            </w:pPr>
          </w:p>
        </w:tc>
        <w:tc>
          <w:tcPr>
            <w:tcW w:w="943" w:type="dxa"/>
            <w:tcBorders>
              <w:top w:val="nil"/>
              <w:left w:val="nil"/>
              <w:bottom w:val="nil"/>
              <w:right w:val="nil"/>
            </w:tcBorders>
            <w:shd w:val="clear" w:color="auto" w:fill="auto"/>
            <w:vAlign w:val="center"/>
            <w:hideMark/>
          </w:tcPr>
          <w:p w14:paraId="030EF69C"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c>
          <w:tcPr>
            <w:tcW w:w="943" w:type="dxa"/>
            <w:tcBorders>
              <w:top w:val="nil"/>
              <w:left w:val="nil"/>
              <w:bottom w:val="nil"/>
              <w:right w:val="nil"/>
            </w:tcBorders>
            <w:shd w:val="clear" w:color="auto" w:fill="auto"/>
            <w:vAlign w:val="center"/>
            <w:hideMark/>
          </w:tcPr>
          <w:p w14:paraId="7017767E"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c>
          <w:tcPr>
            <w:tcW w:w="708" w:type="dxa"/>
            <w:gridSpan w:val="3"/>
            <w:tcBorders>
              <w:top w:val="nil"/>
              <w:left w:val="nil"/>
              <w:bottom w:val="nil"/>
              <w:right w:val="nil"/>
            </w:tcBorders>
            <w:shd w:val="clear" w:color="auto" w:fill="auto"/>
            <w:vAlign w:val="center"/>
            <w:hideMark/>
          </w:tcPr>
          <w:p w14:paraId="4F29A5FA"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c>
          <w:tcPr>
            <w:tcW w:w="559" w:type="dxa"/>
            <w:tcBorders>
              <w:top w:val="nil"/>
              <w:left w:val="nil"/>
              <w:bottom w:val="nil"/>
              <w:right w:val="nil"/>
            </w:tcBorders>
            <w:shd w:val="clear" w:color="auto" w:fill="auto"/>
            <w:vAlign w:val="center"/>
            <w:hideMark/>
          </w:tcPr>
          <w:p w14:paraId="0BD14F73"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c>
          <w:tcPr>
            <w:tcW w:w="782" w:type="dxa"/>
            <w:gridSpan w:val="6"/>
            <w:tcBorders>
              <w:top w:val="nil"/>
              <w:left w:val="nil"/>
              <w:bottom w:val="nil"/>
              <w:right w:val="nil"/>
            </w:tcBorders>
            <w:shd w:val="clear" w:color="auto" w:fill="auto"/>
            <w:vAlign w:val="center"/>
            <w:hideMark/>
          </w:tcPr>
          <w:p w14:paraId="77E1AA44"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c>
          <w:tcPr>
            <w:tcW w:w="927" w:type="dxa"/>
            <w:gridSpan w:val="5"/>
            <w:tcBorders>
              <w:top w:val="nil"/>
              <w:left w:val="nil"/>
              <w:bottom w:val="nil"/>
              <w:right w:val="nil"/>
            </w:tcBorders>
            <w:shd w:val="clear" w:color="auto" w:fill="auto"/>
            <w:vAlign w:val="center"/>
            <w:hideMark/>
          </w:tcPr>
          <w:p w14:paraId="274DFB73"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r>
      <w:tr w:rsidR="00937762" w:rsidRPr="00525C87" w14:paraId="1C7B4235" w14:textId="77777777" w:rsidTr="00A22C01">
        <w:trPr>
          <w:gridAfter w:val="2"/>
          <w:wAfter w:w="351" w:type="dxa"/>
          <w:trHeight w:val="300"/>
        </w:trPr>
        <w:tc>
          <w:tcPr>
            <w:tcW w:w="541" w:type="dxa"/>
            <w:tcBorders>
              <w:top w:val="nil"/>
              <w:left w:val="nil"/>
              <w:bottom w:val="nil"/>
              <w:right w:val="nil"/>
            </w:tcBorders>
            <w:shd w:val="clear" w:color="auto" w:fill="DEEAF6" w:themeFill="accent5" w:themeFillTint="33"/>
            <w:vAlign w:val="center"/>
            <w:hideMark/>
          </w:tcPr>
          <w:p w14:paraId="1CD39470"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4</w:t>
            </w:r>
          </w:p>
        </w:tc>
        <w:tc>
          <w:tcPr>
            <w:tcW w:w="3127" w:type="dxa"/>
            <w:gridSpan w:val="4"/>
            <w:tcBorders>
              <w:top w:val="nil"/>
              <w:left w:val="nil"/>
              <w:bottom w:val="nil"/>
              <w:right w:val="nil"/>
            </w:tcBorders>
            <w:shd w:val="clear" w:color="auto" w:fill="DEEAF6" w:themeFill="accent5" w:themeFillTint="33"/>
            <w:vAlign w:val="center"/>
            <w:hideMark/>
          </w:tcPr>
          <w:p w14:paraId="7BF25B22" w14:textId="77777777" w:rsidR="00937762" w:rsidRPr="00A22C01" w:rsidRDefault="00937762" w:rsidP="00937762">
            <w:pPr>
              <w:spacing w:after="0" w:line="240" w:lineRule="auto"/>
              <w:rPr>
                <w:rFonts w:ascii="Arial Narrow" w:eastAsia="Times New Roman" w:hAnsi="Arial Narrow" w:cs="Calibri"/>
                <w:b/>
                <w:bCs/>
                <w:sz w:val="16"/>
                <w:szCs w:val="16"/>
                <w:lang w:eastAsia="sk-SK"/>
              </w:rPr>
            </w:pPr>
            <w:r w:rsidRPr="00A22C01">
              <w:rPr>
                <w:rFonts w:ascii="Arial Narrow" w:eastAsia="Times New Roman" w:hAnsi="Arial Narrow" w:cs="Calibri"/>
                <w:b/>
                <w:bCs/>
                <w:sz w:val="16"/>
                <w:szCs w:val="16"/>
                <w:lang w:eastAsia="sk-SK"/>
              </w:rPr>
              <w:t>Konečná spotreba domácností a NISD</w:t>
            </w:r>
          </w:p>
        </w:tc>
        <w:tc>
          <w:tcPr>
            <w:tcW w:w="968" w:type="dxa"/>
            <w:tcBorders>
              <w:top w:val="nil"/>
              <w:left w:val="nil"/>
              <w:bottom w:val="nil"/>
              <w:right w:val="nil"/>
            </w:tcBorders>
            <w:shd w:val="clear" w:color="auto" w:fill="DEEAF6" w:themeFill="accent5" w:themeFillTint="33"/>
            <w:vAlign w:val="center"/>
            <w:hideMark/>
          </w:tcPr>
          <w:p w14:paraId="1B9F2E60"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hideMark/>
          </w:tcPr>
          <w:p w14:paraId="44C2D8A4" w14:textId="6E25F9BF"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-3,2</w:t>
            </w:r>
          </w:p>
        </w:tc>
        <w:tc>
          <w:tcPr>
            <w:tcW w:w="943" w:type="dxa"/>
            <w:tcBorders>
              <w:top w:val="nil"/>
              <w:left w:val="nil"/>
              <w:bottom w:val="nil"/>
              <w:right w:val="nil"/>
            </w:tcBorders>
            <w:shd w:val="clear" w:color="auto" w:fill="DEEAF6" w:themeFill="accent5" w:themeFillTint="33"/>
            <w:vAlign w:val="center"/>
            <w:hideMark/>
          </w:tcPr>
          <w:p w14:paraId="01FDD529" w14:textId="41EB0574"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0,8</w:t>
            </w:r>
          </w:p>
        </w:tc>
        <w:tc>
          <w:tcPr>
            <w:tcW w:w="708" w:type="dxa"/>
            <w:gridSpan w:val="3"/>
            <w:tcBorders>
              <w:top w:val="nil"/>
              <w:left w:val="nil"/>
              <w:bottom w:val="nil"/>
              <w:right w:val="nil"/>
            </w:tcBorders>
            <w:shd w:val="clear" w:color="auto" w:fill="DEEAF6" w:themeFill="accent5" w:themeFillTint="33"/>
            <w:vAlign w:val="center"/>
          </w:tcPr>
          <w:p w14:paraId="01E7479C" w14:textId="703D10B9"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47" w:type="dxa"/>
            <w:gridSpan w:val="3"/>
            <w:tcBorders>
              <w:top w:val="nil"/>
              <w:left w:val="nil"/>
              <w:bottom w:val="nil"/>
              <w:right w:val="nil"/>
            </w:tcBorders>
            <w:shd w:val="clear" w:color="auto" w:fill="DEEAF6" w:themeFill="accent5" w:themeFillTint="33"/>
            <w:vAlign w:val="center"/>
          </w:tcPr>
          <w:p w14:paraId="20B2EA9E" w14:textId="71B78463"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36" w:type="dxa"/>
            <w:gridSpan w:val="3"/>
            <w:tcBorders>
              <w:top w:val="nil"/>
              <w:left w:val="nil"/>
              <w:bottom w:val="nil"/>
              <w:right w:val="nil"/>
            </w:tcBorders>
            <w:shd w:val="clear" w:color="auto" w:fill="DEEAF6" w:themeFill="accent5" w:themeFillTint="33"/>
            <w:vAlign w:val="center"/>
          </w:tcPr>
          <w:p w14:paraId="0ADF69B1" w14:textId="285EBB7C"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34" w:type="dxa"/>
            <w:gridSpan w:val="4"/>
            <w:tcBorders>
              <w:top w:val="nil"/>
              <w:left w:val="nil"/>
              <w:bottom w:val="nil"/>
              <w:right w:val="nil"/>
            </w:tcBorders>
            <w:shd w:val="clear" w:color="auto" w:fill="DEEAF6" w:themeFill="accent5" w:themeFillTint="33"/>
            <w:vAlign w:val="center"/>
          </w:tcPr>
          <w:p w14:paraId="37E66346" w14:textId="554B3EB7"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937762" w:rsidRPr="00525C87" w14:paraId="3B2EEA26" w14:textId="77777777" w:rsidTr="00A22C01">
        <w:trPr>
          <w:gridAfter w:val="2"/>
          <w:wAfter w:w="351" w:type="dxa"/>
          <w:trHeight w:val="300"/>
        </w:trPr>
        <w:tc>
          <w:tcPr>
            <w:tcW w:w="541" w:type="dxa"/>
            <w:tcBorders>
              <w:top w:val="nil"/>
              <w:left w:val="nil"/>
              <w:bottom w:val="nil"/>
              <w:right w:val="nil"/>
            </w:tcBorders>
            <w:shd w:val="clear" w:color="auto" w:fill="DEEAF6" w:themeFill="accent5" w:themeFillTint="33"/>
            <w:vAlign w:val="center"/>
            <w:hideMark/>
          </w:tcPr>
          <w:p w14:paraId="3FA7B38F"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5</w:t>
            </w:r>
          </w:p>
        </w:tc>
        <w:tc>
          <w:tcPr>
            <w:tcW w:w="3127" w:type="dxa"/>
            <w:gridSpan w:val="4"/>
            <w:tcBorders>
              <w:top w:val="nil"/>
              <w:left w:val="nil"/>
              <w:bottom w:val="nil"/>
              <w:right w:val="nil"/>
            </w:tcBorders>
            <w:shd w:val="clear" w:color="auto" w:fill="DEEAF6" w:themeFill="accent5" w:themeFillTint="33"/>
            <w:vAlign w:val="center"/>
            <w:hideMark/>
          </w:tcPr>
          <w:p w14:paraId="1FA059A8" w14:textId="77777777" w:rsidR="00937762" w:rsidRPr="00A22C01" w:rsidRDefault="00937762" w:rsidP="00937762">
            <w:pPr>
              <w:spacing w:after="0" w:line="240" w:lineRule="auto"/>
              <w:rPr>
                <w:rFonts w:ascii="Arial Narrow" w:eastAsia="Times New Roman" w:hAnsi="Arial Narrow" w:cs="Calibri"/>
                <w:b/>
                <w:bCs/>
                <w:sz w:val="16"/>
                <w:szCs w:val="16"/>
                <w:lang w:eastAsia="sk-SK"/>
              </w:rPr>
            </w:pPr>
            <w:r w:rsidRPr="00A22C01">
              <w:rPr>
                <w:rFonts w:ascii="Arial Narrow" w:eastAsia="Times New Roman" w:hAnsi="Arial Narrow" w:cs="Calibri"/>
                <w:b/>
                <w:bCs/>
                <w:sz w:val="16"/>
                <w:szCs w:val="16"/>
                <w:lang w:eastAsia="sk-SK"/>
              </w:rPr>
              <w:t>Konečná spotreba verejnej správy</w:t>
            </w:r>
          </w:p>
        </w:tc>
        <w:tc>
          <w:tcPr>
            <w:tcW w:w="968" w:type="dxa"/>
            <w:tcBorders>
              <w:top w:val="nil"/>
              <w:left w:val="nil"/>
              <w:bottom w:val="nil"/>
              <w:right w:val="nil"/>
            </w:tcBorders>
            <w:shd w:val="clear" w:color="auto" w:fill="DEEAF6" w:themeFill="accent5" w:themeFillTint="33"/>
            <w:vAlign w:val="center"/>
            <w:hideMark/>
          </w:tcPr>
          <w:p w14:paraId="659C3A4D"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hideMark/>
          </w:tcPr>
          <w:p w14:paraId="3575859F" w14:textId="42B1D4F0"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-0,6</w:t>
            </w:r>
          </w:p>
        </w:tc>
        <w:tc>
          <w:tcPr>
            <w:tcW w:w="943" w:type="dxa"/>
            <w:tcBorders>
              <w:top w:val="nil"/>
              <w:left w:val="nil"/>
              <w:bottom w:val="nil"/>
              <w:right w:val="nil"/>
            </w:tcBorders>
            <w:shd w:val="clear" w:color="auto" w:fill="DEEAF6" w:themeFill="accent5" w:themeFillTint="33"/>
            <w:vAlign w:val="center"/>
            <w:hideMark/>
          </w:tcPr>
          <w:p w14:paraId="789402F2" w14:textId="3B42C897"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3,2</w:t>
            </w:r>
          </w:p>
        </w:tc>
        <w:tc>
          <w:tcPr>
            <w:tcW w:w="708" w:type="dxa"/>
            <w:gridSpan w:val="3"/>
            <w:tcBorders>
              <w:top w:val="nil"/>
              <w:left w:val="nil"/>
              <w:bottom w:val="nil"/>
              <w:right w:val="nil"/>
            </w:tcBorders>
            <w:shd w:val="clear" w:color="auto" w:fill="DEEAF6" w:themeFill="accent5" w:themeFillTint="33"/>
            <w:vAlign w:val="center"/>
          </w:tcPr>
          <w:p w14:paraId="6141E41D" w14:textId="0C1614B0"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47" w:type="dxa"/>
            <w:gridSpan w:val="3"/>
            <w:tcBorders>
              <w:top w:val="nil"/>
              <w:left w:val="nil"/>
              <w:bottom w:val="nil"/>
              <w:right w:val="nil"/>
            </w:tcBorders>
            <w:shd w:val="clear" w:color="auto" w:fill="DEEAF6" w:themeFill="accent5" w:themeFillTint="33"/>
            <w:vAlign w:val="center"/>
          </w:tcPr>
          <w:p w14:paraId="37D92372" w14:textId="46245085"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36" w:type="dxa"/>
            <w:gridSpan w:val="3"/>
            <w:tcBorders>
              <w:top w:val="nil"/>
              <w:left w:val="nil"/>
              <w:bottom w:val="nil"/>
              <w:right w:val="nil"/>
            </w:tcBorders>
            <w:shd w:val="clear" w:color="auto" w:fill="DEEAF6" w:themeFill="accent5" w:themeFillTint="33"/>
            <w:vAlign w:val="center"/>
          </w:tcPr>
          <w:p w14:paraId="2031B05F" w14:textId="7A31DB13"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34" w:type="dxa"/>
            <w:gridSpan w:val="4"/>
            <w:tcBorders>
              <w:top w:val="nil"/>
              <w:left w:val="nil"/>
              <w:bottom w:val="nil"/>
              <w:right w:val="nil"/>
            </w:tcBorders>
            <w:shd w:val="clear" w:color="auto" w:fill="DEEAF6" w:themeFill="accent5" w:themeFillTint="33"/>
            <w:vAlign w:val="center"/>
          </w:tcPr>
          <w:p w14:paraId="2D47EBD4" w14:textId="65AE6328"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937762" w:rsidRPr="00525C87" w14:paraId="45C07A73" w14:textId="77777777" w:rsidTr="00A22C01">
        <w:trPr>
          <w:gridAfter w:val="2"/>
          <w:wAfter w:w="351" w:type="dxa"/>
          <w:trHeight w:val="300"/>
        </w:trPr>
        <w:tc>
          <w:tcPr>
            <w:tcW w:w="541" w:type="dxa"/>
            <w:tcBorders>
              <w:top w:val="nil"/>
              <w:left w:val="nil"/>
              <w:bottom w:val="nil"/>
              <w:right w:val="nil"/>
            </w:tcBorders>
            <w:shd w:val="clear" w:color="auto" w:fill="DEEAF6" w:themeFill="accent5" w:themeFillTint="33"/>
            <w:vAlign w:val="center"/>
            <w:hideMark/>
          </w:tcPr>
          <w:p w14:paraId="11D98E3F"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6</w:t>
            </w:r>
          </w:p>
        </w:tc>
        <w:tc>
          <w:tcPr>
            <w:tcW w:w="3127" w:type="dxa"/>
            <w:gridSpan w:val="4"/>
            <w:tcBorders>
              <w:top w:val="nil"/>
              <w:left w:val="nil"/>
              <w:bottom w:val="nil"/>
              <w:right w:val="nil"/>
            </w:tcBorders>
            <w:shd w:val="clear" w:color="auto" w:fill="DEEAF6" w:themeFill="accent5" w:themeFillTint="33"/>
            <w:vAlign w:val="center"/>
            <w:hideMark/>
          </w:tcPr>
          <w:p w14:paraId="6232C394" w14:textId="77777777" w:rsidR="00937762" w:rsidRPr="00A22C01" w:rsidRDefault="00937762" w:rsidP="00937762">
            <w:pPr>
              <w:spacing w:after="0" w:line="240" w:lineRule="auto"/>
              <w:rPr>
                <w:rFonts w:ascii="Arial Narrow" w:eastAsia="Times New Roman" w:hAnsi="Arial Narrow" w:cs="Calibri"/>
                <w:b/>
                <w:bCs/>
                <w:sz w:val="16"/>
                <w:szCs w:val="16"/>
                <w:lang w:eastAsia="sk-SK"/>
              </w:rPr>
            </w:pPr>
            <w:r w:rsidRPr="00A22C01">
              <w:rPr>
                <w:rFonts w:ascii="Arial Narrow" w:eastAsia="Times New Roman" w:hAnsi="Arial Narrow" w:cs="Calibri"/>
                <w:b/>
                <w:bCs/>
                <w:sz w:val="16"/>
                <w:szCs w:val="16"/>
                <w:lang w:eastAsia="sk-SK"/>
              </w:rPr>
              <w:t>Tvorba hrubého fixného kapitálu</w:t>
            </w:r>
          </w:p>
        </w:tc>
        <w:tc>
          <w:tcPr>
            <w:tcW w:w="968" w:type="dxa"/>
            <w:tcBorders>
              <w:top w:val="nil"/>
              <w:left w:val="nil"/>
              <w:bottom w:val="nil"/>
              <w:right w:val="nil"/>
            </w:tcBorders>
            <w:shd w:val="clear" w:color="auto" w:fill="DEEAF6" w:themeFill="accent5" w:themeFillTint="33"/>
            <w:vAlign w:val="center"/>
            <w:hideMark/>
          </w:tcPr>
          <w:p w14:paraId="5085E38D"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hideMark/>
          </w:tcPr>
          <w:p w14:paraId="3B776972" w14:textId="6E1EEE17"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10,5</w:t>
            </w:r>
          </w:p>
        </w:tc>
        <w:tc>
          <w:tcPr>
            <w:tcW w:w="943" w:type="dxa"/>
            <w:tcBorders>
              <w:top w:val="nil"/>
              <w:left w:val="nil"/>
              <w:bottom w:val="nil"/>
              <w:right w:val="nil"/>
            </w:tcBorders>
            <w:shd w:val="clear" w:color="auto" w:fill="DEEAF6" w:themeFill="accent5" w:themeFillTint="33"/>
            <w:vAlign w:val="center"/>
            <w:hideMark/>
          </w:tcPr>
          <w:p w14:paraId="6F15105B" w14:textId="33A0CC29"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1,0</w:t>
            </w:r>
          </w:p>
        </w:tc>
        <w:tc>
          <w:tcPr>
            <w:tcW w:w="708" w:type="dxa"/>
            <w:gridSpan w:val="3"/>
            <w:tcBorders>
              <w:top w:val="nil"/>
              <w:left w:val="nil"/>
              <w:bottom w:val="nil"/>
              <w:right w:val="nil"/>
            </w:tcBorders>
            <w:shd w:val="clear" w:color="auto" w:fill="DEEAF6" w:themeFill="accent5" w:themeFillTint="33"/>
            <w:vAlign w:val="center"/>
          </w:tcPr>
          <w:p w14:paraId="16215A03" w14:textId="3AC518A3"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47" w:type="dxa"/>
            <w:gridSpan w:val="3"/>
            <w:tcBorders>
              <w:top w:val="nil"/>
              <w:left w:val="nil"/>
              <w:bottom w:val="nil"/>
              <w:right w:val="nil"/>
            </w:tcBorders>
            <w:shd w:val="clear" w:color="auto" w:fill="DEEAF6" w:themeFill="accent5" w:themeFillTint="33"/>
            <w:vAlign w:val="center"/>
          </w:tcPr>
          <w:p w14:paraId="1886EEBF" w14:textId="364EF397"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36" w:type="dxa"/>
            <w:gridSpan w:val="3"/>
            <w:tcBorders>
              <w:top w:val="nil"/>
              <w:left w:val="nil"/>
              <w:bottom w:val="nil"/>
              <w:right w:val="nil"/>
            </w:tcBorders>
            <w:shd w:val="clear" w:color="auto" w:fill="DEEAF6" w:themeFill="accent5" w:themeFillTint="33"/>
            <w:vAlign w:val="center"/>
          </w:tcPr>
          <w:p w14:paraId="0B81DE12" w14:textId="0DE3C18C"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34" w:type="dxa"/>
            <w:gridSpan w:val="4"/>
            <w:tcBorders>
              <w:top w:val="nil"/>
              <w:left w:val="nil"/>
              <w:bottom w:val="nil"/>
              <w:right w:val="nil"/>
            </w:tcBorders>
            <w:shd w:val="clear" w:color="auto" w:fill="DEEAF6" w:themeFill="accent5" w:themeFillTint="33"/>
            <w:vAlign w:val="center"/>
          </w:tcPr>
          <w:p w14:paraId="1031135C" w14:textId="7584DB97"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937762" w:rsidRPr="00525C87" w14:paraId="61F0C3DE" w14:textId="77777777" w:rsidTr="00A22C01">
        <w:trPr>
          <w:gridAfter w:val="2"/>
          <w:wAfter w:w="351" w:type="dxa"/>
          <w:trHeight w:val="300"/>
        </w:trPr>
        <w:tc>
          <w:tcPr>
            <w:tcW w:w="541" w:type="dxa"/>
            <w:tcBorders>
              <w:top w:val="nil"/>
              <w:left w:val="nil"/>
              <w:bottom w:val="nil"/>
              <w:right w:val="nil"/>
            </w:tcBorders>
            <w:shd w:val="clear" w:color="auto" w:fill="DEEAF6" w:themeFill="accent5" w:themeFillTint="33"/>
            <w:vAlign w:val="center"/>
            <w:hideMark/>
          </w:tcPr>
          <w:p w14:paraId="0426794E"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7</w:t>
            </w:r>
          </w:p>
        </w:tc>
        <w:tc>
          <w:tcPr>
            <w:tcW w:w="3127" w:type="dxa"/>
            <w:gridSpan w:val="4"/>
            <w:tcBorders>
              <w:top w:val="nil"/>
              <w:left w:val="nil"/>
              <w:bottom w:val="nil"/>
              <w:right w:val="nil"/>
            </w:tcBorders>
            <w:shd w:val="clear" w:color="auto" w:fill="DEEAF6" w:themeFill="accent5" w:themeFillTint="33"/>
            <w:vAlign w:val="center"/>
            <w:hideMark/>
          </w:tcPr>
          <w:p w14:paraId="53084B8C" w14:textId="77777777" w:rsidR="00937762" w:rsidRPr="00A22C01" w:rsidRDefault="00937762" w:rsidP="00937762">
            <w:pPr>
              <w:spacing w:after="0" w:line="240" w:lineRule="auto"/>
              <w:rPr>
                <w:rFonts w:ascii="Arial Narrow" w:eastAsia="Times New Roman" w:hAnsi="Arial Narrow" w:cs="Calibri"/>
                <w:b/>
                <w:bCs/>
                <w:sz w:val="16"/>
                <w:szCs w:val="16"/>
                <w:lang w:eastAsia="sk-SK"/>
              </w:rPr>
            </w:pPr>
            <w:r w:rsidRPr="00A22C01">
              <w:rPr>
                <w:rFonts w:ascii="Arial Narrow" w:eastAsia="Times New Roman" w:hAnsi="Arial Narrow" w:cs="Calibri"/>
                <w:b/>
                <w:bCs/>
                <w:sz w:val="16"/>
                <w:szCs w:val="16"/>
                <w:lang w:eastAsia="sk-SK"/>
              </w:rPr>
              <w:t>Zmena stavu zásob a čisté nadobudnutie cenností</w:t>
            </w:r>
          </w:p>
        </w:tc>
        <w:tc>
          <w:tcPr>
            <w:tcW w:w="968" w:type="dxa"/>
            <w:tcBorders>
              <w:top w:val="nil"/>
              <w:left w:val="nil"/>
              <w:bottom w:val="nil"/>
              <w:right w:val="nil"/>
            </w:tcBorders>
            <w:shd w:val="clear" w:color="auto" w:fill="DEEAF6" w:themeFill="accent5" w:themeFillTint="33"/>
            <w:vAlign w:val="center"/>
            <w:hideMark/>
          </w:tcPr>
          <w:p w14:paraId="00472C21"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hideMark/>
          </w:tcPr>
          <w:p w14:paraId="4574A18A" w14:textId="04E937DB"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 </w:t>
            </w:r>
          </w:p>
        </w:tc>
        <w:tc>
          <w:tcPr>
            <w:tcW w:w="943" w:type="dxa"/>
            <w:tcBorders>
              <w:top w:val="nil"/>
              <w:left w:val="nil"/>
              <w:bottom w:val="nil"/>
              <w:right w:val="nil"/>
            </w:tcBorders>
            <w:shd w:val="clear" w:color="auto" w:fill="DEEAF6" w:themeFill="accent5" w:themeFillTint="33"/>
            <w:vAlign w:val="center"/>
            <w:hideMark/>
          </w:tcPr>
          <w:p w14:paraId="266603C7" w14:textId="021073C0"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 </w:t>
            </w:r>
          </w:p>
        </w:tc>
        <w:tc>
          <w:tcPr>
            <w:tcW w:w="708" w:type="dxa"/>
            <w:gridSpan w:val="3"/>
            <w:tcBorders>
              <w:top w:val="nil"/>
              <w:left w:val="nil"/>
              <w:bottom w:val="nil"/>
              <w:right w:val="nil"/>
            </w:tcBorders>
            <w:shd w:val="clear" w:color="auto" w:fill="DEEAF6" w:themeFill="accent5" w:themeFillTint="33"/>
            <w:vAlign w:val="center"/>
          </w:tcPr>
          <w:p w14:paraId="32ABA696" w14:textId="4C354027"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47" w:type="dxa"/>
            <w:gridSpan w:val="3"/>
            <w:tcBorders>
              <w:top w:val="nil"/>
              <w:left w:val="nil"/>
              <w:bottom w:val="nil"/>
              <w:right w:val="nil"/>
            </w:tcBorders>
            <w:shd w:val="clear" w:color="auto" w:fill="DEEAF6" w:themeFill="accent5" w:themeFillTint="33"/>
            <w:vAlign w:val="center"/>
          </w:tcPr>
          <w:p w14:paraId="7E22924B" w14:textId="31EAE2E0"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36" w:type="dxa"/>
            <w:gridSpan w:val="3"/>
            <w:tcBorders>
              <w:top w:val="nil"/>
              <w:left w:val="nil"/>
              <w:bottom w:val="nil"/>
              <w:right w:val="nil"/>
            </w:tcBorders>
            <w:shd w:val="clear" w:color="auto" w:fill="DEEAF6" w:themeFill="accent5" w:themeFillTint="33"/>
            <w:vAlign w:val="center"/>
          </w:tcPr>
          <w:p w14:paraId="0F53443B" w14:textId="1B0E7987"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34" w:type="dxa"/>
            <w:gridSpan w:val="4"/>
            <w:tcBorders>
              <w:top w:val="nil"/>
              <w:left w:val="nil"/>
              <w:bottom w:val="nil"/>
              <w:right w:val="nil"/>
            </w:tcBorders>
            <w:shd w:val="clear" w:color="auto" w:fill="DEEAF6" w:themeFill="accent5" w:themeFillTint="33"/>
            <w:vAlign w:val="center"/>
          </w:tcPr>
          <w:p w14:paraId="086D3E04" w14:textId="1558F4D4"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937762" w:rsidRPr="00525C87" w14:paraId="1D8418E5" w14:textId="77777777" w:rsidTr="00A22C01">
        <w:trPr>
          <w:gridAfter w:val="2"/>
          <w:wAfter w:w="351" w:type="dxa"/>
          <w:trHeight w:val="300"/>
        </w:trPr>
        <w:tc>
          <w:tcPr>
            <w:tcW w:w="541" w:type="dxa"/>
            <w:tcBorders>
              <w:top w:val="nil"/>
              <w:left w:val="nil"/>
              <w:bottom w:val="nil"/>
              <w:right w:val="nil"/>
            </w:tcBorders>
            <w:shd w:val="clear" w:color="auto" w:fill="DEEAF6" w:themeFill="accent5" w:themeFillTint="33"/>
            <w:vAlign w:val="center"/>
            <w:hideMark/>
          </w:tcPr>
          <w:p w14:paraId="6C970020"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8</w:t>
            </w:r>
          </w:p>
        </w:tc>
        <w:tc>
          <w:tcPr>
            <w:tcW w:w="3127" w:type="dxa"/>
            <w:gridSpan w:val="4"/>
            <w:tcBorders>
              <w:top w:val="nil"/>
              <w:left w:val="nil"/>
              <w:bottom w:val="nil"/>
              <w:right w:val="nil"/>
            </w:tcBorders>
            <w:shd w:val="clear" w:color="auto" w:fill="DEEAF6" w:themeFill="accent5" w:themeFillTint="33"/>
            <w:vAlign w:val="center"/>
            <w:hideMark/>
          </w:tcPr>
          <w:p w14:paraId="77ECBBB7" w14:textId="77777777" w:rsidR="00937762" w:rsidRPr="00A22C01" w:rsidRDefault="00937762" w:rsidP="00937762">
            <w:pPr>
              <w:spacing w:after="0" w:line="240" w:lineRule="auto"/>
              <w:rPr>
                <w:rFonts w:ascii="Arial Narrow" w:eastAsia="Times New Roman" w:hAnsi="Arial Narrow" w:cs="Calibri"/>
                <w:b/>
                <w:bCs/>
                <w:sz w:val="16"/>
                <w:szCs w:val="16"/>
                <w:lang w:eastAsia="sk-SK"/>
              </w:rPr>
            </w:pPr>
            <w:r w:rsidRPr="00A22C01">
              <w:rPr>
                <w:rFonts w:ascii="Arial Narrow" w:eastAsia="Times New Roman" w:hAnsi="Arial Narrow" w:cs="Calibri"/>
                <w:b/>
                <w:bCs/>
                <w:sz w:val="16"/>
                <w:szCs w:val="16"/>
                <w:lang w:eastAsia="sk-SK"/>
              </w:rPr>
              <w:t>Export tovarov a služieb</w:t>
            </w:r>
          </w:p>
        </w:tc>
        <w:tc>
          <w:tcPr>
            <w:tcW w:w="968" w:type="dxa"/>
            <w:tcBorders>
              <w:top w:val="nil"/>
              <w:left w:val="nil"/>
              <w:bottom w:val="nil"/>
              <w:right w:val="nil"/>
            </w:tcBorders>
            <w:shd w:val="clear" w:color="auto" w:fill="DEEAF6" w:themeFill="accent5" w:themeFillTint="33"/>
            <w:vAlign w:val="center"/>
            <w:hideMark/>
          </w:tcPr>
          <w:p w14:paraId="4FEA517E"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hideMark/>
          </w:tcPr>
          <w:p w14:paraId="6B452BE8" w14:textId="10B5391E"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-1,4</w:t>
            </w:r>
          </w:p>
        </w:tc>
        <w:tc>
          <w:tcPr>
            <w:tcW w:w="943" w:type="dxa"/>
            <w:tcBorders>
              <w:top w:val="nil"/>
              <w:left w:val="nil"/>
              <w:bottom w:val="nil"/>
              <w:right w:val="nil"/>
            </w:tcBorders>
            <w:shd w:val="clear" w:color="auto" w:fill="DEEAF6" w:themeFill="accent5" w:themeFillTint="33"/>
            <w:vAlign w:val="center"/>
            <w:hideMark/>
          </w:tcPr>
          <w:p w14:paraId="57B25B04" w14:textId="135CEE0C"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4,3</w:t>
            </w:r>
          </w:p>
        </w:tc>
        <w:tc>
          <w:tcPr>
            <w:tcW w:w="708" w:type="dxa"/>
            <w:gridSpan w:val="3"/>
            <w:tcBorders>
              <w:top w:val="nil"/>
              <w:left w:val="nil"/>
              <w:bottom w:val="nil"/>
              <w:right w:val="nil"/>
            </w:tcBorders>
            <w:shd w:val="clear" w:color="auto" w:fill="DEEAF6" w:themeFill="accent5" w:themeFillTint="33"/>
            <w:vAlign w:val="center"/>
          </w:tcPr>
          <w:p w14:paraId="705A8C7B" w14:textId="6F24F409"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47" w:type="dxa"/>
            <w:gridSpan w:val="3"/>
            <w:tcBorders>
              <w:top w:val="nil"/>
              <w:left w:val="nil"/>
              <w:bottom w:val="nil"/>
              <w:right w:val="nil"/>
            </w:tcBorders>
            <w:shd w:val="clear" w:color="auto" w:fill="DEEAF6" w:themeFill="accent5" w:themeFillTint="33"/>
            <w:vAlign w:val="center"/>
          </w:tcPr>
          <w:p w14:paraId="5CCC3754" w14:textId="77B2E784"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36" w:type="dxa"/>
            <w:gridSpan w:val="3"/>
            <w:tcBorders>
              <w:top w:val="nil"/>
              <w:left w:val="nil"/>
              <w:bottom w:val="nil"/>
              <w:right w:val="nil"/>
            </w:tcBorders>
            <w:shd w:val="clear" w:color="auto" w:fill="DEEAF6" w:themeFill="accent5" w:themeFillTint="33"/>
            <w:vAlign w:val="center"/>
          </w:tcPr>
          <w:p w14:paraId="21737A0B" w14:textId="2568A2AC"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34" w:type="dxa"/>
            <w:gridSpan w:val="4"/>
            <w:tcBorders>
              <w:top w:val="nil"/>
              <w:left w:val="nil"/>
              <w:bottom w:val="nil"/>
              <w:right w:val="nil"/>
            </w:tcBorders>
            <w:shd w:val="clear" w:color="auto" w:fill="DEEAF6" w:themeFill="accent5" w:themeFillTint="33"/>
            <w:vAlign w:val="center"/>
          </w:tcPr>
          <w:p w14:paraId="661DBA61" w14:textId="3A3573BB"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937762" w:rsidRPr="00525C87" w14:paraId="0634A9E7" w14:textId="77777777" w:rsidTr="00A22C01">
        <w:trPr>
          <w:gridAfter w:val="2"/>
          <w:wAfter w:w="351" w:type="dxa"/>
          <w:trHeight w:val="300"/>
        </w:trPr>
        <w:tc>
          <w:tcPr>
            <w:tcW w:w="541" w:type="dxa"/>
            <w:tcBorders>
              <w:top w:val="nil"/>
              <w:left w:val="nil"/>
              <w:bottom w:val="nil"/>
              <w:right w:val="nil"/>
            </w:tcBorders>
            <w:shd w:val="clear" w:color="auto" w:fill="DEEAF6" w:themeFill="accent5" w:themeFillTint="33"/>
            <w:vAlign w:val="center"/>
            <w:hideMark/>
          </w:tcPr>
          <w:p w14:paraId="6FBBD41E"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9</w:t>
            </w:r>
          </w:p>
        </w:tc>
        <w:tc>
          <w:tcPr>
            <w:tcW w:w="3127" w:type="dxa"/>
            <w:gridSpan w:val="4"/>
            <w:tcBorders>
              <w:top w:val="nil"/>
              <w:left w:val="nil"/>
              <w:bottom w:val="nil"/>
              <w:right w:val="nil"/>
            </w:tcBorders>
            <w:shd w:val="clear" w:color="auto" w:fill="DEEAF6" w:themeFill="accent5" w:themeFillTint="33"/>
            <w:vAlign w:val="center"/>
            <w:hideMark/>
          </w:tcPr>
          <w:p w14:paraId="13C57551" w14:textId="77777777" w:rsidR="00937762" w:rsidRPr="00A22C01" w:rsidRDefault="00937762" w:rsidP="00937762">
            <w:pPr>
              <w:spacing w:after="0" w:line="240" w:lineRule="auto"/>
              <w:rPr>
                <w:rFonts w:ascii="Arial Narrow" w:eastAsia="Times New Roman" w:hAnsi="Arial Narrow" w:cs="Calibri"/>
                <w:b/>
                <w:bCs/>
                <w:sz w:val="16"/>
                <w:szCs w:val="16"/>
                <w:lang w:eastAsia="sk-SK"/>
              </w:rPr>
            </w:pPr>
            <w:r w:rsidRPr="00A22C01">
              <w:rPr>
                <w:rFonts w:ascii="Arial Narrow" w:eastAsia="Times New Roman" w:hAnsi="Arial Narrow" w:cs="Calibri"/>
                <w:b/>
                <w:bCs/>
                <w:sz w:val="16"/>
                <w:szCs w:val="16"/>
                <w:lang w:eastAsia="sk-SK"/>
              </w:rPr>
              <w:t>Import tovarov a služieb</w:t>
            </w:r>
          </w:p>
        </w:tc>
        <w:tc>
          <w:tcPr>
            <w:tcW w:w="968" w:type="dxa"/>
            <w:tcBorders>
              <w:top w:val="nil"/>
              <w:left w:val="nil"/>
              <w:bottom w:val="nil"/>
              <w:right w:val="nil"/>
            </w:tcBorders>
            <w:shd w:val="clear" w:color="auto" w:fill="DEEAF6" w:themeFill="accent5" w:themeFillTint="33"/>
            <w:vAlign w:val="center"/>
            <w:hideMark/>
          </w:tcPr>
          <w:p w14:paraId="193265FE"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hideMark/>
          </w:tcPr>
          <w:p w14:paraId="3D7F7247" w14:textId="2FA59F35"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-7,6</w:t>
            </w:r>
          </w:p>
        </w:tc>
        <w:tc>
          <w:tcPr>
            <w:tcW w:w="943" w:type="dxa"/>
            <w:tcBorders>
              <w:top w:val="nil"/>
              <w:left w:val="nil"/>
              <w:bottom w:val="nil"/>
              <w:right w:val="nil"/>
            </w:tcBorders>
            <w:shd w:val="clear" w:color="auto" w:fill="DEEAF6" w:themeFill="accent5" w:themeFillTint="33"/>
            <w:vAlign w:val="center"/>
            <w:hideMark/>
          </w:tcPr>
          <w:p w14:paraId="5D4FDFB0" w14:textId="7FD978A9"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5,2</w:t>
            </w:r>
          </w:p>
        </w:tc>
        <w:tc>
          <w:tcPr>
            <w:tcW w:w="708" w:type="dxa"/>
            <w:gridSpan w:val="3"/>
            <w:tcBorders>
              <w:top w:val="nil"/>
              <w:left w:val="nil"/>
              <w:bottom w:val="nil"/>
              <w:right w:val="nil"/>
            </w:tcBorders>
            <w:shd w:val="clear" w:color="auto" w:fill="DEEAF6" w:themeFill="accent5" w:themeFillTint="33"/>
            <w:vAlign w:val="center"/>
          </w:tcPr>
          <w:p w14:paraId="5C45513B" w14:textId="54F6E560"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47" w:type="dxa"/>
            <w:gridSpan w:val="3"/>
            <w:tcBorders>
              <w:top w:val="nil"/>
              <w:left w:val="nil"/>
              <w:bottom w:val="nil"/>
              <w:right w:val="nil"/>
            </w:tcBorders>
            <w:shd w:val="clear" w:color="auto" w:fill="DEEAF6" w:themeFill="accent5" w:themeFillTint="33"/>
            <w:vAlign w:val="center"/>
          </w:tcPr>
          <w:p w14:paraId="6A4A2CA8" w14:textId="1ECA88FE"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36" w:type="dxa"/>
            <w:gridSpan w:val="3"/>
            <w:tcBorders>
              <w:top w:val="nil"/>
              <w:left w:val="nil"/>
              <w:bottom w:val="nil"/>
              <w:right w:val="nil"/>
            </w:tcBorders>
            <w:shd w:val="clear" w:color="auto" w:fill="DEEAF6" w:themeFill="accent5" w:themeFillTint="33"/>
            <w:vAlign w:val="center"/>
          </w:tcPr>
          <w:p w14:paraId="3AA01C46" w14:textId="5AF62814"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34" w:type="dxa"/>
            <w:gridSpan w:val="4"/>
            <w:tcBorders>
              <w:top w:val="nil"/>
              <w:left w:val="nil"/>
              <w:bottom w:val="nil"/>
              <w:right w:val="nil"/>
            </w:tcBorders>
            <w:shd w:val="clear" w:color="auto" w:fill="DEEAF6" w:themeFill="accent5" w:themeFillTint="33"/>
            <w:vAlign w:val="center"/>
          </w:tcPr>
          <w:p w14:paraId="2B696AD8" w14:textId="306C5CC3"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2E18EF" w:rsidRPr="00525C87" w14:paraId="04178DE6" w14:textId="77777777" w:rsidTr="00A22C01">
        <w:trPr>
          <w:gridAfter w:val="2"/>
          <w:wAfter w:w="351" w:type="dxa"/>
          <w:trHeight w:val="300"/>
        </w:trPr>
        <w:tc>
          <w:tcPr>
            <w:tcW w:w="541" w:type="dxa"/>
            <w:tcBorders>
              <w:top w:val="nil"/>
              <w:left w:val="nil"/>
              <w:bottom w:val="nil"/>
              <w:right w:val="nil"/>
            </w:tcBorders>
            <w:shd w:val="clear" w:color="auto" w:fill="DEEAF6" w:themeFill="accent5" w:themeFillTint="33"/>
            <w:vAlign w:val="center"/>
            <w:hideMark/>
          </w:tcPr>
          <w:p w14:paraId="2D66B6B2" w14:textId="77777777" w:rsidR="002E18EF" w:rsidRPr="00A22C01" w:rsidRDefault="002E18EF" w:rsidP="002E18EF">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 </w:t>
            </w:r>
          </w:p>
        </w:tc>
        <w:tc>
          <w:tcPr>
            <w:tcW w:w="3127" w:type="dxa"/>
            <w:gridSpan w:val="4"/>
            <w:tcBorders>
              <w:top w:val="nil"/>
              <w:left w:val="nil"/>
              <w:bottom w:val="nil"/>
              <w:right w:val="nil"/>
            </w:tcBorders>
            <w:shd w:val="clear" w:color="auto" w:fill="DEEAF6" w:themeFill="accent5" w:themeFillTint="33"/>
            <w:vAlign w:val="center"/>
            <w:hideMark/>
          </w:tcPr>
          <w:p w14:paraId="587B91D8" w14:textId="77777777" w:rsidR="002E18EF" w:rsidRPr="00A22C01" w:rsidRDefault="002E18EF" w:rsidP="002E18EF">
            <w:pPr>
              <w:spacing w:after="0" w:line="240" w:lineRule="auto"/>
              <w:rPr>
                <w:rFonts w:ascii="Arial Narrow" w:eastAsia="Times New Roman" w:hAnsi="Arial Narrow" w:cs="Calibri"/>
                <w:b/>
                <w:bCs/>
                <w:sz w:val="16"/>
                <w:szCs w:val="16"/>
                <w:lang w:eastAsia="sk-SK"/>
              </w:rPr>
            </w:pPr>
            <w:r w:rsidRPr="00A22C01">
              <w:rPr>
                <w:rFonts w:ascii="Arial Narrow" w:eastAsia="Times New Roman" w:hAnsi="Arial Narrow" w:cs="Calibri"/>
                <w:b/>
                <w:bCs/>
                <w:sz w:val="16"/>
                <w:szCs w:val="16"/>
                <w:lang w:eastAsia="sk-SK"/>
              </w:rPr>
              <w:t>Príspevky k reálnemu HDP</w:t>
            </w:r>
          </w:p>
        </w:tc>
        <w:tc>
          <w:tcPr>
            <w:tcW w:w="968" w:type="dxa"/>
            <w:tcBorders>
              <w:top w:val="nil"/>
              <w:left w:val="nil"/>
              <w:bottom w:val="nil"/>
              <w:right w:val="nil"/>
            </w:tcBorders>
            <w:shd w:val="clear" w:color="auto" w:fill="DEEAF6" w:themeFill="accent5" w:themeFillTint="33"/>
            <w:vAlign w:val="center"/>
            <w:hideMark/>
          </w:tcPr>
          <w:p w14:paraId="1796FABD" w14:textId="77777777" w:rsidR="002E18EF" w:rsidRPr="00A22C01" w:rsidRDefault="002E18EF" w:rsidP="002E18EF">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hideMark/>
          </w:tcPr>
          <w:p w14:paraId="161DF463" w14:textId="482F61FB"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 </w:t>
            </w:r>
          </w:p>
        </w:tc>
        <w:tc>
          <w:tcPr>
            <w:tcW w:w="943" w:type="dxa"/>
            <w:tcBorders>
              <w:top w:val="nil"/>
              <w:left w:val="nil"/>
              <w:bottom w:val="nil"/>
              <w:right w:val="nil"/>
            </w:tcBorders>
            <w:shd w:val="clear" w:color="auto" w:fill="DEEAF6" w:themeFill="accent5" w:themeFillTint="33"/>
            <w:vAlign w:val="center"/>
            <w:hideMark/>
          </w:tcPr>
          <w:p w14:paraId="163537A2" w14:textId="5CCEBC6A" w:rsidR="002E18EF" w:rsidRPr="00A22C01" w:rsidRDefault="002E18EF" w:rsidP="002E18EF">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 </w:t>
            </w:r>
          </w:p>
        </w:tc>
        <w:tc>
          <w:tcPr>
            <w:tcW w:w="708" w:type="dxa"/>
            <w:gridSpan w:val="3"/>
            <w:tcBorders>
              <w:top w:val="nil"/>
              <w:left w:val="nil"/>
              <w:bottom w:val="nil"/>
              <w:right w:val="nil"/>
            </w:tcBorders>
            <w:shd w:val="clear" w:color="auto" w:fill="DEEAF6" w:themeFill="accent5" w:themeFillTint="33"/>
            <w:vAlign w:val="center"/>
          </w:tcPr>
          <w:p w14:paraId="12A40823" w14:textId="021F0D5F" w:rsidR="002E18EF" w:rsidRPr="00A22C01" w:rsidRDefault="002E18EF" w:rsidP="002E18EF">
            <w:pPr>
              <w:spacing w:after="0" w:line="240" w:lineRule="auto"/>
              <w:jc w:val="center"/>
              <w:rPr>
                <w:rFonts w:ascii="Arial Narrow" w:eastAsia="Times New Roman" w:hAnsi="Arial Narrow" w:cs="Calibri"/>
                <w:sz w:val="16"/>
                <w:szCs w:val="16"/>
                <w:lang w:eastAsia="sk-SK"/>
              </w:rPr>
            </w:pPr>
          </w:p>
        </w:tc>
        <w:tc>
          <w:tcPr>
            <w:tcW w:w="647" w:type="dxa"/>
            <w:gridSpan w:val="3"/>
            <w:tcBorders>
              <w:top w:val="nil"/>
              <w:left w:val="nil"/>
              <w:bottom w:val="nil"/>
              <w:right w:val="nil"/>
            </w:tcBorders>
            <w:shd w:val="clear" w:color="auto" w:fill="DEEAF6" w:themeFill="accent5" w:themeFillTint="33"/>
            <w:vAlign w:val="center"/>
          </w:tcPr>
          <w:p w14:paraId="39D8E8BA" w14:textId="7C50A756" w:rsidR="002E18EF" w:rsidRPr="00A22C01" w:rsidRDefault="002E18EF" w:rsidP="002E18EF">
            <w:pPr>
              <w:spacing w:after="0" w:line="240" w:lineRule="auto"/>
              <w:jc w:val="center"/>
              <w:rPr>
                <w:rFonts w:ascii="Arial Narrow" w:eastAsia="Times New Roman" w:hAnsi="Arial Narrow" w:cs="Calibri"/>
                <w:sz w:val="16"/>
                <w:szCs w:val="16"/>
                <w:lang w:eastAsia="sk-SK"/>
              </w:rPr>
            </w:pPr>
          </w:p>
        </w:tc>
        <w:tc>
          <w:tcPr>
            <w:tcW w:w="636" w:type="dxa"/>
            <w:gridSpan w:val="3"/>
            <w:tcBorders>
              <w:top w:val="nil"/>
              <w:left w:val="nil"/>
              <w:bottom w:val="nil"/>
              <w:right w:val="nil"/>
            </w:tcBorders>
            <w:shd w:val="clear" w:color="auto" w:fill="DEEAF6" w:themeFill="accent5" w:themeFillTint="33"/>
            <w:vAlign w:val="center"/>
          </w:tcPr>
          <w:p w14:paraId="51650262" w14:textId="3D30866E" w:rsidR="002E18EF" w:rsidRPr="00A22C01" w:rsidRDefault="002E18EF" w:rsidP="002E18EF">
            <w:pPr>
              <w:spacing w:after="0" w:line="240" w:lineRule="auto"/>
              <w:jc w:val="center"/>
              <w:rPr>
                <w:rFonts w:ascii="Arial Narrow" w:eastAsia="Times New Roman" w:hAnsi="Arial Narrow" w:cs="Calibri"/>
                <w:sz w:val="16"/>
                <w:szCs w:val="16"/>
                <w:lang w:eastAsia="sk-SK"/>
              </w:rPr>
            </w:pPr>
          </w:p>
        </w:tc>
        <w:tc>
          <w:tcPr>
            <w:tcW w:w="634" w:type="dxa"/>
            <w:gridSpan w:val="4"/>
            <w:tcBorders>
              <w:top w:val="nil"/>
              <w:left w:val="nil"/>
              <w:bottom w:val="nil"/>
              <w:right w:val="nil"/>
            </w:tcBorders>
            <w:shd w:val="clear" w:color="auto" w:fill="DEEAF6" w:themeFill="accent5" w:themeFillTint="33"/>
            <w:vAlign w:val="center"/>
          </w:tcPr>
          <w:p w14:paraId="2B194923" w14:textId="09A20201" w:rsidR="002E18EF" w:rsidRPr="00525C87" w:rsidRDefault="002E18EF" w:rsidP="002E18EF">
            <w:pPr>
              <w:spacing w:after="0" w:line="240" w:lineRule="auto"/>
              <w:jc w:val="center"/>
              <w:rPr>
                <w:rFonts w:ascii="Arial Narrow" w:eastAsia="Times New Roman" w:hAnsi="Arial Narrow" w:cs="Calibri"/>
                <w:sz w:val="16"/>
                <w:szCs w:val="16"/>
                <w:lang w:eastAsia="sk-SK"/>
              </w:rPr>
            </w:pPr>
          </w:p>
        </w:tc>
      </w:tr>
      <w:tr w:rsidR="00937762" w:rsidRPr="00525C87" w14:paraId="024509CD" w14:textId="77777777" w:rsidTr="00A22C01">
        <w:trPr>
          <w:gridAfter w:val="2"/>
          <w:wAfter w:w="351" w:type="dxa"/>
          <w:trHeight w:val="300"/>
        </w:trPr>
        <w:tc>
          <w:tcPr>
            <w:tcW w:w="541" w:type="dxa"/>
            <w:tcBorders>
              <w:top w:val="nil"/>
              <w:left w:val="nil"/>
              <w:bottom w:val="nil"/>
              <w:right w:val="nil"/>
            </w:tcBorders>
            <w:shd w:val="clear" w:color="auto" w:fill="DEEAF6" w:themeFill="accent5" w:themeFillTint="33"/>
            <w:vAlign w:val="center"/>
            <w:hideMark/>
          </w:tcPr>
          <w:p w14:paraId="16AB5D4A"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10</w:t>
            </w:r>
          </w:p>
        </w:tc>
        <w:tc>
          <w:tcPr>
            <w:tcW w:w="3127" w:type="dxa"/>
            <w:gridSpan w:val="4"/>
            <w:tcBorders>
              <w:top w:val="nil"/>
              <w:left w:val="nil"/>
              <w:bottom w:val="nil"/>
              <w:right w:val="nil"/>
            </w:tcBorders>
            <w:shd w:val="clear" w:color="auto" w:fill="DEEAF6" w:themeFill="accent5" w:themeFillTint="33"/>
            <w:vAlign w:val="center"/>
            <w:hideMark/>
          </w:tcPr>
          <w:p w14:paraId="4726A438" w14:textId="77777777" w:rsidR="00937762" w:rsidRPr="00A22C01" w:rsidRDefault="00937762" w:rsidP="00937762">
            <w:pPr>
              <w:spacing w:after="0" w:line="240" w:lineRule="auto"/>
              <w:ind w:firstLineChars="100" w:firstLine="160"/>
              <w:rPr>
                <w:rFonts w:ascii="Arial Narrow" w:eastAsia="Times New Roman" w:hAnsi="Arial Narrow" w:cs="Calibri"/>
                <w:b/>
                <w:bCs/>
                <w:sz w:val="16"/>
                <w:szCs w:val="16"/>
                <w:lang w:eastAsia="sk-SK"/>
              </w:rPr>
            </w:pPr>
            <w:r w:rsidRPr="00A22C01">
              <w:rPr>
                <w:rFonts w:ascii="Arial Narrow" w:eastAsia="Times New Roman" w:hAnsi="Arial Narrow" w:cs="Calibri"/>
                <w:b/>
                <w:bCs/>
                <w:sz w:val="16"/>
                <w:szCs w:val="16"/>
                <w:lang w:eastAsia="sk-SK"/>
              </w:rPr>
              <w:t>Domáci dopyt spolu</w:t>
            </w:r>
          </w:p>
        </w:tc>
        <w:tc>
          <w:tcPr>
            <w:tcW w:w="968" w:type="dxa"/>
            <w:tcBorders>
              <w:top w:val="nil"/>
              <w:left w:val="nil"/>
              <w:bottom w:val="nil"/>
              <w:right w:val="nil"/>
            </w:tcBorders>
            <w:shd w:val="clear" w:color="auto" w:fill="DEEAF6" w:themeFill="accent5" w:themeFillTint="33"/>
            <w:vAlign w:val="center"/>
            <w:hideMark/>
          </w:tcPr>
          <w:p w14:paraId="3076C4FF"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hideMark/>
          </w:tcPr>
          <w:p w14:paraId="57703D82" w14:textId="2733A440"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-4,6</w:t>
            </w:r>
          </w:p>
        </w:tc>
        <w:tc>
          <w:tcPr>
            <w:tcW w:w="943" w:type="dxa"/>
            <w:tcBorders>
              <w:top w:val="nil"/>
              <w:left w:val="nil"/>
              <w:bottom w:val="nil"/>
              <w:right w:val="nil"/>
            </w:tcBorders>
            <w:shd w:val="clear" w:color="auto" w:fill="DEEAF6" w:themeFill="accent5" w:themeFillTint="33"/>
            <w:vAlign w:val="center"/>
            <w:hideMark/>
          </w:tcPr>
          <w:p w14:paraId="07F47A06" w14:textId="0330F475"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3,1</w:t>
            </w:r>
          </w:p>
        </w:tc>
        <w:tc>
          <w:tcPr>
            <w:tcW w:w="708" w:type="dxa"/>
            <w:gridSpan w:val="3"/>
            <w:tcBorders>
              <w:top w:val="nil"/>
              <w:left w:val="nil"/>
              <w:bottom w:val="nil"/>
              <w:right w:val="nil"/>
            </w:tcBorders>
            <w:shd w:val="clear" w:color="auto" w:fill="DEEAF6" w:themeFill="accent5" w:themeFillTint="33"/>
            <w:vAlign w:val="center"/>
          </w:tcPr>
          <w:p w14:paraId="48F9EAD5" w14:textId="081EF1BE"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47" w:type="dxa"/>
            <w:gridSpan w:val="3"/>
            <w:tcBorders>
              <w:top w:val="nil"/>
              <w:left w:val="nil"/>
              <w:bottom w:val="nil"/>
              <w:right w:val="nil"/>
            </w:tcBorders>
            <w:shd w:val="clear" w:color="auto" w:fill="DEEAF6" w:themeFill="accent5" w:themeFillTint="33"/>
            <w:vAlign w:val="center"/>
          </w:tcPr>
          <w:p w14:paraId="36B2BF20" w14:textId="262CB336"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36" w:type="dxa"/>
            <w:gridSpan w:val="3"/>
            <w:tcBorders>
              <w:top w:val="nil"/>
              <w:left w:val="nil"/>
              <w:bottom w:val="nil"/>
              <w:right w:val="nil"/>
            </w:tcBorders>
            <w:shd w:val="clear" w:color="auto" w:fill="DEEAF6" w:themeFill="accent5" w:themeFillTint="33"/>
            <w:vAlign w:val="center"/>
          </w:tcPr>
          <w:p w14:paraId="025B0EFD" w14:textId="1BE3D708"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34" w:type="dxa"/>
            <w:gridSpan w:val="4"/>
            <w:tcBorders>
              <w:top w:val="nil"/>
              <w:left w:val="nil"/>
              <w:bottom w:val="nil"/>
              <w:right w:val="nil"/>
            </w:tcBorders>
            <w:shd w:val="clear" w:color="auto" w:fill="DEEAF6" w:themeFill="accent5" w:themeFillTint="33"/>
            <w:vAlign w:val="center"/>
          </w:tcPr>
          <w:p w14:paraId="7A5AA3A6" w14:textId="0EBD0FE2"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937762" w:rsidRPr="00525C87" w14:paraId="660416DA" w14:textId="77777777" w:rsidTr="00A22C01">
        <w:trPr>
          <w:gridAfter w:val="2"/>
          <w:wAfter w:w="351" w:type="dxa"/>
          <w:trHeight w:val="300"/>
        </w:trPr>
        <w:tc>
          <w:tcPr>
            <w:tcW w:w="541" w:type="dxa"/>
            <w:tcBorders>
              <w:top w:val="nil"/>
              <w:left w:val="nil"/>
              <w:bottom w:val="nil"/>
              <w:right w:val="nil"/>
            </w:tcBorders>
            <w:shd w:val="clear" w:color="auto" w:fill="DEEAF6" w:themeFill="accent5" w:themeFillTint="33"/>
            <w:vAlign w:val="center"/>
            <w:hideMark/>
          </w:tcPr>
          <w:p w14:paraId="2D95B6A5"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11</w:t>
            </w:r>
          </w:p>
        </w:tc>
        <w:tc>
          <w:tcPr>
            <w:tcW w:w="3127" w:type="dxa"/>
            <w:gridSpan w:val="4"/>
            <w:tcBorders>
              <w:top w:val="nil"/>
              <w:left w:val="nil"/>
              <w:bottom w:val="nil"/>
              <w:right w:val="nil"/>
            </w:tcBorders>
            <w:shd w:val="clear" w:color="auto" w:fill="DEEAF6" w:themeFill="accent5" w:themeFillTint="33"/>
            <w:vAlign w:val="center"/>
            <w:hideMark/>
          </w:tcPr>
          <w:p w14:paraId="638CA21F" w14:textId="77777777" w:rsidR="00937762" w:rsidRPr="00A22C01" w:rsidRDefault="00937762" w:rsidP="00937762">
            <w:pPr>
              <w:spacing w:after="0" w:line="240" w:lineRule="auto"/>
              <w:ind w:firstLineChars="100" w:firstLine="160"/>
              <w:rPr>
                <w:rFonts w:ascii="Arial Narrow" w:eastAsia="Times New Roman" w:hAnsi="Arial Narrow" w:cs="Calibri"/>
                <w:b/>
                <w:bCs/>
                <w:sz w:val="16"/>
                <w:szCs w:val="16"/>
                <w:lang w:eastAsia="sk-SK"/>
              </w:rPr>
            </w:pPr>
            <w:r w:rsidRPr="00A22C01">
              <w:rPr>
                <w:rFonts w:ascii="Arial Narrow" w:eastAsia="Times New Roman" w:hAnsi="Arial Narrow" w:cs="Calibri"/>
                <w:b/>
                <w:bCs/>
                <w:sz w:val="16"/>
                <w:szCs w:val="16"/>
                <w:lang w:eastAsia="sk-SK"/>
              </w:rPr>
              <w:t>Zmena stavu zásob a čisté nadobudnutie cenností</w:t>
            </w:r>
          </w:p>
        </w:tc>
        <w:tc>
          <w:tcPr>
            <w:tcW w:w="968" w:type="dxa"/>
            <w:tcBorders>
              <w:top w:val="nil"/>
              <w:left w:val="nil"/>
              <w:bottom w:val="nil"/>
              <w:right w:val="nil"/>
            </w:tcBorders>
            <w:shd w:val="clear" w:color="auto" w:fill="DEEAF6" w:themeFill="accent5" w:themeFillTint="33"/>
            <w:vAlign w:val="center"/>
            <w:hideMark/>
          </w:tcPr>
          <w:p w14:paraId="2534695D"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hideMark/>
          </w:tcPr>
          <w:p w14:paraId="66BAD00D" w14:textId="06171541"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-2,0</w:t>
            </w:r>
          </w:p>
        </w:tc>
        <w:tc>
          <w:tcPr>
            <w:tcW w:w="943" w:type="dxa"/>
            <w:tcBorders>
              <w:top w:val="nil"/>
              <w:left w:val="nil"/>
              <w:bottom w:val="nil"/>
              <w:right w:val="nil"/>
            </w:tcBorders>
            <w:shd w:val="clear" w:color="auto" w:fill="DEEAF6" w:themeFill="accent5" w:themeFillTint="33"/>
            <w:vAlign w:val="center"/>
            <w:hideMark/>
          </w:tcPr>
          <w:p w14:paraId="27CC7690" w14:textId="3E9706AA"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-0,9</w:t>
            </w:r>
          </w:p>
        </w:tc>
        <w:tc>
          <w:tcPr>
            <w:tcW w:w="708" w:type="dxa"/>
            <w:gridSpan w:val="3"/>
            <w:tcBorders>
              <w:top w:val="nil"/>
              <w:left w:val="nil"/>
              <w:bottom w:val="nil"/>
              <w:right w:val="nil"/>
            </w:tcBorders>
            <w:shd w:val="clear" w:color="auto" w:fill="DEEAF6" w:themeFill="accent5" w:themeFillTint="33"/>
            <w:vAlign w:val="center"/>
          </w:tcPr>
          <w:p w14:paraId="69ED451B" w14:textId="42E771C0"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47" w:type="dxa"/>
            <w:gridSpan w:val="3"/>
            <w:tcBorders>
              <w:top w:val="nil"/>
              <w:left w:val="nil"/>
              <w:bottom w:val="nil"/>
              <w:right w:val="nil"/>
            </w:tcBorders>
            <w:shd w:val="clear" w:color="auto" w:fill="DEEAF6" w:themeFill="accent5" w:themeFillTint="33"/>
            <w:vAlign w:val="center"/>
          </w:tcPr>
          <w:p w14:paraId="4E8111FF" w14:textId="4403A792"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36" w:type="dxa"/>
            <w:gridSpan w:val="3"/>
            <w:tcBorders>
              <w:top w:val="nil"/>
              <w:left w:val="nil"/>
              <w:bottom w:val="nil"/>
              <w:right w:val="nil"/>
            </w:tcBorders>
            <w:shd w:val="clear" w:color="auto" w:fill="DEEAF6" w:themeFill="accent5" w:themeFillTint="33"/>
            <w:vAlign w:val="center"/>
          </w:tcPr>
          <w:p w14:paraId="489C40C6" w14:textId="5B405731"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34" w:type="dxa"/>
            <w:gridSpan w:val="4"/>
            <w:tcBorders>
              <w:top w:val="nil"/>
              <w:left w:val="nil"/>
              <w:bottom w:val="nil"/>
              <w:right w:val="nil"/>
            </w:tcBorders>
            <w:shd w:val="clear" w:color="auto" w:fill="DEEAF6" w:themeFill="accent5" w:themeFillTint="33"/>
            <w:vAlign w:val="center"/>
          </w:tcPr>
          <w:p w14:paraId="2D6DBD4E" w14:textId="4E5DD3C2"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937762" w:rsidRPr="00525C87" w14:paraId="5CD972D7" w14:textId="77777777" w:rsidTr="00A22C01">
        <w:trPr>
          <w:gridAfter w:val="2"/>
          <w:wAfter w:w="351" w:type="dxa"/>
          <w:trHeight w:val="300"/>
        </w:trPr>
        <w:tc>
          <w:tcPr>
            <w:tcW w:w="541" w:type="dxa"/>
            <w:tcBorders>
              <w:top w:val="nil"/>
              <w:left w:val="nil"/>
              <w:bottom w:val="nil"/>
              <w:right w:val="nil"/>
            </w:tcBorders>
            <w:shd w:val="clear" w:color="auto" w:fill="DEEAF6" w:themeFill="accent5" w:themeFillTint="33"/>
            <w:vAlign w:val="center"/>
            <w:hideMark/>
          </w:tcPr>
          <w:p w14:paraId="45ED87E8"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12</w:t>
            </w:r>
          </w:p>
        </w:tc>
        <w:tc>
          <w:tcPr>
            <w:tcW w:w="3127" w:type="dxa"/>
            <w:gridSpan w:val="4"/>
            <w:tcBorders>
              <w:top w:val="nil"/>
              <w:left w:val="nil"/>
              <w:bottom w:val="nil"/>
              <w:right w:val="nil"/>
            </w:tcBorders>
            <w:shd w:val="clear" w:color="auto" w:fill="DEEAF6" w:themeFill="accent5" w:themeFillTint="33"/>
            <w:vAlign w:val="center"/>
            <w:hideMark/>
          </w:tcPr>
          <w:p w14:paraId="44839989" w14:textId="77777777" w:rsidR="00937762" w:rsidRPr="00A22C01" w:rsidRDefault="00937762" w:rsidP="00937762">
            <w:pPr>
              <w:spacing w:after="0" w:line="240" w:lineRule="auto"/>
              <w:ind w:firstLineChars="100" w:firstLine="160"/>
              <w:rPr>
                <w:rFonts w:ascii="Arial Narrow" w:eastAsia="Times New Roman" w:hAnsi="Arial Narrow" w:cs="Calibri"/>
                <w:b/>
                <w:bCs/>
                <w:sz w:val="16"/>
                <w:szCs w:val="16"/>
                <w:lang w:eastAsia="sk-SK"/>
              </w:rPr>
            </w:pPr>
            <w:r w:rsidRPr="00A22C01">
              <w:rPr>
                <w:rFonts w:ascii="Arial Narrow" w:eastAsia="Times New Roman" w:hAnsi="Arial Narrow" w:cs="Calibri"/>
                <w:b/>
                <w:bCs/>
                <w:sz w:val="16"/>
                <w:szCs w:val="16"/>
                <w:lang w:eastAsia="sk-SK"/>
              </w:rPr>
              <w:t>Saldo zahraničného obchodu s výrobkami a službami</w:t>
            </w:r>
          </w:p>
        </w:tc>
        <w:tc>
          <w:tcPr>
            <w:tcW w:w="968" w:type="dxa"/>
            <w:tcBorders>
              <w:top w:val="nil"/>
              <w:left w:val="nil"/>
              <w:bottom w:val="nil"/>
              <w:right w:val="nil"/>
            </w:tcBorders>
            <w:shd w:val="clear" w:color="auto" w:fill="DEEAF6" w:themeFill="accent5" w:themeFillTint="33"/>
            <w:vAlign w:val="center"/>
            <w:hideMark/>
          </w:tcPr>
          <w:p w14:paraId="07A5F6D6"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hideMark/>
          </w:tcPr>
          <w:p w14:paraId="04FB2FF6" w14:textId="009194F8"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1,0</w:t>
            </w:r>
          </w:p>
        </w:tc>
        <w:tc>
          <w:tcPr>
            <w:tcW w:w="943" w:type="dxa"/>
            <w:tcBorders>
              <w:top w:val="nil"/>
              <w:left w:val="nil"/>
              <w:bottom w:val="nil"/>
              <w:right w:val="nil"/>
            </w:tcBorders>
            <w:shd w:val="clear" w:color="auto" w:fill="DEEAF6" w:themeFill="accent5" w:themeFillTint="33"/>
            <w:vAlign w:val="center"/>
            <w:hideMark/>
          </w:tcPr>
          <w:p w14:paraId="336B9708" w14:textId="6C0C9940"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0,9</w:t>
            </w:r>
          </w:p>
        </w:tc>
        <w:tc>
          <w:tcPr>
            <w:tcW w:w="708" w:type="dxa"/>
            <w:gridSpan w:val="3"/>
            <w:tcBorders>
              <w:top w:val="nil"/>
              <w:left w:val="nil"/>
              <w:bottom w:val="nil"/>
              <w:right w:val="nil"/>
            </w:tcBorders>
            <w:shd w:val="clear" w:color="auto" w:fill="DEEAF6" w:themeFill="accent5" w:themeFillTint="33"/>
            <w:vAlign w:val="center"/>
          </w:tcPr>
          <w:p w14:paraId="418DDD41" w14:textId="3A601E11"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47" w:type="dxa"/>
            <w:gridSpan w:val="3"/>
            <w:tcBorders>
              <w:top w:val="nil"/>
              <w:left w:val="nil"/>
              <w:bottom w:val="nil"/>
              <w:right w:val="nil"/>
            </w:tcBorders>
            <w:shd w:val="clear" w:color="auto" w:fill="DEEAF6" w:themeFill="accent5" w:themeFillTint="33"/>
            <w:vAlign w:val="center"/>
          </w:tcPr>
          <w:p w14:paraId="7A6DEE29" w14:textId="146E5443"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36" w:type="dxa"/>
            <w:gridSpan w:val="3"/>
            <w:tcBorders>
              <w:top w:val="nil"/>
              <w:left w:val="nil"/>
              <w:bottom w:val="nil"/>
              <w:right w:val="nil"/>
            </w:tcBorders>
            <w:shd w:val="clear" w:color="auto" w:fill="DEEAF6" w:themeFill="accent5" w:themeFillTint="33"/>
            <w:vAlign w:val="center"/>
          </w:tcPr>
          <w:p w14:paraId="66569C25" w14:textId="67A338E6"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34" w:type="dxa"/>
            <w:gridSpan w:val="4"/>
            <w:tcBorders>
              <w:top w:val="nil"/>
              <w:left w:val="nil"/>
              <w:bottom w:val="nil"/>
              <w:right w:val="nil"/>
            </w:tcBorders>
            <w:shd w:val="clear" w:color="auto" w:fill="DEEAF6" w:themeFill="accent5" w:themeFillTint="33"/>
            <w:vAlign w:val="center"/>
          </w:tcPr>
          <w:p w14:paraId="23B11E05" w14:textId="7BCAAFFC"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C1228B" w:rsidRPr="001727BF" w14:paraId="5686B448" w14:textId="77777777" w:rsidTr="00525C87">
        <w:trPr>
          <w:trHeight w:val="300"/>
        </w:trPr>
        <w:tc>
          <w:tcPr>
            <w:tcW w:w="3668" w:type="dxa"/>
            <w:gridSpan w:val="5"/>
            <w:tcBorders>
              <w:top w:val="nil"/>
              <w:left w:val="nil"/>
              <w:bottom w:val="nil"/>
              <w:right w:val="nil"/>
            </w:tcBorders>
            <w:shd w:val="clear" w:color="auto" w:fill="auto"/>
            <w:vAlign w:val="center"/>
            <w:hideMark/>
          </w:tcPr>
          <w:p w14:paraId="1D1797D2" w14:textId="77777777" w:rsidR="00C1228B" w:rsidRPr="00A22C01" w:rsidRDefault="00C1228B" w:rsidP="00616580">
            <w:pPr>
              <w:spacing w:after="0" w:line="240" w:lineRule="auto"/>
              <w:rPr>
                <w:rFonts w:ascii="Arial Narrow" w:eastAsia="Times New Roman" w:hAnsi="Arial Narrow" w:cs="Calibri"/>
                <w:i/>
                <w:iCs/>
                <w:sz w:val="16"/>
                <w:szCs w:val="16"/>
                <w:lang w:eastAsia="sk-SK"/>
              </w:rPr>
            </w:pPr>
            <w:r w:rsidRPr="00A22C01">
              <w:rPr>
                <w:rFonts w:ascii="Arial Narrow" w:eastAsia="Times New Roman" w:hAnsi="Arial Narrow" w:cs="Calibri"/>
                <w:i/>
                <w:iCs/>
                <w:sz w:val="16"/>
                <w:szCs w:val="16"/>
                <w:lang w:eastAsia="sk-SK"/>
              </w:rPr>
              <w:t>Deflátory a HICP</w:t>
            </w:r>
          </w:p>
        </w:tc>
        <w:tc>
          <w:tcPr>
            <w:tcW w:w="968" w:type="dxa"/>
            <w:tcBorders>
              <w:top w:val="nil"/>
              <w:left w:val="nil"/>
              <w:bottom w:val="nil"/>
              <w:right w:val="nil"/>
            </w:tcBorders>
            <w:shd w:val="clear" w:color="auto" w:fill="auto"/>
            <w:vAlign w:val="center"/>
            <w:hideMark/>
          </w:tcPr>
          <w:p w14:paraId="2D28147A" w14:textId="77777777" w:rsidR="00C1228B" w:rsidRPr="00A22C01" w:rsidRDefault="00C1228B" w:rsidP="00616580">
            <w:pPr>
              <w:spacing w:after="0" w:line="240" w:lineRule="auto"/>
              <w:rPr>
                <w:rFonts w:ascii="Arial Narrow" w:eastAsia="Times New Roman" w:hAnsi="Arial Narrow" w:cs="Calibri"/>
                <w:i/>
                <w:iCs/>
                <w:sz w:val="16"/>
                <w:szCs w:val="16"/>
                <w:lang w:eastAsia="sk-SK"/>
              </w:rPr>
            </w:pPr>
          </w:p>
        </w:tc>
        <w:tc>
          <w:tcPr>
            <w:tcW w:w="943" w:type="dxa"/>
            <w:tcBorders>
              <w:top w:val="nil"/>
              <w:left w:val="nil"/>
              <w:bottom w:val="nil"/>
              <w:right w:val="nil"/>
            </w:tcBorders>
            <w:shd w:val="clear" w:color="auto" w:fill="auto"/>
            <w:vAlign w:val="center"/>
            <w:hideMark/>
          </w:tcPr>
          <w:p w14:paraId="75A66735" w14:textId="77777777" w:rsidR="00C1228B" w:rsidRPr="00A22C01" w:rsidRDefault="00C1228B" w:rsidP="00616580">
            <w:pPr>
              <w:spacing w:after="0" w:line="240" w:lineRule="auto"/>
              <w:jc w:val="center"/>
              <w:rPr>
                <w:rFonts w:ascii="Arial Narrow" w:eastAsia="Times New Roman" w:hAnsi="Arial Narrow" w:cs="Times New Roman"/>
                <w:color w:val="000000" w:themeColor="text1"/>
                <w:sz w:val="16"/>
                <w:szCs w:val="16"/>
                <w:lang w:eastAsia="sk-SK"/>
              </w:rPr>
            </w:pPr>
          </w:p>
        </w:tc>
        <w:tc>
          <w:tcPr>
            <w:tcW w:w="943" w:type="dxa"/>
            <w:tcBorders>
              <w:top w:val="nil"/>
              <w:left w:val="nil"/>
              <w:bottom w:val="nil"/>
              <w:right w:val="nil"/>
            </w:tcBorders>
            <w:shd w:val="clear" w:color="auto" w:fill="auto"/>
            <w:vAlign w:val="center"/>
            <w:hideMark/>
          </w:tcPr>
          <w:p w14:paraId="0BD242C2" w14:textId="77777777" w:rsidR="00C1228B" w:rsidRPr="00A22C01" w:rsidRDefault="00C1228B" w:rsidP="00616580">
            <w:pPr>
              <w:spacing w:after="0" w:line="240" w:lineRule="auto"/>
              <w:jc w:val="center"/>
              <w:rPr>
                <w:rFonts w:ascii="Arial Narrow" w:eastAsia="Times New Roman" w:hAnsi="Arial Narrow" w:cs="Times New Roman"/>
                <w:color w:val="000000" w:themeColor="text1"/>
                <w:sz w:val="16"/>
                <w:szCs w:val="16"/>
                <w:lang w:eastAsia="sk-SK"/>
              </w:rPr>
            </w:pPr>
          </w:p>
        </w:tc>
        <w:tc>
          <w:tcPr>
            <w:tcW w:w="708" w:type="dxa"/>
            <w:gridSpan w:val="3"/>
            <w:tcBorders>
              <w:top w:val="nil"/>
              <w:left w:val="nil"/>
              <w:bottom w:val="nil"/>
              <w:right w:val="nil"/>
            </w:tcBorders>
            <w:shd w:val="clear" w:color="auto" w:fill="auto"/>
            <w:vAlign w:val="center"/>
            <w:hideMark/>
          </w:tcPr>
          <w:p w14:paraId="1C57D289"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c>
          <w:tcPr>
            <w:tcW w:w="559" w:type="dxa"/>
            <w:tcBorders>
              <w:top w:val="nil"/>
              <w:left w:val="nil"/>
              <w:bottom w:val="nil"/>
              <w:right w:val="nil"/>
            </w:tcBorders>
            <w:shd w:val="clear" w:color="auto" w:fill="auto"/>
            <w:vAlign w:val="center"/>
            <w:hideMark/>
          </w:tcPr>
          <w:p w14:paraId="7034A53D"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c>
          <w:tcPr>
            <w:tcW w:w="782" w:type="dxa"/>
            <w:gridSpan w:val="6"/>
            <w:tcBorders>
              <w:top w:val="nil"/>
              <w:left w:val="nil"/>
              <w:bottom w:val="nil"/>
              <w:right w:val="nil"/>
            </w:tcBorders>
            <w:shd w:val="clear" w:color="auto" w:fill="auto"/>
            <w:vAlign w:val="center"/>
            <w:hideMark/>
          </w:tcPr>
          <w:p w14:paraId="2EB3FC56"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c>
          <w:tcPr>
            <w:tcW w:w="927" w:type="dxa"/>
            <w:gridSpan w:val="5"/>
            <w:tcBorders>
              <w:top w:val="nil"/>
              <w:left w:val="nil"/>
              <w:bottom w:val="nil"/>
              <w:right w:val="nil"/>
            </w:tcBorders>
            <w:shd w:val="clear" w:color="auto" w:fill="auto"/>
            <w:vAlign w:val="center"/>
            <w:hideMark/>
          </w:tcPr>
          <w:p w14:paraId="49E44DBA"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r>
      <w:tr w:rsidR="00937762" w:rsidRPr="001727BF" w14:paraId="69C57F34" w14:textId="77777777" w:rsidTr="00A22C01">
        <w:trPr>
          <w:gridAfter w:val="1"/>
          <w:wAfter w:w="313" w:type="dxa"/>
          <w:trHeight w:val="300"/>
        </w:trPr>
        <w:tc>
          <w:tcPr>
            <w:tcW w:w="541" w:type="dxa"/>
            <w:tcBorders>
              <w:top w:val="nil"/>
              <w:left w:val="nil"/>
              <w:bottom w:val="nil"/>
              <w:right w:val="nil"/>
            </w:tcBorders>
            <w:shd w:val="clear" w:color="auto" w:fill="DEEAF6" w:themeFill="accent5" w:themeFillTint="33"/>
            <w:vAlign w:val="center"/>
            <w:hideMark/>
          </w:tcPr>
          <w:p w14:paraId="08BF1496"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13</w:t>
            </w:r>
          </w:p>
        </w:tc>
        <w:tc>
          <w:tcPr>
            <w:tcW w:w="3127" w:type="dxa"/>
            <w:gridSpan w:val="4"/>
            <w:tcBorders>
              <w:top w:val="nil"/>
              <w:left w:val="nil"/>
              <w:bottom w:val="nil"/>
              <w:right w:val="nil"/>
            </w:tcBorders>
            <w:shd w:val="clear" w:color="auto" w:fill="DEEAF6" w:themeFill="accent5" w:themeFillTint="33"/>
            <w:vAlign w:val="center"/>
            <w:hideMark/>
          </w:tcPr>
          <w:p w14:paraId="25857D95" w14:textId="77777777" w:rsidR="00937762" w:rsidRPr="00A22C01" w:rsidRDefault="00937762" w:rsidP="00937762">
            <w:pPr>
              <w:spacing w:after="0" w:line="240" w:lineRule="auto"/>
              <w:rPr>
                <w:rFonts w:ascii="Arial Narrow" w:eastAsia="Times New Roman" w:hAnsi="Arial Narrow" w:cs="Calibri"/>
                <w:b/>
                <w:bCs/>
                <w:sz w:val="16"/>
                <w:szCs w:val="16"/>
                <w:lang w:eastAsia="sk-SK"/>
              </w:rPr>
            </w:pPr>
            <w:r w:rsidRPr="00A22C01">
              <w:rPr>
                <w:rFonts w:ascii="Arial Narrow" w:eastAsia="Times New Roman" w:hAnsi="Arial Narrow" w:cs="Calibri"/>
                <w:b/>
                <w:bCs/>
                <w:sz w:val="16"/>
                <w:szCs w:val="16"/>
                <w:lang w:eastAsia="sk-SK"/>
              </w:rPr>
              <w:t>Deflátor domácej spotreby</w:t>
            </w:r>
          </w:p>
        </w:tc>
        <w:tc>
          <w:tcPr>
            <w:tcW w:w="968" w:type="dxa"/>
            <w:tcBorders>
              <w:top w:val="nil"/>
              <w:left w:val="nil"/>
              <w:bottom w:val="nil"/>
              <w:right w:val="nil"/>
            </w:tcBorders>
            <w:shd w:val="clear" w:color="auto" w:fill="DEEAF6" w:themeFill="accent5" w:themeFillTint="33"/>
            <w:vAlign w:val="center"/>
            <w:hideMark/>
          </w:tcPr>
          <w:p w14:paraId="0D2F94B9"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hideMark/>
          </w:tcPr>
          <w:p w14:paraId="75693DA4" w14:textId="29CE4DFC"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10,3</w:t>
            </w:r>
          </w:p>
        </w:tc>
        <w:tc>
          <w:tcPr>
            <w:tcW w:w="943" w:type="dxa"/>
            <w:tcBorders>
              <w:top w:val="nil"/>
              <w:left w:val="nil"/>
              <w:bottom w:val="nil"/>
              <w:right w:val="nil"/>
            </w:tcBorders>
            <w:shd w:val="clear" w:color="auto" w:fill="DEEAF6" w:themeFill="accent5" w:themeFillTint="33"/>
            <w:vAlign w:val="center"/>
            <w:hideMark/>
          </w:tcPr>
          <w:p w14:paraId="616EC4DF" w14:textId="6A9284B3"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3,1</w:t>
            </w:r>
          </w:p>
        </w:tc>
        <w:tc>
          <w:tcPr>
            <w:tcW w:w="708" w:type="dxa"/>
            <w:gridSpan w:val="3"/>
            <w:tcBorders>
              <w:top w:val="nil"/>
              <w:left w:val="nil"/>
              <w:bottom w:val="nil"/>
              <w:right w:val="nil"/>
            </w:tcBorders>
            <w:shd w:val="clear" w:color="auto" w:fill="DEEAF6" w:themeFill="accent5" w:themeFillTint="33"/>
            <w:vAlign w:val="center"/>
          </w:tcPr>
          <w:p w14:paraId="7183886F" w14:textId="11F9C429"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559" w:type="dxa"/>
            <w:tcBorders>
              <w:top w:val="nil"/>
              <w:left w:val="nil"/>
              <w:bottom w:val="nil"/>
              <w:right w:val="nil"/>
            </w:tcBorders>
            <w:shd w:val="clear" w:color="auto" w:fill="DEEAF6" w:themeFill="accent5" w:themeFillTint="33"/>
            <w:vAlign w:val="center"/>
          </w:tcPr>
          <w:p w14:paraId="5E15F9F7" w14:textId="35E71969"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782" w:type="dxa"/>
            <w:gridSpan w:val="6"/>
            <w:tcBorders>
              <w:top w:val="nil"/>
              <w:left w:val="nil"/>
              <w:bottom w:val="nil"/>
              <w:right w:val="nil"/>
            </w:tcBorders>
            <w:shd w:val="clear" w:color="auto" w:fill="DEEAF6" w:themeFill="accent5" w:themeFillTint="33"/>
            <w:vAlign w:val="center"/>
          </w:tcPr>
          <w:p w14:paraId="0C236B73" w14:textId="7DC693AD"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14" w:type="dxa"/>
            <w:gridSpan w:val="4"/>
            <w:tcBorders>
              <w:top w:val="nil"/>
              <w:left w:val="nil"/>
              <w:bottom w:val="nil"/>
              <w:right w:val="nil"/>
            </w:tcBorders>
            <w:shd w:val="clear" w:color="auto" w:fill="DEEAF6" w:themeFill="accent5" w:themeFillTint="33"/>
            <w:vAlign w:val="center"/>
          </w:tcPr>
          <w:p w14:paraId="45DDD1C6" w14:textId="461C5F70"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937762" w:rsidRPr="001727BF" w14:paraId="0DD413A9" w14:textId="77777777" w:rsidTr="00A22C01">
        <w:trPr>
          <w:gridAfter w:val="1"/>
          <w:wAfter w:w="313" w:type="dxa"/>
          <w:trHeight w:val="300"/>
        </w:trPr>
        <w:tc>
          <w:tcPr>
            <w:tcW w:w="541" w:type="dxa"/>
            <w:tcBorders>
              <w:top w:val="nil"/>
              <w:left w:val="nil"/>
              <w:bottom w:val="nil"/>
              <w:right w:val="nil"/>
            </w:tcBorders>
            <w:shd w:val="clear" w:color="auto" w:fill="DEEAF6" w:themeFill="accent5" w:themeFillTint="33"/>
            <w:vAlign w:val="center"/>
            <w:hideMark/>
          </w:tcPr>
          <w:p w14:paraId="58ADEBC5"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14</w:t>
            </w:r>
          </w:p>
        </w:tc>
        <w:tc>
          <w:tcPr>
            <w:tcW w:w="3127" w:type="dxa"/>
            <w:gridSpan w:val="4"/>
            <w:tcBorders>
              <w:top w:val="nil"/>
              <w:left w:val="nil"/>
              <w:bottom w:val="nil"/>
              <w:right w:val="nil"/>
            </w:tcBorders>
            <w:shd w:val="clear" w:color="auto" w:fill="DEEAF6" w:themeFill="accent5" w:themeFillTint="33"/>
            <w:vAlign w:val="center"/>
            <w:hideMark/>
          </w:tcPr>
          <w:p w14:paraId="233AC467" w14:textId="77777777" w:rsidR="00937762" w:rsidRPr="00A22C01" w:rsidRDefault="00937762" w:rsidP="00937762">
            <w:pPr>
              <w:spacing w:after="0" w:line="240" w:lineRule="auto"/>
              <w:ind w:firstLineChars="100" w:firstLine="160"/>
              <w:rPr>
                <w:rFonts w:ascii="Arial Narrow" w:eastAsia="Times New Roman" w:hAnsi="Arial Narrow" w:cs="Calibri"/>
                <w:b/>
                <w:bCs/>
                <w:sz w:val="16"/>
                <w:szCs w:val="16"/>
                <w:lang w:eastAsia="sk-SK"/>
              </w:rPr>
            </w:pPr>
            <w:r w:rsidRPr="00A22C01">
              <w:rPr>
                <w:rFonts w:ascii="Arial Narrow" w:eastAsia="Times New Roman" w:hAnsi="Arial Narrow" w:cs="Calibri"/>
                <w:b/>
                <w:bCs/>
                <w:sz w:val="16"/>
                <w:szCs w:val="16"/>
                <w:lang w:eastAsia="sk-SK"/>
              </w:rPr>
              <w:t>p.m. HICP</w:t>
            </w:r>
          </w:p>
        </w:tc>
        <w:tc>
          <w:tcPr>
            <w:tcW w:w="968" w:type="dxa"/>
            <w:tcBorders>
              <w:top w:val="nil"/>
              <w:left w:val="nil"/>
              <w:bottom w:val="nil"/>
              <w:right w:val="nil"/>
            </w:tcBorders>
            <w:shd w:val="clear" w:color="auto" w:fill="DEEAF6" w:themeFill="accent5" w:themeFillTint="33"/>
            <w:vAlign w:val="center"/>
            <w:hideMark/>
          </w:tcPr>
          <w:p w14:paraId="208D631C"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hideMark/>
          </w:tcPr>
          <w:p w14:paraId="6B1FEBC8" w14:textId="498634D0"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11,0</w:t>
            </w:r>
          </w:p>
        </w:tc>
        <w:tc>
          <w:tcPr>
            <w:tcW w:w="943" w:type="dxa"/>
            <w:tcBorders>
              <w:top w:val="nil"/>
              <w:left w:val="nil"/>
              <w:bottom w:val="nil"/>
              <w:right w:val="nil"/>
            </w:tcBorders>
            <w:shd w:val="clear" w:color="auto" w:fill="DEEAF6" w:themeFill="accent5" w:themeFillTint="33"/>
            <w:vAlign w:val="center"/>
            <w:hideMark/>
          </w:tcPr>
          <w:p w14:paraId="42A543DA" w14:textId="3CA4E355"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3,1</w:t>
            </w:r>
          </w:p>
        </w:tc>
        <w:tc>
          <w:tcPr>
            <w:tcW w:w="708" w:type="dxa"/>
            <w:gridSpan w:val="3"/>
            <w:tcBorders>
              <w:top w:val="nil"/>
              <w:left w:val="nil"/>
              <w:bottom w:val="nil"/>
              <w:right w:val="nil"/>
            </w:tcBorders>
            <w:shd w:val="clear" w:color="auto" w:fill="DEEAF6" w:themeFill="accent5" w:themeFillTint="33"/>
            <w:vAlign w:val="center"/>
          </w:tcPr>
          <w:p w14:paraId="5928E71F" w14:textId="1CB21091"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559" w:type="dxa"/>
            <w:tcBorders>
              <w:top w:val="nil"/>
              <w:left w:val="nil"/>
              <w:bottom w:val="nil"/>
              <w:right w:val="nil"/>
            </w:tcBorders>
            <w:shd w:val="clear" w:color="auto" w:fill="DEEAF6" w:themeFill="accent5" w:themeFillTint="33"/>
            <w:vAlign w:val="center"/>
          </w:tcPr>
          <w:p w14:paraId="113783CE" w14:textId="76325899"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782" w:type="dxa"/>
            <w:gridSpan w:val="6"/>
            <w:tcBorders>
              <w:top w:val="nil"/>
              <w:left w:val="nil"/>
              <w:bottom w:val="nil"/>
              <w:right w:val="nil"/>
            </w:tcBorders>
            <w:shd w:val="clear" w:color="auto" w:fill="DEEAF6" w:themeFill="accent5" w:themeFillTint="33"/>
            <w:vAlign w:val="center"/>
          </w:tcPr>
          <w:p w14:paraId="19C82CC3" w14:textId="047DE231"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14" w:type="dxa"/>
            <w:gridSpan w:val="4"/>
            <w:tcBorders>
              <w:top w:val="nil"/>
              <w:left w:val="nil"/>
              <w:bottom w:val="nil"/>
              <w:right w:val="nil"/>
            </w:tcBorders>
            <w:shd w:val="clear" w:color="auto" w:fill="DEEAF6" w:themeFill="accent5" w:themeFillTint="33"/>
            <w:vAlign w:val="center"/>
          </w:tcPr>
          <w:p w14:paraId="2F69EDC9" w14:textId="6C5B27F9"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937762" w:rsidRPr="001727BF" w14:paraId="6102CA37" w14:textId="77777777" w:rsidTr="00A22C01">
        <w:trPr>
          <w:gridAfter w:val="1"/>
          <w:wAfter w:w="313" w:type="dxa"/>
          <w:trHeight w:val="300"/>
        </w:trPr>
        <w:tc>
          <w:tcPr>
            <w:tcW w:w="541" w:type="dxa"/>
            <w:tcBorders>
              <w:top w:val="nil"/>
              <w:left w:val="nil"/>
              <w:bottom w:val="nil"/>
              <w:right w:val="nil"/>
            </w:tcBorders>
            <w:shd w:val="clear" w:color="auto" w:fill="DEEAF6" w:themeFill="accent5" w:themeFillTint="33"/>
            <w:vAlign w:val="center"/>
            <w:hideMark/>
          </w:tcPr>
          <w:p w14:paraId="1C02F37E"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lastRenderedPageBreak/>
              <w:t>15</w:t>
            </w:r>
          </w:p>
        </w:tc>
        <w:tc>
          <w:tcPr>
            <w:tcW w:w="3127" w:type="dxa"/>
            <w:gridSpan w:val="4"/>
            <w:tcBorders>
              <w:top w:val="nil"/>
              <w:left w:val="nil"/>
              <w:bottom w:val="nil"/>
              <w:right w:val="nil"/>
            </w:tcBorders>
            <w:shd w:val="clear" w:color="auto" w:fill="DEEAF6" w:themeFill="accent5" w:themeFillTint="33"/>
            <w:vAlign w:val="center"/>
            <w:hideMark/>
          </w:tcPr>
          <w:p w14:paraId="3843EBFC" w14:textId="77777777" w:rsidR="00937762" w:rsidRPr="00A22C01" w:rsidRDefault="00937762" w:rsidP="00937762">
            <w:pPr>
              <w:spacing w:after="0" w:line="240" w:lineRule="auto"/>
              <w:rPr>
                <w:rFonts w:ascii="Arial Narrow" w:eastAsia="Times New Roman" w:hAnsi="Arial Narrow" w:cs="Calibri"/>
                <w:b/>
                <w:bCs/>
                <w:sz w:val="16"/>
                <w:szCs w:val="16"/>
                <w:lang w:eastAsia="sk-SK"/>
              </w:rPr>
            </w:pPr>
            <w:r w:rsidRPr="00A22C01">
              <w:rPr>
                <w:rFonts w:ascii="Arial Narrow" w:eastAsia="Times New Roman" w:hAnsi="Arial Narrow" w:cs="Calibri"/>
                <w:b/>
                <w:bCs/>
                <w:sz w:val="16"/>
                <w:szCs w:val="16"/>
                <w:lang w:eastAsia="sk-SK"/>
              </w:rPr>
              <w:t>Deflátor spotreby verejnej správy</w:t>
            </w:r>
          </w:p>
        </w:tc>
        <w:tc>
          <w:tcPr>
            <w:tcW w:w="968" w:type="dxa"/>
            <w:tcBorders>
              <w:top w:val="nil"/>
              <w:left w:val="nil"/>
              <w:bottom w:val="nil"/>
              <w:right w:val="nil"/>
            </w:tcBorders>
            <w:shd w:val="clear" w:color="auto" w:fill="DEEAF6" w:themeFill="accent5" w:themeFillTint="33"/>
            <w:vAlign w:val="center"/>
            <w:hideMark/>
          </w:tcPr>
          <w:p w14:paraId="20C0F9C4" w14:textId="77777777" w:rsidR="00937762" w:rsidRPr="00A22C01" w:rsidRDefault="00937762" w:rsidP="00937762">
            <w:pPr>
              <w:spacing w:after="0" w:line="240" w:lineRule="auto"/>
              <w:jc w:val="center"/>
              <w:rPr>
                <w:rFonts w:ascii="Arial Narrow" w:eastAsia="Times New Roman" w:hAnsi="Arial Narrow" w:cs="Calibri"/>
                <w:sz w:val="16"/>
                <w:szCs w:val="16"/>
                <w:lang w:eastAsia="sk-SK"/>
              </w:rPr>
            </w:pPr>
            <w:r w:rsidRPr="00A22C01">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hideMark/>
          </w:tcPr>
          <w:p w14:paraId="263A982A" w14:textId="001961D0"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10,2</w:t>
            </w:r>
          </w:p>
        </w:tc>
        <w:tc>
          <w:tcPr>
            <w:tcW w:w="943" w:type="dxa"/>
            <w:tcBorders>
              <w:top w:val="nil"/>
              <w:left w:val="nil"/>
              <w:bottom w:val="nil"/>
              <w:right w:val="nil"/>
            </w:tcBorders>
            <w:shd w:val="clear" w:color="auto" w:fill="DEEAF6" w:themeFill="accent5" w:themeFillTint="33"/>
            <w:vAlign w:val="center"/>
            <w:hideMark/>
          </w:tcPr>
          <w:p w14:paraId="30EC536F" w14:textId="68CA20D5"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7,2</w:t>
            </w:r>
          </w:p>
        </w:tc>
        <w:tc>
          <w:tcPr>
            <w:tcW w:w="708" w:type="dxa"/>
            <w:gridSpan w:val="3"/>
            <w:tcBorders>
              <w:top w:val="nil"/>
              <w:left w:val="nil"/>
              <w:bottom w:val="nil"/>
              <w:right w:val="nil"/>
            </w:tcBorders>
            <w:shd w:val="clear" w:color="auto" w:fill="DEEAF6" w:themeFill="accent5" w:themeFillTint="33"/>
            <w:vAlign w:val="center"/>
          </w:tcPr>
          <w:p w14:paraId="75498A6F" w14:textId="2D5A7508"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559" w:type="dxa"/>
            <w:tcBorders>
              <w:top w:val="nil"/>
              <w:left w:val="nil"/>
              <w:bottom w:val="nil"/>
              <w:right w:val="nil"/>
            </w:tcBorders>
            <w:shd w:val="clear" w:color="auto" w:fill="DEEAF6" w:themeFill="accent5" w:themeFillTint="33"/>
            <w:vAlign w:val="center"/>
          </w:tcPr>
          <w:p w14:paraId="2150BE9C" w14:textId="0248795E"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782" w:type="dxa"/>
            <w:gridSpan w:val="6"/>
            <w:tcBorders>
              <w:top w:val="nil"/>
              <w:left w:val="nil"/>
              <w:bottom w:val="nil"/>
              <w:right w:val="nil"/>
            </w:tcBorders>
            <w:shd w:val="clear" w:color="auto" w:fill="DEEAF6" w:themeFill="accent5" w:themeFillTint="33"/>
            <w:vAlign w:val="center"/>
          </w:tcPr>
          <w:p w14:paraId="31AD2AEF" w14:textId="3164CD3D" w:rsidR="00937762" w:rsidRPr="00A22C01" w:rsidRDefault="00937762" w:rsidP="00937762">
            <w:pPr>
              <w:spacing w:after="0" w:line="240" w:lineRule="auto"/>
              <w:jc w:val="center"/>
              <w:rPr>
                <w:rFonts w:ascii="Arial Narrow" w:eastAsia="Times New Roman" w:hAnsi="Arial Narrow" w:cs="Calibri"/>
                <w:sz w:val="16"/>
                <w:szCs w:val="16"/>
                <w:lang w:eastAsia="sk-SK"/>
              </w:rPr>
            </w:pPr>
          </w:p>
        </w:tc>
        <w:tc>
          <w:tcPr>
            <w:tcW w:w="614" w:type="dxa"/>
            <w:gridSpan w:val="4"/>
            <w:tcBorders>
              <w:top w:val="nil"/>
              <w:left w:val="nil"/>
              <w:bottom w:val="nil"/>
              <w:right w:val="nil"/>
            </w:tcBorders>
            <w:shd w:val="clear" w:color="auto" w:fill="DEEAF6" w:themeFill="accent5" w:themeFillTint="33"/>
            <w:vAlign w:val="center"/>
          </w:tcPr>
          <w:p w14:paraId="5B54D882" w14:textId="03225896"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937762" w:rsidRPr="001727BF" w14:paraId="66E95393" w14:textId="77777777" w:rsidTr="00A22C01">
        <w:trPr>
          <w:gridAfter w:val="1"/>
          <w:wAfter w:w="313" w:type="dxa"/>
          <w:trHeight w:val="300"/>
        </w:trPr>
        <w:tc>
          <w:tcPr>
            <w:tcW w:w="541" w:type="dxa"/>
            <w:tcBorders>
              <w:top w:val="nil"/>
              <w:left w:val="nil"/>
              <w:bottom w:val="nil"/>
              <w:right w:val="nil"/>
            </w:tcBorders>
            <w:shd w:val="clear" w:color="auto" w:fill="DEEAF6" w:themeFill="accent5" w:themeFillTint="33"/>
            <w:vAlign w:val="center"/>
            <w:hideMark/>
          </w:tcPr>
          <w:p w14:paraId="43149BC3" w14:textId="77777777" w:rsidR="00937762" w:rsidRPr="00525C87" w:rsidRDefault="00937762" w:rsidP="00937762">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16</w:t>
            </w:r>
          </w:p>
        </w:tc>
        <w:tc>
          <w:tcPr>
            <w:tcW w:w="3127" w:type="dxa"/>
            <w:gridSpan w:val="4"/>
            <w:tcBorders>
              <w:top w:val="nil"/>
              <w:left w:val="nil"/>
              <w:bottom w:val="nil"/>
              <w:right w:val="nil"/>
            </w:tcBorders>
            <w:shd w:val="clear" w:color="auto" w:fill="DEEAF6" w:themeFill="accent5" w:themeFillTint="33"/>
            <w:noWrap/>
            <w:vAlign w:val="center"/>
            <w:hideMark/>
          </w:tcPr>
          <w:p w14:paraId="08A86461" w14:textId="77777777" w:rsidR="00937762" w:rsidRPr="00525C87" w:rsidRDefault="00937762" w:rsidP="00937762">
            <w:pPr>
              <w:spacing w:after="0" w:line="240" w:lineRule="auto"/>
              <w:rPr>
                <w:rFonts w:ascii="Arial Narrow" w:eastAsia="Times New Roman" w:hAnsi="Arial Narrow" w:cs="Calibri"/>
                <w:b/>
                <w:bCs/>
                <w:sz w:val="16"/>
                <w:szCs w:val="16"/>
                <w:lang w:eastAsia="sk-SK"/>
              </w:rPr>
            </w:pPr>
            <w:r w:rsidRPr="00525C87">
              <w:rPr>
                <w:rFonts w:ascii="Arial Narrow" w:eastAsia="Times New Roman" w:hAnsi="Arial Narrow" w:cs="Calibri"/>
                <w:b/>
                <w:bCs/>
                <w:sz w:val="16"/>
                <w:szCs w:val="16"/>
                <w:lang w:eastAsia="sk-SK"/>
              </w:rPr>
              <w:t>Deflátor investícií</w:t>
            </w:r>
          </w:p>
        </w:tc>
        <w:tc>
          <w:tcPr>
            <w:tcW w:w="968" w:type="dxa"/>
            <w:tcBorders>
              <w:top w:val="nil"/>
              <w:left w:val="nil"/>
              <w:bottom w:val="nil"/>
              <w:right w:val="nil"/>
            </w:tcBorders>
            <w:shd w:val="clear" w:color="auto" w:fill="DEEAF6" w:themeFill="accent5" w:themeFillTint="33"/>
            <w:vAlign w:val="center"/>
            <w:hideMark/>
          </w:tcPr>
          <w:p w14:paraId="3F1F9D3A" w14:textId="77777777" w:rsidR="00937762" w:rsidRPr="00525C87" w:rsidRDefault="00937762" w:rsidP="00937762">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hideMark/>
          </w:tcPr>
          <w:p w14:paraId="3ADF988E" w14:textId="57AD182E"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9,1</w:t>
            </w:r>
          </w:p>
        </w:tc>
        <w:tc>
          <w:tcPr>
            <w:tcW w:w="943" w:type="dxa"/>
            <w:tcBorders>
              <w:top w:val="nil"/>
              <w:left w:val="nil"/>
              <w:bottom w:val="nil"/>
              <w:right w:val="nil"/>
            </w:tcBorders>
            <w:shd w:val="clear" w:color="auto" w:fill="DEEAF6" w:themeFill="accent5" w:themeFillTint="33"/>
            <w:vAlign w:val="center"/>
            <w:hideMark/>
          </w:tcPr>
          <w:p w14:paraId="2EEC5B4D" w14:textId="26858491"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3,0</w:t>
            </w:r>
          </w:p>
        </w:tc>
        <w:tc>
          <w:tcPr>
            <w:tcW w:w="708" w:type="dxa"/>
            <w:gridSpan w:val="3"/>
            <w:tcBorders>
              <w:top w:val="nil"/>
              <w:left w:val="nil"/>
              <w:bottom w:val="nil"/>
              <w:right w:val="nil"/>
            </w:tcBorders>
            <w:shd w:val="clear" w:color="auto" w:fill="DEEAF6" w:themeFill="accent5" w:themeFillTint="33"/>
            <w:vAlign w:val="center"/>
          </w:tcPr>
          <w:p w14:paraId="3C775909" w14:textId="6B3B6FB6"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559" w:type="dxa"/>
            <w:tcBorders>
              <w:top w:val="nil"/>
              <w:left w:val="nil"/>
              <w:bottom w:val="nil"/>
              <w:right w:val="nil"/>
            </w:tcBorders>
            <w:shd w:val="clear" w:color="auto" w:fill="DEEAF6" w:themeFill="accent5" w:themeFillTint="33"/>
            <w:vAlign w:val="center"/>
          </w:tcPr>
          <w:p w14:paraId="499F93B9" w14:textId="62398C6E"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782" w:type="dxa"/>
            <w:gridSpan w:val="6"/>
            <w:tcBorders>
              <w:top w:val="nil"/>
              <w:left w:val="nil"/>
              <w:bottom w:val="nil"/>
              <w:right w:val="nil"/>
            </w:tcBorders>
            <w:shd w:val="clear" w:color="auto" w:fill="DEEAF6" w:themeFill="accent5" w:themeFillTint="33"/>
            <w:vAlign w:val="center"/>
          </w:tcPr>
          <w:p w14:paraId="09F2F7CD" w14:textId="54CD46C7"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614" w:type="dxa"/>
            <w:gridSpan w:val="4"/>
            <w:tcBorders>
              <w:top w:val="nil"/>
              <w:left w:val="nil"/>
              <w:bottom w:val="nil"/>
              <w:right w:val="nil"/>
            </w:tcBorders>
            <w:shd w:val="clear" w:color="auto" w:fill="DEEAF6" w:themeFill="accent5" w:themeFillTint="33"/>
            <w:vAlign w:val="center"/>
          </w:tcPr>
          <w:p w14:paraId="491933E9" w14:textId="622132EE"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937762" w:rsidRPr="001727BF" w14:paraId="0443815D" w14:textId="77777777" w:rsidTr="00A22C01">
        <w:trPr>
          <w:gridAfter w:val="1"/>
          <w:wAfter w:w="313" w:type="dxa"/>
          <w:trHeight w:val="300"/>
        </w:trPr>
        <w:tc>
          <w:tcPr>
            <w:tcW w:w="541" w:type="dxa"/>
            <w:tcBorders>
              <w:top w:val="nil"/>
              <w:left w:val="nil"/>
              <w:bottom w:val="nil"/>
              <w:right w:val="nil"/>
            </w:tcBorders>
            <w:shd w:val="clear" w:color="auto" w:fill="DEEAF6" w:themeFill="accent5" w:themeFillTint="33"/>
            <w:vAlign w:val="center"/>
            <w:hideMark/>
          </w:tcPr>
          <w:p w14:paraId="203817C1" w14:textId="77777777" w:rsidR="00937762" w:rsidRPr="00525C87" w:rsidRDefault="00937762" w:rsidP="00937762">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17</w:t>
            </w:r>
          </w:p>
        </w:tc>
        <w:tc>
          <w:tcPr>
            <w:tcW w:w="3127" w:type="dxa"/>
            <w:gridSpan w:val="4"/>
            <w:tcBorders>
              <w:top w:val="nil"/>
              <w:left w:val="nil"/>
              <w:bottom w:val="nil"/>
              <w:right w:val="nil"/>
            </w:tcBorders>
            <w:shd w:val="clear" w:color="auto" w:fill="DEEAF6" w:themeFill="accent5" w:themeFillTint="33"/>
            <w:vAlign w:val="center"/>
            <w:hideMark/>
          </w:tcPr>
          <w:p w14:paraId="22F4096D" w14:textId="77777777" w:rsidR="00937762" w:rsidRPr="00525C87" w:rsidRDefault="00937762" w:rsidP="00937762">
            <w:pPr>
              <w:spacing w:after="0" w:line="240" w:lineRule="auto"/>
              <w:rPr>
                <w:rFonts w:ascii="Arial Narrow" w:eastAsia="Times New Roman" w:hAnsi="Arial Narrow" w:cs="Calibri"/>
                <w:b/>
                <w:bCs/>
                <w:sz w:val="16"/>
                <w:szCs w:val="16"/>
                <w:lang w:eastAsia="sk-SK"/>
              </w:rPr>
            </w:pPr>
            <w:r w:rsidRPr="00525C87">
              <w:rPr>
                <w:rFonts w:ascii="Arial Narrow" w:eastAsia="Times New Roman" w:hAnsi="Arial Narrow" w:cs="Calibri"/>
                <w:b/>
                <w:bCs/>
                <w:sz w:val="16"/>
                <w:szCs w:val="16"/>
                <w:lang w:eastAsia="sk-SK"/>
              </w:rPr>
              <w:t>Deflátor exportných cien</w:t>
            </w:r>
          </w:p>
        </w:tc>
        <w:tc>
          <w:tcPr>
            <w:tcW w:w="968" w:type="dxa"/>
            <w:tcBorders>
              <w:top w:val="nil"/>
              <w:left w:val="nil"/>
              <w:bottom w:val="nil"/>
              <w:right w:val="nil"/>
            </w:tcBorders>
            <w:shd w:val="clear" w:color="auto" w:fill="DEEAF6" w:themeFill="accent5" w:themeFillTint="33"/>
            <w:vAlign w:val="center"/>
            <w:hideMark/>
          </w:tcPr>
          <w:p w14:paraId="071A6AED" w14:textId="77777777" w:rsidR="00937762" w:rsidRPr="00525C87" w:rsidRDefault="00937762" w:rsidP="00937762">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hideMark/>
          </w:tcPr>
          <w:p w14:paraId="1B84AEC9" w14:textId="2EABD138"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4,5</w:t>
            </w:r>
          </w:p>
        </w:tc>
        <w:tc>
          <w:tcPr>
            <w:tcW w:w="943" w:type="dxa"/>
            <w:tcBorders>
              <w:top w:val="nil"/>
              <w:left w:val="nil"/>
              <w:bottom w:val="nil"/>
              <w:right w:val="nil"/>
            </w:tcBorders>
            <w:shd w:val="clear" w:color="auto" w:fill="DEEAF6" w:themeFill="accent5" w:themeFillTint="33"/>
            <w:vAlign w:val="center"/>
            <w:hideMark/>
          </w:tcPr>
          <w:p w14:paraId="4C3220B2" w14:textId="10861562"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4,0</w:t>
            </w:r>
          </w:p>
        </w:tc>
        <w:tc>
          <w:tcPr>
            <w:tcW w:w="708" w:type="dxa"/>
            <w:gridSpan w:val="3"/>
            <w:tcBorders>
              <w:top w:val="nil"/>
              <w:left w:val="nil"/>
              <w:bottom w:val="nil"/>
              <w:right w:val="nil"/>
            </w:tcBorders>
            <w:shd w:val="clear" w:color="auto" w:fill="DEEAF6" w:themeFill="accent5" w:themeFillTint="33"/>
            <w:vAlign w:val="center"/>
          </w:tcPr>
          <w:p w14:paraId="3A1D3809" w14:textId="02EF0162"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559" w:type="dxa"/>
            <w:tcBorders>
              <w:top w:val="nil"/>
              <w:left w:val="nil"/>
              <w:bottom w:val="nil"/>
              <w:right w:val="nil"/>
            </w:tcBorders>
            <w:shd w:val="clear" w:color="auto" w:fill="DEEAF6" w:themeFill="accent5" w:themeFillTint="33"/>
            <w:vAlign w:val="center"/>
          </w:tcPr>
          <w:p w14:paraId="0DFB9647" w14:textId="2614C998"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782" w:type="dxa"/>
            <w:gridSpan w:val="6"/>
            <w:tcBorders>
              <w:top w:val="nil"/>
              <w:left w:val="nil"/>
              <w:bottom w:val="nil"/>
              <w:right w:val="nil"/>
            </w:tcBorders>
            <w:shd w:val="clear" w:color="auto" w:fill="DEEAF6" w:themeFill="accent5" w:themeFillTint="33"/>
            <w:vAlign w:val="center"/>
          </w:tcPr>
          <w:p w14:paraId="07C0CF94" w14:textId="0686A085"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614" w:type="dxa"/>
            <w:gridSpan w:val="4"/>
            <w:tcBorders>
              <w:top w:val="nil"/>
              <w:left w:val="nil"/>
              <w:bottom w:val="nil"/>
              <w:right w:val="nil"/>
            </w:tcBorders>
            <w:shd w:val="clear" w:color="auto" w:fill="DEEAF6" w:themeFill="accent5" w:themeFillTint="33"/>
            <w:vAlign w:val="center"/>
          </w:tcPr>
          <w:p w14:paraId="0AE81392" w14:textId="75C8BFB1"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937762" w:rsidRPr="001727BF" w14:paraId="4E945E75" w14:textId="77777777" w:rsidTr="00A22C01">
        <w:trPr>
          <w:gridAfter w:val="1"/>
          <w:wAfter w:w="313" w:type="dxa"/>
          <w:trHeight w:val="300"/>
        </w:trPr>
        <w:tc>
          <w:tcPr>
            <w:tcW w:w="541" w:type="dxa"/>
            <w:tcBorders>
              <w:top w:val="nil"/>
              <w:left w:val="nil"/>
              <w:bottom w:val="nil"/>
              <w:right w:val="nil"/>
            </w:tcBorders>
            <w:shd w:val="clear" w:color="auto" w:fill="DEEAF6" w:themeFill="accent5" w:themeFillTint="33"/>
            <w:vAlign w:val="center"/>
            <w:hideMark/>
          </w:tcPr>
          <w:p w14:paraId="2CC67E8A" w14:textId="77777777" w:rsidR="00937762" w:rsidRPr="00525C87" w:rsidRDefault="00937762" w:rsidP="00937762">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18</w:t>
            </w:r>
          </w:p>
        </w:tc>
        <w:tc>
          <w:tcPr>
            <w:tcW w:w="3127" w:type="dxa"/>
            <w:gridSpan w:val="4"/>
            <w:tcBorders>
              <w:top w:val="nil"/>
              <w:left w:val="nil"/>
              <w:bottom w:val="nil"/>
              <w:right w:val="nil"/>
            </w:tcBorders>
            <w:shd w:val="clear" w:color="auto" w:fill="DEEAF6" w:themeFill="accent5" w:themeFillTint="33"/>
            <w:vAlign w:val="center"/>
            <w:hideMark/>
          </w:tcPr>
          <w:p w14:paraId="55F13EFC" w14:textId="77777777" w:rsidR="00937762" w:rsidRPr="00525C87" w:rsidRDefault="00937762" w:rsidP="00937762">
            <w:pPr>
              <w:spacing w:after="0" w:line="240" w:lineRule="auto"/>
              <w:rPr>
                <w:rFonts w:ascii="Arial Narrow" w:eastAsia="Times New Roman" w:hAnsi="Arial Narrow" w:cs="Calibri"/>
                <w:b/>
                <w:bCs/>
                <w:sz w:val="16"/>
                <w:szCs w:val="16"/>
                <w:lang w:eastAsia="sk-SK"/>
              </w:rPr>
            </w:pPr>
            <w:r w:rsidRPr="00525C87">
              <w:rPr>
                <w:rFonts w:ascii="Arial Narrow" w:eastAsia="Times New Roman" w:hAnsi="Arial Narrow" w:cs="Calibri"/>
                <w:b/>
                <w:bCs/>
                <w:sz w:val="16"/>
                <w:szCs w:val="16"/>
                <w:lang w:eastAsia="sk-SK"/>
              </w:rPr>
              <w:t>Deflátor importných cien</w:t>
            </w:r>
          </w:p>
        </w:tc>
        <w:tc>
          <w:tcPr>
            <w:tcW w:w="968" w:type="dxa"/>
            <w:tcBorders>
              <w:top w:val="nil"/>
              <w:left w:val="nil"/>
              <w:bottom w:val="nil"/>
              <w:right w:val="nil"/>
            </w:tcBorders>
            <w:shd w:val="clear" w:color="auto" w:fill="DEEAF6" w:themeFill="accent5" w:themeFillTint="33"/>
            <w:vAlign w:val="center"/>
            <w:hideMark/>
          </w:tcPr>
          <w:p w14:paraId="230A34FF" w14:textId="77777777" w:rsidR="00937762" w:rsidRPr="00525C87" w:rsidRDefault="00937762" w:rsidP="00937762">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hideMark/>
          </w:tcPr>
          <w:p w14:paraId="599FE03E" w14:textId="316EDE0A"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4,2</w:t>
            </w:r>
          </w:p>
        </w:tc>
        <w:tc>
          <w:tcPr>
            <w:tcW w:w="943" w:type="dxa"/>
            <w:tcBorders>
              <w:top w:val="nil"/>
              <w:left w:val="nil"/>
              <w:bottom w:val="nil"/>
              <w:right w:val="nil"/>
            </w:tcBorders>
            <w:shd w:val="clear" w:color="auto" w:fill="DEEAF6" w:themeFill="accent5" w:themeFillTint="33"/>
            <w:vAlign w:val="center"/>
            <w:hideMark/>
          </w:tcPr>
          <w:p w14:paraId="656AA0E8" w14:textId="0548FF7A"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3,3</w:t>
            </w:r>
          </w:p>
        </w:tc>
        <w:tc>
          <w:tcPr>
            <w:tcW w:w="708" w:type="dxa"/>
            <w:gridSpan w:val="3"/>
            <w:tcBorders>
              <w:top w:val="nil"/>
              <w:left w:val="nil"/>
              <w:bottom w:val="nil"/>
              <w:right w:val="nil"/>
            </w:tcBorders>
            <w:shd w:val="clear" w:color="auto" w:fill="DEEAF6" w:themeFill="accent5" w:themeFillTint="33"/>
            <w:vAlign w:val="center"/>
          </w:tcPr>
          <w:p w14:paraId="46ABE42F" w14:textId="5C7D96A1"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559" w:type="dxa"/>
            <w:tcBorders>
              <w:top w:val="nil"/>
              <w:left w:val="nil"/>
              <w:bottom w:val="nil"/>
              <w:right w:val="nil"/>
            </w:tcBorders>
            <w:shd w:val="clear" w:color="auto" w:fill="DEEAF6" w:themeFill="accent5" w:themeFillTint="33"/>
            <w:vAlign w:val="center"/>
          </w:tcPr>
          <w:p w14:paraId="4B5DBB3C" w14:textId="590877E0"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782" w:type="dxa"/>
            <w:gridSpan w:val="6"/>
            <w:tcBorders>
              <w:top w:val="nil"/>
              <w:left w:val="nil"/>
              <w:bottom w:val="nil"/>
              <w:right w:val="nil"/>
            </w:tcBorders>
            <w:shd w:val="clear" w:color="auto" w:fill="DEEAF6" w:themeFill="accent5" w:themeFillTint="33"/>
            <w:vAlign w:val="center"/>
          </w:tcPr>
          <w:p w14:paraId="65E4D6AB" w14:textId="34EBC0F7"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614" w:type="dxa"/>
            <w:gridSpan w:val="4"/>
            <w:tcBorders>
              <w:top w:val="nil"/>
              <w:left w:val="nil"/>
              <w:bottom w:val="nil"/>
              <w:right w:val="nil"/>
            </w:tcBorders>
            <w:shd w:val="clear" w:color="auto" w:fill="DEEAF6" w:themeFill="accent5" w:themeFillTint="33"/>
            <w:vAlign w:val="center"/>
          </w:tcPr>
          <w:p w14:paraId="170C5137" w14:textId="53568F7B"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C1228B" w:rsidRPr="001727BF" w14:paraId="0D4BF61B" w14:textId="77777777" w:rsidTr="00525C87">
        <w:trPr>
          <w:trHeight w:val="300"/>
        </w:trPr>
        <w:tc>
          <w:tcPr>
            <w:tcW w:w="3668" w:type="dxa"/>
            <w:gridSpan w:val="5"/>
            <w:tcBorders>
              <w:top w:val="nil"/>
              <w:left w:val="nil"/>
              <w:bottom w:val="nil"/>
              <w:right w:val="nil"/>
            </w:tcBorders>
            <w:shd w:val="clear" w:color="auto" w:fill="auto"/>
            <w:vAlign w:val="center"/>
            <w:hideMark/>
          </w:tcPr>
          <w:p w14:paraId="2CF8802D" w14:textId="77777777" w:rsidR="00C1228B" w:rsidRPr="00525C87" w:rsidRDefault="00C1228B" w:rsidP="00616580">
            <w:pPr>
              <w:spacing w:after="0" w:line="240" w:lineRule="auto"/>
              <w:rPr>
                <w:rFonts w:ascii="Arial Narrow" w:eastAsia="Times New Roman" w:hAnsi="Arial Narrow" w:cs="Calibri"/>
                <w:i/>
                <w:iCs/>
                <w:sz w:val="16"/>
                <w:szCs w:val="16"/>
                <w:lang w:eastAsia="sk-SK"/>
              </w:rPr>
            </w:pPr>
            <w:r w:rsidRPr="00525C87">
              <w:rPr>
                <w:rFonts w:ascii="Arial Narrow" w:eastAsia="Times New Roman" w:hAnsi="Arial Narrow" w:cs="Calibri"/>
                <w:i/>
                <w:iCs/>
                <w:sz w:val="16"/>
                <w:szCs w:val="16"/>
                <w:lang w:eastAsia="sk-SK"/>
              </w:rPr>
              <w:t>Trh práce</w:t>
            </w:r>
          </w:p>
        </w:tc>
        <w:tc>
          <w:tcPr>
            <w:tcW w:w="968" w:type="dxa"/>
            <w:tcBorders>
              <w:top w:val="nil"/>
              <w:left w:val="nil"/>
              <w:bottom w:val="nil"/>
              <w:right w:val="nil"/>
            </w:tcBorders>
            <w:shd w:val="clear" w:color="auto" w:fill="auto"/>
            <w:vAlign w:val="center"/>
            <w:hideMark/>
          </w:tcPr>
          <w:p w14:paraId="545A17BC" w14:textId="77777777" w:rsidR="00C1228B" w:rsidRPr="00525C87" w:rsidRDefault="00C1228B" w:rsidP="00616580">
            <w:pPr>
              <w:spacing w:after="0" w:line="240" w:lineRule="auto"/>
              <w:rPr>
                <w:rFonts w:ascii="Arial Narrow" w:eastAsia="Times New Roman" w:hAnsi="Arial Narrow" w:cs="Calibri"/>
                <w:i/>
                <w:iCs/>
                <w:sz w:val="16"/>
                <w:szCs w:val="16"/>
                <w:lang w:eastAsia="sk-SK"/>
              </w:rPr>
            </w:pPr>
          </w:p>
        </w:tc>
        <w:tc>
          <w:tcPr>
            <w:tcW w:w="943" w:type="dxa"/>
            <w:tcBorders>
              <w:top w:val="nil"/>
              <w:left w:val="nil"/>
              <w:bottom w:val="nil"/>
              <w:right w:val="nil"/>
            </w:tcBorders>
            <w:shd w:val="clear" w:color="auto" w:fill="auto"/>
            <w:vAlign w:val="center"/>
            <w:hideMark/>
          </w:tcPr>
          <w:p w14:paraId="1F4D7BE3" w14:textId="77777777" w:rsidR="00C1228B" w:rsidRPr="00A22C01" w:rsidRDefault="00C1228B" w:rsidP="00616580">
            <w:pPr>
              <w:spacing w:after="0" w:line="240" w:lineRule="auto"/>
              <w:jc w:val="center"/>
              <w:rPr>
                <w:rFonts w:ascii="Arial Narrow" w:eastAsia="Times New Roman" w:hAnsi="Arial Narrow" w:cs="Times New Roman"/>
                <w:color w:val="000000" w:themeColor="text1"/>
                <w:sz w:val="16"/>
                <w:szCs w:val="16"/>
                <w:lang w:eastAsia="sk-SK"/>
              </w:rPr>
            </w:pPr>
          </w:p>
        </w:tc>
        <w:tc>
          <w:tcPr>
            <w:tcW w:w="943" w:type="dxa"/>
            <w:tcBorders>
              <w:top w:val="nil"/>
              <w:left w:val="nil"/>
              <w:bottom w:val="nil"/>
              <w:right w:val="nil"/>
            </w:tcBorders>
            <w:shd w:val="clear" w:color="auto" w:fill="auto"/>
            <w:vAlign w:val="center"/>
            <w:hideMark/>
          </w:tcPr>
          <w:p w14:paraId="7A967F37" w14:textId="77777777" w:rsidR="00C1228B" w:rsidRPr="00A22C01" w:rsidRDefault="00C1228B" w:rsidP="00616580">
            <w:pPr>
              <w:spacing w:after="0" w:line="240" w:lineRule="auto"/>
              <w:jc w:val="center"/>
              <w:rPr>
                <w:rFonts w:ascii="Arial Narrow" w:eastAsia="Times New Roman" w:hAnsi="Arial Narrow" w:cs="Times New Roman"/>
                <w:color w:val="000000" w:themeColor="text1"/>
                <w:sz w:val="16"/>
                <w:szCs w:val="16"/>
                <w:lang w:eastAsia="sk-SK"/>
              </w:rPr>
            </w:pPr>
          </w:p>
        </w:tc>
        <w:tc>
          <w:tcPr>
            <w:tcW w:w="708" w:type="dxa"/>
            <w:gridSpan w:val="3"/>
            <w:tcBorders>
              <w:top w:val="nil"/>
              <w:left w:val="nil"/>
              <w:bottom w:val="nil"/>
              <w:right w:val="nil"/>
            </w:tcBorders>
            <w:shd w:val="clear" w:color="auto" w:fill="auto"/>
            <w:vAlign w:val="center"/>
            <w:hideMark/>
          </w:tcPr>
          <w:p w14:paraId="7A9B5351"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c>
          <w:tcPr>
            <w:tcW w:w="559" w:type="dxa"/>
            <w:tcBorders>
              <w:top w:val="nil"/>
              <w:left w:val="nil"/>
              <w:bottom w:val="nil"/>
              <w:right w:val="nil"/>
            </w:tcBorders>
            <w:shd w:val="clear" w:color="auto" w:fill="auto"/>
            <w:vAlign w:val="center"/>
            <w:hideMark/>
          </w:tcPr>
          <w:p w14:paraId="33D851D3"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c>
          <w:tcPr>
            <w:tcW w:w="782" w:type="dxa"/>
            <w:gridSpan w:val="6"/>
            <w:tcBorders>
              <w:top w:val="nil"/>
              <w:left w:val="nil"/>
              <w:bottom w:val="nil"/>
              <w:right w:val="nil"/>
            </w:tcBorders>
            <w:shd w:val="clear" w:color="auto" w:fill="auto"/>
            <w:vAlign w:val="center"/>
            <w:hideMark/>
          </w:tcPr>
          <w:p w14:paraId="0CC7C7D3"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c>
          <w:tcPr>
            <w:tcW w:w="927" w:type="dxa"/>
            <w:gridSpan w:val="5"/>
            <w:tcBorders>
              <w:top w:val="nil"/>
              <w:left w:val="nil"/>
              <w:bottom w:val="nil"/>
              <w:right w:val="nil"/>
            </w:tcBorders>
            <w:shd w:val="clear" w:color="auto" w:fill="auto"/>
            <w:vAlign w:val="center"/>
            <w:hideMark/>
          </w:tcPr>
          <w:p w14:paraId="674997A8"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r>
      <w:tr w:rsidR="00937762" w:rsidRPr="001727BF" w14:paraId="74493F2C" w14:textId="77777777" w:rsidTr="00A22C01">
        <w:trPr>
          <w:gridAfter w:val="1"/>
          <w:wAfter w:w="313" w:type="dxa"/>
          <w:trHeight w:val="300"/>
        </w:trPr>
        <w:tc>
          <w:tcPr>
            <w:tcW w:w="541" w:type="dxa"/>
            <w:tcBorders>
              <w:top w:val="nil"/>
              <w:left w:val="nil"/>
              <w:bottom w:val="nil"/>
              <w:right w:val="nil"/>
            </w:tcBorders>
            <w:shd w:val="clear" w:color="auto" w:fill="DEEAF6" w:themeFill="accent5" w:themeFillTint="33"/>
            <w:vAlign w:val="center"/>
            <w:hideMark/>
          </w:tcPr>
          <w:p w14:paraId="362D16C4" w14:textId="77777777" w:rsidR="00937762" w:rsidRPr="00525C87" w:rsidRDefault="00937762" w:rsidP="00937762">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19</w:t>
            </w:r>
          </w:p>
        </w:tc>
        <w:tc>
          <w:tcPr>
            <w:tcW w:w="3127" w:type="dxa"/>
            <w:gridSpan w:val="4"/>
            <w:tcBorders>
              <w:top w:val="nil"/>
              <w:left w:val="nil"/>
              <w:bottom w:val="nil"/>
              <w:right w:val="nil"/>
            </w:tcBorders>
            <w:shd w:val="clear" w:color="auto" w:fill="DEEAF6" w:themeFill="accent5" w:themeFillTint="33"/>
            <w:vAlign w:val="center"/>
            <w:hideMark/>
          </w:tcPr>
          <w:p w14:paraId="7ACF3671" w14:textId="77777777" w:rsidR="00937762" w:rsidRPr="00525C87" w:rsidRDefault="00937762" w:rsidP="00937762">
            <w:pPr>
              <w:spacing w:after="0" w:line="240" w:lineRule="auto"/>
              <w:rPr>
                <w:rFonts w:ascii="Arial Narrow" w:eastAsia="Times New Roman" w:hAnsi="Arial Narrow" w:cs="Calibri"/>
                <w:b/>
                <w:bCs/>
                <w:sz w:val="16"/>
                <w:szCs w:val="16"/>
                <w:lang w:eastAsia="sk-SK"/>
              </w:rPr>
            </w:pPr>
            <w:r w:rsidRPr="00525C87">
              <w:rPr>
                <w:rFonts w:ascii="Arial Narrow" w:eastAsia="Times New Roman" w:hAnsi="Arial Narrow" w:cs="Calibri"/>
                <w:b/>
                <w:bCs/>
                <w:sz w:val="16"/>
                <w:szCs w:val="16"/>
                <w:lang w:eastAsia="sk-SK"/>
              </w:rPr>
              <w:t>Domáca zamestnanosť (v tisícoch ľudí, národné účty)</w:t>
            </w:r>
          </w:p>
        </w:tc>
        <w:tc>
          <w:tcPr>
            <w:tcW w:w="968" w:type="dxa"/>
            <w:tcBorders>
              <w:top w:val="nil"/>
              <w:left w:val="nil"/>
              <w:bottom w:val="nil"/>
              <w:right w:val="nil"/>
            </w:tcBorders>
            <w:shd w:val="clear" w:color="auto" w:fill="DEEAF6" w:themeFill="accent5" w:themeFillTint="33"/>
            <w:vAlign w:val="center"/>
            <w:hideMark/>
          </w:tcPr>
          <w:p w14:paraId="7A6873B3" w14:textId="3ACB5406"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2434,1</w:t>
            </w:r>
          </w:p>
        </w:tc>
        <w:tc>
          <w:tcPr>
            <w:tcW w:w="943" w:type="dxa"/>
            <w:tcBorders>
              <w:top w:val="nil"/>
              <w:left w:val="nil"/>
              <w:bottom w:val="nil"/>
              <w:right w:val="nil"/>
            </w:tcBorders>
            <w:shd w:val="clear" w:color="auto" w:fill="DEEAF6" w:themeFill="accent5" w:themeFillTint="33"/>
            <w:vAlign w:val="center"/>
            <w:hideMark/>
          </w:tcPr>
          <w:p w14:paraId="142B948A" w14:textId="25634B10"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0,3</w:t>
            </w:r>
          </w:p>
        </w:tc>
        <w:tc>
          <w:tcPr>
            <w:tcW w:w="943" w:type="dxa"/>
            <w:tcBorders>
              <w:top w:val="nil"/>
              <w:left w:val="nil"/>
              <w:bottom w:val="nil"/>
              <w:right w:val="nil"/>
            </w:tcBorders>
            <w:shd w:val="clear" w:color="auto" w:fill="DEEAF6" w:themeFill="accent5" w:themeFillTint="33"/>
            <w:vAlign w:val="center"/>
            <w:hideMark/>
          </w:tcPr>
          <w:p w14:paraId="66EE2502" w14:textId="6D437954"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0,2</w:t>
            </w:r>
          </w:p>
        </w:tc>
        <w:tc>
          <w:tcPr>
            <w:tcW w:w="708" w:type="dxa"/>
            <w:gridSpan w:val="3"/>
            <w:tcBorders>
              <w:top w:val="nil"/>
              <w:left w:val="nil"/>
              <w:bottom w:val="nil"/>
              <w:right w:val="nil"/>
            </w:tcBorders>
            <w:shd w:val="clear" w:color="auto" w:fill="DEEAF6" w:themeFill="accent5" w:themeFillTint="33"/>
            <w:vAlign w:val="center"/>
          </w:tcPr>
          <w:p w14:paraId="590EA461" w14:textId="50928785"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559" w:type="dxa"/>
            <w:tcBorders>
              <w:top w:val="nil"/>
              <w:left w:val="nil"/>
              <w:bottom w:val="nil"/>
              <w:right w:val="nil"/>
            </w:tcBorders>
            <w:shd w:val="clear" w:color="auto" w:fill="DEEAF6" w:themeFill="accent5" w:themeFillTint="33"/>
            <w:vAlign w:val="center"/>
          </w:tcPr>
          <w:p w14:paraId="21C4F13C" w14:textId="2065EAD6"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782" w:type="dxa"/>
            <w:gridSpan w:val="6"/>
            <w:tcBorders>
              <w:top w:val="nil"/>
              <w:left w:val="nil"/>
              <w:bottom w:val="nil"/>
              <w:right w:val="nil"/>
            </w:tcBorders>
            <w:shd w:val="clear" w:color="auto" w:fill="DEEAF6" w:themeFill="accent5" w:themeFillTint="33"/>
            <w:vAlign w:val="center"/>
          </w:tcPr>
          <w:p w14:paraId="1B675607" w14:textId="00EECE57"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614" w:type="dxa"/>
            <w:gridSpan w:val="4"/>
            <w:tcBorders>
              <w:top w:val="nil"/>
              <w:left w:val="nil"/>
              <w:bottom w:val="nil"/>
              <w:right w:val="nil"/>
            </w:tcBorders>
            <w:shd w:val="clear" w:color="auto" w:fill="DEEAF6" w:themeFill="accent5" w:themeFillTint="33"/>
            <w:vAlign w:val="center"/>
          </w:tcPr>
          <w:p w14:paraId="665C0C1A" w14:textId="646E94BA"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937762" w:rsidRPr="001727BF" w14:paraId="474E3684" w14:textId="77777777" w:rsidTr="00A22C01">
        <w:trPr>
          <w:gridAfter w:val="1"/>
          <w:wAfter w:w="313" w:type="dxa"/>
          <w:trHeight w:val="300"/>
        </w:trPr>
        <w:tc>
          <w:tcPr>
            <w:tcW w:w="541" w:type="dxa"/>
            <w:tcBorders>
              <w:top w:val="nil"/>
              <w:left w:val="nil"/>
              <w:bottom w:val="nil"/>
              <w:right w:val="nil"/>
            </w:tcBorders>
            <w:shd w:val="clear" w:color="auto" w:fill="DEEAF6" w:themeFill="accent5" w:themeFillTint="33"/>
            <w:vAlign w:val="center"/>
            <w:hideMark/>
          </w:tcPr>
          <w:p w14:paraId="3909733F" w14:textId="77777777" w:rsidR="00937762" w:rsidRPr="00525C87" w:rsidRDefault="00937762" w:rsidP="00937762">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20</w:t>
            </w:r>
          </w:p>
        </w:tc>
        <w:tc>
          <w:tcPr>
            <w:tcW w:w="3127" w:type="dxa"/>
            <w:gridSpan w:val="4"/>
            <w:tcBorders>
              <w:top w:val="nil"/>
              <w:left w:val="nil"/>
              <w:bottom w:val="nil"/>
              <w:right w:val="nil"/>
            </w:tcBorders>
            <w:shd w:val="clear" w:color="auto" w:fill="DEEAF6" w:themeFill="accent5" w:themeFillTint="33"/>
            <w:vAlign w:val="center"/>
            <w:hideMark/>
          </w:tcPr>
          <w:p w14:paraId="3A96FFE5" w14:textId="77777777" w:rsidR="00937762" w:rsidRPr="00525C87" w:rsidRDefault="00937762" w:rsidP="00937762">
            <w:pPr>
              <w:spacing w:after="0" w:line="240" w:lineRule="auto"/>
              <w:rPr>
                <w:rFonts w:ascii="Arial Narrow" w:eastAsia="Times New Roman" w:hAnsi="Arial Narrow" w:cs="Calibri"/>
                <w:b/>
                <w:bCs/>
                <w:sz w:val="16"/>
                <w:szCs w:val="16"/>
                <w:lang w:eastAsia="sk-SK"/>
              </w:rPr>
            </w:pPr>
            <w:r w:rsidRPr="00525C87">
              <w:rPr>
                <w:rFonts w:ascii="Arial Narrow" w:eastAsia="Times New Roman" w:hAnsi="Arial Narrow" w:cs="Calibri"/>
                <w:b/>
                <w:bCs/>
                <w:sz w:val="16"/>
                <w:szCs w:val="16"/>
                <w:lang w:eastAsia="sk-SK"/>
              </w:rPr>
              <w:t>Priemerný ročný počet odpracovaných hodín na zamestnanca</w:t>
            </w:r>
          </w:p>
        </w:tc>
        <w:tc>
          <w:tcPr>
            <w:tcW w:w="968" w:type="dxa"/>
            <w:tcBorders>
              <w:top w:val="nil"/>
              <w:left w:val="nil"/>
              <w:bottom w:val="nil"/>
              <w:right w:val="nil"/>
            </w:tcBorders>
            <w:shd w:val="clear" w:color="auto" w:fill="DEEAF6" w:themeFill="accent5" w:themeFillTint="33"/>
            <w:vAlign w:val="center"/>
            <w:hideMark/>
          </w:tcPr>
          <w:p w14:paraId="4DE3BD05" w14:textId="014C9B76"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1630,9</w:t>
            </w:r>
          </w:p>
        </w:tc>
        <w:tc>
          <w:tcPr>
            <w:tcW w:w="943" w:type="dxa"/>
            <w:tcBorders>
              <w:top w:val="nil"/>
              <w:left w:val="nil"/>
              <w:bottom w:val="nil"/>
              <w:right w:val="nil"/>
            </w:tcBorders>
            <w:shd w:val="clear" w:color="auto" w:fill="DEEAF6" w:themeFill="accent5" w:themeFillTint="33"/>
            <w:vAlign w:val="center"/>
            <w:hideMark/>
          </w:tcPr>
          <w:p w14:paraId="34D757F0" w14:textId="72F4AE6B"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0,5</w:t>
            </w:r>
          </w:p>
        </w:tc>
        <w:tc>
          <w:tcPr>
            <w:tcW w:w="943" w:type="dxa"/>
            <w:tcBorders>
              <w:top w:val="nil"/>
              <w:left w:val="nil"/>
              <w:bottom w:val="nil"/>
              <w:right w:val="nil"/>
            </w:tcBorders>
            <w:shd w:val="clear" w:color="auto" w:fill="DEEAF6" w:themeFill="accent5" w:themeFillTint="33"/>
            <w:vAlign w:val="center"/>
            <w:hideMark/>
          </w:tcPr>
          <w:p w14:paraId="445553F9" w14:textId="2FD433B0"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0,4</w:t>
            </w:r>
          </w:p>
        </w:tc>
        <w:tc>
          <w:tcPr>
            <w:tcW w:w="708" w:type="dxa"/>
            <w:gridSpan w:val="3"/>
            <w:tcBorders>
              <w:top w:val="nil"/>
              <w:left w:val="nil"/>
              <w:bottom w:val="nil"/>
              <w:right w:val="nil"/>
            </w:tcBorders>
            <w:shd w:val="clear" w:color="auto" w:fill="DEEAF6" w:themeFill="accent5" w:themeFillTint="33"/>
            <w:vAlign w:val="center"/>
          </w:tcPr>
          <w:p w14:paraId="188363BB" w14:textId="7ACFACD8"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559" w:type="dxa"/>
            <w:tcBorders>
              <w:top w:val="nil"/>
              <w:left w:val="nil"/>
              <w:bottom w:val="nil"/>
              <w:right w:val="nil"/>
            </w:tcBorders>
            <w:shd w:val="clear" w:color="auto" w:fill="DEEAF6" w:themeFill="accent5" w:themeFillTint="33"/>
            <w:vAlign w:val="center"/>
          </w:tcPr>
          <w:p w14:paraId="0395C279" w14:textId="0C26C65E"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782" w:type="dxa"/>
            <w:gridSpan w:val="6"/>
            <w:tcBorders>
              <w:top w:val="nil"/>
              <w:left w:val="nil"/>
              <w:bottom w:val="nil"/>
              <w:right w:val="nil"/>
            </w:tcBorders>
            <w:shd w:val="clear" w:color="auto" w:fill="DEEAF6" w:themeFill="accent5" w:themeFillTint="33"/>
            <w:vAlign w:val="center"/>
          </w:tcPr>
          <w:p w14:paraId="23523EA7" w14:textId="4694CD34"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614" w:type="dxa"/>
            <w:gridSpan w:val="4"/>
            <w:tcBorders>
              <w:top w:val="nil"/>
              <w:left w:val="nil"/>
              <w:bottom w:val="nil"/>
              <w:right w:val="nil"/>
            </w:tcBorders>
            <w:shd w:val="clear" w:color="auto" w:fill="DEEAF6" w:themeFill="accent5" w:themeFillTint="33"/>
            <w:vAlign w:val="center"/>
          </w:tcPr>
          <w:p w14:paraId="253A43F8" w14:textId="5591218D"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937762" w:rsidRPr="001727BF" w14:paraId="6AD0CB14" w14:textId="77777777" w:rsidTr="00A22C01">
        <w:trPr>
          <w:gridAfter w:val="1"/>
          <w:wAfter w:w="313" w:type="dxa"/>
          <w:trHeight w:val="300"/>
        </w:trPr>
        <w:tc>
          <w:tcPr>
            <w:tcW w:w="541" w:type="dxa"/>
            <w:tcBorders>
              <w:top w:val="nil"/>
              <w:left w:val="nil"/>
              <w:bottom w:val="nil"/>
              <w:right w:val="nil"/>
            </w:tcBorders>
            <w:shd w:val="clear" w:color="auto" w:fill="DEEAF6" w:themeFill="accent5" w:themeFillTint="33"/>
            <w:vAlign w:val="center"/>
            <w:hideMark/>
          </w:tcPr>
          <w:p w14:paraId="1E8E535A" w14:textId="77777777" w:rsidR="00937762" w:rsidRPr="00525C87" w:rsidRDefault="00937762" w:rsidP="00937762">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21</w:t>
            </w:r>
          </w:p>
        </w:tc>
        <w:tc>
          <w:tcPr>
            <w:tcW w:w="3127" w:type="dxa"/>
            <w:gridSpan w:val="4"/>
            <w:tcBorders>
              <w:top w:val="nil"/>
              <w:left w:val="nil"/>
              <w:bottom w:val="nil"/>
              <w:right w:val="nil"/>
            </w:tcBorders>
            <w:shd w:val="clear" w:color="auto" w:fill="DEEAF6" w:themeFill="accent5" w:themeFillTint="33"/>
            <w:vAlign w:val="center"/>
            <w:hideMark/>
          </w:tcPr>
          <w:p w14:paraId="55205EAA" w14:textId="77777777" w:rsidR="00937762" w:rsidRPr="00525C87" w:rsidRDefault="00937762" w:rsidP="00937762">
            <w:pPr>
              <w:spacing w:after="0" w:line="240" w:lineRule="auto"/>
              <w:rPr>
                <w:rFonts w:ascii="Arial Narrow" w:eastAsia="Times New Roman" w:hAnsi="Arial Narrow" w:cs="Calibri"/>
                <w:b/>
                <w:bCs/>
                <w:sz w:val="16"/>
                <w:szCs w:val="16"/>
                <w:lang w:eastAsia="sk-SK"/>
              </w:rPr>
            </w:pPr>
            <w:r w:rsidRPr="00525C87">
              <w:rPr>
                <w:rFonts w:ascii="Arial Narrow" w:eastAsia="Times New Roman" w:hAnsi="Arial Narrow" w:cs="Calibri"/>
                <w:b/>
                <w:bCs/>
                <w:sz w:val="16"/>
                <w:szCs w:val="16"/>
                <w:lang w:eastAsia="sk-SK"/>
              </w:rPr>
              <w:t>Reálny HDP na zamestnanca</w:t>
            </w:r>
          </w:p>
        </w:tc>
        <w:tc>
          <w:tcPr>
            <w:tcW w:w="968" w:type="dxa"/>
            <w:tcBorders>
              <w:top w:val="nil"/>
              <w:left w:val="nil"/>
              <w:bottom w:val="nil"/>
              <w:right w:val="nil"/>
            </w:tcBorders>
            <w:shd w:val="clear" w:color="auto" w:fill="DEEAF6" w:themeFill="accent5" w:themeFillTint="33"/>
            <w:vAlign w:val="center"/>
            <w:hideMark/>
          </w:tcPr>
          <w:p w14:paraId="55DC77B9" w14:textId="3BC0FA03"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38,6</w:t>
            </w:r>
          </w:p>
        </w:tc>
        <w:tc>
          <w:tcPr>
            <w:tcW w:w="943" w:type="dxa"/>
            <w:tcBorders>
              <w:top w:val="nil"/>
              <w:left w:val="nil"/>
              <w:bottom w:val="nil"/>
              <w:right w:val="nil"/>
            </w:tcBorders>
            <w:shd w:val="clear" w:color="auto" w:fill="DEEAF6" w:themeFill="accent5" w:themeFillTint="33"/>
            <w:vAlign w:val="center"/>
            <w:hideMark/>
          </w:tcPr>
          <w:p w14:paraId="05E9D77E" w14:textId="75440C1E"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1,3</w:t>
            </w:r>
          </w:p>
        </w:tc>
        <w:tc>
          <w:tcPr>
            <w:tcW w:w="943" w:type="dxa"/>
            <w:tcBorders>
              <w:top w:val="nil"/>
              <w:left w:val="nil"/>
              <w:bottom w:val="nil"/>
              <w:right w:val="nil"/>
            </w:tcBorders>
            <w:shd w:val="clear" w:color="auto" w:fill="DEEAF6" w:themeFill="accent5" w:themeFillTint="33"/>
            <w:vAlign w:val="center"/>
            <w:hideMark/>
          </w:tcPr>
          <w:p w14:paraId="76FCA3BC" w14:textId="4E91E298"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2,1</w:t>
            </w:r>
          </w:p>
        </w:tc>
        <w:tc>
          <w:tcPr>
            <w:tcW w:w="708" w:type="dxa"/>
            <w:gridSpan w:val="3"/>
            <w:tcBorders>
              <w:top w:val="nil"/>
              <w:left w:val="nil"/>
              <w:bottom w:val="nil"/>
              <w:right w:val="nil"/>
            </w:tcBorders>
            <w:shd w:val="clear" w:color="auto" w:fill="DEEAF6" w:themeFill="accent5" w:themeFillTint="33"/>
            <w:vAlign w:val="center"/>
          </w:tcPr>
          <w:p w14:paraId="55224E85" w14:textId="4DAEB942"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559" w:type="dxa"/>
            <w:tcBorders>
              <w:top w:val="nil"/>
              <w:left w:val="nil"/>
              <w:bottom w:val="nil"/>
              <w:right w:val="nil"/>
            </w:tcBorders>
            <w:shd w:val="clear" w:color="auto" w:fill="DEEAF6" w:themeFill="accent5" w:themeFillTint="33"/>
            <w:vAlign w:val="center"/>
          </w:tcPr>
          <w:p w14:paraId="202B1B76" w14:textId="4306033A"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782" w:type="dxa"/>
            <w:gridSpan w:val="6"/>
            <w:tcBorders>
              <w:top w:val="nil"/>
              <w:left w:val="nil"/>
              <w:bottom w:val="nil"/>
              <w:right w:val="nil"/>
            </w:tcBorders>
            <w:shd w:val="clear" w:color="auto" w:fill="DEEAF6" w:themeFill="accent5" w:themeFillTint="33"/>
            <w:vAlign w:val="center"/>
          </w:tcPr>
          <w:p w14:paraId="30C93ADC" w14:textId="58B69146"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614" w:type="dxa"/>
            <w:gridSpan w:val="4"/>
            <w:tcBorders>
              <w:top w:val="nil"/>
              <w:left w:val="nil"/>
              <w:bottom w:val="nil"/>
              <w:right w:val="nil"/>
            </w:tcBorders>
            <w:shd w:val="clear" w:color="auto" w:fill="DEEAF6" w:themeFill="accent5" w:themeFillTint="33"/>
            <w:vAlign w:val="center"/>
          </w:tcPr>
          <w:p w14:paraId="32E3DE38" w14:textId="6EF01606"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937762" w:rsidRPr="001727BF" w14:paraId="59493C21" w14:textId="77777777" w:rsidTr="00A22C01">
        <w:trPr>
          <w:gridAfter w:val="1"/>
          <w:wAfter w:w="313" w:type="dxa"/>
          <w:trHeight w:val="300"/>
        </w:trPr>
        <w:tc>
          <w:tcPr>
            <w:tcW w:w="541" w:type="dxa"/>
            <w:tcBorders>
              <w:top w:val="nil"/>
              <w:left w:val="nil"/>
              <w:bottom w:val="nil"/>
              <w:right w:val="nil"/>
            </w:tcBorders>
            <w:shd w:val="clear" w:color="auto" w:fill="DEEAF6" w:themeFill="accent5" w:themeFillTint="33"/>
            <w:vAlign w:val="center"/>
            <w:hideMark/>
          </w:tcPr>
          <w:p w14:paraId="670BBC11" w14:textId="77777777" w:rsidR="00937762" w:rsidRPr="00525C87" w:rsidRDefault="00937762" w:rsidP="00937762">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22</w:t>
            </w:r>
          </w:p>
        </w:tc>
        <w:tc>
          <w:tcPr>
            <w:tcW w:w="3127" w:type="dxa"/>
            <w:gridSpan w:val="4"/>
            <w:tcBorders>
              <w:top w:val="nil"/>
              <w:left w:val="nil"/>
              <w:bottom w:val="nil"/>
              <w:right w:val="nil"/>
            </w:tcBorders>
            <w:shd w:val="clear" w:color="auto" w:fill="DEEAF6" w:themeFill="accent5" w:themeFillTint="33"/>
            <w:vAlign w:val="center"/>
            <w:hideMark/>
          </w:tcPr>
          <w:p w14:paraId="483AD77B" w14:textId="77777777" w:rsidR="00937762" w:rsidRPr="00525C87" w:rsidRDefault="00937762" w:rsidP="00937762">
            <w:pPr>
              <w:spacing w:after="0" w:line="240" w:lineRule="auto"/>
              <w:rPr>
                <w:rFonts w:ascii="Arial Narrow" w:eastAsia="Times New Roman" w:hAnsi="Arial Narrow" w:cs="Calibri"/>
                <w:b/>
                <w:bCs/>
                <w:sz w:val="16"/>
                <w:szCs w:val="16"/>
                <w:lang w:eastAsia="sk-SK"/>
              </w:rPr>
            </w:pPr>
            <w:r w:rsidRPr="00525C87">
              <w:rPr>
                <w:rFonts w:ascii="Arial Narrow" w:eastAsia="Times New Roman" w:hAnsi="Arial Narrow" w:cs="Calibri"/>
                <w:b/>
                <w:bCs/>
                <w:sz w:val="16"/>
                <w:szCs w:val="16"/>
                <w:lang w:eastAsia="sk-SK"/>
              </w:rPr>
              <w:t>Reálny HDP na odpracovanú hodinu</w:t>
            </w:r>
          </w:p>
        </w:tc>
        <w:tc>
          <w:tcPr>
            <w:tcW w:w="968" w:type="dxa"/>
            <w:tcBorders>
              <w:top w:val="nil"/>
              <w:left w:val="nil"/>
              <w:bottom w:val="nil"/>
              <w:right w:val="nil"/>
            </w:tcBorders>
            <w:shd w:val="clear" w:color="auto" w:fill="DEEAF6" w:themeFill="accent5" w:themeFillTint="33"/>
            <w:vAlign w:val="center"/>
            <w:hideMark/>
          </w:tcPr>
          <w:p w14:paraId="14695477" w14:textId="0B89DE17"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23,7</w:t>
            </w:r>
          </w:p>
        </w:tc>
        <w:tc>
          <w:tcPr>
            <w:tcW w:w="943" w:type="dxa"/>
            <w:tcBorders>
              <w:top w:val="nil"/>
              <w:left w:val="nil"/>
              <w:bottom w:val="nil"/>
              <w:right w:val="nil"/>
            </w:tcBorders>
            <w:shd w:val="clear" w:color="auto" w:fill="DEEAF6" w:themeFill="accent5" w:themeFillTint="33"/>
            <w:vAlign w:val="center"/>
            <w:hideMark/>
          </w:tcPr>
          <w:p w14:paraId="27DA1759" w14:textId="4319E036"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2,3</w:t>
            </w:r>
          </w:p>
        </w:tc>
        <w:tc>
          <w:tcPr>
            <w:tcW w:w="943" w:type="dxa"/>
            <w:tcBorders>
              <w:top w:val="nil"/>
              <w:left w:val="nil"/>
              <w:bottom w:val="nil"/>
              <w:right w:val="nil"/>
            </w:tcBorders>
            <w:shd w:val="clear" w:color="auto" w:fill="DEEAF6" w:themeFill="accent5" w:themeFillTint="33"/>
            <w:vAlign w:val="center"/>
            <w:hideMark/>
          </w:tcPr>
          <w:p w14:paraId="74BE7B0F" w14:textId="52BB58E0"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3,1</w:t>
            </w:r>
          </w:p>
        </w:tc>
        <w:tc>
          <w:tcPr>
            <w:tcW w:w="708" w:type="dxa"/>
            <w:gridSpan w:val="3"/>
            <w:tcBorders>
              <w:top w:val="nil"/>
              <w:left w:val="nil"/>
              <w:bottom w:val="nil"/>
              <w:right w:val="nil"/>
            </w:tcBorders>
            <w:shd w:val="clear" w:color="auto" w:fill="DEEAF6" w:themeFill="accent5" w:themeFillTint="33"/>
            <w:vAlign w:val="center"/>
          </w:tcPr>
          <w:p w14:paraId="4A83E476" w14:textId="784D5A5F"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559" w:type="dxa"/>
            <w:tcBorders>
              <w:top w:val="nil"/>
              <w:left w:val="nil"/>
              <w:bottom w:val="nil"/>
              <w:right w:val="nil"/>
            </w:tcBorders>
            <w:shd w:val="clear" w:color="auto" w:fill="DEEAF6" w:themeFill="accent5" w:themeFillTint="33"/>
            <w:vAlign w:val="center"/>
          </w:tcPr>
          <w:p w14:paraId="40E06001" w14:textId="4A90D5EA"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782" w:type="dxa"/>
            <w:gridSpan w:val="6"/>
            <w:tcBorders>
              <w:top w:val="nil"/>
              <w:left w:val="nil"/>
              <w:bottom w:val="nil"/>
              <w:right w:val="nil"/>
            </w:tcBorders>
            <w:shd w:val="clear" w:color="auto" w:fill="DEEAF6" w:themeFill="accent5" w:themeFillTint="33"/>
            <w:vAlign w:val="center"/>
          </w:tcPr>
          <w:p w14:paraId="7ACFD7BB" w14:textId="316B3EF6"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614" w:type="dxa"/>
            <w:gridSpan w:val="4"/>
            <w:tcBorders>
              <w:top w:val="nil"/>
              <w:left w:val="nil"/>
              <w:bottom w:val="nil"/>
              <w:right w:val="nil"/>
            </w:tcBorders>
            <w:shd w:val="clear" w:color="auto" w:fill="DEEAF6" w:themeFill="accent5" w:themeFillTint="33"/>
            <w:vAlign w:val="center"/>
          </w:tcPr>
          <w:p w14:paraId="12942B2E" w14:textId="7A5B2BBF"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937762" w:rsidRPr="001727BF" w14:paraId="2ACA6FEE" w14:textId="77777777" w:rsidTr="00A22C01">
        <w:trPr>
          <w:gridAfter w:val="1"/>
          <w:wAfter w:w="313" w:type="dxa"/>
          <w:trHeight w:val="300"/>
        </w:trPr>
        <w:tc>
          <w:tcPr>
            <w:tcW w:w="541" w:type="dxa"/>
            <w:tcBorders>
              <w:top w:val="nil"/>
              <w:left w:val="nil"/>
              <w:bottom w:val="nil"/>
              <w:right w:val="nil"/>
            </w:tcBorders>
            <w:shd w:val="clear" w:color="auto" w:fill="DEEAF6" w:themeFill="accent5" w:themeFillTint="33"/>
            <w:vAlign w:val="center"/>
            <w:hideMark/>
          </w:tcPr>
          <w:p w14:paraId="6994B592" w14:textId="77777777" w:rsidR="00937762" w:rsidRPr="00525C87" w:rsidRDefault="00937762" w:rsidP="00937762">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23</w:t>
            </w:r>
          </w:p>
        </w:tc>
        <w:tc>
          <w:tcPr>
            <w:tcW w:w="3127" w:type="dxa"/>
            <w:gridSpan w:val="4"/>
            <w:tcBorders>
              <w:top w:val="nil"/>
              <w:left w:val="nil"/>
              <w:bottom w:val="nil"/>
              <w:right w:val="nil"/>
            </w:tcBorders>
            <w:shd w:val="clear" w:color="auto" w:fill="DEEAF6" w:themeFill="accent5" w:themeFillTint="33"/>
            <w:vAlign w:val="center"/>
            <w:hideMark/>
          </w:tcPr>
          <w:p w14:paraId="09069E59" w14:textId="77777777" w:rsidR="00937762" w:rsidRPr="00525C87" w:rsidRDefault="00937762" w:rsidP="00937762">
            <w:pPr>
              <w:spacing w:after="0" w:line="240" w:lineRule="auto"/>
              <w:rPr>
                <w:rFonts w:ascii="Arial Narrow" w:eastAsia="Times New Roman" w:hAnsi="Arial Narrow" w:cs="Calibri"/>
                <w:b/>
                <w:bCs/>
                <w:sz w:val="16"/>
                <w:szCs w:val="16"/>
                <w:lang w:eastAsia="sk-SK"/>
              </w:rPr>
            </w:pPr>
            <w:r w:rsidRPr="00525C87">
              <w:rPr>
                <w:rFonts w:ascii="Arial Narrow" w:eastAsia="Times New Roman" w:hAnsi="Arial Narrow" w:cs="Calibri"/>
                <w:b/>
                <w:bCs/>
                <w:sz w:val="16"/>
                <w:szCs w:val="16"/>
                <w:lang w:eastAsia="sk-SK"/>
              </w:rPr>
              <w:t>Kompenzácie zamestnancov (mld. eur)</w:t>
            </w:r>
          </w:p>
        </w:tc>
        <w:tc>
          <w:tcPr>
            <w:tcW w:w="968" w:type="dxa"/>
            <w:tcBorders>
              <w:top w:val="nil"/>
              <w:left w:val="nil"/>
              <w:bottom w:val="nil"/>
              <w:right w:val="nil"/>
            </w:tcBorders>
            <w:shd w:val="clear" w:color="auto" w:fill="DEEAF6" w:themeFill="accent5" w:themeFillTint="33"/>
            <w:vAlign w:val="center"/>
            <w:hideMark/>
          </w:tcPr>
          <w:p w14:paraId="5DF57CEB" w14:textId="16AA2A10"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51,4</w:t>
            </w:r>
          </w:p>
        </w:tc>
        <w:tc>
          <w:tcPr>
            <w:tcW w:w="943" w:type="dxa"/>
            <w:tcBorders>
              <w:top w:val="nil"/>
              <w:left w:val="nil"/>
              <w:bottom w:val="nil"/>
              <w:right w:val="nil"/>
            </w:tcBorders>
            <w:shd w:val="clear" w:color="auto" w:fill="DEEAF6" w:themeFill="accent5" w:themeFillTint="33"/>
            <w:vAlign w:val="center"/>
            <w:hideMark/>
          </w:tcPr>
          <w:p w14:paraId="2DC6333E" w14:textId="191C5C0A"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10,5</w:t>
            </w:r>
          </w:p>
        </w:tc>
        <w:tc>
          <w:tcPr>
            <w:tcW w:w="943" w:type="dxa"/>
            <w:tcBorders>
              <w:top w:val="nil"/>
              <w:left w:val="nil"/>
              <w:bottom w:val="nil"/>
              <w:right w:val="nil"/>
            </w:tcBorders>
            <w:shd w:val="clear" w:color="auto" w:fill="DEEAF6" w:themeFill="accent5" w:themeFillTint="33"/>
            <w:vAlign w:val="center"/>
            <w:hideMark/>
          </w:tcPr>
          <w:p w14:paraId="27A88C45" w14:textId="7003B642"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8,0</w:t>
            </w:r>
          </w:p>
        </w:tc>
        <w:tc>
          <w:tcPr>
            <w:tcW w:w="708" w:type="dxa"/>
            <w:gridSpan w:val="3"/>
            <w:tcBorders>
              <w:top w:val="nil"/>
              <w:left w:val="nil"/>
              <w:bottom w:val="nil"/>
              <w:right w:val="nil"/>
            </w:tcBorders>
            <w:shd w:val="clear" w:color="auto" w:fill="DEEAF6" w:themeFill="accent5" w:themeFillTint="33"/>
            <w:vAlign w:val="center"/>
          </w:tcPr>
          <w:p w14:paraId="0819F622" w14:textId="5973FEE1"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559" w:type="dxa"/>
            <w:tcBorders>
              <w:top w:val="nil"/>
              <w:left w:val="nil"/>
              <w:bottom w:val="nil"/>
              <w:right w:val="nil"/>
            </w:tcBorders>
            <w:shd w:val="clear" w:color="auto" w:fill="DEEAF6" w:themeFill="accent5" w:themeFillTint="33"/>
            <w:vAlign w:val="center"/>
          </w:tcPr>
          <w:p w14:paraId="67041944" w14:textId="5205F626"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782" w:type="dxa"/>
            <w:gridSpan w:val="6"/>
            <w:tcBorders>
              <w:top w:val="nil"/>
              <w:left w:val="nil"/>
              <w:bottom w:val="nil"/>
              <w:right w:val="nil"/>
            </w:tcBorders>
            <w:shd w:val="clear" w:color="auto" w:fill="DEEAF6" w:themeFill="accent5" w:themeFillTint="33"/>
            <w:vAlign w:val="center"/>
          </w:tcPr>
          <w:p w14:paraId="234A3845" w14:textId="49C0E5AC"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614" w:type="dxa"/>
            <w:gridSpan w:val="4"/>
            <w:tcBorders>
              <w:top w:val="nil"/>
              <w:left w:val="nil"/>
              <w:bottom w:val="nil"/>
              <w:right w:val="nil"/>
            </w:tcBorders>
            <w:shd w:val="clear" w:color="auto" w:fill="DEEAF6" w:themeFill="accent5" w:themeFillTint="33"/>
            <w:vAlign w:val="center"/>
          </w:tcPr>
          <w:p w14:paraId="715D7E7D" w14:textId="0837D779"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937762" w:rsidRPr="001727BF" w14:paraId="5A10DAA9" w14:textId="77777777" w:rsidTr="00A22C01">
        <w:trPr>
          <w:gridAfter w:val="1"/>
          <w:wAfter w:w="313" w:type="dxa"/>
          <w:trHeight w:val="300"/>
        </w:trPr>
        <w:tc>
          <w:tcPr>
            <w:tcW w:w="541" w:type="dxa"/>
            <w:tcBorders>
              <w:top w:val="nil"/>
              <w:left w:val="nil"/>
              <w:bottom w:val="nil"/>
              <w:right w:val="nil"/>
            </w:tcBorders>
            <w:shd w:val="clear" w:color="auto" w:fill="DEEAF6" w:themeFill="accent5" w:themeFillTint="33"/>
            <w:vAlign w:val="center"/>
            <w:hideMark/>
          </w:tcPr>
          <w:p w14:paraId="3334D44E" w14:textId="77777777" w:rsidR="00937762" w:rsidRPr="00525C87" w:rsidRDefault="00937762" w:rsidP="00937762">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24</w:t>
            </w:r>
          </w:p>
        </w:tc>
        <w:tc>
          <w:tcPr>
            <w:tcW w:w="3127" w:type="dxa"/>
            <w:gridSpan w:val="4"/>
            <w:tcBorders>
              <w:top w:val="nil"/>
              <w:left w:val="nil"/>
              <w:bottom w:val="nil"/>
              <w:right w:val="nil"/>
            </w:tcBorders>
            <w:shd w:val="clear" w:color="auto" w:fill="DEEAF6" w:themeFill="accent5" w:themeFillTint="33"/>
            <w:vAlign w:val="center"/>
            <w:hideMark/>
          </w:tcPr>
          <w:p w14:paraId="0CC17BD2" w14:textId="77777777" w:rsidR="00937762" w:rsidRPr="00525C87" w:rsidRDefault="00937762" w:rsidP="00937762">
            <w:pPr>
              <w:spacing w:after="0" w:line="240" w:lineRule="auto"/>
              <w:rPr>
                <w:rFonts w:ascii="Arial Narrow" w:eastAsia="Times New Roman" w:hAnsi="Arial Narrow" w:cs="Calibri"/>
                <w:b/>
                <w:bCs/>
                <w:sz w:val="16"/>
                <w:szCs w:val="16"/>
                <w:lang w:eastAsia="sk-SK"/>
              </w:rPr>
            </w:pPr>
            <w:r w:rsidRPr="00525C87">
              <w:rPr>
                <w:rFonts w:ascii="Arial Narrow" w:eastAsia="Times New Roman" w:hAnsi="Arial Narrow" w:cs="Calibri"/>
                <w:b/>
                <w:bCs/>
                <w:sz w:val="16"/>
                <w:szCs w:val="16"/>
                <w:lang w:eastAsia="sk-SK"/>
              </w:rPr>
              <w:t>Kompenzácie na zamestnanca (=23/19)</w:t>
            </w:r>
          </w:p>
        </w:tc>
        <w:tc>
          <w:tcPr>
            <w:tcW w:w="968" w:type="dxa"/>
            <w:tcBorders>
              <w:top w:val="nil"/>
              <w:left w:val="nil"/>
              <w:bottom w:val="nil"/>
              <w:right w:val="nil"/>
            </w:tcBorders>
            <w:shd w:val="clear" w:color="auto" w:fill="DEEAF6" w:themeFill="accent5" w:themeFillTint="33"/>
            <w:vAlign w:val="center"/>
            <w:hideMark/>
          </w:tcPr>
          <w:p w14:paraId="75B7E5B4" w14:textId="6151E438"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0,021</w:t>
            </w:r>
          </w:p>
        </w:tc>
        <w:tc>
          <w:tcPr>
            <w:tcW w:w="943" w:type="dxa"/>
            <w:tcBorders>
              <w:top w:val="nil"/>
              <w:left w:val="nil"/>
              <w:bottom w:val="nil"/>
              <w:right w:val="nil"/>
            </w:tcBorders>
            <w:shd w:val="clear" w:color="auto" w:fill="DEEAF6" w:themeFill="accent5" w:themeFillTint="33"/>
            <w:vAlign w:val="center"/>
            <w:hideMark/>
          </w:tcPr>
          <w:p w14:paraId="2AF40FFF" w14:textId="1DAD1914"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10,3</w:t>
            </w:r>
          </w:p>
        </w:tc>
        <w:tc>
          <w:tcPr>
            <w:tcW w:w="943" w:type="dxa"/>
            <w:tcBorders>
              <w:top w:val="nil"/>
              <w:left w:val="nil"/>
              <w:bottom w:val="nil"/>
              <w:right w:val="nil"/>
            </w:tcBorders>
            <w:shd w:val="clear" w:color="auto" w:fill="DEEAF6" w:themeFill="accent5" w:themeFillTint="33"/>
            <w:vAlign w:val="center"/>
            <w:hideMark/>
          </w:tcPr>
          <w:p w14:paraId="701668CC" w14:textId="14A7DADA"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7,7</w:t>
            </w:r>
          </w:p>
        </w:tc>
        <w:tc>
          <w:tcPr>
            <w:tcW w:w="708" w:type="dxa"/>
            <w:gridSpan w:val="3"/>
            <w:tcBorders>
              <w:top w:val="nil"/>
              <w:left w:val="nil"/>
              <w:bottom w:val="nil"/>
              <w:right w:val="nil"/>
            </w:tcBorders>
            <w:shd w:val="clear" w:color="auto" w:fill="DEEAF6" w:themeFill="accent5" w:themeFillTint="33"/>
            <w:vAlign w:val="center"/>
          </w:tcPr>
          <w:p w14:paraId="26BF5F09" w14:textId="068394B9"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559" w:type="dxa"/>
            <w:tcBorders>
              <w:top w:val="nil"/>
              <w:left w:val="nil"/>
              <w:bottom w:val="nil"/>
              <w:right w:val="nil"/>
            </w:tcBorders>
            <w:shd w:val="clear" w:color="auto" w:fill="DEEAF6" w:themeFill="accent5" w:themeFillTint="33"/>
            <w:vAlign w:val="center"/>
          </w:tcPr>
          <w:p w14:paraId="16AD98BD" w14:textId="00ED212D"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782" w:type="dxa"/>
            <w:gridSpan w:val="6"/>
            <w:tcBorders>
              <w:top w:val="nil"/>
              <w:left w:val="nil"/>
              <w:bottom w:val="nil"/>
              <w:right w:val="nil"/>
            </w:tcBorders>
            <w:shd w:val="clear" w:color="auto" w:fill="DEEAF6" w:themeFill="accent5" w:themeFillTint="33"/>
            <w:vAlign w:val="center"/>
          </w:tcPr>
          <w:p w14:paraId="1CC9548B" w14:textId="241E7605"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614" w:type="dxa"/>
            <w:gridSpan w:val="4"/>
            <w:tcBorders>
              <w:top w:val="nil"/>
              <w:left w:val="nil"/>
              <w:bottom w:val="nil"/>
              <w:right w:val="nil"/>
            </w:tcBorders>
            <w:shd w:val="clear" w:color="auto" w:fill="DEEAF6" w:themeFill="accent5" w:themeFillTint="33"/>
            <w:vAlign w:val="center"/>
          </w:tcPr>
          <w:p w14:paraId="72BD0FB7" w14:textId="3FA259E9"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937762" w:rsidRPr="001727BF" w14:paraId="4275B5A2" w14:textId="77777777" w:rsidTr="00A22C01">
        <w:trPr>
          <w:gridAfter w:val="1"/>
          <w:wAfter w:w="313" w:type="dxa"/>
          <w:trHeight w:val="300"/>
        </w:trPr>
        <w:tc>
          <w:tcPr>
            <w:tcW w:w="541" w:type="dxa"/>
            <w:tcBorders>
              <w:top w:val="nil"/>
              <w:left w:val="nil"/>
              <w:bottom w:val="nil"/>
              <w:right w:val="nil"/>
            </w:tcBorders>
            <w:shd w:val="clear" w:color="auto" w:fill="DEEAF6" w:themeFill="accent5" w:themeFillTint="33"/>
            <w:vAlign w:val="center"/>
            <w:hideMark/>
          </w:tcPr>
          <w:p w14:paraId="53A176E9" w14:textId="77777777" w:rsidR="00937762" w:rsidRPr="00525C87" w:rsidRDefault="00937762" w:rsidP="00937762">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25</w:t>
            </w:r>
          </w:p>
        </w:tc>
        <w:tc>
          <w:tcPr>
            <w:tcW w:w="3127" w:type="dxa"/>
            <w:gridSpan w:val="4"/>
            <w:tcBorders>
              <w:top w:val="nil"/>
              <w:left w:val="nil"/>
              <w:bottom w:val="nil"/>
              <w:right w:val="nil"/>
            </w:tcBorders>
            <w:shd w:val="clear" w:color="auto" w:fill="DEEAF6" w:themeFill="accent5" w:themeFillTint="33"/>
            <w:vAlign w:val="center"/>
            <w:hideMark/>
          </w:tcPr>
          <w:p w14:paraId="745BA999" w14:textId="77777777" w:rsidR="00937762" w:rsidRPr="00525C87" w:rsidRDefault="00937762" w:rsidP="00937762">
            <w:pPr>
              <w:spacing w:after="0" w:line="240" w:lineRule="auto"/>
              <w:rPr>
                <w:rFonts w:ascii="Arial Narrow" w:eastAsia="Times New Roman" w:hAnsi="Arial Narrow" w:cs="Calibri"/>
                <w:b/>
                <w:bCs/>
                <w:sz w:val="16"/>
                <w:szCs w:val="16"/>
                <w:lang w:eastAsia="sk-SK"/>
              </w:rPr>
            </w:pPr>
            <w:r w:rsidRPr="00525C87">
              <w:rPr>
                <w:rFonts w:ascii="Arial Narrow" w:eastAsia="Times New Roman" w:hAnsi="Arial Narrow" w:cs="Calibri"/>
                <w:b/>
                <w:bCs/>
                <w:sz w:val="16"/>
                <w:szCs w:val="16"/>
                <w:lang w:eastAsia="sk-SK"/>
              </w:rPr>
              <w:t>Nezamestnanosť (%)</w:t>
            </w:r>
          </w:p>
        </w:tc>
        <w:tc>
          <w:tcPr>
            <w:tcW w:w="968" w:type="dxa"/>
            <w:tcBorders>
              <w:top w:val="nil"/>
              <w:left w:val="nil"/>
              <w:bottom w:val="nil"/>
              <w:right w:val="nil"/>
            </w:tcBorders>
            <w:shd w:val="clear" w:color="auto" w:fill="DEEAF6" w:themeFill="accent5" w:themeFillTint="33"/>
            <w:vAlign w:val="center"/>
            <w:hideMark/>
          </w:tcPr>
          <w:p w14:paraId="7B86546E" w14:textId="5260188C"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Pr>
                <w:rFonts w:ascii="Arial Narrow" w:hAnsi="Arial Narrow" w:cs="Calibri"/>
                <w:color w:val="2F5496"/>
                <w:sz w:val="16"/>
                <w:szCs w:val="16"/>
              </w:rPr>
              <w:t> </w:t>
            </w:r>
          </w:p>
        </w:tc>
        <w:tc>
          <w:tcPr>
            <w:tcW w:w="943" w:type="dxa"/>
            <w:tcBorders>
              <w:top w:val="nil"/>
              <w:left w:val="nil"/>
              <w:bottom w:val="nil"/>
              <w:right w:val="nil"/>
            </w:tcBorders>
            <w:shd w:val="clear" w:color="auto" w:fill="DEEAF6" w:themeFill="accent5" w:themeFillTint="33"/>
            <w:vAlign w:val="center"/>
            <w:hideMark/>
          </w:tcPr>
          <w:p w14:paraId="6B61F7EB" w14:textId="4B9A8D5F"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5,8</w:t>
            </w:r>
          </w:p>
        </w:tc>
        <w:tc>
          <w:tcPr>
            <w:tcW w:w="943" w:type="dxa"/>
            <w:tcBorders>
              <w:top w:val="nil"/>
              <w:left w:val="nil"/>
              <w:bottom w:val="nil"/>
              <w:right w:val="nil"/>
            </w:tcBorders>
            <w:shd w:val="clear" w:color="auto" w:fill="DEEAF6" w:themeFill="accent5" w:themeFillTint="33"/>
            <w:vAlign w:val="center"/>
            <w:hideMark/>
          </w:tcPr>
          <w:p w14:paraId="2870EB3B" w14:textId="032E5F8A" w:rsidR="00937762" w:rsidRPr="00A22C01" w:rsidRDefault="00937762" w:rsidP="00937762">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5,4</w:t>
            </w:r>
          </w:p>
        </w:tc>
        <w:tc>
          <w:tcPr>
            <w:tcW w:w="708" w:type="dxa"/>
            <w:gridSpan w:val="3"/>
            <w:tcBorders>
              <w:top w:val="nil"/>
              <w:left w:val="nil"/>
              <w:bottom w:val="nil"/>
              <w:right w:val="nil"/>
            </w:tcBorders>
            <w:shd w:val="clear" w:color="auto" w:fill="DEEAF6" w:themeFill="accent5" w:themeFillTint="33"/>
            <w:vAlign w:val="center"/>
          </w:tcPr>
          <w:p w14:paraId="0EFD0FD4" w14:textId="2513E56F"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559" w:type="dxa"/>
            <w:tcBorders>
              <w:top w:val="nil"/>
              <w:left w:val="nil"/>
              <w:bottom w:val="nil"/>
              <w:right w:val="nil"/>
            </w:tcBorders>
            <w:shd w:val="clear" w:color="auto" w:fill="DEEAF6" w:themeFill="accent5" w:themeFillTint="33"/>
            <w:vAlign w:val="center"/>
          </w:tcPr>
          <w:p w14:paraId="1D54DFE1" w14:textId="0755A4ED"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782" w:type="dxa"/>
            <w:gridSpan w:val="6"/>
            <w:tcBorders>
              <w:top w:val="nil"/>
              <w:left w:val="nil"/>
              <w:bottom w:val="nil"/>
              <w:right w:val="nil"/>
            </w:tcBorders>
            <w:shd w:val="clear" w:color="auto" w:fill="DEEAF6" w:themeFill="accent5" w:themeFillTint="33"/>
            <w:vAlign w:val="center"/>
          </w:tcPr>
          <w:p w14:paraId="5C1D867D" w14:textId="7BA4DB28"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c>
          <w:tcPr>
            <w:tcW w:w="614" w:type="dxa"/>
            <w:gridSpan w:val="4"/>
            <w:tcBorders>
              <w:top w:val="nil"/>
              <w:left w:val="nil"/>
              <w:bottom w:val="nil"/>
              <w:right w:val="nil"/>
            </w:tcBorders>
            <w:shd w:val="clear" w:color="auto" w:fill="DEEAF6" w:themeFill="accent5" w:themeFillTint="33"/>
            <w:vAlign w:val="center"/>
          </w:tcPr>
          <w:p w14:paraId="73BD5BBF" w14:textId="7E787D2C" w:rsidR="00937762" w:rsidRPr="00525C87" w:rsidRDefault="00937762" w:rsidP="00937762">
            <w:pPr>
              <w:spacing w:after="0" w:line="240" w:lineRule="auto"/>
              <w:jc w:val="center"/>
              <w:rPr>
                <w:rFonts w:ascii="Arial Narrow" w:eastAsia="Times New Roman" w:hAnsi="Arial Narrow" w:cs="Calibri"/>
                <w:sz w:val="16"/>
                <w:szCs w:val="16"/>
                <w:lang w:eastAsia="sk-SK"/>
              </w:rPr>
            </w:pPr>
          </w:p>
        </w:tc>
      </w:tr>
      <w:tr w:rsidR="00C1228B" w:rsidRPr="001727BF" w14:paraId="469FF0FC" w14:textId="77777777" w:rsidTr="00525C87">
        <w:trPr>
          <w:trHeight w:val="300"/>
        </w:trPr>
        <w:tc>
          <w:tcPr>
            <w:tcW w:w="3668" w:type="dxa"/>
            <w:gridSpan w:val="5"/>
            <w:tcBorders>
              <w:top w:val="nil"/>
              <w:left w:val="nil"/>
              <w:bottom w:val="nil"/>
              <w:right w:val="nil"/>
            </w:tcBorders>
            <w:shd w:val="clear" w:color="auto" w:fill="auto"/>
            <w:vAlign w:val="center"/>
            <w:hideMark/>
          </w:tcPr>
          <w:p w14:paraId="38C5DC72" w14:textId="77777777" w:rsidR="00C1228B" w:rsidRPr="00525C87" w:rsidRDefault="00C1228B" w:rsidP="00616580">
            <w:pPr>
              <w:spacing w:after="0" w:line="240" w:lineRule="auto"/>
              <w:rPr>
                <w:rFonts w:ascii="Arial Narrow" w:eastAsia="Times New Roman" w:hAnsi="Arial Narrow" w:cs="Calibri"/>
                <w:i/>
                <w:iCs/>
                <w:sz w:val="16"/>
                <w:szCs w:val="16"/>
                <w:lang w:eastAsia="sk-SK"/>
              </w:rPr>
            </w:pPr>
            <w:r w:rsidRPr="00525C87">
              <w:rPr>
                <w:rFonts w:ascii="Arial Narrow" w:eastAsia="Times New Roman" w:hAnsi="Arial Narrow" w:cs="Calibri"/>
                <w:i/>
                <w:iCs/>
                <w:sz w:val="16"/>
                <w:szCs w:val="16"/>
                <w:lang w:eastAsia="sk-SK"/>
              </w:rPr>
              <w:t>Potenciálny produkt a jeho komponenty</w:t>
            </w:r>
          </w:p>
        </w:tc>
        <w:tc>
          <w:tcPr>
            <w:tcW w:w="968" w:type="dxa"/>
            <w:tcBorders>
              <w:top w:val="nil"/>
              <w:left w:val="nil"/>
              <w:bottom w:val="nil"/>
              <w:right w:val="nil"/>
            </w:tcBorders>
            <w:shd w:val="clear" w:color="auto" w:fill="auto"/>
            <w:vAlign w:val="center"/>
            <w:hideMark/>
          </w:tcPr>
          <w:p w14:paraId="19A6DE07" w14:textId="77777777" w:rsidR="00C1228B" w:rsidRPr="00525C87" w:rsidRDefault="00C1228B" w:rsidP="00616580">
            <w:pPr>
              <w:spacing w:after="0" w:line="240" w:lineRule="auto"/>
              <w:rPr>
                <w:rFonts w:ascii="Arial Narrow" w:eastAsia="Times New Roman" w:hAnsi="Arial Narrow" w:cs="Calibri"/>
                <w:i/>
                <w:iCs/>
                <w:sz w:val="16"/>
                <w:szCs w:val="16"/>
                <w:lang w:eastAsia="sk-SK"/>
              </w:rPr>
            </w:pPr>
          </w:p>
        </w:tc>
        <w:tc>
          <w:tcPr>
            <w:tcW w:w="943" w:type="dxa"/>
            <w:tcBorders>
              <w:top w:val="nil"/>
              <w:left w:val="nil"/>
              <w:bottom w:val="nil"/>
              <w:right w:val="nil"/>
            </w:tcBorders>
            <w:shd w:val="clear" w:color="auto" w:fill="auto"/>
            <w:vAlign w:val="center"/>
            <w:hideMark/>
          </w:tcPr>
          <w:p w14:paraId="31A07980"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c>
          <w:tcPr>
            <w:tcW w:w="943" w:type="dxa"/>
            <w:tcBorders>
              <w:top w:val="nil"/>
              <w:left w:val="nil"/>
              <w:bottom w:val="nil"/>
              <w:right w:val="nil"/>
            </w:tcBorders>
            <w:shd w:val="clear" w:color="auto" w:fill="auto"/>
            <w:vAlign w:val="center"/>
            <w:hideMark/>
          </w:tcPr>
          <w:p w14:paraId="7461FDDC"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c>
          <w:tcPr>
            <w:tcW w:w="708" w:type="dxa"/>
            <w:gridSpan w:val="3"/>
            <w:tcBorders>
              <w:top w:val="nil"/>
              <w:left w:val="nil"/>
              <w:bottom w:val="nil"/>
              <w:right w:val="nil"/>
            </w:tcBorders>
            <w:shd w:val="clear" w:color="auto" w:fill="auto"/>
            <w:vAlign w:val="center"/>
            <w:hideMark/>
          </w:tcPr>
          <w:p w14:paraId="6E54E35F"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c>
          <w:tcPr>
            <w:tcW w:w="559" w:type="dxa"/>
            <w:tcBorders>
              <w:top w:val="nil"/>
              <w:left w:val="nil"/>
              <w:bottom w:val="nil"/>
              <w:right w:val="nil"/>
            </w:tcBorders>
            <w:shd w:val="clear" w:color="auto" w:fill="auto"/>
            <w:vAlign w:val="center"/>
            <w:hideMark/>
          </w:tcPr>
          <w:p w14:paraId="49A3967E"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c>
          <w:tcPr>
            <w:tcW w:w="782" w:type="dxa"/>
            <w:gridSpan w:val="6"/>
            <w:tcBorders>
              <w:top w:val="nil"/>
              <w:left w:val="nil"/>
              <w:bottom w:val="nil"/>
              <w:right w:val="nil"/>
            </w:tcBorders>
            <w:shd w:val="clear" w:color="auto" w:fill="auto"/>
            <w:vAlign w:val="center"/>
            <w:hideMark/>
          </w:tcPr>
          <w:p w14:paraId="23D137AB"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c>
          <w:tcPr>
            <w:tcW w:w="927" w:type="dxa"/>
            <w:gridSpan w:val="5"/>
            <w:tcBorders>
              <w:top w:val="nil"/>
              <w:left w:val="nil"/>
              <w:bottom w:val="nil"/>
              <w:right w:val="nil"/>
            </w:tcBorders>
            <w:shd w:val="clear" w:color="auto" w:fill="auto"/>
            <w:vAlign w:val="center"/>
            <w:hideMark/>
          </w:tcPr>
          <w:p w14:paraId="2C515112" w14:textId="77777777" w:rsidR="00C1228B" w:rsidRPr="00A22C01" w:rsidRDefault="00C1228B" w:rsidP="00616580">
            <w:pPr>
              <w:spacing w:after="0" w:line="240" w:lineRule="auto"/>
              <w:jc w:val="center"/>
              <w:rPr>
                <w:rFonts w:ascii="Arial Narrow" w:eastAsia="Times New Roman" w:hAnsi="Arial Narrow" w:cs="Times New Roman"/>
                <w:sz w:val="16"/>
                <w:szCs w:val="16"/>
                <w:lang w:eastAsia="sk-SK"/>
              </w:rPr>
            </w:pPr>
          </w:p>
        </w:tc>
      </w:tr>
      <w:tr w:rsidR="00525C87" w:rsidRPr="001727BF" w14:paraId="613D0F18" w14:textId="77777777" w:rsidTr="00525C87">
        <w:trPr>
          <w:gridAfter w:val="1"/>
          <w:wAfter w:w="313" w:type="dxa"/>
          <w:trHeight w:val="300"/>
        </w:trPr>
        <w:tc>
          <w:tcPr>
            <w:tcW w:w="541" w:type="dxa"/>
            <w:tcBorders>
              <w:top w:val="nil"/>
              <w:left w:val="nil"/>
              <w:bottom w:val="nil"/>
              <w:right w:val="nil"/>
            </w:tcBorders>
            <w:shd w:val="clear" w:color="auto" w:fill="DEEAF6" w:themeFill="accent5" w:themeFillTint="33"/>
            <w:vAlign w:val="center"/>
            <w:hideMark/>
          </w:tcPr>
          <w:p w14:paraId="00ECDE66" w14:textId="77777777" w:rsidR="00525C87" w:rsidRPr="00525C87" w:rsidRDefault="00525C87" w:rsidP="00525C87">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26</w:t>
            </w:r>
          </w:p>
        </w:tc>
        <w:tc>
          <w:tcPr>
            <w:tcW w:w="3127" w:type="dxa"/>
            <w:gridSpan w:val="4"/>
            <w:tcBorders>
              <w:top w:val="nil"/>
              <w:left w:val="nil"/>
              <w:bottom w:val="nil"/>
              <w:right w:val="nil"/>
            </w:tcBorders>
            <w:shd w:val="clear" w:color="auto" w:fill="DEEAF6" w:themeFill="accent5" w:themeFillTint="33"/>
            <w:vAlign w:val="center"/>
            <w:hideMark/>
          </w:tcPr>
          <w:p w14:paraId="1A1CA348" w14:textId="77777777" w:rsidR="00525C87" w:rsidRPr="00525C87" w:rsidRDefault="00525C87" w:rsidP="00525C87">
            <w:pPr>
              <w:spacing w:after="0" w:line="240" w:lineRule="auto"/>
              <w:rPr>
                <w:rFonts w:ascii="Arial Narrow" w:eastAsia="Times New Roman" w:hAnsi="Arial Narrow" w:cs="Calibri"/>
                <w:b/>
                <w:bCs/>
                <w:sz w:val="16"/>
                <w:szCs w:val="16"/>
                <w:lang w:eastAsia="sk-SK"/>
              </w:rPr>
            </w:pPr>
            <w:r w:rsidRPr="00525C87">
              <w:rPr>
                <w:rFonts w:ascii="Arial Narrow" w:eastAsia="Times New Roman" w:hAnsi="Arial Narrow" w:cs="Calibri"/>
                <w:b/>
                <w:bCs/>
                <w:sz w:val="16"/>
                <w:szCs w:val="16"/>
                <w:lang w:eastAsia="sk-SK"/>
              </w:rPr>
              <w:t>Potenciálne HDP</w:t>
            </w:r>
          </w:p>
        </w:tc>
        <w:tc>
          <w:tcPr>
            <w:tcW w:w="968" w:type="dxa"/>
            <w:tcBorders>
              <w:top w:val="nil"/>
              <w:left w:val="nil"/>
              <w:bottom w:val="nil"/>
              <w:right w:val="nil"/>
            </w:tcBorders>
            <w:shd w:val="clear" w:color="auto" w:fill="DEEAF6" w:themeFill="accent5" w:themeFillTint="33"/>
            <w:vAlign w:val="center"/>
            <w:hideMark/>
          </w:tcPr>
          <w:p w14:paraId="57B0CBC9" w14:textId="77777777" w:rsidR="00525C87" w:rsidRPr="00525C87" w:rsidRDefault="00525C87" w:rsidP="00525C87">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hideMark/>
          </w:tcPr>
          <w:p w14:paraId="3486C010" w14:textId="6F66F3B2" w:rsidR="00525C87" w:rsidRPr="00A22C01" w:rsidRDefault="00525C87" w:rsidP="00525C87">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2,8</w:t>
            </w:r>
          </w:p>
        </w:tc>
        <w:tc>
          <w:tcPr>
            <w:tcW w:w="943" w:type="dxa"/>
            <w:tcBorders>
              <w:top w:val="nil"/>
              <w:left w:val="nil"/>
              <w:bottom w:val="nil"/>
              <w:right w:val="nil"/>
            </w:tcBorders>
            <w:shd w:val="clear" w:color="auto" w:fill="DEEAF6" w:themeFill="accent5" w:themeFillTint="33"/>
            <w:vAlign w:val="center"/>
            <w:hideMark/>
          </w:tcPr>
          <w:p w14:paraId="30830679" w14:textId="5B9FF776" w:rsidR="00525C87" w:rsidRPr="00A22C01" w:rsidRDefault="00525C87" w:rsidP="00525C87">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2,3</w:t>
            </w:r>
          </w:p>
        </w:tc>
        <w:tc>
          <w:tcPr>
            <w:tcW w:w="708" w:type="dxa"/>
            <w:gridSpan w:val="3"/>
            <w:tcBorders>
              <w:top w:val="nil"/>
              <w:left w:val="nil"/>
              <w:bottom w:val="nil"/>
              <w:right w:val="nil"/>
            </w:tcBorders>
            <w:shd w:val="clear" w:color="auto" w:fill="DEEAF6" w:themeFill="accent5" w:themeFillTint="33"/>
            <w:vAlign w:val="center"/>
            <w:hideMark/>
          </w:tcPr>
          <w:p w14:paraId="2D9C0F93" w14:textId="22E55731" w:rsidR="00525C87" w:rsidRPr="00A22C01" w:rsidRDefault="00525C87" w:rsidP="00525C87">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2,4</w:t>
            </w:r>
          </w:p>
        </w:tc>
        <w:tc>
          <w:tcPr>
            <w:tcW w:w="559" w:type="dxa"/>
            <w:tcBorders>
              <w:top w:val="nil"/>
              <w:left w:val="nil"/>
              <w:bottom w:val="nil"/>
              <w:right w:val="nil"/>
            </w:tcBorders>
            <w:shd w:val="clear" w:color="auto" w:fill="DEEAF6" w:themeFill="accent5" w:themeFillTint="33"/>
            <w:vAlign w:val="center"/>
            <w:hideMark/>
          </w:tcPr>
          <w:p w14:paraId="570E360B" w14:textId="534EA6CD" w:rsidR="00525C87" w:rsidRPr="00A22C01" w:rsidRDefault="00525C87" w:rsidP="00525C87">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1,7</w:t>
            </w:r>
          </w:p>
        </w:tc>
        <w:tc>
          <w:tcPr>
            <w:tcW w:w="782" w:type="dxa"/>
            <w:gridSpan w:val="6"/>
            <w:tcBorders>
              <w:top w:val="nil"/>
              <w:left w:val="nil"/>
              <w:bottom w:val="nil"/>
              <w:right w:val="nil"/>
            </w:tcBorders>
            <w:shd w:val="clear" w:color="auto" w:fill="DEEAF6" w:themeFill="accent5" w:themeFillTint="33"/>
            <w:vAlign w:val="center"/>
            <w:hideMark/>
          </w:tcPr>
          <w:p w14:paraId="573C3450" w14:textId="0B61E290" w:rsidR="00525C87" w:rsidRPr="00A22C01" w:rsidRDefault="00525C87" w:rsidP="00525C87">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1,4</w:t>
            </w:r>
          </w:p>
        </w:tc>
        <w:tc>
          <w:tcPr>
            <w:tcW w:w="614" w:type="dxa"/>
            <w:gridSpan w:val="4"/>
            <w:tcBorders>
              <w:top w:val="nil"/>
              <w:left w:val="nil"/>
              <w:bottom w:val="nil"/>
              <w:right w:val="nil"/>
            </w:tcBorders>
            <w:shd w:val="clear" w:color="auto" w:fill="DEEAF6" w:themeFill="accent5" w:themeFillTint="33"/>
            <w:vAlign w:val="center"/>
            <w:hideMark/>
          </w:tcPr>
          <w:p w14:paraId="3BAFC59E" w14:textId="453D6ADB" w:rsidR="00525C87" w:rsidRPr="00A22C01" w:rsidRDefault="00525C87" w:rsidP="00525C87">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1,4</w:t>
            </w:r>
          </w:p>
        </w:tc>
      </w:tr>
      <w:tr w:rsidR="00C1228B" w:rsidRPr="001727BF" w14:paraId="2B25A14F" w14:textId="77777777" w:rsidTr="00525C87">
        <w:trPr>
          <w:gridAfter w:val="1"/>
          <w:wAfter w:w="313" w:type="dxa"/>
          <w:trHeight w:val="300"/>
        </w:trPr>
        <w:tc>
          <w:tcPr>
            <w:tcW w:w="541" w:type="dxa"/>
            <w:tcBorders>
              <w:top w:val="nil"/>
              <w:left w:val="nil"/>
              <w:bottom w:val="nil"/>
              <w:right w:val="nil"/>
            </w:tcBorders>
            <w:shd w:val="clear" w:color="auto" w:fill="DEEAF6" w:themeFill="accent5" w:themeFillTint="33"/>
            <w:vAlign w:val="center"/>
            <w:hideMark/>
          </w:tcPr>
          <w:p w14:paraId="7E78FD9B" w14:textId="77777777" w:rsidR="00C1228B" w:rsidRPr="00525C87" w:rsidRDefault="00C1228B" w:rsidP="00616580">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 </w:t>
            </w:r>
          </w:p>
        </w:tc>
        <w:tc>
          <w:tcPr>
            <w:tcW w:w="3127" w:type="dxa"/>
            <w:gridSpan w:val="4"/>
            <w:tcBorders>
              <w:top w:val="nil"/>
              <w:left w:val="nil"/>
              <w:bottom w:val="nil"/>
              <w:right w:val="nil"/>
            </w:tcBorders>
            <w:shd w:val="clear" w:color="auto" w:fill="DEEAF6" w:themeFill="accent5" w:themeFillTint="33"/>
            <w:vAlign w:val="center"/>
            <w:hideMark/>
          </w:tcPr>
          <w:p w14:paraId="02A6271D" w14:textId="77777777" w:rsidR="00C1228B" w:rsidRPr="00525C87" w:rsidRDefault="00C1228B" w:rsidP="00616580">
            <w:pPr>
              <w:spacing w:after="0" w:line="240" w:lineRule="auto"/>
              <w:rPr>
                <w:rFonts w:ascii="Arial Narrow" w:eastAsia="Times New Roman" w:hAnsi="Arial Narrow" w:cs="Calibri"/>
                <w:b/>
                <w:bCs/>
                <w:sz w:val="16"/>
                <w:szCs w:val="16"/>
                <w:lang w:eastAsia="sk-SK"/>
              </w:rPr>
            </w:pPr>
            <w:r w:rsidRPr="00525C87">
              <w:rPr>
                <w:rFonts w:ascii="Arial Narrow" w:eastAsia="Times New Roman" w:hAnsi="Arial Narrow" w:cs="Calibri"/>
                <w:b/>
                <w:bCs/>
                <w:sz w:val="16"/>
                <w:szCs w:val="16"/>
                <w:lang w:eastAsia="sk-SK"/>
              </w:rPr>
              <w:t>Príspevky v potenciálnemu rastu</w:t>
            </w:r>
          </w:p>
        </w:tc>
        <w:tc>
          <w:tcPr>
            <w:tcW w:w="968" w:type="dxa"/>
            <w:tcBorders>
              <w:top w:val="nil"/>
              <w:left w:val="nil"/>
              <w:bottom w:val="nil"/>
              <w:right w:val="nil"/>
            </w:tcBorders>
            <w:shd w:val="clear" w:color="auto" w:fill="DEEAF6" w:themeFill="accent5" w:themeFillTint="33"/>
            <w:vAlign w:val="center"/>
            <w:hideMark/>
          </w:tcPr>
          <w:p w14:paraId="3B372421" w14:textId="77777777" w:rsidR="00C1228B" w:rsidRPr="00525C87" w:rsidRDefault="00C1228B" w:rsidP="00616580">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hideMark/>
          </w:tcPr>
          <w:p w14:paraId="4D71E05B" w14:textId="77777777" w:rsidR="00C1228B" w:rsidRPr="00525C87" w:rsidRDefault="00C1228B" w:rsidP="00616580">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hideMark/>
          </w:tcPr>
          <w:p w14:paraId="24B8CFCA" w14:textId="77777777" w:rsidR="00C1228B" w:rsidRPr="00525C87" w:rsidRDefault="00C1228B" w:rsidP="00616580">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 </w:t>
            </w:r>
          </w:p>
        </w:tc>
        <w:tc>
          <w:tcPr>
            <w:tcW w:w="708" w:type="dxa"/>
            <w:gridSpan w:val="3"/>
            <w:tcBorders>
              <w:top w:val="nil"/>
              <w:left w:val="nil"/>
              <w:bottom w:val="nil"/>
              <w:right w:val="nil"/>
            </w:tcBorders>
            <w:shd w:val="clear" w:color="auto" w:fill="DEEAF6" w:themeFill="accent5" w:themeFillTint="33"/>
            <w:vAlign w:val="center"/>
            <w:hideMark/>
          </w:tcPr>
          <w:p w14:paraId="61082BDB" w14:textId="77777777" w:rsidR="00C1228B" w:rsidRPr="00525C87" w:rsidRDefault="00C1228B" w:rsidP="00616580">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 </w:t>
            </w:r>
          </w:p>
        </w:tc>
        <w:tc>
          <w:tcPr>
            <w:tcW w:w="559" w:type="dxa"/>
            <w:tcBorders>
              <w:top w:val="nil"/>
              <w:left w:val="nil"/>
              <w:bottom w:val="nil"/>
              <w:right w:val="nil"/>
            </w:tcBorders>
            <w:shd w:val="clear" w:color="auto" w:fill="DEEAF6" w:themeFill="accent5" w:themeFillTint="33"/>
            <w:vAlign w:val="center"/>
            <w:hideMark/>
          </w:tcPr>
          <w:p w14:paraId="11876899" w14:textId="77777777" w:rsidR="00C1228B" w:rsidRPr="00525C87" w:rsidRDefault="00C1228B" w:rsidP="00616580">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 </w:t>
            </w:r>
          </w:p>
        </w:tc>
        <w:tc>
          <w:tcPr>
            <w:tcW w:w="782" w:type="dxa"/>
            <w:gridSpan w:val="6"/>
            <w:tcBorders>
              <w:top w:val="nil"/>
              <w:left w:val="nil"/>
              <w:bottom w:val="nil"/>
              <w:right w:val="nil"/>
            </w:tcBorders>
            <w:shd w:val="clear" w:color="auto" w:fill="DEEAF6" w:themeFill="accent5" w:themeFillTint="33"/>
            <w:vAlign w:val="center"/>
            <w:hideMark/>
          </w:tcPr>
          <w:p w14:paraId="12C4689C" w14:textId="77777777" w:rsidR="00C1228B" w:rsidRPr="00525C87" w:rsidRDefault="00C1228B" w:rsidP="00616580">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 </w:t>
            </w:r>
          </w:p>
        </w:tc>
        <w:tc>
          <w:tcPr>
            <w:tcW w:w="614" w:type="dxa"/>
            <w:gridSpan w:val="4"/>
            <w:tcBorders>
              <w:top w:val="nil"/>
              <w:left w:val="nil"/>
              <w:bottom w:val="nil"/>
              <w:right w:val="nil"/>
            </w:tcBorders>
            <w:shd w:val="clear" w:color="auto" w:fill="DEEAF6" w:themeFill="accent5" w:themeFillTint="33"/>
            <w:vAlign w:val="center"/>
            <w:hideMark/>
          </w:tcPr>
          <w:p w14:paraId="13EDF6E6" w14:textId="77777777" w:rsidR="00C1228B" w:rsidRPr="00525C87" w:rsidRDefault="00C1228B" w:rsidP="00616580">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 </w:t>
            </w:r>
          </w:p>
        </w:tc>
      </w:tr>
      <w:tr w:rsidR="00C1228B" w:rsidRPr="001727BF" w14:paraId="2A3E0004" w14:textId="77777777" w:rsidTr="00A22C01">
        <w:trPr>
          <w:gridAfter w:val="1"/>
          <w:wAfter w:w="313" w:type="dxa"/>
          <w:trHeight w:val="300"/>
        </w:trPr>
        <w:tc>
          <w:tcPr>
            <w:tcW w:w="541" w:type="dxa"/>
            <w:tcBorders>
              <w:top w:val="nil"/>
              <w:left w:val="nil"/>
              <w:bottom w:val="nil"/>
              <w:right w:val="nil"/>
            </w:tcBorders>
            <w:shd w:val="clear" w:color="auto" w:fill="DEEAF6" w:themeFill="accent5" w:themeFillTint="33"/>
            <w:vAlign w:val="center"/>
            <w:hideMark/>
          </w:tcPr>
          <w:p w14:paraId="5DAA1FAD" w14:textId="77777777" w:rsidR="00C1228B" w:rsidRPr="00525C87" w:rsidRDefault="00C1228B" w:rsidP="00616580">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27</w:t>
            </w:r>
          </w:p>
        </w:tc>
        <w:tc>
          <w:tcPr>
            <w:tcW w:w="3127" w:type="dxa"/>
            <w:gridSpan w:val="4"/>
            <w:tcBorders>
              <w:top w:val="nil"/>
              <w:left w:val="nil"/>
              <w:bottom w:val="nil"/>
              <w:right w:val="nil"/>
            </w:tcBorders>
            <w:shd w:val="clear" w:color="auto" w:fill="DEEAF6" w:themeFill="accent5" w:themeFillTint="33"/>
            <w:vAlign w:val="center"/>
            <w:hideMark/>
          </w:tcPr>
          <w:p w14:paraId="628E10BA" w14:textId="77777777" w:rsidR="00C1228B" w:rsidRPr="00525C87" w:rsidRDefault="00C1228B" w:rsidP="00616580">
            <w:pPr>
              <w:spacing w:after="0" w:line="240" w:lineRule="auto"/>
              <w:ind w:firstLineChars="100" w:firstLine="160"/>
              <w:rPr>
                <w:rFonts w:ascii="Arial Narrow" w:eastAsia="Times New Roman" w:hAnsi="Arial Narrow" w:cs="Calibri"/>
                <w:b/>
                <w:bCs/>
                <w:sz w:val="16"/>
                <w:szCs w:val="16"/>
                <w:lang w:eastAsia="sk-SK"/>
              </w:rPr>
            </w:pPr>
            <w:r w:rsidRPr="00525C87">
              <w:rPr>
                <w:rFonts w:ascii="Arial Narrow" w:eastAsia="Times New Roman" w:hAnsi="Arial Narrow" w:cs="Calibri"/>
                <w:b/>
                <w:bCs/>
                <w:sz w:val="16"/>
                <w:szCs w:val="16"/>
                <w:lang w:eastAsia="sk-SK"/>
              </w:rPr>
              <w:t>Práca</w:t>
            </w:r>
          </w:p>
        </w:tc>
        <w:tc>
          <w:tcPr>
            <w:tcW w:w="968" w:type="dxa"/>
            <w:tcBorders>
              <w:top w:val="nil"/>
              <w:left w:val="nil"/>
              <w:bottom w:val="nil"/>
              <w:right w:val="nil"/>
            </w:tcBorders>
            <w:shd w:val="clear" w:color="auto" w:fill="DEEAF6" w:themeFill="accent5" w:themeFillTint="33"/>
            <w:vAlign w:val="center"/>
            <w:hideMark/>
          </w:tcPr>
          <w:p w14:paraId="7F24AA73" w14:textId="77777777" w:rsidR="00C1228B" w:rsidRPr="00525C87" w:rsidRDefault="00C1228B" w:rsidP="00616580">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tcPr>
          <w:p w14:paraId="3CABF9C9" w14:textId="60392468"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c>
          <w:tcPr>
            <w:tcW w:w="943" w:type="dxa"/>
            <w:tcBorders>
              <w:top w:val="nil"/>
              <w:left w:val="nil"/>
              <w:bottom w:val="nil"/>
              <w:right w:val="nil"/>
            </w:tcBorders>
            <w:shd w:val="clear" w:color="auto" w:fill="DEEAF6" w:themeFill="accent5" w:themeFillTint="33"/>
            <w:vAlign w:val="center"/>
          </w:tcPr>
          <w:p w14:paraId="2C9A5F2D" w14:textId="0B368340"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c>
          <w:tcPr>
            <w:tcW w:w="708" w:type="dxa"/>
            <w:gridSpan w:val="3"/>
            <w:tcBorders>
              <w:top w:val="nil"/>
              <w:left w:val="nil"/>
              <w:bottom w:val="nil"/>
              <w:right w:val="nil"/>
            </w:tcBorders>
            <w:shd w:val="clear" w:color="auto" w:fill="DEEAF6" w:themeFill="accent5" w:themeFillTint="33"/>
            <w:vAlign w:val="center"/>
          </w:tcPr>
          <w:p w14:paraId="3941FBF1" w14:textId="4555DD15"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c>
          <w:tcPr>
            <w:tcW w:w="559" w:type="dxa"/>
            <w:tcBorders>
              <w:top w:val="nil"/>
              <w:left w:val="nil"/>
              <w:bottom w:val="nil"/>
              <w:right w:val="nil"/>
            </w:tcBorders>
            <w:shd w:val="clear" w:color="auto" w:fill="DEEAF6" w:themeFill="accent5" w:themeFillTint="33"/>
            <w:vAlign w:val="center"/>
          </w:tcPr>
          <w:p w14:paraId="336B280A" w14:textId="0A0F3644"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c>
          <w:tcPr>
            <w:tcW w:w="782" w:type="dxa"/>
            <w:gridSpan w:val="6"/>
            <w:tcBorders>
              <w:top w:val="nil"/>
              <w:left w:val="nil"/>
              <w:bottom w:val="nil"/>
              <w:right w:val="nil"/>
            </w:tcBorders>
            <w:shd w:val="clear" w:color="auto" w:fill="DEEAF6" w:themeFill="accent5" w:themeFillTint="33"/>
            <w:vAlign w:val="center"/>
          </w:tcPr>
          <w:p w14:paraId="30EBD928" w14:textId="04A174B2"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c>
          <w:tcPr>
            <w:tcW w:w="614" w:type="dxa"/>
            <w:gridSpan w:val="4"/>
            <w:tcBorders>
              <w:top w:val="nil"/>
              <w:left w:val="nil"/>
              <w:bottom w:val="nil"/>
              <w:right w:val="nil"/>
            </w:tcBorders>
            <w:shd w:val="clear" w:color="auto" w:fill="DEEAF6" w:themeFill="accent5" w:themeFillTint="33"/>
            <w:vAlign w:val="center"/>
          </w:tcPr>
          <w:p w14:paraId="62F69EFB" w14:textId="410687A9"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r>
      <w:tr w:rsidR="00C1228B" w:rsidRPr="001727BF" w14:paraId="01D787FC" w14:textId="77777777" w:rsidTr="00A22C01">
        <w:trPr>
          <w:gridAfter w:val="1"/>
          <w:wAfter w:w="313" w:type="dxa"/>
          <w:trHeight w:val="300"/>
        </w:trPr>
        <w:tc>
          <w:tcPr>
            <w:tcW w:w="541" w:type="dxa"/>
            <w:tcBorders>
              <w:top w:val="nil"/>
              <w:left w:val="nil"/>
              <w:bottom w:val="nil"/>
              <w:right w:val="nil"/>
            </w:tcBorders>
            <w:shd w:val="clear" w:color="auto" w:fill="DEEAF6" w:themeFill="accent5" w:themeFillTint="33"/>
            <w:vAlign w:val="center"/>
            <w:hideMark/>
          </w:tcPr>
          <w:p w14:paraId="27936475" w14:textId="77777777" w:rsidR="00C1228B" w:rsidRPr="00525C87" w:rsidRDefault="00C1228B" w:rsidP="00616580">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28</w:t>
            </w:r>
          </w:p>
        </w:tc>
        <w:tc>
          <w:tcPr>
            <w:tcW w:w="3127" w:type="dxa"/>
            <w:gridSpan w:val="4"/>
            <w:tcBorders>
              <w:top w:val="nil"/>
              <w:left w:val="nil"/>
              <w:bottom w:val="nil"/>
              <w:right w:val="nil"/>
            </w:tcBorders>
            <w:shd w:val="clear" w:color="auto" w:fill="DEEAF6" w:themeFill="accent5" w:themeFillTint="33"/>
            <w:vAlign w:val="center"/>
            <w:hideMark/>
          </w:tcPr>
          <w:p w14:paraId="5C81AF86" w14:textId="77777777" w:rsidR="00C1228B" w:rsidRPr="00525C87" w:rsidRDefault="00C1228B" w:rsidP="00616580">
            <w:pPr>
              <w:spacing w:after="0" w:line="240" w:lineRule="auto"/>
              <w:ind w:firstLineChars="100" w:firstLine="160"/>
              <w:rPr>
                <w:rFonts w:ascii="Arial Narrow" w:eastAsia="Times New Roman" w:hAnsi="Arial Narrow" w:cs="Calibri"/>
                <w:b/>
                <w:bCs/>
                <w:sz w:val="16"/>
                <w:szCs w:val="16"/>
                <w:lang w:eastAsia="sk-SK"/>
              </w:rPr>
            </w:pPr>
            <w:r w:rsidRPr="00525C87">
              <w:rPr>
                <w:rFonts w:ascii="Arial Narrow" w:eastAsia="Times New Roman" w:hAnsi="Arial Narrow" w:cs="Calibri"/>
                <w:b/>
                <w:bCs/>
                <w:sz w:val="16"/>
                <w:szCs w:val="16"/>
                <w:lang w:eastAsia="sk-SK"/>
              </w:rPr>
              <w:t>Kapitál</w:t>
            </w:r>
          </w:p>
        </w:tc>
        <w:tc>
          <w:tcPr>
            <w:tcW w:w="968" w:type="dxa"/>
            <w:tcBorders>
              <w:top w:val="nil"/>
              <w:left w:val="nil"/>
              <w:bottom w:val="nil"/>
              <w:right w:val="nil"/>
            </w:tcBorders>
            <w:shd w:val="clear" w:color="auto" w:fill="DEEAF6" w:themeFill="accent5" w:themeFillTint="33"/>
            <w:vAlign w:val="center"/>
            <w:hideMark/>
          </w:tcPr>
          <w:p w14:paraId="76378B68" w14:textId="77777777" w:rsidR="00C1228B" w:rsidRPr="00525C87" w:rsidRDefault="00C1228B" w:rsidP="00616580">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tcPr>
          <w:p w14:paraId="4BEC0BEB" w14:textId="328F44AC"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c>
          <w:tcPr>
            <w:tcW w:w="943" w:type="dxa"/>
            <w:tcBorders>
              <w:top w:val="nil"/>
              <w:left w:val="nil"/>
              <w:bottom w:val="nil"/>
              <w:right w:val="nil"/>
            </w:tcBorders>
            <w:shd w:val="clear" w:color="auto" w:fill="DEEAF6" w:themeFill="accent5" w:themeFillTint="33"/>
            <w:vAlign w:val="center"/>
          </w:tcPr>
          <w:p w14:paraId="39920905" w14:textId="3D4A5200"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c>
          <w:tcPr>
            <w:tcW w:w="708" w:type="dxa"/>
            <w:gridSpan w:val="3"/>
            <w:tcBorders>
              <w:top w:val="nil"/>
              <w:left w:val="nil"/>
              <w:bottom w:val="nil"/>
              <w:right w:val="nil"/>
            </w:tcBorders>
            <w:shd w:val="clear" w:color="auto" w:fill="DEEAF6" w:themeFill="accent5" w:themeFillTint="33"/>
            <w:vAlign w:val="center"/>
          </w:tcPr>
          <w:p w14:paraId="3270C5B5" w14:textId="6738A9D5"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c>
          <w:tcPr>
            <w:tcW w:w="559" w:type="dxa"/>
            <w:tcBorders>
              <w:top w:val="nil"/>
              <w:left w:val="nil"/>
              <w:bottom w:val="nil"/>
              <w:right w:val="nil"/>
            </w:tcBorders>
            <w:shd w:val="clear" w:color="auto" w:fill="DEEAF6" w:themeFill="accent5" w:themeFillTint="33"/>
            <w:vAlign w:val="center"/>
          </w:tcPr>
          <w:p w14:paraId="2B5D6FC5" w14:textId="03D8366F"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c>
          <w:tcPr>
            <w:tcW w:w="782" w:type="dxa"/>
            <w:gridSpan w:val="6"/>
            <w:tcBorders>
              <w:top w:val="nil"/>
              <w:left w:val="nil"/>
              <w:bottom w:val="nil"/>
              <w:right w:val="nil"/>
            </w:tcBorders>
            <w:shd w:val="clear" w:color="auto" w:fill="DEEAF6" w:themeFill="accent5" w:themeFillTint="33"/>
            <w:vAlign w:val="center"/>
          </w:tcPr>
          <w:p w14:paraId="3A95A931" w14:textId="18AD02F0"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c>
          <w:tcPr>
            <w:tcW w:w="614" w:type="dxa"/>
            <w:gridSpan w:val="4"/>
            <w:tcBorders>
              <w:top w:val="nil"/>
              <w:left w:val="nil"/>
              <w:bottom w:val="nil"/>
              <w:right w:val="nil"/>
            </w:tcBorders>
            <w:shd w:val="clear" w:color="auto" w:fill="DEEAF6" w:themeFill="accent5" w:themeFillTint="33"/>
            <w:vAlign w:val="center"/>
          </w:tcPr>
          <w:p w14:paraId="1A88815D" w14:textId="40567705"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r>
      <w:tr w:rsidR="00C1228B" w:rsidRPr="001727BF" w14:paraId="5F90821F" w14:textId="77777777" w:rsidTr="00A22C01">
        <w:trPr>
          <w:gridAfter w:val="1"/>
          <w:wAfter w:w="313" w:type="dxa"/>
          <w:trHeight w:val="300"/>
        </w:trPr>
        <w:tc>
          <w:tcPr>
            <w:tcW w:w="541" w:type="dxa"/>
            <w:tcBorders>
              <w:top w:val="nil"/>
              <w:left w:val="nil"/>
              <w:bottom w:val="nil"/>
              <w:right w:val="nil"/>
            </w:tcBorders>
            <w:shd w:val="clear" w:color="auto" w:fill="DEEAF6" w:themeFill="accent5" w:themeFillTint="33"/>
            <w:vAlign w:val="center"/>
            <w:hideMark/>
          </w:tcPr>
          <w:p w14:paraId="44886EB1" w14:textId="77777777" w:rsidR="00C1228B" w:rsidRPr="00525C87" w:rsidRDefault="00C1228B" w:rsidP="00616580">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29</w:t>
            </w:r>
          </w:p>
        </w:tc>
        <w:tc>
          <w:tcPr>
            <w:tcW w:w="3127" w:type="dxa"/>
            <w:gridSpan w:val="4"/>
            <w:tcBorders>
              <w:top w:val="nil"/>
              <w:left w:val="nil"/>
              <w:bottom w:val="nil"/>
              <w:right w:val="nil"/>
            </w:tcBorders>
            <w:shd w:val="clear" w:color="auto" w:fill="DEEAF6" w:themeFill="accent5" w:themeFillTint="33"/>
            <w:vAlign w:val="center"/>
            <w:hideMark/>
          </w:tcPr>
          <w:p w14:paraId="410B5338" w14:textId="77777777" w:rsidR="00C1228B" w:rsidRPr="00525C87" w:rsidRDefault="00C1228B" w:rsidP="00616580">
            <w:pPr>
              <w:spacing w:after="0" w:line="240" w:lineRule="auto"/>
              <w:ind w:firstLineChars="100" w:firstLine="160"/>
              <w:rPr>
                <w:rFonts w:ascii="Arial Narrow" w:eastAsia="Times New Roman" w:hAnsi="Arial Narrow" w:cs="Calibri"/>
                <w:b/>
                <w:bCs/>
                <w:sz w:val="16"/>
                <w:szCs w:val="16"/>
                <w:lang w:eastAsia="sk-SK"/>
              </w:rPr>
            </w:pPr>
            <w:r w:rsidRPr="00525C87">
              <w:rPr>
                <w:rFonts w:ascii="Arial Narrow" w:eastAsia="Times New Roman" w:hAnsi="Arial Narrow" w:cs="Calibri"/>
                <w:b/>
                <w:bCs/>
                <w:sz w:val="16"/>
                <w:szCs w:val="16"/>
                <w:lang w:eastAsia="sk-SK"/>
              </w:rPr>
              <w:t>TFP</w:t>
            </w:r>
          </w:p>
        </w:tc>
        <w:tc>
          <w:tcPr>
            <w:tcW w:w="968" w:type="dxa"/>
            <w:tcBorders>
              <w:top w:val="nil"/>
              <w:left w:val="nil"/>
              <w:bottom w:val="nil"/>
              <w:right w:val="nil"/>
            </w:tcBorders>
            <w:shd w:val="clear" w:color="auto" w:fill="DEEAF6" w:themeFill="accent5" w:themeFillTint="33"/>
            <w:vAlign w:val="center"/>
            <w:hideMark/>
          </w:tcPr>
          <w:p w14:paraId="6A8470CB" w14:textId="77777777" w:rsidR="00C1228B" w:rsidRPr="00525C87" w:rsidRDefault="00C1228B" w:rsidP="00616580">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tcPr>
          <w:p w14:paraId="75E819B3" w14:textId="5020DFBF"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c>
          <w:tcPr>
            <w:tcW w:w="943" w:type="dxa"/>
            <w:tcBorders>
              <w:top w:val="nil"/>
              <w:left w:val="nil"/>
              <w:bottom w:val="nil"/>
              <w:right w:val="nil"/>
            </w:tcBorders>
            <w:shd w:val="clear" w:color="auto" w:fill="DEEAF6" w:themeFill="accent5" w:themeFillTint="33"/>
            <w:vAlign w:val="center"/>
          </w:tcPr>
          <w:p w14:paraId="642ECED4" w14:textId="18346F91"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c>
          <w:tcPr>
            <w:tcW w:w="708" w:type="dxa"/>
            <w:gridSpan w:val="3"/>
            <w:tcBorders>
              <w:top w:val="nil"/>
              <w:left w:val="nil"/>
              <w:bottom w:val="nil"/>
              <w:right w:val="nil"/>
            </w:tcBorders>
            <w:shd w:val="clear" w:color="auto" w:fill="DEEAF6" w:themeFill="accent5" w:themeFillTint="33"/>
            <w:vAlign w:val="center"/>
          </w:tcPr>
          <w:p w14:paraId="72C17CF2" w14:textId="2EA8C499"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c>
          <w:tcPr>
            <w:tcW w:w="559" w:type="dxa"/>
            <w:tcBorders>
              <w:top w:val="nil"/>
              <w:left w:val="nil"/>
              <w:bottom w:val="nil"/>
              <w:right w:val="nil"/>
            </w:tcBorders>
            <w:shd w:val="clear" w:color="auto" w:fill="DEEAF6" w:themeFill="accent5" w:themeFillTint="33"/>
            <w:vAlign w:val="center"/>
          </w:tcPr>
          <w:p w14:paraId="03E33944" w14:textId="1B8B00E5"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c>
          <w:tcPr>
            <w:tcW w:w="782" w:type="dxa"/>
            <w:gridSpan w:val="6"/>
            <w:tcBorders>
              <w:top w:val="nil"/>
              <w:left w:val="nil"/>
              <w:bottom w:val="nil"/>
              <w:right w:val="nil"/>
            </w:tcBorders>
            <w:shd w:val="clear" w:color="auto" w:fill="DEEAF6" w:themeFill="accent5" w:themeFillTint="33"/>
            <w:vAlign w:val="center"/>
          </w:tcPr>
          <w:p w14:paraId="3F18A82A" w14:textId="3EAE0677"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c>
          <w:tcPr>
            <w:tcW w:w="614" w:type="dxa"/>
            <w:gridSpan w:val="4"/>
            <w:tcBorders>
              <w:top w:val="nil"/>
              <w:left w:val="nil"/>
              <w:bottom w:val="nil"/>
              <w:right w:val="nil"/>
            </w:tcBorders>
            <w:shd w:val="clear" w:color="auto" w:fill="DEEAF6" w:themeFill="accent5" w:themeFillTint="33"/>
            <w:vAlign w:val="center"/>
          </w:tcPr>
          <w:p w14:paraId="2FF83185" w14:textId="353AE2B1"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r>
      <w:tr w:rsidR="00C1228B" w:rsidRPr="001727BF" w14:paraId="0F5320B0" w14:textId="77777777" w:rsidTr="00A22C01">
        <w:trPr>
          <w:gridAfter w:val="1"/>
          <w:wAfter w:w="313" w:type="dxa"/>
          <w:trHeight w:val="300"/>
        </w:trPr>
        <w:tc>
          <w:tcPr>
            <w:tcW w:w="541" w:type="dxa"/>
            <w:tcBorders>
              <w:top w:val="nil"/>
              <w:left w:val="nil"/>
              <w:bottom w:val="nil"/>
              <w:right w:val="nil"/>
            </w:tcBorders>
            <w:shd w:val="clear" w:color="auto" w:fill="DEEAF6" w:themeFill="accent5" w:themeFillTint="33"/>
            <w:vAlign w:val="center"/>
            <w:hideMark/>
          </w:tcPr>
          <w:p w14:paraId="45DCD20D" w14:textId="77777777" w:rsidR="00C1228B" w:rsidRPr="00525C87" w:rsidRDefault="00C1228B" w:rsidP="00616580">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30</w:t>
            </w:r>
          </w:p>
        </w:tc>
        <w:tc>
          <w:tcPr>
            <w:tcW w:w="3127" w:type="dxa"/>
            <w:gridSpan w:val="4"/>
            <w:tcBorders>
              <w:top w:val="nil"/>
              <w:left w:val="nil"/>
              <w:bottom w:val="nil"/>
              <w:right w:val="nil"/>
            </w:tcBorders>
            <w:shd w:val="clear" w:color="auto" w:fill="DEEAF6" w:themeFill="accent5" w:themeFillTint="33"/>
            <w:vAlign w:val="center"/>
            <w:hideMark/>
          </w:tcPr>
          <w:p w14:paraId="4373210D" w14:textId="77777777" w:rsidR="00C1228B" w:rsidRPr="00525C87" w:rsidRDefault="00C1228B" w:rsidP="00616580">
            <w:pPr>
              <w:spacing w:after="0" w:line="240" w:lineRule="auto"/>
              <w:rPr>
                <w:rFonts w:ascii="Arial Narrow" w:eastAsia="Times New Roman" w:hAnsi="Arial Narrow" w:cs="Calibri"/>
                <w:b/>
                <w:bCs/>
                <w:sz w:val="16"/>
                <w:szCs w:val="16"/>
                <w:lang w:eastAsia="sk-SK"/>
              </w:rPr>
            </w:pPr>
            <w:r w:rsidRPr="00525C87">
              <w:rPr>
                <w:rFonts w:ascii="Arial Narrow" w:eastAsia="Times New Roman" w:hAnsi="Arial Narrow" w:cs="Calibri"/>
                <w:b/>
                <w:bCs/>
                <w:sz w:val="16"/>
                <w:szCs w:val="16"/>
                <w:lang w:eastAsia="sk-SK"/>
              </w:rPr>
              <w:t>Produkčná medzera (% k potenciálnemu HDP)</w:t>
            </w:r>
          </w:p>
        </w:tc>
        <w:tc>
          <w:tcPr>
            <w:tcW w:w="968" w:type="dxa"/>
            <w:tcBorders>
              <w:top w:val="nil"/>
              <w:left w:val="nil"/>
              <w:bottom w:val="nil"/>
              <w:right w:val="nil"/>
            </w:tcBorders>
            <w:shd w:val="clear" w:color="auto" w:fill="DEEAF6" w:themeFill="accent5" w:themeFillTint="33"/>
            <w:vAlign w:val="center"/>
            <w:hideMark/>
          </w:tcPr>
          <w:p w14:paraId="32C7D1E1" w14:textId="77777777" w:rsidR="00C1228B" w:rsidRPr="00525C87" w:rsidRDefault="00C1228B" w:rsidP="00616580">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 </w:t>
            </w:r>
          </w:p>
        </w:tc>
        <w:tc>
          <w:tcPr>
            <w:tcW w:w="943" w:type="dxa"/>
            <w:tcBorders>
              <w:top w:val="nil"/>
              <w:left w:val="nil"/>
              <w:bottom w:val="nil"/>
              <w:right w:val="nil"/>
            </w:tcBorders>
            <w:shd w:val="clear" w:color="auto" w:fill="DEEAF6" w:themeFill="accent5" w:themeFillTint="33"/>
            <w:vAlign w:val="center"/>
          </w:tcPr>
          <w:p w14:paraId="36CB7CA1" w14:textId="2F176383" w:rsidR="00C1228B" w:rsidRPr="00525C87" w:rsidRDefault="00525C87" w:rsidP="00616580">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-0,6</w:t>
            </w:r>
          </w:p>
        </w:tc>
        <w:tc>
          <w:tcPr>
            <w:tcW w:w="943" w:type="dxa"/>
            <w:tcBorders>
              <w:top w:val="nil"/>
              <w:left w:val="nil"/>
              <w:bottom w:val="nil"/>
              <w:right w:val="nil"/>
            </w:tcBorders>
            <w:shd w:val="clear" w:color="auto" w:fill="DEEAF6" w:themeFill="accent5" w:themeFillTint="33"/>
            <w:vAlign w:val="center"/>
          </w:tcPr>
          <w:p w14:paraId="377908CD" w14:textId="2F516FCF" w:rsidR="00C1228B" w:rsidRPr="00525C87" w:rsidRDefault="00525C87" w:rsidP="00616580">
            <w:pPr>
              <w:spacing w:after="0" w:line="240" w:lineRule="auto"/>
              <w:jc w:val="center"/>
              <w:rPr>
                <w:rFonts w:ascii="Arial Narrow" w:eastAsia="Times New Roman" w:hAnsi="Arial Narrow" w:cs="Calibri"/>
                <w:sz w:val="16"/>
                <w:szCs w:val="16"/>
                <w:lang w:eastAsia="sk-SK"/>
              </w:rPr>
            </w:pPr>
            <w:r w:rsidRPr="00525C87">
              <w:rPr>
                <w:rFonts w:ascii="Arial Narrow" w:eastAsia="Times New Roman" w:hAnsi="Arial Narrow" w:cs="Calibri"/>
                <w:sz w:val="16"/>
                <w:szCs w:val="16"/>
                <w:lang w:eastAsia="sk-SK"/>
              </w:rPr>
              <w:t>-0,7</w:t>
            </w:r>
          </w:p>
        </w:tc>
        <w:tc>
          <w:tcPr>
            <w:tcW w:w="708" w:type="dxa"/>
            <w:gridSpan w:val="3"/>
            <w:tcBorders>
              <w:top w:val="nil"/>
              <w:left w:val="nil"/>
              <w:bottom w:val="nil"/>
              <w:right w:val="nil"/>
            </w:tcBorders>
            <w:shd w:val="clear" w:color="auto" w:fill="DEEAF6" w:themeFill="accent5" w:themeFillTint="33"/>
            <w:vAlign w:val="center"/>
          </w:tcPr>
          <w:p w14:paraId="395371EC" w14:textId="623B1C28"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c>
          <w:tcPr>
            <w:tcW w:w="559" w:type="dxa"/>
            <w:tcBorders>
              <w:top w:val="nil"/>
              <w:left w:val="nil"/>
              <w:bottom w:val="nil"/>
              <w:right w:val="nil"/>
            </w:tcBorders>
            <w:shd w:val="clear" w:color="auto" w:fill="DEEAF6" w:themeFill="accent5" w:themeFillTint="33"/>
            <w:vAlign w:val="center"/>
          </w:tcPr>
          <w:p w14:paraId="51462F38" w14:textId="10B42112"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c>
          <w:tcPr>
            <w:tcW w:w="782" w:type="dxa"/>
            <w:gridSpan w:val="6"/>
            <w:tcBorders>
              <w:top w:val="nil"/>
              <w:left w:val="nil"/>
              <w:bottom w:val="nil"/>
              <w:right w:val="nil"/>
            </w:tcBorders>
            <w:shd w:val="clear" w:color="auto" w:fill="DEEAF6" w:themeFill="accent5" w:themeFillTint="33"/>
            <w:vAlign w:val="center"/>
          </w:tcPr>
          <w:p w14:paraId="0C8E51EF" w14:textId="696570A6"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c>
          <w:tcPr>
            <w:tcW w:w="614" w:type="dxa"/>
            <w:gridSpan w:val="4"/>
            <w:tcBorders>
              <w:top w:val="nil"/>
              <w:left w:val="nil"/>
              <w:bottom w:val="nil"/>
              <w:right w:val="nil"/>
            </w:tcBorders>
            <w:shd w:val="clear" w:color="auto" w:fill="DEEAF6" w:themeFill="accent5" w:themeFillTint="33"/>
            <w:vAlign w:val="center"/>
          </w:tcPr>
          <w:p w14:paraId="4AEA0874" w14:textId="739F8A96" w:rsidR="00C1228B" w:rsidRPr="00525C87" w:rsidRDefault="00C1228B" w:rsidP="00616580">
            <w:pPr>
              <w:spacing w:after="0" w:line="240" w:lineRule="auto"/>
              <w:jc w:val="center"/>
              <w:rPr>
                <w:rFonts w:ascii="Arial Narrow" w:eastAsia="Times New Roman" w:hAnsi="Arial Narrow" w:cs="Calibri"/>
                <w:sz w:val="16"/>
                <w:szCs w:val="16"/>
                <w:lang w:eastAsia="sk-SK"/>
              </w:rPr>
            </w:pPr>
          </w:p>
        </w:tc>
      </w:tr>
    </w:tbl>
    <w:p w14:paraId="0319AB8D" w14:textId="174A7CF4" w:rsidR="00C1228B" w:rsidRPr="00A22C01" w:rsidRDefault="00B218F9" w:rsidP="00A22C01">
      <w:pPr>
        <w:widowControl w:val="0"/>
        <w:spacing w:before="40" w:after="40"/>
        <w:jc w:val="right"/>
        <w:rPr>
          <w:rFonts w:ascii="Arial Narrow" w:eastAsia="NeueHaasGroteskText W02" w:hAnsi="Arial Narrow" w:cs="Arial"/>
          <w:i/>
          <w:iCs/>
          <w:color w:val="000000" w:themeColor="text1"/>
          <w:sz w:val="16"/>
          <w:szCs w:val="16"/>
          <w:u w:color="2C9ADC"/>
        </w:rPr>
      </w:pPr>
      <w:r w:rsidRPr="00135823">
        <w:rPr>
          <w:rFonts w:ascii="Arial Narrow" w:eastAsia="NeueHaasGroteskText W02" w:hAnsi="Arial Narrow" w:cs="Arial"/>
          <w:i/>
          <w:iCs/>
          <w:color w:val="000000" w:themeColor="text1"/>
          <w:sz w:val="16"/>
          <w:szCs w:val="16"/>
          <w:u w:color="2C9ADC"/>
        </w:rPr>
        <w:t>Zdroj: Európska komisia</w:t>
      </w:r>
    </w:p>
    <w:p w14:paraId="0AD6E8C3" w14:textId="77777777" w:rsidR="00C1228B" w:rsidRDefault="00C1228B" w:rsidP="00C1228B">
      <w:pPr>
        <w:spacing w:after="0" w:line="276" w:lineRule="auto"/>
        <w:jc w:val="both"/>
        <w:rPr>
          <w:rFonts w:ascii="Arial Narrow" w:eastAsia="Times New Roman" w:hAnsi="Arial Narrow"/>
          <w:b/>
          <w:bCs/>
        </w:rPr>
      </w:pPr>
    </w:p>
    <w:p w14:paraId="71AC3E95" w14:textId="77777777" w:rsidR="00C1228B" w:rsidRDefault="00C1228B" w:rsidP="00C1228B">
      <w:pPr>
        <w:spacing w:after="0" w:line="276" w:lineRule="auto"/>
        <w:jc w:val="both"/>
        <w:rPr>
          <w:rFonts w:ascii="Arial Narrow" w:eastAsia="Times New Roman" w:hAnsi="Arial Narrow"/>
          <w:b/>
          <w:bCs/>
        </w:rPr>
      </w:pPr>
    </w:p>
    <w:p w14:paraId="77E9BE5F" w14:textId="77777777" w:rsidR="00C1228B" w:rsidRPr="001727BF" w:rsidRDefault="00C1228B" w:rsidP="00C1228B">
      <w:pPr>
        <w:widowControl w:val="0"/>
        <w:spacing w:before="40" w:after="40"/>
        <w:jc w:val="both"/>
        <w:rPr>
          <w:rFonts w:ascii="Arial Narrow" w:eastAsia="NeueHaasGroteskText W02" w:hAnsi="Arial Narrow" w:cs="Arial"/>
          <w:b/>
          <w:bCs/>
          <w:color w:val="2C9ADC"/>
          <w:sz w:val="20"/>
          <w:szCs w:val="20"/>
          <w:u w:color="2C9ADC"/>
        </w:rPr>
      </w:pPr>
      <w:r w:rsidRPr="009276A2">
        <w:rPr>
          <w:rFonts w:ascii="Arial Narrow" w:eastAsia="NeueHaasGroteskText W02" w:hAnsi="Arial Narrow" w:cs="Arial"/>
          <w:b/>
          <w:bCs/>
          <w:color w:val="2C9ADC"/>
          <w:sz w:val="20"/>
          <w:szCs w:val="20"/>
          <w:u w:color="2C9ADC"/>
        </w:rPr>
        <w:t>TABUĽKA 3 – Externé predpoklady</w:t>
      </w:r>
    </w:p>
    <w:tbl>
      <w:tblPr>
        <w:tblW w:w="9143" w:type="dxa"/>
        <w:tblCellMar>
          <w:left w:w="70" w:type="dxa"/>
          <w:right w:w="70" w:type="dxa"/>
        </w:tblCellMar>
        <w:tblLook w:val="04A0" w:firstRow="1" w:lastRow="0" w:firstColumn="1" w:lastColumn="0" w:noHBand="0" w:noVBand="1"/>
      </w:tblPr>
      <w:tblGrid>
        <w:gridCol w:w="346"/>
        <w:gridCol w:w="2633"/>
        <w:gridCol w:w="896"/>
        <w:gridCol w:w="878"/>
        <w:gridCol w:w="878"/>
        <w:gridCol w:w="878"/>
        <w:gridCol w:w="878"/>
        <w:gridCol w:w="878"/>
        <w:gridCol w:w="878"/>
      </w:tblGrid>
      <w:tr w:rsidR="00C1228B" w:rsidRPr="009276A2" w14:paraId="130E2974" w14:textId="77777777" w:rsidTr="00177DFB">
        <w:trPr>
          <w:trHeight w:val="356"/>
        </w:trPr>
        <w:tc>
          <w:tcPr>
            <w:tcW w:w="2979" w:type="dxa"/>
            <w:gridSpan w:val="2"/>
            <w:tcBorders>
              <w:top w:val="nil"/>
              <w:left w:val="nil"/>
              <w:bottom w:val="nil"/>
              <w:right w:val="nil"/>
            </w:tcBorders>
            <w:shd w:val="clear" w:color="auto" w:fill="auto"/>
            <w:vAlign w:val="center"/>
            <w:hideMark/>
          </w:tcPr>
          <w:p w14:paraId="5D3934ED" w14:textId="77777777" w:rsidR="00C1228B" w:rsidRPr="009276A2" w:rsidRDefault="00C1228B" w:rsidP="00616580">
            <w:pPr>
              <w:spacing w:after="0" w:line="240" w:lineRule="auto"/>
              <w:rPr>
                <w:rFonts w:ascii="Arial Narrow" w:eastAsia="Times New Roman" w:hAnsi="Arial Narrow" w:cs="Calibri"/>
                <w:b/>
                <w:bCs/>
                <w:sz w:val="18"/>
                <w:szCs w:val="18"/>
                <w:lang w:eastAsia="sk-SK"/>
              </w:rPr>
            </w:pPr>
          </w:p>
        </w:tc>
        <w:tc>
          <w:tcPr>
            <w:tcW w:w="896" w:type="dxa"/>
            <w:tcBorders>
              <w:top w:val="nil"/>
              <w:left w:val="nil"/>
              <w:bottom w:val="nil"/>
              <w:right w:val="nil"/>
            </w:tcBorders>
            <w:shd w:val="clear" w:color="auto" w:fill="auto"/>
            <w:noWrap/>
            <w:vAlign w:val="bottom"/>
            <w:hideMark/>
          </w:tcPr>
          <w:p w14:paraId="76B05005" w14:textId="77777777" w:rsidR="00C1228B" w:rsidRPr="009276A2" w:rsidRDefault="00C1228B" w:rsidP="00616580">
            <w:pPr>
              <w:spacing w:after="0" w:line="240" w:lineRule="auto"/>
              <w:rPr>
                <w:rFonts w:ascii="Arial Narrow" w:eastAsia="Times New Roman" w:hAnsi="Arial Narrow" w:cs="Calibri"/>
                <w:b/>
                <w:bCs/>
                <w:sz w:val="18"/>
                <w:szCs w:val="18"/>
                <w:lang w:eastAsia="sk-SK"/>
              </w:rPr>
            </w:pPr>
          </w:p>
        </w:tc>
        <w:tc>
          <w:tcPr>
            <w:tcW w:w="878" w:type="dxa"/>
            <w:tcBorders>
              <w:top w:val="nil"/>
              <w:left w:val="nil"/>
              <w:bottom w:val="single" w:sz="8" w:space="0" w:color="auto"/>
              <w:right w:val="nil"/>
            </w:tcBorders>
            <w:shd w:val="clear" w:color="auto" w:fill="auto"/>
            <w:vAlign w:val="center"/>
            <w:hideMark/>
          </w:tcPr>
          <w:p w14:paraId="64FACD8B"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2023</w:t>
            </w:r>
          </w:p>
        </w:tc>
        <w:tc>
          <w:tcPr>
            <w:tcW w:w="878" w:type="dxa"/>
            <w:tcBorders>
              <w:top w:val="nil"/>
              <w:left w:val="nil"/>
              <w:bottom w:val="single" w:sz="8" w:space="0" w:color="auto"/>
              <w:right w:val="nil"/>
            </w:tcBorders>
            <w:shd w:val="clear" w:color="auto" w:fill="auto"/>
            <w:vAlign w:val="center"/>
            <w:hideMark/>
          </w:tcPr>
          <w:p w14:paraId="04AC45E9"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2024</w:t>
            </w:r>
          </w:p>
        </w:tc>
        <w:tc>
          <w:tcPr>
            <w:tcW w:w="878" w:type="dxa"/>
            <w:tcBorders>
              <w:top w:val="nil"/>
              <w:left w:val="nil"/>
              <w:bottom w:val="single" w:sz="8" w:space="0" w:color="auto"/>
              <w:right w:val="nil"/>
            </w:tcBorders>
            <w:shd w:val="clear" w:color="auto" w:fill="auto"/>
            <w:vAlign w:val="center"/>
            <w:hideMark/>
          </w:tcPr>
          <w:p w14:paraId="6002AB26"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2025</w:t>
            </w:r>
          </w:p>
        </w:tc>
        <w:tc>
          <w:tcPr>
            <w:tcW w:w="878" w:type="dxa"/>
            <w:tcBorders>
              <w:top w:val="nil"/>
              <w:left w:val="nil"/>
              <w:bottom w:val="single" w:sz="8" w:space="0" w:color="auto"/>
              <w:right w:val="nil"/>
            </w:tcBorders>
            <w:shd w:val="clear" w:color="auto" w:fill="auto"/>
            <w:vAlign w:val="center"/>
            <w:hideMark/>
          </w:tcPr>
          <w:p w14:paraId="616CB0C9"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2026</w:t>
            </w:r>
          </w:p>
        </w:tc>
        <w:tc>
          <w:tcPr>
            <w:tcW w:w="878" w:type="dxa"/>
            <w:tcBorders>
              <w:top w:val="nil"/>
              <w:left w:val="nil"/>
              <w:bottom w:val="single" w:sz="8" w:space="0" w:color="auto"/>
              <w:right w:val="nil"/>
            </w:tcBorders>
            <w:shd w:val="clear" w:color="auto" w:fill="auto"/>
            <w:vAlign w:val="center"/>
            <w:hideMark/>
          </w:tcPr>
          <w:p w14:paraId="21C70303"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2027</w:t>
            </w:r>
          </w:p>
        </w:tc>
        <w:tc>
          <w:tcPr>
            <w:tcW w:w="878" w:type="dxa"/>
            <w:tcBorders>
              <w:top w:val="nil"/>
              <w:left w:val="nil"/>
              <w:bottom w:val="single" w:sz="8" w:space="0" w:color="auto"/>
              <w:right w:val="nil"/>
            </w:tcBorders>
            <w:shd w:val="clear" w:color="auto" w:fill="auto"/>
            <w:vAlign w:val="center"/>
            <w:hideMark/>
          </w:tcPr>
          <w:p w14:paraId="6ACB4475"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2028</w:t>
            </w:r>
          </w:p>
        </w:tc>
      </w:tr>
      <w:tr w:rsidR="00C1228B" w:rsidRPr="009276A2" w14:paraId="1AA2296F" w14:textId="77777777" w:rsidTr="00616580">
        <w:trPr>
          <w:trHeight w:val="310"/>
        </w:trPr>
        <w:tc>
          <w:tcPr>
            <w:tcW w:w="3875" w:type="dxa"/>
            <w:gridSpan w:val="3"/>
            <w:tcBorders>
              <w:top w:val="single" w:sz="8" w:space="0" w:color="auto"/>
              <w:left w:val="nil"/>
              <w:bottom w:val="nil"/>
              <w:right w:val="nil"/>
            </w:tcBorders>
            <w:shd w:val="clear" w:color="auto" w:fill="auto"/>
            <w:vAlign w:val="center"/>
            <w:hideMark/>
          </w:tcPr>
          <w:p w14:paraId="2158FED1" w14:textId="77777777" w:rsidR="00C1228B" w:rsidRPr="009276A2" w:rsidRDefault="00C1228B" w:rsidP="00616580">
            <w:pPr>
              <w:spacing w:after="0" w:line="240" w:lineRule="auto"/>
              <w:rPr>
                <w:rFonts w:ascii="Arial Narrow" w:eastAsia="Times New Roman" w:hAnsi="Arial Narrow" w:cs="Calibri"/>
                <w:i/>
                <w:iCs/>
                <w:sz w:val="16"/>
                <w:szCs w:val="16"/>
                <w:lang w:eastAsia="sk-SK"/>
              </w:rPr>
            </w:pPr>
            <w:r w:rsidRPr="009276A2">
              <w:rPr>
                <w:rFonts w:ascii="Arial Narrow" w:eastAsia="Times New Roman" w:hAnsi="Arial Narrow" w:cs="Calibri"/>
                <w:i/>
                <w:iCs/>
                <w:sz w:val="16"/>
                <w:szCs w:val="16"/>
                <w:lang w:eastAsia="sk-SK"/>
              </w:rPr>
              <w:t> </w:t>
            </w:r>
          </w:p>
        </w:tc>
        <w:tc>
          <w:tcPr>
            <w:tcW w:w="878" w:type="dxa"/>
            <w:tcBorders>
              <w:top w:val="nil"/>
              <w:left w:val="nil"/>
              <w:bottom w:val="nil"/>
              <w:right w:val="nil"/>
            </w:tcBorders>
            <w:shd w:val="clear" w:color="auto" w:fill="auto"/>
            <w:noWrap/>
            <w:vAlign w:val="bottom"/>
            <w:hideMark/>
          </w:tcPr>
          <w:p w14:paraId="6E3449D3" w14:textId="77777777" w:rsidR="00C1228B" w:rsidRPr="009276A2" w:rsidRDefault="00C1228B" w:rsidP="00616580">
            <w:pPr>
              <w:spacing w:after="0" w:line="240" w:lineRule="auto"/>
              <w:rPr>
                <w:rFonts w:ascii="Arial Narrow" w:eastAsia="Times New Roman" w:hAnsi="Arial Narrow" w:cs="Calibri"/>
                <w:i/>
                <w:iCs/>
                <w:sz w:val="16"/>
                <w:szCs w:val="16"/>
                <w:lang w:eastAsia="sk-SK"/>
              </w:rPr>
            </w:pPr>
          </w:p>
        </w:tc>
        <w:tc>
          <w:tcPr>
            <w:tcW w:w="878" w:type="dxa"/>
            <w:tcBorders>
              <w:top w:val="nil"/>
              <w:left w:val="nil"/>
              <w:bottom w:val="nil"/>
              <w:right w:val="nil"/>
            </w:tcBorders>
            <w:shd w:val="clear" w:color="auto" w:fill="auto"/>
            <w:noWrap/>
            <w:vAlign w:val="bottom"/>
            <w:hideMark/>
          </w:tcPr>
          <w:p w14:paraId="670122CE"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878" w:type="dxa"/>
            <w:tcBorders>
              <w:top w:val="nil"/>
              <w:left w:val="nil"/>
              <w:bottom w:val="nil"/>
              <w:right w:val="nil"/>
            </w:tcBorders>
            <w:shd w:val="clear" w:color="auto" w:fill="auto"/>
            <w:noWrap/>
            <w:vAlign w:val="bottom"/>
            <w:hideMark/>
          </w:tcPr>
          <w:p w14:paraId="31A11C1E"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878" w:type="dxa"/>
            <w:tcBorders>
              <w:top w:val="nil"/>
              <w:left w:val="nil"/>
              <w:bottom w:val="nil"/>
              <w:right w:val="nil"/>
            </w:tcBorders>
            <w:shd w:val="clear" w:color="auto" w:fill="auto"/>
            <w:noWrap/>
            <w:vAlign w:val="bottom"/>
            <w:hideMark/>
          </w:tcPr>
          <w:p w14:paraId="0CC0783A"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878" w:type="dxa"/>
            <w:tcBorders>
              <w:top w:val="nil"/>
              <w:left w:val="nil"/>
              <w:bottom w:val="nil"/>
              <w:right w:val="nil"/>
            </w:tcBorders>
            <w:shd w:val="clear" w:color="auto" w:fill="auto"/>
            <w:noWrap/>
            <w:vAlign w:val="bottom"/>
            <w:hideMark/>
          </w:tcPr>
          <w:p w14:paraId="4ED10DEE"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878" w:type="dxa"/>
            <w:tcBorders>
              <w:top w:val="nil"/>
              <w:left w:val="nil"/>
              <w:bottom w:val="nil"/>
              <w:right w:val="nil"/>
            </w:tcBorders>
            <w:shd w:val="clear" w:color="auto" w:fill="auto"/>
            <w:noWrap/>
            <w:vAlign w:val="bottom"/>
            <w:hideMark/>
          </w:tcPr>
          <w:p w14:paraId="45103A87"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r>
      <w:tr w:rsidR="00177DFB" w:rsidRPr="009276A2" w14:paraId="60C8A931" w14:textId="77777777" w:rsidTr="00177DFB">
        <w:trPr>
          <w:trHeight w:val="310"/>
        </w:trPr>
        <w:tc>
          <w:tcPr>
            <w:tcW w:w="346" w:type="dxa"/>
            <w:tcBorders>
              <w:top w:val="nil"/>
              <w:left w:val="nil"/>
              <w:bottom w:val="nil"/>
              <w:right w:val="nil"/>
            </w:tcBorders>
            <w:shd w:val="clear" w:color="auto" w:fill="DEEAF6" w:themeFill="accent5" w:themeFillTint="33"/>
            <w:vAlign w:val="center"/>
            <w:hideMark/>
          </w:tcPr>
          <w:p w14:paraId="5A1C3960" w14:textId="77777777" w:rsidR="00177DFB" w:rsidRPr="009276A2" w:rsidRDefault="00177DFB" w:rsidP="00177DFB">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1</w:t>
            </w:r>
          </w:p>
        </w:tc>
        <w:tc>
          <w:tcPr>
            <w:tcW w:w="3529" w:type="dxa"/>
            <w:gridSpan w:val="2"/>
            <w:tcBorders>
              <w:top w:val="nil"/>
              <w:left w:val="nil"/>
              <w:bottom w:val="nil"/>
              <w:right w:val="nil"/>
            </w:tcBorders>
            <w:shd w:val="clear" w:color="auto" w:fill="DEEAF6" w:themeFill="accent5" w:themeFillTint="33"/>
            <w:vAlign w:val="center"/>
            <w:hideMark/>
          </w:tcPr>
          <w:p w14:paraId="07D1FE9B" w14:textId="77777777" w:rsidR="00177DFB" w:rsidRPr="00A22C01" w:rsidRDefault="00177DFB" w:rsidP="00177DFB">
            <w:pPr>
              <w:spacing w:after="0" w:line="240" w:lineRule="auto"/>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Krátkodobá úroková miera (%, ročný priemer)</w:t>
            </w:r>
          </w:p>
        </w:tc>
        <w:tc>
          <w:tcPr>
            <w:tcW w:w="878" w:type="dxa"/>
            <w:tcBorders>
              <w:top w:val="nil"/>
              <w:left w:val="nil"/>
              <w:bottom w:val="nil"/>
              <w:right w:val="nil"/>
            </w:tcBorders>
            <w:shd w:val="clear" w:color="auto" w:fill="DEEAF6" w:themeFill="accent5" w:themeFillTint="33"/>
            <w:vAlign w:val="center"/>
            <w:hideMark/>
          </w:tcPr>
          <w:p w14:paraId="1E2134E9" w14:textId="4A94871D" w:rsidR="00177DFB" w:rsidRPr="00A22C01" w:rsidRDefault="00177DFB" w:rsidP="00177DFB">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3,4</w:t>
            </w:r>
          </w:p>
        </w:tc>
        <w:tc>
          <w:tcPr>
            <w:tcW w:w="878" w:type="dxa"/>
            <w:tcBorders>
              <w:top w:val="nil"/>
              <w:left w:val="nil"/>
              <w:bottom w:val="nil"/>
              <w:right w:val="nil"/>
            </w:tcBorders>
            <w:shd w:val="clear" w:color="auto" w:fill="DEEAF6" w:themeFill="accent5" w:themeFillTint="33"/>
            <w:vAlign w:val="center"/>
            <w:hideMark/>
          </w:tcPr>
          <w:p w14:paraId="7AF795C0" w14:textId="3F104FA8" w:rsidR="00177DFB" w:rsidRPr="00A22C01" w:rsidRDefault="00177DFB" w:rsidP="00177DFB">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3,6</w:t>
            </w:r>
          </w:p>
        </w:tc>
        <w:tc>
          <w:tcPr>
            <w:tcW w:w="878" w:type="dxa"/>
            <w:tcBorders>
              <w:top w:val="nil"/>
              <w:left w:val="nil"/>
              <w:bottom w:val="nil"/>
              <w:right w:val="nil"/>
            </w:tcBorders>
            <w:shd w:val="clear" w:color="auto" w:fill="DEEAF6" w:themeFill="accent5" w:themeFillTint="33"/>
            <w:vAlign w:val="center"/>
            <w:hideMark/>
          </w:tcPr>
          <w:p w14:paraId="0738CF0E" w14:textId="6FCCBDFD" w:rsidR="00177DFB" w:rsidRPr="00A22C01" w:rsidRDefault="00177DFB" w:rsidP="00177DFB">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2,8</w:t>
            </w:r>
          </w:p>
        </w:tc>
        <w:tc>
          <w:tcPr>
            <w:tcW w:w="878" w:type="dxa"/>
            <w:tcBorders>
              <w:top w:val="nil"/>
              <w:left w:val="nil"/>
              <w:bottom w:val="nil"/>
              <w:right w:val="nil"/>
            </w:tcBorders>
            <w:shd w:val="clear" w:color="auto" w:fill="DEEAF6" w:themeFill="accent5" w:themeFillTint="33"/>
            <w:vAlign w:val="center"/>
            <w:hideMark/>
          </w:tcPr>
          <w:p w14:paraId="296BF992" w14:textId="1CA18A93" w:rsidR="00177DFB" w:rsidRPr="00A22C01" w:rsidRDefault="00177DFB" w:rsidP="00177DFB">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2,8</w:t>
            </w:r>
          </w:p>
        </w:tc>
        <w:tc>
          <w:tcPr>
            <w:tcW w:w="878" w:type="dxa"/>
            <w:tcBorders>
              <w:top w:val="nil"/>
              <w:left w:val="nil"/>
              <w:bottom w:val="nil"/>
              <w:right w:val="nil"/>
            </w:tcBorders>
            <w:shd w:val="clear" w:color="auto" w:fill="DEEAF6" w:themeFill="accent5" w:themeFillTint="33"/>
            <w:vAlign w:val="center"/>
            <w:hideMark/>
          </w:tcPr>
          <w:p w14:paraId="2E521355" w14:textId="7C4DE006" w:rsidR="00177DFB" w:rsidRPr="00A22C01" w:rsidRDefault="00177DFB" w:rsidP="00177DFB">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2,8</w:t>
            </w:r>
          </w:p>
        </w:tc>
        <w:tc>
          <w:tcPr>
            <w:tcW w:w="878" w:type="dxa"/>
            <w:tcBorders>
              <w:top w:val="nil"/>
              <w:left w:val="nil"/>
              <w:bottom w:val="nil"/>
              <w:right w:val="nil"/>
            </w:tcBorders>
            <w:shd w:val="clear" w:color="auto" w:fill="DEEAF6" w:themeFill="accent5" w:themeFillTint="33"/>
            <w:vAlign w:val="center"/>
            <w:hideMark/>
          </w:tcPr>
          <w:p w14:paraId="1DBC6DB0" w14:textId="52982FFA" w:rsidR="00177DFB" w:rsidRPr="00A22C01" w:rsidRDefault="00177DFB" w:rsidP="00177DFB">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2,8</w:t>
            </w:r>
          </w:p>
        </w:tc>
      </w:tr>
      <w:tr w:rsidR="00177DFB" w:rsidRPr="009276A2" w14:paraId="65E86C31" w14:textId="77777777" w:rsidTr="00177DFB">
        <w:trPr>
          <w:trHeight w:val="310"/>
        </w:trPr>
        <w:tc>
          <w:tcPr>
            <w:tcW w:w="346" w:type="dxa"/>
            <w:tcBorders>
              <w:top w:val="nil"/>
              <w:left w:val="nil"/>
              <w:bottom w:val="nil"/>
              <w:right w:val="nil"/>
            </w:tcBorders>
            <w:shd w:val="clear" w:color="auto" w:fill="DEEAF6" w:themeFill="accent5" w:themeFillTint="33"/>
            <w:vAlign w:val="center"/>
            <w:hideMark/>
          </w:tcPr>
          <w:p w14:paraId="0D0F95BE" w14:textId="77777777" w:rsidR="00177DFB" w:rsidRPr="009276A2" w:rsidRDefault="00177DFB" w:rsidP="00177DFB">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2</w:t>
            </w:r>
          </w:p>
        </w:tc>
        <w:tc>
          <w:tcPr>
            <w:tcW w:w="3529" w:type="dxa"/>
            <w:gridSpan w:val="2"/>
            <w:tcBorders>
              <w:top w:val="nil"/>
              <w:left w:val="nil"/>
              <w:bottom w:val="nil"/>
              <w:right w:val="nil"/>
            </w:tcBorders>
            <w:shd w:val="clear" w:color="auto" w:fill="DEEAF6" w:themeFill="accent5" w:themeFillTint="33"/>
            <w:vAlign w:val="center"/>
            <w:hideMark/>
          </w:tcPr>
          <w:p w14:paraId="29F064CE" w14:textId="77777777" w:rsidR="00177DFB" w:rsidRPr="00A22C01" w:rsidRDefault="00177DFB" w:rsidP="00177DFB">
            <w:pPr>
              <w:spacing w:after="0" w:line="240" w:lineRule="auto"/>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Dlhodobá úroková miera (%, ročný priemer)</w:t>
            </w:r>
          </w:p>
        </w:tc>
        <w:tc>
          <w:tcPr>
            <w:tcW w:w="878" w:type="dxa"/>
            <w:tcBorders>
              <w:top w:val="nil"/>
              <w:left w:val="nil"/>
              <w:bottom w:val="nil"/>
              <w:right w:val="nil"/>
            </w:tcBorders>
            <w:shd w:val="clear" w:color="auto" w:fill="DEEAF6" w:themeFill="accent5" w:themeFillTint="33"/>
            <w:vAlign w:val="center"/>
            <w:hideMark/>
          </w:tcPr>
          <w:p w14:paraId="0657F0F5" w14:textId="337575F1" w:rsidR="00177DFB" w:rsidRPr="00A22C01" w:rsidRDefault="00177DFB" w:rsidP="00177DFB">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3,7</w:t>
            </w:r>
          </w:p>
        </w:tc>
        <w:tc>
          <w:tcPr>
            <w:tcW w:w="878" w:type="dxa"/>
            <w:tcBorders>
              <w:top w:val="nil"/>
              <w:left w:val="nil"/>
              <w:bottom w:val="nil"/>
              <w:right w:val="nil"/>
            </w:tcBorders>
            <w:shd w:val="clear" w:color="auto" w:fill="DEEAF6" w:themeFill="accent5" w:themeFillTint="33"/>
            <w:vAlign w:val="center"/>
            <w:hideMark/>
          </w:tcPr>
          <w:p w14:paraId="76C38A5E" w14:textId="3C3A7C83" w:rsidR="00177DFB" w:rsidRPr="00A22C01" w:rsidRDefault="00177DFB" w:rsidP="00177DFB">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3,7</w:t>
            </w:r>
          </w:p>
        </w:tc>
        <w:tc>
          <w:tcPr>
            <w:tcW w:w="878" w:type="dxa"/>
            <w:tcBorders>
              <w:top w:val="nil"/>
              <w:left w:val="nil"/>
              <w:bottom w:val="nil"/>
              <w:right w:val="nil"/>
            </w:tcBorders>
            <w:shd w:val="clear" w:color="auto" w:fill="DEEAF6" w:themeFill="accent5" w:themeFillTint="33"/>
            <w:vAlign w:val="center"/>
            <w:hideMark/>
          </w:tcPr>
          <w:p w14:paraId="46A02E29" w14:textId="2AC77EE3" w:rsidR="00177DFB" w:rsidRPr="00A22C01" w:rsidRDefault="00177DFB" w:rsidP="00177DFB">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3,8</w:t>
            </w:r>
          </w:p>
        </w:tc>
        <w:tc>
          <w:tcPr>
            <w:tcW w:w="878" w:type="dxa"/>
            <w:tcBorders>
              <w:top w:val="nil"/>
              <w:left w:val="nil"/>
              <w:bottom w:val="nil"/>
              <w:right w:val="nil"/>
            </w:tcBorders>
            <w:shd w:val="clear" w:color="auto" w:fill="DEEAF6" w:themeFill="accent5" w:themeFillTint="33"/>
            <w:vAlign w:val="center"/>
            <w:hideMark/>
          </w:tcPr>
          <w:p w14:paraId="0A17B809" w14:textId="425BA760" w:rsidR="00177DFB" w:rsidRPr="00A22C01" w:rsidRDefault="00177DFB" w:rsidP="00177DFB">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3,8</w:t>
            </w:r>
          </w:p>
        </w:tc>
        <w:tc>
          <w:tcPr>
            <w:tcW w:w="878" w:type="dxa"/>
            <w:tcBorders>
              <w:top w:val="nil"/>
              <w:left w:val="nil"/>
              <w:bottom w:val="nil"/>
              <w:right w:val="nil"/>
            </w:tcBorders>
            <w:shd w:val="clear" w:color="auto" w:fill="DEEAF6" w:themeFill="accent5" w:themeFillTint="33"/>
            <w:vAlign w:val="center"/>
            <w:hideMark/>
          </w:tcPr>
          <w:p w14:paraId="4AFBDC47" w14:textId="5130F0B4" w:rsidR="00177DFB" w:rsidRPr="00A22C01" w:rsidRDefault="00177DFB" w:rsidP="00177DFB">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3,9</w:t>
            </w:r>
          </w:p>
        </w:tc>
        <w:tc>
          <w:tcPr>
            <w:tcW w:w="878" w:type="dxa"/>
            <w:tcBorders>
              <w:top w:val="nil"/>
              <w:left w:val="nil"/>
              <w:bottom w:val="nil"/>
              <w:right w:val="nil"/>
            </w:tcBorders>
            <w:shd w:val="clear" w:color="auto" w:fill="DEEAF6" w:themeFill="accent5" w:themeFillTint="33"/>
            <w:vAlign w:val="center"/>
            <w:hideMark/>
          </w:tcPr>
          <w:p w14:paraId="3B3E73AC" w14:textId="5D8F19A2" w:rsidR="00177DFB" w:rsidRPr="00A22C01" w:rsidRDefault="00177DFB" w:rsidP="00177DFB">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3,9</w:t>
            </w:r>
          </w:p>
        </w:tc>
      </w:tr>
      <w:tr w:rsidR="00177DFB" w:rsidRPr="009276A2" w14:paraId="7291FB1A" w14:textId="77777777" w:rsidTr="00A22C01">
        <w:trPr>
          <w:trHeight w:val="310"/>
        </w:trPr>
        <w:tc>
          <w:tcPr>
            <w:tcW w:w="346" w:type="dxa"/>
            <w:tcBorders>
              <w:top w:val="nil"/>
              <w:left w:val="nil"/>
              <w:bottom w:val="nil"/>
              <w:right w:val="nil"/>
            </w:tcBorders>
            <w:shd w:val="clear" w:color="auto" w:fill="DEEAF6" w:themeFill="accent5" w:themeFillTint="33"/>
            <w:vAlign w:val="center"/>
            <w:hideMark/>
          </w:tcPr>
          <w:p w14:paraId="208B846C" w14:textId="77777777" w:rsidR="00177DFB" w:rsidRPr="009276A2" w:rsidRDefault="00177DFB" w:rsidP="00177DFB">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3</w:t>
            </w:r>
          </w:p>
        </w:tc>
        <w:tc>
          <w:tcPr>
            <w:tcW w:w="3529" w:type="dxa"/>
            <w:gridSpan w:val="2"/>
            <w:tcBorders>
              <w:top w:val="nil"/>
              <w:left w:val="nil"/>
              <w:bottom w:val="nil"/>
              <w:right w:val="nil"/>
            </w:tcBorders>
            <w:shd w:val="clear" w:color="auto" w:fill="DEEAF6" w:themeFill="accent5" w:themeFillTint="33"/>
            <w:vAlign w:val="center"/>
            <w:hideMark/>
          </w:tcPr>
          <w:p w14:paraId="2363D6F0" w14:textId="77777777" w:rsidR="00177DFB" w:rsidRPr="00A22C01" w:rsidRDefault="00177DFB" w:rsidP="00177DFB">
            <w:pPr>
              <w:spacing w:after="0" w:line="240" w:lineRule="auto"/>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Výmenný kurz USD/EUR (ročný priemer)</w:t>
            </w:r>
          </w:p>
        </w:tc>
        <w:tc>
          <w:tcPr>
            <w:tcW w:w="878" w:type="dxa"/>
            <w:tcBorders>
              <w:top w:val="nil"/>
              <w:left w:val="nil"/>
              <w:bottom w:val="nil"/>
              <w:right w:val="nil"/>
            </w:tcBorders>
            <w:shd w:val="clear" w:color="auto" w:fill="DEEAF6" w:themeFill="accent5" w:themeFillTint="33"/>
            <w:vAlign w:val="center"/>
            <w:hideMark/>
          </w:tcPr>
          <w:p w14:paraId="48397567" w14:textId="55D73970" w:rsidR="00177DFB" w:rsidRPr="00A22C01" w:rsidRDefault="00177DFB" w:rsidP="00177DFB">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1,09</w:t>
            </w:r>
          </w:p>
        </w:tc>
        <w:tc>
          <w:tcPr>
            <w:tcW w:w="878" w:type="dxa"/>
            <w:tcBorders>
              <w:top w:val="nil"/>
              <w:left w:val="nil"/>
              <w:bottom w:val="nil"/>
              <w:right w:val="nil"/>
            </w:tcBorders>
            <w:shd w:val="clear" w:color="auto" w:fill="DEEAF6" w:themeFill="accent5" w:themeFillTint="33"/>
            <w:vAlign w:val="center"/>
            <w:hideMark/>
          </w:tcPr>
          <w:p w14:paraId="5F59BD71" w14:textId="3CC35282" w:rsidR="00177DFB" w:rsidRPr="00A22C01" w:rsidRDefault="00177DFB" w:rsidP="00177DFB">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w:t>
            </w:r>
          </w:p>
        </w:tc>
        <w:tc>
          <w:tcPr>
            <w:tcW w:w="878" w:type="dxa"/>
            <w:tcBorders>
              <w:top w:val="nil"/>
              <w:left w:val="nil"/>
              <w:bottom w:val="nil"/>
              <w:right w:val="nil"/>
            </w:tcBorders>
            <w:shd w:val="clear" w:color="auto" w:fill="DEEAF6" w:themeFill="accent5" w:themeFillTint="33"/>
            <w:vAlign w:val="center"/>
          </w:tcPr>
          <w:p w14:paraId="10C58DC4" w14:textId="2C411062" w:rsidR="00177DFB" w:rsidRPr="00A22C01" w:rsidRDefault="00177DFB" w:rsidP="00177DFB">
            <w:pPr>
              <w:spacing w:after="0" w:line="240" w:lineRule="auto"/>
              <w:jc w:val="center"/>
              <w:rPr>
                <w:rFonts w:ascii="Arial Narrow" w:eastAsia="Times New Roman" w:hAnsi="Arial Narrow" w:cs="Calibri"/>
                <w:color w:val="000000" w:themeColor="text1"/>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05DC5965" w14:textId="571E3A32" w:rsidR="00177DFB" w:rsidRPr="00A22C01" w:rsidRDefault="00177DFB" w:rsidP="00177DFB">
            <w:pPr>
              <w:spacing w:after="0" w:line="240" w:lineRule="auto"/>
              <w:jc w:val="center"/>
              <w:rPr>
                <w:rFonts w:ascii="Arial Narrow" w:eastAsia="Times New Roman" w:hAnsi="Arial Narrow" w:cs="Calibri"/>
                <w:color w:val="000000" w:themeColor="text1"/>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715E2C37" w14:textId="3DAB6BA7" w:rsidR="00177DFB" w:rsidRPr="00A22C01" w:rsidRDefault="00177DFB" w:rsidP="00177DFB">
            <w:pPr>
              <w:spacing w:after="0" w:line="240" w:lineRule="auto"/>
              <w:jc w:val="center"/>
              <w:rPr>
                <w:rFonts w:ascii="Arial Narrow" w:eastAsia="Times New Roman" w:hAnsi="Arial Narrow" w:cs="Calibri"/>
                <w:color w:val="000000" w:themeColor="text1"/>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44D3207B" w14:textId="744DB730" w:rsidR="00177DFB" w:rsidRPr="00A22C01" w:rsidRDefault="00177DFB" w:rsidP="00177DFB">
            <w:pPr>
              <w:spacing w:after="0" w:line="240" w:lineRule="auto"/>
              <w:jc w:val="center"/>
              <w:rPr>
                <w:rFonts w:ascii="Arial Narrow" w:eastAsia="Times New Roman" w:hAnsi="Arial Narrow" w:cs="Calibri"/>
                <w:color w:val="000000" w:themeColor="text1"/>
                <w:sz w:val="16"/>
                <w:szCs w:val="16"/>
                <w:lang w:eastAsia="sk-SK"/>
              </w:rPr>
            </w:pPr>
          </w:p>
        </w:tc>
      </w:tr>
      <w:tr w:rsidR="00C1228B" w:rsidRPr="009276A2" w14:paraId="5D8863AA" w14:textId="77777777" w:rsidTr="00A22C01">
        <w:trPr>
          <w:trHeight w:val="341"/>
        </w:trPr>
        <w:tc>
          <w:tcPr>
            <w:tcW w:w="346" w:type="dxa"/>
            <w:tcBorders>
              <w:top w:val="nil"/>
              <w:left w:val="nil"/>
              <w:bottom w:val="nil"/>
              <w:right w:val="nil"/>
            </w:tcBorders>
            <w:shd w:val="clear" w:color="auto" w:fill="DEEAF6" w:themeFill="accent5" w:themeFillTint="33"/>
            <w:vAlign w:val="center"/>
            <w:hideMark/>
          </w:tcPr>
          <w:p w14:paraId="655B0E47"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4</w:t>
            </w:r>
          </w:p>
        </w:tc>
        <w:tc>
          <w:tcPr>
            <w:tcW w:w="3529" w:type="dxa"/>
            <w:gridSpan w:val="2"/>
            <w:tcBorders>
              <w:top w:val="nil"/>
              <w:left w:val="nil"/>
              <w:bottom w:val="nil"/>
              <w:right w:val="nil"/>
            </w:tcBorders>
            <w:shd w:val="clear" w:color="auto" w:fill="DEEAF6" w:themeFill="accent5" w:themeFillTint="33"/>
            <w:vAlign w:val="center"/>
            <w:hideMark/>
          </w:tcPr>
          <w:p w14:paraId="713FA11E" w14:textId="77777777" w:rsidR="00C1228B" w:rsidRPr="009276A2" w:rsidRDefault="00C1228B" w:rsidP="00616580">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Výmenný kurz NAC/EUR (iba nečlenovia Eurozóny)</w:t>
            </w:r>
          </w:p>
        </w:tc>
        <w:tc>
          <w:tcPr>
            <w:tcW w:w="878" w:type="dxa"/>
            <w:tcBorders>
              <w:top w:val="nil"/>
              <w:left w:val="nil"/>
              <w:bottom w:val="nil"/>
              <w:right w:val="nil"/>
            </w:tcBorders>
            <w:shd w:val="clear" w:color="auto" w:fill="DEEAF6" w:themeFill="accent5" w:themeFillTint="33"/>
            <w:vAlign w:val="center"/>
          </w:tcPr>
          <w:p w14:paraId="3114E83F" w14:textId="64799E40" w:rsidR="00C1228B" w:rsidRPr="009276A2" w:rsidRDefault="00C1228B" w:rsidP="00616580">
            <w:pPr>
              <w:spacing w:after="0" w:line="240" w:lineRule="auto"/>
              <w:jc w:val="center"/>
              <w:rPr>
                <w:rFonts w:ascii="Arial Narrow" w:eastAsia="Times New Roman" w:hAnsi="Arial Narrow" w:cs="Calibri"/>
                <w:lang w:eastAsia="sk-SK"/>
              </w:rPr>
            </w:pPr>
          </w:p>
        </w:tc>
        <w:tc>
          <w:tcPr>
            <w:tcW w:w="878" w:type="dxa"/>
            <w:tcBorders>
              <w:top w:val="nil"/>
              <w:left w:val="nil"/>
              <w:bottom w:val="nil"/>
              <w:right w:val="nil"/>
            </w:tcBorders>
            <w:shd w:val="clear" w:color="auto" w:fill="DEEAF6" w:themeFill="accent5" w:themeFillTint="33"/>
            <w:vAlign w:val="center"/>
          </w:tcPr>
          <w:p w14:paraId="0A1E858B" w14:textId="28B8FA28" w:rsidR="00C1228B" w:rsidRPr="009276A2" w:rsidRDefault="00C1228B" w:rsidP="00616580">
            <w:pPr>
              <w:spacing w:after="0" w:line="240" w:lineRule="auto"/>
              <w:jc w:val="center"/>
              <w:rPr>
                <w:rFonts w:ascii="Arial Narrow" w:eastAsia="Times New Roman" w:hAnsi="Arial Narrow" w:cs="Calibri"/>
                <w:lang w:eastAsia="sk-SK"/>
              </w:rPr>
            </w:pPr>
          </w:p>
        </w:tc>
        <w:tc>
          <w:tcPr>
            <w:tcW w:w="878" w:type="dxa"/>
            <w:tcBorders>
              <w:top w:val="nil"/>
              <w:left w:val="nil"/>
              <w:bottom w:val="nil"/>
              <w:right w:val="nil"/>
            </w:tcBorders>
            <w:shd w:val="clear" w:color="auto" w:fill="DEEAF6" w:themeFill="accent5" w:themeFillTint="33"/>
            <w:vAlign w:val="center"/>
          </w:tcPr>
          <w:p w14:paraId="4FF5D201" w14:textId="5B61A280" w:rsidR="00C1228B" w:rsidRPr="009276A2" w:rsidRDefault="00C1228B" w:rsidP="00616580">
            <w:pPr>
              <w:spacing w:after="0" w:line="240" w:lineRule="auto"/>
              <w:jc w:val="center"/>
              <w:rPr>
                <w:rFonts w:ascii="Arial Narrow" w:eastAsia="Times New Roman" w:hAnsi="Arial Narrow" w:cs="Calibri"/>
                <w:lang w:eastAsia="sk-SK"/>
              </w:rPr>
            </w:pPr>
          </w:p>
        </w:tc>
        <w:tc>
          <w:tcPr>
            <w:tcW w:w="878" w:type="dxa"/>
            <w:tcBorders>
              <w:top w:val="nil"/>
              <w:left w:val="nil"/>
              <w:bottom w:val="nil"/>
              <w:right w:val="nil"/>
            </w:tcBorders>
            <w:shd w:val="clear" w:color="auto" w:fill="DEEAF6" w:themeFill="accent5" w:themeFillTint="33"/>
            <w:vAlign w:val="center"/>
          </w:tcPr>
          <w:p w14:paraId="24864628" w14:textId="4BA3FDC3" w:rsidR="00C1228B" w:rsidRPr="009276A2" w:rsidRDefault="00C1228B" w:rsidP="00616580">
            <w:pPr>
              <w:spacing w:after="0" w:line="240" w:lineRule="auto"/>
              <w:jc w:val="center"/>
              <w:rPr>
                <w:rFonts w:ascii="Arial Narrow" w:eastAsia="Times New Roman" w:hAnsi="Arial Narrow" w:cs="Calibri"/>
                <w:lang w:eastAsia="sk-SK"/>
              </w:rPr>
            </w:pPr>
          </w:p>
        </w:tc>
        <w:tc>
          <w:tcPr>
            <w:tcW w:w="878" w:type="dxa"/>
            <w:tcBorders>
              <w:top w:val="nil"/>
              <w:left w:val="nil"/>
              <w:bottom w:val="nil"/>
              <w:right w:val="nil"/>
            </w:tcBorders>
            <w:shd w:val="clear" w:color="auto" w:fill="DEEAF6" w:themeFill="accent5" w:themeFillTint="33"/>
            <w:vAlign w:val="center"/>
          </w:tcPr>
          <w:p w14:paraId="4E3E458C" w14:textId="6D4B05F1" w:rsidR="00C1228B" w:rsidRPr="009276A2" w:rsidRDefault="00C1228B" w:rsidP="00616580">
            <w:pPr>
              <w:spacing w:after="0" w:line="240" w:lineRule="auto"/>
              <w:jc w:val="center"/>
              <w:rPr>
                <w:rFonts w:ascii="Arial Narrow" w:eastAsia="Times New Roman" w:hAnsi="Arial Narrow" w:cs="Calibri"/>
                <w:lang w:eastAsia="sk-SK"/>
              </w:rPr>
            </w:pPr>
          </w:p>
        </w:tc>
        <w:tc>
          <w:tcPr>
            <w:tcW w:w="878" w:type="dxa"/>
            <w:tcBorders>
              <w:top w:val="nil"/>
              <w:left w:val="nil"/>
              <w:bottom w:val="nil"/>
              <w:right w:val="nil"/>
            </w:tcBorders>
            <w:shd w:val="clear" w:color="auto" w:fill="DEEAF6" w:themeFill="accent5" w:themeFillTint="33"/>
            <w:vAlign w:val="center"/>
          </w:tcPr>
          <w:p w14:paraId="45FEDD9B" w14:textId="722FE22A" w:rsidR="00C1228B" w:rsidRPr="009276A2" w:rsidRDefault="00C1228B" w:rsidP="00616580">
            <w:pPr>
              <w:spacing w:after="0" w:line="240" w:lineRule="auto"/>
              <w:jc w:val="center"/>
              <w:rPr>
                <w:rFonts w:ascii="Arial Narrow" w:eastAsia="Times New Roman" w:hAnsi="Arial Narrow" w:cs="Calibri"/>
                <w:lang w:eastAsia="sk-SK"/>
              </w:rPr>
            </w:pPr>
          </w:p>
        </w:tc>
      </w:tr>
      <w:tr w:rsidR="00C1228B" w:rsidRPr="009276A2" w14:paraId="53D6DD97" w14:textId="77777777" w:rsidTr="00A22C01">
        <w:trPr>
          <w:trHeight w:val="310"/>
        </w:trPr>
        <w:tc>
          <w:tcPr>
            <w:tcW w:w="346" w:type="dxa"/>
            <w:tcBorders>
              <w:top w:val="nil"/>
              <w:left w:val="nil"/>
              <w:bottom w:val="nil"/>
              <w:right w:val="nil"/>
            </w:tcBorders>
            <w:shd w:val="clear" w:color="auto" w:fill="DEEAF6" w:themeFill="accent5" w:themeFillTint="33"/>
            <w:vAlign w:val="center"/>
            <w:hideMark/>
          </w:tcPr>
          <w:p w14:paraId="54646139"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5</w:t>
            </w:r>
          </w:p>
        </w:tc>
        <w:tc>
          <w:tcPr>
            <w:tcW w:w="3529" w:type="dxa"/>
            <w:gridSpan w:val="2"/>
            <w:tcBorders>
              <w:top w:val="nil"/>
              <w:left w:val="nil"/>
              <w:bottom w:val="nil"/>
              <w:right w:val="nil"/>
            </w:tcBorders>
            <w:shd w:val="clear" w:color="auto" w:fill="DEEAF6" w:themeFill="accent5" w:themeFillTint="33"/>
            <w:vAlign w:val="center"/>
            <w:hideMark/>
          </w:tcPr>
          <w:p w14:paraId="29F2BA33" w14:textId="77777777" w:rsidR="00C1228B" w:rsidRPr="009276A2" w:rsidRDefault="00C1228B" w:rsidP="00616580">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Reálny rast svetovej ekonomiky, mimo EÚ (rast)</w:t>
            </w:r>
          </w:p>
        </w:tc>
        <w:tc>
          <w:tcPr>
            <w:tcW w:w="878" w:type="dxa"/>
            <w:tcBorders>
              <w:top w:val="nil"/>
              <w:left w:val="nil"/>
              <w:bottom w:val="nil"/>
              <w:right w:val="nil"/>
            </w:tcBorders>
            <w:shd w:val="clear" w:color="auto" w:fill="DEEAF6" w:themeFill="accent5" w:themeFillTint="33"/>
            <w:vAlign w:val="center"/>
          </w:tcPr>
          <w:p w14:paraId="5FDDFEFB" w14:textId="32044997"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628BD5D2" w14:textId="6987E1B9"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2996D60C" w14:textId="1CEB5512"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1A9E4E66" w14:textId="0B2B455F"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46324FD5" w14:textId="1610F8F9"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132D81BD" w14:textId="242C296C"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r>
      <w:tr w:rsidR="00C1228B" w:rsidRPr="009276A2" w14:paraId="3A34A9BE" w14:textId="77777777" w:rsidTr="00A22C01">
        <w:trPr>
          <w:trHeight w:val="310"/>
        </w:trPr>
        <w:tc>
          <w:tcPr>
            <w:tcW w:w="346" w:type="dxa"/>
            <w:tcBorders>
              <w:top w:val="nil"/>
              <w:left w:val="nil"/>
              <w:bottom w:val="nil"/>
              <w:right w:val="nil"/>
            </w:tcBorders>
            <w:shd w:val="clear" w:color="auto" w:fill="DEEAF6" w:themeFill="accent5" w:themeFillTint="33"/>
            <w:vAlign w:val="center"/>
            <w:hideMark/>
          </w:tcPr>
          <w:p w14:paraId="74FFD0F4"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6</w:t>
            </w:r>
          </w:p>
        </w:tc>
        <w:tc>
          <w:tcPr>
            <w:tcW w:w="3529" w:type="dxa"/>
            <w:gridSpan w:val="2"/>
            <w:tcBorders>
              <w:top w:val="nil"/>
              <w:left w:val="nil"/>
              <w:bottom w:val="nil"/>
              <w:right w:val="nil"/>
            </w:tcBorders>
            <w:shd w:val="clear" w:color="auto" w:fill="DEEAF6" w:themeFill="accent5" w:themeFillTint="33"/>
            <w:vAlign w:val="center"/>
            <w:hideMark/>
          </w:tcPr>
          <w:p w14:paraId="15001E73" w14:textId="77777777" w:rsidR="00C1228B" w:rsidRPr="009276A2" w:rsidRDefault="00C1228B" w:rsidP="00616580">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Reálny HDP EÚ (rast)</w:t>
            </w:r>
          </w:p>
        </w:tc>
        <w:tc>
          <w:tcPr>
            <w:tcW w:w="878" w:type="dxa"/>
            <w:tcBorders>
              <w:top w:val="nil"/>
              <w:left w:val="nil"/>
              <w:bottom w:val="nil"/>
              <w:right w:val="nil"/>
            </w:tcBorders>
            <w:shd w:val="clear" w:color="auto" w:fill="DEEAF6" w:themeFill="accent5" w:themeFillTint="33"/>
            <w:vAlign w:val="center"/>
          </w:tcPr>
          <w:p w14:paraId="409CD45B" w14:textId="4D3DDA38"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5B8B71D6" w14:textId="58E962D8"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0F9B0339" w14:textId="0C81E3C5"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48D76B70" w14:textId="6E0BB43C"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0B417757" w14:textId="520E606D"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698BFB4D" w14:textId="0C960E8A"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r>
      <w:tr w:rsidR="00C1228B" w:rsidRPr="009276A2" w14:paraId="56E6579A" w14:textId="77777777" w:rsidTr="00A22C01">
        <w:trPr>
          <w:trHeight w:val="310"/>
        </w:trPr>
        <w:tc>
          <w:tcPr>
            <w:tcW w:w="346" w:type="dxa"/>
            <w:tcBorders>
              <w:top w:val="nil"/>
              <w:left w:val="nil"/>
              <w:bottom w:val="nil"/>
              <w:right w:val="nil"/>
            </w:tcBorders>
            <w:shd w:val="clear" w:color="auto" w:fill="DEEAF6" w:themeFill="accent5" w:themeFillTint="33"/>
            <w:vAlign w:val="center"/>
            <w:hideMark/>
          </w:tcPr>
          <w:p w14:paraId="11609FAA"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7</w:t>
            </w:r>
          </w:p>
        </w:tc>
        <w:tc>
          <w:tcPr>
            <w:tcW w:w="3529" w:type="dxa"/>
            <w:gridSpan w:val="2"/>
            <w:tcBorders>
              <w:top w:val="nil"/>
              <w:left w:val="nil"/>
              <w:bottom w:val="nil"/>
              <w:right w:val="nil"/>
            </w:tcBorders>
            <w:shd w:val="clear" w:color="auto" w:fill="DEEAF6" w:themeFill="accent5" w:themeFillTint="33"/>
            <w:vAlign w:val="center"/>
            <w:hideMark/>
          </w:tcPr>
          <w:p w14:paraId="42D9F4BB" w14:textId="77777777" w:rsidR="00C1228B" w:rsidRPr="009276A2" w:rsidRDefault="00C1228B" w:rsidP="00616580">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Svetový objem importu, mimo EÚ (rast)</w:t>
            </w:r>
          </w:p>
        </w:tc>
        <w:tc>
          <w:tcPr>
            <w:tcW w:w="878" w:type="dxa"/>
            <w:tcBorders>
              <w:top w:val="nil"/>
              <w:left w:val="nil"/>
              <w:bottom w:val="nil"/>
              <w:right w:val="nil"/>
            </w:tcBorders>
            <w:shd w:val="clear" w:color="auto" w:fill="DEEAF6" w:themeFill="accent5" w:themeFillTint="33"/>
            <w:vAlign w:val="center"/>
          </w:tcPr>
          <w:p w14:paraId="3E8E77B6" w14:textId="73B88EE9"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7A93496B" w14:textId="0A4F6521"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7F7498EF" w14:textId="22E7466E"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371C0DD3" w14:textId="1D85C095"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4A4B1B03" w14:textId="2F39C6B5"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3E58273E" w14:textId="5688D888"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r>
      <w:tr w:rsidR="00C1228B" w:rsidRPr="009276A2" w14:paraId="5AC56FA9" w14:textId="77777777" w:rsidTr="00A22C01">
        <w:trPr>
          <w:trHeight w:val="310"/>
        </w:trPr>
        <w:tc>
          <w:tcPr>
            <w:tcW w:w="346" w:type="dxa"/>
            <w:tcBorders>
              <w:top w:val="nil"/>
              <w:left w:val="nil"/>
              <w:bottom w:val="nil"/>
              <w:right w:val="nil"/>
            </w:tcBorders>
            <w:shd w:val="clear" w:color="auto" w:fill="DEEAF6" w:themeFill="accent5" w:themeFillTint="33"/>
            <w:vAlign w:val="center"/>
            <w:hideMark/>
          </w:tcPr>
          <w:p w14:paraId="5DBBA63B"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8</w:t>
            </w:r>
          </w:p>
        </w:tc>
        <w:tc>
          <w:tcPr>
            <w:tcW w:w="3529" w:type="dxa"/>
            <w:gridSpan w:val="2"/>
            <w:tcBorders>
              <w:top w:val="nil"/>
              <w:left w:val="nil"/>
              <w:bottom w:val="nil"/>
              <w:right w:val="nil"/>
            </w:tcBorders>
            <w:shd w:val="clear" w:color="auto" w:fill="DEEAF6" w:themeFill="accent5" w:themeFillTint="33"/>
            <w:vAlign w:val="center"/>
            <w:hideMark/>
          </w:tcPr>
          <w:p w14:paraId="02E505DF" w14:textId="77777777" w:rsidR="00C1228B" w:rsidRPr="009276A2" w:rsidRDefault="00C1228B" w:rsidP="00616580">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Cena ropy (Brent, USD/barel)</w:t>
            </w:r>
          </w:p>
        </w:tc>
        <w:tc>
          <w:tcPr>
            <w:tcW w:w="878" w:type="dxa"/>
            <w:tcBorders>
              <w:top w:val="nil"/>
              <w:left w:val="nil"/>
              <w:bottom w:val="nil"/>
              <w:right w:val="nil"/>
            </w:tcBorders>
            <w:shd w:val="clear" w:color="auto" w:fill="DEEAF6" w:themeFill="accent5" w:themeFillTint="33"/>
            <w:vAlign w:val="center"/>
            <w:hideMark/>
          </w:tcPr>
          <w:p w14:paraId="271EE6B9"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88,9</w:t>
            </w:r>
          </w:p>
        </w:tc>
        <w:tc>
          <w:tcPr>
            <w:tcW w:w="878" w:type="dxa"/>
            <w:tcBorders>
              <w:top w:val="nil"/>
              <w:left w:val="nil"/>
              <w:bottom w:val="nil"/>
              <w:right w:val="nil"/>
            </w:tcBorders>
            <w:shd w:val="clear" w:color="auto" w:fill="DEEAF6" w:themeFill="accent5" w:themeFillTint="33"/>
            <w:vAlign w:val="center"/>
            <w:hideMark/>
          </w:tcPr>
          <w:p w14:paraId="67860F37"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89,1</w:t>
            </w:r>
          </w:p>
        </w:tc>
        <w:tc>
          <w:tcPr>
            <w:tcW w:w="878" w:type="dxa"/>
            <w:tcBorders>
              <w:top w:val="nil"/>
              <w:left w:val="nil"/>
              <w:bottom w:val="nil"/>
              <w:right w:val="nil"/>
            </w:tcBorders>
            <w:shd w:val="clear" w:color="auto" w:fill="DEEAF6" w:themeFill="accent5" w:themeFillTint="33"/>
            <w:vAlign w:val="center"/>
          </w:tcPr>
          <w:p w14:paraId="1D0290D1" w14:textId="5AE7BDE2"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067A619E" w14:textId="076C7733"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1FFFAD03" w14:textId="672588D0"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c>
          <w:tcPr>
            <w:tcW w:w="878" w:type="dxa"/>
            <w:tcBorders>
              <w:top w:val="nil"/>
              <w:left w:val="nil"/>
              <w:bottom w:val="nil"/>
              <w:right w:val="nil"/>
            </w:tcBorders>
            <w:shd w:val="clear" w:color="auto" w:fill="DEEAF6" w:themeFill="accent5" w:themeFillTint="33"/>
            <w:vAlign w:val="center"/>
          </w:tcPr>
          <w:p w14:paraId="2E9D11ED" w14:textId="25FE70A0"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r>
    </w:tbl>
    <w:p w14:paraId="532F7029" w14:textId="77777777" w:rsidR="00B218F9" w:rsidRPr="00135823" w:rsidRDefault="00B218F9" w:rsidP="00B218F9">
      <w:pPr>
        <w:widowControl w:val="0"/>
        <w:spacing w:before="40" w:after="40"/>
        <w:jc w:val="right"/>
        <w:rPr>
          <w:rFonts w:ascii="Arial Narrow" w:eastAsia="NeueHaasGroteskText W02" w:hAnsi="Arial Narrow" w:cs="Arial"/>
          <w:i/>
          <w:iCs/>
          <w:color w:val="000000" w:themeColor="text1"/>
          <w:sz w:val="16"/>
          <w:szCs w:val="16"/>
          <w:u w:color="2C9ADC"/>
        </w:rPr>
      </w:pPr>
      <w:r w:rsidRPr="00135823">
        <w:rPr>
          <w:rFonts w:ascii="Arial Narrow" w:eastAsia="NeueHaasGroteskText W02" w:hAnsi="Arial Narrow" w:cs="Arial"/>
          <w:i/>
          <w:iCs/>
          <w:color w:val="000000" w:themeColor="text1"/>
          <w:sz w:val="16"/>
          <w:szCs w:val="16"/>
          <w:u w:color="2C9ADC"/>
        </w:rPr>
        <w:t>Zdroj: Európska komisia</w:t>
      </w:r>
    </w:p>
    <w:p w14:paraId="7F73431B" w14:textId="77777777" w:rsidR="00C1228B" w:rsidRDefault="00C1228B" w:rsidP="00C1228B">
      <w:pPr>
        <w:spacing w:after="0" w:line="276" w:lineRule="auto"/>
        <w:jc w:val="both"/>
        <w:rPr>
          <w:rFonts w:ascii="Arial Narrow" w:eastAsia="Times New Roman" w:hAnsi="Arial Narrow"/>
          <w:b/>
          <w:bCs/>
        </w:rPr>
      </w:pPr>
    </w:p>
    <w:p w14:paraId="03E2687C" w14:textId="77777777" w:rsidR="00C1228B" w:rsidRPr="009276A2" w:rsidRDefault="00C1228B" w:rsidP="00C1228B">
      <w:pPr>
        <w:widowControl w:val="0"/>
        <w:spacing w:before="40" w:after="40"/>
        <w:jc w:val="both"/>
        <w:rPr>
          <w:rFonts w:ascii="Arial Narrow" w:eastAsia="NeueHaasGroteskText W02" w:hAnsi="Arial Narrow" w:cs="Arial"/>
          <w:b/>
          <w:bCs/>
          <w:color w:val="2C9ADC"/>
          <w:sz w:val="20"/>
          <w:szCs w:val="20"/>
          <w:u w:color="2C9ADC"/>
        </w:rPr>
      </w:pPr>
      <w:r w:rsidRPr="009276A2">
        <w:rPr>
          <w:rFonts w:ascii="Arial Narrow" w:eastAsia="NeueHaasGroteskText W02" w:hAnsi="Arial Narrow" w:cs="Arial"/>
          <w:b/>
          <w:bCs/>
          <w:color w:val="2C9ADC"/>
          <w:sz w:val="20"/>
          <w:szCs w:val="20"/>
          <w:u w:color="2C9ADC"/>
        </w:rPr>
        <w:t>TABUĽKA 4 – Rozpočtová projekcia</w:t>
      </w:r>
    </w:p>
    <w:tbl>
      <w:tblPr>
        <w:tblW w:w="8948" w:type="dxa"/>
        <w:tblCellMar>
          <w:left w:w="70" w:type="dxa"/>
          <w:right w:w="70" w:type="dxa"/>
        </w:tblCellMar>
        <w:tblLook w:val="04A0" w:firstRow="1" w:lastRow="0" w:firstColumn="1" w:lastColumn="0" w:noHBand="0" w:noVBand="1"/>
      </w:tblPr>
      <w:tblGrid>
        <w:gridCol w:w="339"/>
        <w:gridCol w:w="835"/>
        <w:gridCol w:w="602"/>
        <w:gridCol w:w="182"/>
        <w:gridCol w:w="978"/>
        <w:gridCol w:w="182"/>
        <w:gridCol w:w="385"/>
        <w:gridCol w:w="777"/>
        <w:gridCol w:w="351"/>
        <w:gridCol w:w="329"/>
        <w:gridCol w:w="651"/>
        <w:gridCol w:w="93"/>
        <w:gridCol w:w="611"/>
        <w:gridCol w:w="112"/>
        <w:gridCol w:w="539"/>
        <w:gridCol w:w="129"/>
        <w:gridCol w:w="522"/>
        <w:gridCol w:w="129"/>
        <w:gridCol w:w="522"/>
        <w:gridCol w:w="130"/>
        <w:gridCol w:w="521"/>
        <w:gridCol w:w="29"/>
      </w:tblGrid>
      <w:tr w:rsidR="00C1228B" w:rsidRPr="009276A2" w14:paraId="6D1C92D9" w14:textId="77777777" w:rsidTr="00426EDD">
        <w:trPr>
          <w:gridAfter w:val="1"/>
          <w:wAfter w:w="29" w:type="dxa"/>
          <w:trHeight w:val="330"/>
        </w:trPr>
        <w:tc>
          <w:tcPr>
            <w:tcW w:w="1776" w:type="dxa"/>
            <w:gridSpan w:val="3"/>
            <w:tcBorders>
              <w:top w:val="nil"/>
              <w:left w:val="nil"/>
              <w:bottom w:val="nil"/>
              <w:right w:val="nil"/>
            </w:tcBorders>
            <w:shd w:val="clear" w:color="auto" w:fill="auto"/>
            <w:vAlign w:val="center"/>
            <w:hideMark/>
          </w:tcPr>
          <w:p w14:paraId="1FCF1253" w14:textId="77777777" w:rsidR="00C1228B" w:rsidRPr="009276A2" w:rsidRDefault="00C1228B" w:rsidP="00616580">
            <w:pPr>
              <w:spacing w:after="0" w:line="240" w:lineRule="auto"/>
              <w:rPr>
                <w:rFonts w:ascii="Arial Narrow" w:eastAsia="Times New Roman" w:hAnsi="Arial Narrow" w:cs="Calibri"/>
                <w:b/>
                <w:bCs/>
                <w:sz w:val="18"/>
                <w:szCs w:val="18"/>
                <w:lang w:eastAsia="sk-SK"/>
              </w:rPr>
            </w:pPr>
          </w:p>
        </w:tc>
        <w:tc>
          <w:tcPr>
            <w:tcW w:w="2504" w:type="dxa"/>
            <w:gridSpan w:val="5"/>
            <w:tcBorders>
              <w:top w:val="nil"/>
              <w:left w:val="nil"/>
              <w:bottom w:val="nil"/>
              <w:right w:val="nil"/>
            </w:tcBorders>
            <w:shd w:val="clear" w:color="auto" w:fill="auto"/>
            <w:noWrap/>
            <w:vAlign w:val="bottom"/>
            <w:hideMark/>
          </w:tcPr>
          <w:p w14:paraId="65FEB33F" w14:textId="77777777" w:rsidR="00C1228B" w:rsidRPr="009276A2" w:rsidRDefault="00C1228B" w:rsidP="00616580">
            <w:pPr>
              <w:spacing w:after="0" w:line="240" w:lineRule="auto"/>
              <w:rPr>
                <w:rFonts w:ascii="Arial Narrow" w:eastAsia="Times New Roman" w:hAnsi="Arial Narrow" w:cs="Calibri"/>
                <w:b/>
                <w:bCs/>
                <w:sz w:val="18"/>
                <w:szCs w:val="18"/>
                <w:lang w:eastAsia="sk-SK"/>
              </w:rPr>
            </w:pPr>
          </w:p>
        </w:tc>
        <w:tc>
          <w:tcPr>
            <w:tcW w:w="680" w:type="dxa"/>
            <w:gridSpan w:val="2"/>
            <w:tcBorders>
              <w:top w:val="nil"/>
              <w:left w:val="nil"/>
              <w:bottom w:val="nil"/>
              <w:right w:val="nil"/>
            </w:tcBorders>
            <w:shd w:val="clear" w:color="auto" w:fill="auto"/>
            <w:vAlign w:val="center"/>
            <w:hideMark/>
          </w:tcPr>
          <w:p w14:paraId="772F6175"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2023</w:t>
            </w:r>
          </w:p>
        </w:tc>
        <w:tc>
          <w:tcPr>
            <w:tcW w:w="651" w:type="dxa"/>
            <w:tcBorders>
              <w:top w:val="nil"/>
              <w:left w:val="nil"/>
              <w:bottom w:val="nil"/>
              <w:right w:val="nil"/>
            </w:tcBorders>
            <w:shd w:val="clear" w:color="auto" w:fill="auto"/>
            <w:vAlign w:val="center"/>
            <w:hideMark/>
          </w:tcPr>
          <w:p w14:paraId="6FBAC315"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2023</w:t>
            </w:r>
          </w:p>
        </w:tc>
        <w:tc>
          <w:tcPr>
            <w:tcW w:w="704" w:type="dxa"/>
            <w:gridSpan w:val="2"/>
            <w:tcBorders>
              <w:top w:val="nil"/>
              <w:left w:val="nil"/>
              <w:bottom w:val="nil"/>
              <w:right w:val="nil"/>
            </w:tcBorders>
            <w:shd w:val="clear" w:color="auto" w:fill="auto"/>
            <w:vAlign w:val="center"/>
            <w:hideMark/>
          </w:tcPr>
          <w:p w14:paraId="6ADAE6F3"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2024</w:t>
            </w:r>
          </w:p>
        </w:tc>
        <w:tc>
          <w:tcPr>
            <w:tcW w:w="651" w:type="dxa"/>
            <w:gridSpan w:val="2"/>
            <w:tcBorders>
              <w:top w:val="nil"/>
              <w:left w:val="nil"/>
              <w:bottom w:val="nil"/>
              <w:right w:val="nil"/>
            </w:tcBorders>
            <w:shd w:val="clear" w:color="auto" w:fill="auto"/>
            <w:vAlign w:val="center"/>
            <w:hideMark/>
          </w:tcPr>
          <w:p w14:paraId="6ADAEEE3"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2025</w:t>
            </w:r>
          </w:p>
        </w:tc>
        <w:tc>
          <w:tcPr>
            <w:tcW w:w="651" w:type="dxa"/>
            <w:gridSpan w:val="2"/>
            <w:tcBorders>
              <w:top w:val="nil"/>
              <w:left w:val="nil"/>
              <w:bottom w:val="nil"/>
              <w:right w:val="nil"/>
            </w:tcBorders>
            <w:shd w:val="clear" w:color="auto" w:fill="auto"/>
            <w:vAlign w:val="center"/>
            <w:hideMark/>
          </w:tcPr>
          <w:p w14:paraId="6C0B68FB"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2026</w:t>
            </w:r>
          </w:p>
        </w:tc>
        <w:tc>
          <w:tcPr>
            <w:tcW w:w="651" w:type="dxa"/>
            <w:gridSpan w:val="2"/>
            <w:tcBorders>
              <w:top w:val="nil"/>
              <w:left w:val="nil"/>
              <w:bottom w:val="nil"/>
              <w:right w:val="nil"/>
            </w:tcBorders>
            <w:shd w:val="clear" w:color="auto" w:fill="auto"/>
            <w:vAlign w:val="center"/>
            <w:hideMark/>
          </w:tcPr>
          <w:p w14:paraId="0CC76264"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2027</w:t>
            </w:r>
          </w:p>
        </w:tc>
        <w:tc>
          <w:tcPr>
            <w:tcW w:w="651" w:type="dxa"/>
            <w:gridSpan w:val="2"/>
            <w:tcBorders>
              <w:top w:val="nil"/>
              <w:left w:val="nil"/>
              <w:bottom w:val="nil"/>
              <w:right w:val="nil"/>
            </w:tcBorders>
            <w:shd w:val="clear" w:color="auto" w:fill="auto"/>
            <w:vAlign w:val="center"/>
            <w:hideMark/>
          </w:tcPr>
          <w:p w14:paraId="58165DE2"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2028</w:t>
            </w:r>
          </w:p>
        </w:tc>
      </w:tr>
      <w:tr w:rsidR="00426EDD" w:rsidRPr="009276A2" w14:paraId="7200E6D8" w14:textId="77777777" w:rsidTr="00426EDD">
        <w:trPr>
          <w:gridAfter w:val="1"/>
          <w:wAfter w:w="29" w:type="dxa"/>
          <w:trHeight w:val="315"/>
        </w:trPr>
        <w:tc>
          <w:tcPr>
            <w:tcW w:w="1174" w:type="dxa"/>
            <w:gridSpan w:val="2"/>
            <w:tcBorders>
              <w:top w:val="nil"/>
              <w:left w:val="nil"/>
              <w:bottom w:val="single" w:sz="8" w:space="0" w:color="auto"/>
              <w:right w:val="nil"/>
            </w:tcBorders>
            <w:shd w:val="clear" w:color="auto" w:fill="auto"/>
            <w:vAlign w:val="center"/>
            <w:hideMark/>
          </w:tcPr>
          <w:p w14:paraId="7C3A704F"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 </w:t>
            </w:r>
          </w:p>
        </w:tc>
        <w:tc>
          <w:tcPr>
            <w:tcW w:w="602" w:type="dxa"/>
            <w:tcBorders>
              <w:top w:val="nil"/>
              <w:left w:val="nil"/>
              <w:bottom w:val="single" w:sz="8" w:space="0" w:color="auto"/>
              <w:right w:val="nil"/>
            </w:tcBorders>
            <w:shd w:val="clear" w:color="auto" w:fill="auto"/>
            <w:vAlign w:val="center"/>
            <w:hideMark/>
          </w:tcPr>
          <w:p w14:paraId="68F3930A" w14:textId="77777777" w:rsidR="00C1228B" w:rsidRPr="009276A2" w:rsidRDefault="00C1228B" w:rsidP="00616580">
            <w:pPr>
              <w:spacing w:after="0" w:line="240" w:lineRule="auto"/>
              <w:jc w:val="center"/>
              <w:rPr>
                <w:rFonts w:ascii="Arial Narrow" w:eastAsia="Times New Roman" w:hAnsi="Arial Narrow" w:cs="Calibri"/>
                <w:b/>
                <w:bCs/>
                <w:i/>
                <w:iCs/>
                <w:sz w:val="18"/>
                <w:szCs w:val="18"/>
                <w:lang w:eastAsia="sk-SK"/>
              </w:rPr>
            </w:pPr>
            <w:r w:rsidRPr="009276A2">
              <w:rPr>
                <w:rFonts w:ascii="Arial Narrow" w:eastAsia="Times New Roman" w:hAnsi="Arial Narrow" w:cs="Calibri"/>
                <w:b/>
                <w:bCs/>
                <w:i/>
                <w:iCs/>
                <w:sz w:val="18"/>
                <w:szCs w:val="18"/>
                <w:lang w:eastAsia="sk-SK"/>
              </w:rPr>
              <w:t> </w:t>
            </w:r>
          </w:p>
        </w:tc>
        <w:tc>
          <w:tcPr>
            <w:tcW w:w="182" w:type="dxa"/>
            <w:tcBorders>
              <w:top w:val="nil"/>
              <w:left w:val="nil"/>
              <w:bottom w:val="single" w:sz="8" w:space="0" w:color="auto"/>
              <w:right w:val="nil"/>
            </w:tcBorders>
            <w:shd w:val="clear" w:color="auto" w:fill="auto"/>
            <w:vAlign w:val="center"/>
            <w:hideMark/>
          </w:tcPr>
          <w:p w14:paraId="635CC8B6" w14:textId="77777777" w:rsidR="00C1228B" w:rsidRPr="009276A2" w:rsidRDefault="00C1228B" w:rsidP="00616580">
            <w:pPr>
              <w:spacing w:after="0" w:line="240" w:lineRule="auto"/>
              <w:jc w:val="center"/>
              <w:rPr>
                <w:rFonts w:ascii="Arial Narrow" w:eastAsia="Times New Roman" w:hAnsi="Arial Narrow" w:cs="Calibri"/>
                <w:b/>
                <w:bCs/>
                <w:i/>
                <w:iCs/>
                <w:sz w:val="18"/>
                <w:szCs w:val="18"/>
                <w:lang w:eastAsia="sk-SK"/>
              </w:rPr>
            </w:pPr>
            <w:r w:rsidRPr="009276A2">
              <w:rPr>
                <w:rFonts w:ascii="Arial Narrow" w:eastAsia="Times New Roman" w:hAnsi="Arial Narrow" w:cs="Calibri"/>
                <w:b/>
                <w:bCs/>
                <w:i/>
                <w:iCs/>
                <w:sz w:val="18"/>
                <w:szCs w:val="18"/>
                <w:lang w:eastAsia="sk-SK"/>
              </w:rPr>
              <w:t> </w:t>
            </w:r>
          </w:p>
        </w:tc>
        <w:tc>
          <w:tcPr>
            <w:tcW w:w="2322" w:type="dxa"/>
            <w:gridSpan w:val="4"/>
            <w:tcBorders>
              <w:top w:val="nil"/>
              <w:left w:val="nil"/>
              <w:bottom w:val="single" w:sz="8" w:space="0" w:color="auto"/>
              <w:right w:val="nil"/>
            </w:tcBorders>
            <w:shd w:val="clear" w:color="auto" w:fill="auto"/>
            <w:vAlign w:val="center"/>
            <w:hideMark/>
          </w:tcPr>
          <w:p w14:paraId="798CE566"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ESA kód</w:t>
            </w:r>
          </w:p>
        </w:tc>
        <w:tc>
          <w:tcPr>
            <w:tcW w:w="680" w:type="dxa"/>
            <w:gridSpan w:val="2"/>
            <w:tcBorders>
              <w:top w:val="nil"/>
              <w:left w:val="nil"/>
              <w:bottom w:val="single" w:sz="8" w:space="0" w:color="auto"/>
              <w:right w:val="nil"/>
            </w:tcBorders>
            <w:shd w:val="clear" w:color="auto" w:fill="auto"/>
            <w:vAlign w:val="center"/>
            <w:hideMark/>
          </w:tcPr>
          <w:p w14:paraId="2D4980DA"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mld. eur</w:t>
            </w:r>
          </w:p>
        </w:tc>
        <w:tc>
          <w:tcPr>
            <w:tcW w:w="651" w:type="dxa"/>
            <w:tcBorders>
              <w:top w:val="nil"/>
              <w:left w:val="nil"/>
              <w:bottom w:val="single" w:sz="8" w:space="0" w:color="auto"/>
              <w:right w:val="nil"/>
            </w:tcBorders>
            <w:shd w:val="clear" w:color="auto" w:fill="auto"/>
            <w:vAlign w:val="center"/>
            <w:hideMark/>
          </w:tcPr>
          <w:p w14:paraId="77E0FC57" w14:textId="77777777" w:rsidR="00C1228B"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xml:space="preserve">v % </w:t>
            </w:r>
          </w:p>
          <w:p w14:paraId="0D3D8AF2"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HDP</w:t>
            </w:r>
          </w:p>
        </w:tc>
        <w:tc>
          <w:tcPr>
            <w:tcW w:w="704" w:type="dxa"/>
            <w:gridSpan w:val="2"/>
            <w:tcBorders>
              <w:top w:val="nil"/>
              <w:left w:val="nil"/>
              <w:bottom w:val="single" w:sz="8" w:space="0" w:color="auto"/>
              <w:right w:val="nil"/>
            </w:tcBorders>
            <w:shd w:val="clear" w:color="auto" w:fill="auto"/>
            <w:vAlign w:val="center"/>
            <w:hideMark/>
          </w:tcPr>
          <w:p w14:paraId="0D082AC7" w14:textId="77777777" w:rsidR="00C1228B"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xml:space="preserve">v % </w:t>
            </w:r>
          </w:p>
          <w:p w14:paraId="0D5DC500"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HDP</w:t>
            </w:r>
          </w:p>
        </w:tc>
        <w:tc>
          <w:tcPr>
            <w:tcW w:w="651" w:type="dxa"/>
            <w:gridSpan w:val="2"/>
            <w:tcBorders>
              <w:top w:val="nil"/>
              <w:left w:val="nil"/>
              <w:bottom w:val="single" w:sz="8" w:space="0" w:color="auto"/>
              <w:right w:val="nil"/>
            </w:tcBorders>
            <w:shd w:val="clear" w:color="auto" w:fill="auto"/>
            <w:vAlign w:val="center"/>
            <w:hideMark/>
          </w:tcPr>
          <w:p w14:paraId="615B4706"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v % HDP</w:t>
            </w:r>
          </w:p>
        </w:tc>
        <w:tc>
          <w:tcPr>
            <w:tcW w:w="651" w:type="dxa"/>
            <w:gridSpan w:val="2"/>
            <w:tcBorders>
              <w:top w:val="nil"/>
              <w:left w:val="nil"/>
              <w:bottom w:val="single" w:sz="8" w:space="0" w:color="auto"/>
              <w:right w:val="nil"/>
            </w:tcBorders>
            <w:shd w:val="clear" w:color="auto" w:fill="auto"/>
            <w:vAlign w:val="center"/>
            <w:hideMark/>
          </w:tcPr>
          <w:p w14:paraId="05C08999"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v % HDP</w:t>
            </w:r>
          </w:p>
        </w:tc>
        <w:tc>
          <w:tcPr>
            <w:tcW w:w="651" w:type="dxa"/>
            <w:gridSpan w:val="2"/>
            <w:tcBorders>
              <w:top w:val="nil"/>
              <w:left w:val="nil"/>
              <w:bottom w:val="single" w:sz="8" w:space="0" w:color="auto"/>
              <w:right w:val="nil"/>
            </w:tcBorders>
            <w:shd w:val="clear" w:color="auto" w:fill="auto"/>
            <w:vAlign w:val="center"/>
            <w:hideMark/>
          </w:tcPr>
          <w:p w14:paraId="466B72F2"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v % HDP</w:t>
            </w:r>
          </w:p>
        </w:tc>
        <w:tc>
          <w:tcPr>
            <w:tcW w:w="651" w:type="dxa"/>
            <w:gridSpan w:val="2"/>
            <w:tcBorders>
              <w:top w:val="nil"/>
              <w:left w:val="nil"/>
              <w:bottom w:val="single" w:sz="8" w:space="0" w:color="auto"/>
              <w:right w:val="nil"/>
            </w:tcBorders>
            <w:shd w:val="clear" w:color="auto" w:fill="auto"/>
            <w:vAlign w:val="center"/>
            <w:hideMark/>
          </w:tcPr>
          <w:p w14:paraId="232588E1"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v % HDP</w:t>
            </w:r>
          </w:p>
        </w:tc>
      </w:tr>
      <w:tr w:rsidR="00C1228B" w:rsidRPr="009276A2" w14:paraId="4317680D" w14:textId="77777777" w:rsidTr="00426EDD">
        <w:trPr>
          <w:gridAfter w:val="1"/>
          <w:wAfter w:w="29" w:type="dxa"/>
          <w:trHeight w:val="300"/>
        </w:trPr>
        <w:tc>
          <w:tcPr>
            <w:tcW w:w="1776" w:type="dxa"/>
            <w:gridSpan w:val="3"/>
            <w:tcBorders>
              <w:top w:val="single" w:sz="8" w:space="0" w:color="auto"/>
              <w:left w:val="nil"/>
              <w:bottom w:val="nil"/>
              <w:right w:val="nil"/>
            </w:tcBorders>
            <w:shd w:val="clear" w:color="auto" w:fill="auto"/>
            <w:vAlign w:val="center"/>
            <w:hideMark/>
          </w:tcPr>
          <w:p w14:paraId="27A4D4C5" w14:textId="77777777" w:rsidR="00C1228B" w:rsidRPr="009276A2" w:rsidRDefault="00C1228B" w:rsidP="00616580">
            <w:pPr>
              <w:spacing w:after="0" w:line="240" w:lineRule="auto"/>
              <w:rPr>
                <w:rFonts w:ascii="Arial Narrow" w:eastAsia="Times New Roman" w:hAnsi="Arial Narrow" w:cs="Calibri"/>
                <w:i/>
                <w:iCs/>
                <w:sz w:val="16"/>
                <w:szCs w:val="16"/>
                <w:lang w:eastAsia="sk-SK"/>
              </w:rPr>
            </w:pPr>
            <w:r w:rsidRPr="009276A2">
              <w:rPr>
                <w:rFonts w:ascii="Arial Narrow" w:eastAsia="Times New Roman" w:hAnsi="Arial Narrow" w:cs="Calibri"/>
                <w:i/>
                <w:iCs/>
                <w:sz w:val="16"/>
                <w:szCs w:val="16"/>
                <w:lang w:eastAsia="sk-SK"/>
              </w:rPr>
              <w:t>Príjmy</w:t>
            </w:r>
          </w:p>
        </w:tc>
        <w:tc>
          <w:tcPr>
            <w:tcW w:w="2504" w:type="dxa"/>
            <w:gridSpan w:val="5"/>
            <w:tcBorders>
              <w:top w:val="nil"/>
              <w:left w:val="nil"/>
              <w:bottom w:val="nil"/>
              <w:right w:val="nil"/>
            </w:tcBorders>
            <w:shd w:val="clear" w:color="auto" w:fill="auto"/>
            <w:vAlign w:val="center"/>
            <w:hideMark/>
          </w:tcPr>
          <w:p w14:paraId="79835D68" w14:textId="77777777" w:rsidR="00C1228B" w:rsidRPr="009276A2" w:rsidRDefault="00C1228B" w:rsidP="00616580">
            <w:pPr>
              <w:spacing w:after="0" w:line="240" w:lineRule="auto"/>
              <w:rPr>
                <w:rFonts w:ascii="Arial Narrow" w:eastAsia="Times New Roman" w:hAnsi="Arial Narrow" w:cs="Calibri"/>
                <w:i/>
                <w:iCs/>
                <w:sz w:val="16"/>
                <w:szCs w:val="16"/>
                <w:lang w:eastAsia="sk-SK"/>
              </w:rPr>
            </w:pPr>
            <w:r w:rsidRPr="009276A2">
              <w:rPr>
                <w:rFonts w:ascii="Arial Narrow" w:eastAsia="Times New Roman" w:hAnsi="Arial Narrow" w:cs="Calibri"/>
                <w:i/>
                <w:iCs/>
                <w:sz w:val="16"/>
                <w:szCs w:val="16"/>
                <w:lang w:eastAsia="sk-SK"/>
              </w:rPr>
              <w:t> </w:t>
            </w:r>
          </w:p>
        </w:tc>
        <w:tc>
          <w:tcPr>
            <w:tcW w:w="680" w:type="dxa"/>
            <w:gridSpan w:val="2"/>
            <w:tcBorders>
              <w:top w:val="nil"/>
              <w:left w:val="nil"/>
              <w:bottom w:val="nil"/>
              <w:right w:val="nil"/>
            </w:tcBorders>
            <w:shd w:val="clear" w:color="auto" w:fill="auto"/>
            <w:vAlign w:val="center"/>
            <w:hideMark/>
          </w:tcPr>
          <w:p w14:paraId="3FA368CD" w14:textId="77777777" w:rsidR="00C1228B" w:rsidRPr="009276A2" w:rsidRDefault="00C1228B" w:rsidP="00616580">
            <w:pPr>
              <w:spacing w:after="0" w:line="240" w:lineRule="auto"/>
              <w:jc w:val="center"/>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651" w:type="dxa"/>
            <w:tcBorders>
              <w:top w:val="nil"/>
              <w:left w:val="nil"/>
              <w:bottom w:val="nil"/>
              <w:right w:val="nil"/>
            </w:tcBorders>
            <w:shd w:val="clear" w:color="auto" w:fill="auto"/>
            <w:vAlign w:val="center"/>
            <w:hideMark/>
          </w:tcPr>
          <w:p w14:paraId="7AF84A6C" w14:textId="77777777" w:rsidR="00C1228B" w:rsidRPr="009276A2" w:rsidRDefault="00C1228B" w:rsidP="00616580">
            <w:pPr>
              <w:spacing w:after="0" w:line="240" w:lineRule="auto"/>
              <w:jc w:val="center"/>
              <w:rPr>
                <w:rFonts w:ascii="Arial Narrow" w:eastAsia="Times New Roman" w:hAnsi="Arial Narrow" w:cs="Calibri"/>
                <w:b/>
                <w:bCs/>
                <w:sz w:val="16"/>
                <w:szCs w:val="16"/>
                <w:lang w:eastAsia="sk-SK"/>
              </w:rPr>
            </w:pPr>
          </w:p>
        </w:tc>
        <w:tc>
          <w:tcPr>
            <w:tcW w:w="704" w:type="dxa"/>
            <w:gridSpan w:val="2"/>
            <w:tcBorders>
              <w:top w:val="nil"/>
              <w:left w:val="nil"/>
              <w:bottom w:val="nil"/>
              <w:right w:val="nil"/>
            </w:tcBorders>
            <w:shd w:val="clear" w:color="auto" w:fill="auto"/>
            <w:vAlign w:val="center"/>
            <w:hideMark/>
          </w:tcPr>
          <w:p w14:paraId="224C1C27" w14:textId="77777777" w:rsidR="00C1228B" w:rsidRPr="009276A2" w:rsidRDefault="00C1228B" w:rsidP="00616580">
            <w:pPr>
              <w:spacing w:after="0" w:line="240" w:lineRule="auto"/>
              <w:jc w:val="center"/>
              <w:rPr>
                <w:rFonts w:ascii="Times New Roman" w:eastAsia="Times New Roman" w:hAnsi="Times New Roman" w:cs="Times New Roman"/>
                <w:sz w:val="20"/>
                <w:szCs w:val="20"/>
                <w:lang w:eastAsia="sk-SK"/>
              </w:rPr>
            </w:pPr>
          </w:p>
        </w:tc>
        <w:tc>
          <w:tcPr>
            <w:tcW w:w="651" w:type="dxa"/>
            <w:gridSpan w:val="2"/>
            <w:tcBorders>
              <w:top w:val="nil"/>
              <w:left w:val="nil"/>
              <w:bottom w:val="nil"/>
              <w:right w:val="nil"/>
            </w:tcBorders>
            <w:shd w:val="clear" w:color="auto" w:fill="auto"/>
            <w:vAlign w:val="center"/>
            <w:hideMark/>
          </w:tcPr>
          <w:p w14:paraId="5CE0D504" w14:textId="77777777" w:rsidR="00C1228B" w:rsidRPr="009276A2" w:rsidRDefault="00C1228B" w:rsidP="00616580">
            <w:pPr>
              <w:spacing w:after="0" w:line="240" w:lineRule="auto"/>
              <w:jc w:val="center"/>
              <w:rPr>
                <w:rFonts w:ascii="Times New Roman" w:eastAsia="Times New Roman" w:hAnsi="Times New Roman" w:cs="Times New Roman"/>
                <w:sz w:val="20"/>
                <w:szCs w:val="20"/>
                <w:lang w:eastAsia="sk-SK"/>
              </w:rPr>
            </w:pPr>
          </w:p>
        </w:tc>
        <w:tc>
          <w:tcPr>
            <w:tcW w:w="651" w:type="dxa"/>
            <w:gridSpan w:val="2"/>
            <w:tcBorders>
              <w:top w:val="nil"/>
              <w:left w:val="nil"/>
              <w:bottom w:val="nil"/>
              <w:right w:val="nil"/>
            </w:tcBorders>
            <w:shd w:val="clear" w:color="auto" w:fill="auto"/>
            <w:vAlign w:val="center"/>
            <w:hideMark/>
          </w:tcPr>
          <w:p w14:paraId="3858D3EB" w14:textId="77777777" w:rsidR="00C1228B" w:rsidRPr="009276A2" w:rsidRDefault="00C1228B" w:rsidP="00616580">
            <w:pPr>
              <w:spacing w:after="0" w:line="240" w:lineRule="auto"/>
              <w:jc w:val="center"/>
              <w:rPr>
                <w:rFonts w:ascii="Times New Roman" w:eastAsia="Times New Roman" w:hAnsi="Times New Roman" w:cs="Times New Roman"/>
                <w:sz w:val="20"/>
                <w:szCs w:val="20"/>
                <w:lang w:eastAsia="sk-SK"/>
              </w:rPr>
            </w:pPr>
          </w:p>
        </w:tc>
        <w:tc>
          <w:tcPr>
            <w:tcW w:w="651" w:type="dxa"/>
            <w:gridSpan w:val="2"/>
            <w:tcBorders>
              <w:top w:val="nil"/>
              <w:left w:val="nil"/>
              <w:bottom w:val="nil"/>
              <w:right w:val="nil"/>
            </w:tcBorders>
            <w:shd w:val="clear" w:color="auto" w:fill="auto"/>
            <w:vAlign w:val="center"/>
            <w:hideMark/>
          </w:tcPr>
          <w:p w14:paraId="42C6B391" w14:textId="77777777" w:rsidR="00C1228B" w:rsidRPr="009276A2" w:rsidRDefault="00C1228B" w:rsidP="00616580">
            <w:pPr>
              <w:spacing w:after="0" w:line="240" w:lineRule="auto"/>
              <w:jc w:val="center"/>
              <w:rPr>
                <w:rFonts w:ascii="Times New Roman" w:eastAsia="Times New Roman" w:hAnsi="Times New Roman" w:cs="Times New Roman"/>
                <w:sz w:val="20"/>
                <w:szCs w:val="20"/>
                <w:lang w:eastAsia="sk-SK"/>
              </w:rPr>
            </w:pPr>
          </w:p>
        </w:tc>
        <w:tc>
          <w:tcPr>
            <w:tcW w:w="651" w:type="dxa"/>
            <w:gridSpan w:val="2"/>
            <w:tcBorders>
              <w:top w:val="nil"/>
              <w:left w:val="nil"/>
              <w:bottom w:val="nil"/>
              <w:right w:val="nil"/>
            </w:tcBorders>
            <w:shd w:val="clear" w:color="auto" w:fill="auto"/>
            <w:vAlign w:val="center"/>
            <w:hideMark/>
          </w:tcPr>
          <w:p w14:paraId="5BE3894E" w14:textId="77777777" w:rsidR="00C1228B" w:rsidRPr="009276A2" w:rsidRDefault="00C1228B" w:rsidP="00616580">
            <w:pPr>
              <w:spacing w:after="0" w:line="240" w:lineRule="auto"/>
              <w:jc w:val="center"/>
              <w:rPr>
                <w:rFonts w:ascii="Times New Roman" w:eastAsia="Times New Roman" w:hAnsi="Times New Roman" w:cs="Times New Roman"/>
                <w:sz w:val="20"/>
                <w:szCs w:val="20"/>
                <w:lang w:eastAsia="sk-SK"/>
              </w:rPr>
            </w:pPr>
          </w:p>
        </w:tc>
      </w:tr>
      <w:tr w:rsidR="00426EDD" w:rsidRPr="009276A2" w14:paraId="25BD6D3A"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73FF9815"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1</w:t>
            </w:r>
          </w:p>
        </w:tc>
        <w:tc>
          <w:tcPr>
            <w:tcW w:w="1437" w:type="dxa"/>
            <w:gridSpan w:val="2"/>
            <w:tcBorders>
              <w:top w:val="nil"/>
              <w:left w:val="nil"/>
              <w:bottom w:val="nil"/>
              <w:right w:val="nil"/>
            </w:tcBorders>
            <w:shd w:val="clear" w:color="auto" w:fill="DEEAF6" w:themeFill="accent5" w:themeFillTint="33"/>
            <w:vAlign w:val="center"/>
            <w:hideMark/>
          </w:tcPr>
          <w:p w14:paraId="2F7A43E8"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Dane na produkciu a import</w:t>
            </w:r>
          </w:p>
        </w:tc>
        <w:tc>
          <w:tcPr>
            <w:tcW w:w="2504" w:type="dxa"/>
            <w:gridSpan w:val="5"/>
            <w:tcBorders>
              <w:top w:val="nil"/>
              <w:left w:val="nil"/>
              <w:bottom w:val="nil"/>
              <w:right w:val="nil"/>
            </w:tcBorders>
            <w:shd w:val="clear" w:color="auto" w:fill="DEEAF6" w:themeFill="accent5" w:themeFillTint="33"/>
            <w:vAlign w:val="center"/>
            <w:hideMark/>
          </w:tcPr>
          <w:p w14:paraId="008BF2E0"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D.2</w:t>
            </w:r>
          </w:p>
        </w:tc>
        <w:tc>
          <w:tcPr>
            <w:tcW w:w="680" w:type="dxa"/>
            <w:gridSpan w:val="2"/>
            <w:tcBorders>
              <w:top w:val="nil"/>
              <w:left w:val="nil"/>
              <w:bottom w:val="nil"/>
              <w:right w:val="nil"/>
            </w:tcBorders>
            <w:shd w:val="clear" w:color="auto" w:fill="DEEAF6" w:themeFill="accent5" w:themeFillTint="33"/>
            <w:vAlign w:val="center"/>
            <w:hideMark/>
          </w:tcPr>
          <w:p w14:paraId="13F13BD1" w14:textId="2D337488"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15,1</w:t>
            </w:r>
          </w:p>
        </w:tc>
        <w:tc>
          <w:tcPr>
            <w:tcW w:w="651" w:type="dxa"/>
            <w:tcBorders>
              <w:top w:val="nil"/>
              <w:left w:val="nil"/>
              <w:bottom w:val="nil"/>
              <w:right w:val="nil"/>
            </w:tcBorders>
            <w:shd w:val="clear" w:color="auto" w:fill="DEEAF6" w:themeFill="accent5" w:themeFillTint="33"/>
            <w:vAlign w:val="center"/>
            <w:hideMark/>
          </w:tcPr>
          <w:p w14:paraId="28907C7F" w14:textId="2A0A470C"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12,3</w:t>
            </w:r>
          </w:p>
        </w:tc>
        <w:tc>
          <w:tcPr>
            <w:tcW w:w="704" w:type="dxa"/>
            <w:gridSpan w:val="2"/>
            <w:tcBorders>
              <w:top w:val="nil"/>
              <w:left w:val="nil"/>
              <w:bottom w:val="nil"/>
              <w:right w:val="nil"/>
            </w:tcBorders>
            <w:shd w:val="clear" w:color="auto" w:fill="DEEAF6" w:themeFill="accent5" w:themeFillTint="33"/>
            <w:vAlign w:val="center"/>
            <w:hideMark/>
          </w:tcPr>
          <w:p w14:paraId="4A04E2A0" w14:textId="67544F54"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11,7</w:t>
            </w:r>
          </w:p>
        </w:tc>
        <w:tc>
          <w:tcPr>
            <w:tcW w:w="651" w:type="dxa"/>
            <w:gridSpan w:val="2"/>
            <w:tcBorders>
              <w:top w:val="nil"/>
              <w:left w:val="nil"/>
              <w:bottom w:val="nil"/>
              <w:right w:val="nil"/>
            </w:tcBorders>
            <w:shd w:val="clear" w:color="auto" w:fill="DEEAF6" w:themeFill="accent5" w:themeFillTint="33"/>
            <w:vAlign w:val="center"/>
            <w:hideMark/>
          </w:tcPr>
          <w:p w14:paraId="3876E516"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443F4DC4"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4B972AB3"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014DEE59"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426EDD" w:rsidRPr="009276A2" w14:paraId="38A1D356"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6F1419F1"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2</w:t>
            </w:r>
          </w:p>
        </w:tc>
        <w:tc>
          <w:tcPr>
            <w:tcW w:w="1437" w:type="dxa"/>
            <w:gridSpan w:val="2"/>
            <w:tcBorders>
              <w:top w:val="nil"/>
              <w:left w:val="nil"/>
              <w:bottom w:val="nil"/>
              <w:right w:val="nil"/>
            </w:tcBorders>
            <w:shd w:val="clear" w:color="auto" w:fill="DEEAF6" w:themeFill="accent5" w:themeFillTint="33"/>
            <w:vAlign w:val="center"/>
            <w:hideMark/>
          </w:tcPr>
          <w:p w14:paraId="71343004"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Bežné dane z príjmu a bohatstva</w:t>
            </w:r>
          </w:p>
        </w:tc>
        <w:tc>
          <w:tcPr>
            <w:tcW w:w="2504" w:type="dxa"/>
            <w:gridSpan w:val="5"/>
            <w:tcBorders>
              <w:top w:val="nil"/>
              <w:left w:val="nil"/>
              <w:bottom w:val="nil"/>
              <w:right w:val="nil"/>
            </w:tcBorders>
            <w:shd w:val="clear" w:color="auto" w:fill="DEEAF6" w:themeFill="accent5" w:themeFillTint="33"/>
            <w:vAlign w:val="center"/>
            <w:hideMark/>
          </w:tcPr>
          <w:p w14:paraId="7A22FC9D"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D.5</w:t>
            </w:r>
          </w:p>
        </w:tc>
        <w:tc>
          <w:tcPr>
            <w:tcW w:w="680" w:type="dxa"/>
            <w:gridSpan w:val="2"/>
            <w:tcBorders>
              <w:top w:val="nil"/>
              <w:left w:val="nil"/>
              <w:bottom w:val="nil"/>
              <w:right w:val="nil"/>
            </w:tcBorders>
            <w:shd w:val="clear" w:color="auto" w:fill="DEEAF6" w:themeFill="accent5" w:themeFillTint="33"/>
            <w:vAlign w:val="center"/>
            <w:hideMark/>
          </w:tcPr>
          <w:p w14:paraId="2B421A48" w14:textId="28743DA8"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9,5</w:t>
            </w:r>
          </w:p>
        </w:tc>
        <w:tc>
          <w:tcPr>
            <w:tcW w:w="651" w:type="dxa"/>
            <w:tcBorders>
              <w:top w:val="nil"/>
              <w:left w:val="nil"/>
              <w:bottom w:val="nil"/>
              <w:right w:val="nil"/>
            </w:tcBorders>
            <w:shd w:val="clear" w:color="auto" w:fill="DEEAF6" w:themeFill="accent5" w:themeFillTint="33"/>
            <w:vAlign w:val="center"/>
            <w:hideMark/>
          </w:tcPr>
          <w:p w14:paraId="21F710C1" w14:textId="0E6E1E57"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7,8</w:t>
            </w:r>
          </w:p>
        </w:tc>
        <w:tc>
          <w:tcPr>
            <w:tcW w:w="704" w:type="dxa"/>
            <w:gridSpan w:val="2"/>
            <w:tcBorders>
              <w:top w:val="nil"/>
              <w:left w:val="nil"/>
              <w:bottom w:val="nil"/>
              <w:right w:val="nil"/>
            </w:tcBorders>
            <w:shd w:val="clear" w:color="auto" w:fill="DEEAF6" w:themeFill="accent5" w:themeFillTint="33"/>
            <w:vAlign w:val="center"/>
            <w:hideMark/>
          </w:tcPr>
          <w:p w14:paraId="1E4A725D" w14:textId="318EADF2"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8,0</w:t>
            </w:r>
          </w:p>
        </w:tc>
        <w:tc>
          <w:tcPr>
            <w:tcW w:w="651" w:type="dxa"/>
            <w:gridSpan w:val="2"/>
            <w:tcBorders>
              <w:top w:val="nil"/>
              <w:left w:val="nil"/>
              <w:bottom w:val="nil"/>
              <w:right w:val="nil"/>
            </w:tcBorders>
            <w:shd w:val="clear" w:color="auto" w:fill="DEEAF6" w:themeFill="accent5" w:themeFillTint="33"/>
            <w:vAlign w:val="center"/>
            <w:hideMark/>
          </w:tcPr>
          <w:p w14:paraId="291220BE"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377EF363"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1C4BF90E"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299E4AA1"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426EDD" w:rsidRPr="009276A2" w14:paraId="4E65AFA3"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333563B5"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3</w:t>
            </w:r>
          </w:p>
        </w:tc>
        <w:tc>
          <w:tcPr>
            <w:tcW w:w="1437" w:type="dxa"/>
            <w:gridSpan w:val="2"/>
            <w:tcBorders>
              <w:top w:val="nil"/>
              <w:left w:val="nil"/>
              <w:bottom w:val="nil"/>
              <w:right w:val="nil"/>
            </w:tcBorders>
            <w:shd w:val="clear" w:color="auto" w:fill="DEEAF6" w:themeFill="accent5" w:themeFillTint="33"/>
            <w:vAlign w:val="center"/>
            <w:hideMark/>
          </w:tcPr>
          <w:p w14:paraId="223EEBF3"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Sociálne odvody</w:t>
            </w:r>
          </w:p>
        </w:tc>
        <w:tc>
          <w:tcPr>
            <w:tcW w:w="2504" w:type="dxa"/>
            <w:gridSpan w:val="5"/>
            <w:tcBorders>
              <w:top w:val="nil"/>
              <w:left w:val="nil"/>
              <w:bottom w:val="nil"/>
              <w:right w:val="nil"/>
            </w:tcBorders>
            <w:shd w:val="clear" w:color="auto" w:fill="DEEAF6" w:themeFill="accent5" w:themeFillTint="33"/>
            <w:vAlign w:val="center"/>
            <w:hideMark/>
          </w:tcPr>
          <w:p w14:paraId="62EE90E8"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D.61</w:t>
            </w:r>
          </w:p>
        </w:tc>
        <w:tc>
          <w:tcPr>
            <w:tcW w:w="680" w:type="dxa"/>
            <w:gridSpan w:val="2"/>
            <w:tcBorders>
              <w:top w:val="nil"/>
              <w:left w:val="nil"/>
              <w:bottom w:val="nil"/>
              <w:right w:val="nil"/>
            </w:tcBorders>
            <w:shd w:val="clear" w:color="auto" w:fill="DEEAF6" w:themeFill="accent5" w:themeFillTint="33"/>
            <w:vAlign w:val="center"/>
            <w:hideMark/>
          </w:tcPr>
          <w:p w14:paraId="753A06FE" w14:textId="49B3FB8C"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18,9</w:t>
            </w:r>
          </w:p>
        </w:tc>
        <w:tc>
          <w:tcPr>
            <w:tcW w:w="651" w:type="dxa"/>
            <w:tcBorders>
              <w:top w:val="nil"/>
              <w:left w:val="nil"/>
              <w:bottom w:val="nil"/>
              <w:right w:val="nil"/>
            </w:tcBorders>
            <w:shd w:val="clear" w:color="auto" w:fill="DEEAF6" w:themeFill="accent5" w:themeFillTint="33"/>
            <w:vAlign w:val="center"/>
            <w:hideMark/>
          </w:tcPr>
          <w:p w14:paraId="4E2B41FF" w14:textId="18C61383"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15,4</w:t>
            </w:r>
          </w:p>
        </w:tc>
        <w:tc>
          <w:tcPr>
            <w:tcW w:w="704" w:type="dxa"/>
            <w:gridSpan w:val="2"/>
            <w:tcBorders>
              <w:top w:val="nil"/>
              <w:left w:val="nil"/>
              <w:bottom w:val="nil"/>
              <w:right w:val="nil"/>
            </w:tcBorders>
            <w:shd w:val="clear" w:color="auto" w:fill="DEEAF6" w:themeFill="accent5" w:themeFillTint="33"/>
            <w:vAlign w:val="center"/>
            <w:hideMark/>
          </w:tcPr>
          <w:p w14:paraId="6C8FBA10" w14:textId="01E7406A"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15,7</w:t>
            </w:r>
          </w:p>
        </w:tc>
        <w:tc>
          <w:tcPr>
            <w:tcW w:w="651" w:type="dxa"/>
            <w:gridSpan w:val="2"/>
            <w:tcBorders>
              <w:top w:val="nil"/>
              <w:left w:val="nil"/>
              <w:bottom w:val="nil"/>
              <w:right w:val="nil"/>
            </w:tcBorders>
            <w:shd w:val="clear" w:color="auto" w:fill="DEEAF6" w:themeFill="accent5" w:themeFillTint="33"/>
            <w:vAlign w:val="center"/>
            <w:hideMark/>
          </w:tcPr>
          <w:p w14:paraId="60E1DD44"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53F25171"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122B50CB"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22C72F13"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426EDD" w:rsidRPr="009276A2" w14:paraId="344B2D38" w14:textId="77777777" w:rsidTr="00426EDD">
        <w:trPr>
          <w:gridAfter w:val="1"/>
          <w:wAfter w:w="29" w:type="dxa"/>
          <w:trHeight w:val="511"/>
        </w:trPr>
        <w:tc>
          <w:tcPr>
            <w:tcW w:w="339" w:type="dxa"/>
            <w:tcBorders>
              <w:top w:val="nil"/>
              <w:left w:val="nil"/>
              <w:bottom w:val="nil"/>
              <w:right w:val="nil"/>
            </w:tcBorders>
            <w:shd w:val="clear" w:color="auto" w:fill="DEEAF6" w:themeFill="accent5" w:themeFillTint="33"/>
            <w:vAlign w:val="center"/>
            <w:hideMark/>
          </w:tcPr>
          <w:p w14:paraId="2E0FE1D9"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4</w:t>
            </w:r>
          </w:p>
        </w:tc>
        <w:tc>
          <w:tcPr>
            <w:tcW w:w="1437" w:type="dxa"/>
            <w:gridSpan w:val="2"/>
            <w:tcBorders>
              <w:top w:val="nil"/>
              <w:left w:val="nil"/>
              <w:bottom w:val="nil"/>
              <w:right w:val="nil"/>
            </w:tcBorders>
            <w:shd w:val="clear" w:color="auto" w:fill="DEEAF6" w:themeFill="accent5" w:themeFillTint="33"/>
            <w:vAlign w:val="center"/>
            <w:hideMark/>
          </w:tcPr>
          <w:p w14:paraId="32580F4F"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Ostatné bežné príjmy</w:t>
            </w:r>
          </w:p>
        </w:tc>
        <w:tc>
          <w:tcPr>
            <w:tcW w:w="2504" w:type="dxa"/>
            <w:gridSpan w:val="5"/>
            <w:tcBorders>
              <w:top w:val="nil"/>
              <w:left w:val="nil"/>
              <w:bottom w:val="nil"/>
              <w:right w:val="nil"/>
            </w:tcBorders>
            <w:shd w:val="clear" w:color="auto" w:fill="DEEAF6" w:themeFill="accent5" w:themeFillTint="33"/>
            <w:vAlign w:val="center"/>
            <w:hideMark/>
          </w:tcPr>
          <w:p w14:paraId="77501C7E"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P.11+P.12+P.131+D.39+D.4+D.7</w:t>
            </w:r>
          </w:p>
        </w:tc>
        <w:tc>
          <w:tcPr>
            <w:tcW w:w="680" w:type="dxa"/>
            <w:gridSpan w:val="2"/>
            <w:tcBorders>
              <w:top w:val="nil"/>
              <w:left w:val="nil"/>
              <w:bottom w:val="nil"/>
              <w:right w:val="nil"/>
            </w:tcBorders>
            <w:shd w:val="clear" w:color="auto" w:fill="DEEAF6" w:themeFill="accent5" w:themeFillTint="33"/>
            <w:vAlign w:val="center"/>
            <w:hideMark/>
          </w:tcPr>
          <w:p w14:paraId="576202F6" w14:textId="1F9EE259"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7,3</w:t>
            </w:r>
          </w:p>
        </w:tc>
        <w:tc>
          <w:tcPr>
            <w:tcW w:w="651" w:type="dxa"/>
            <w:tcBorders>
              <w:top w:val="nil"/>
              <w:left w:val="nil"/>
              <w:bottom w:val="nil"/>
              <w:right w:val="nil"/>
            </w:tcBorders>
            <w:shd w:val="clear" w:color="auto" w:fill="DEEAF6" w:themeFill="accent5" w:themeFillTint="33"/>
            <w:vAlign w:val="center"/>
            <w:hideMark/>
          </w:tcPr>
          <w:p w14:paraId="66187480" w14:textId="2D5E40E2"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5,9</w:t>
            </w:r>
          </w:p>
        </w:tc>
        <w:tc>
          <w:tcPr>
            <w:tcW w:w="704" w:type="dxa"/>
            <w:gridSpan w:val="2"/>
            <w:tcBorders>
              <w:top w:val="nil"/>
              <w:left w:val="nil"/>
              <w:bottom w:val="nil"/>
              <w:right w:val="nil"/>
            </w:tcBorders>
            <w:shd w:val="clear" w:color="auto" w:fill="DEEAF6" w:themeFill="accent5" w:themeFillTint="33"/>
            <w:vAlign w:val="center"/>
            <w:hideMark/>
          </w:tcPr>
          <w:p w14:paraId="533A4A3C" w14:textId="13EBF2B3"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4,5</w:t>
            </w:r>
          </w:p>
        </w:tc>
        <w:tc>
          <w:tcPr>
            <w:tcW w:w="651" w:type="dxa"/>
            <w:gridSpan w:val="2"/>
            <w:tcBorders>
              <w:top w:val="nil"/>
              <w:left w:val="nil"/>
              <w:bottom w:val="nil"/>
              <w:right w:val="nil"/>
            </w:tcBorders>
            <w:shd w:val="clear" w:color="auto" w:fill="DEEAF6" w:themeFill="accent5" w:themeFillTint="33"/>
            <w:vAlign w:val="center"/>
            <w:hideMark/>
          </w:tcPr>
          <w:p w14:paraId="7E3EC3AC"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48E5A28F"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2C9A1234"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2DB92EF5"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426EDD" w:rsidRPr="009276A2" w14:paraId="38F91678"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43128A5F"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5</w:t>
            </w:r>
          </w:p>
        </w:tc>
        <w:tc>
          <w:tcPr>
            <w:tcW w:w="1437" w:type="dxa"/>
            <w:gridSpan w:val="2"/>
            <w:tcBorders>
              <w:top w:val="nil"/>
              <w:left w:val="nil"/>
              <w:bottom w:val="nil"/>
              <w:right w:val="nil"/>
            </w:tcBorders>
            <w:shd w:val="clear" w:color="auto" w:fill="DEEAF6" w:themeFill="accent5" w:themeFillTint="33"/>
            <w:vAlign w:val="center"/>
            <w:hideMark/>
          </w:tcPr>
          <w:p w14:paraId="39532DDD"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Kapitálové dane</w:t>
            </w:r>
          </w:p>
        </w:tc>
        <w:tc>
          <w:tcPr>
            <w:tcW w:w="2504" w:type="dxa"/>
            <w:gridSpan w:val="5"/>
            <w:tcBorders>
              <w:top w:val="nil"/>
              <w:left w:val="nil"/>
              <w:bottom w:val="nil"/>
              <w:right w:val="nil"/>
            </w:tcBorders>
            <w:shd w:val="clear" w:color="auto" w:fill="DEEAF6" w:themeFill="accent5" w:themeFillTint="33"/>
            <w:vAlign w:val="center"/>
            <w:hideMark/>
          </w:tcPr>
          <w:p w14:paraId="47133879"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D.91</w:t>
            </w:r>
          </w:p>
        </w:tc>
        <w:tc>
          <w:tcPr>
            <w:tcW w:w="680" w:type="dxa"/>
            <w:gridSpan w:val="2"/>
            <w:tcBorders>
              <w:top w:val="nil"/>
              <w:left w:val="nil"/>
              <w:bottom w:val="nil"/>
              <w:right w:val="nil"/>
            </w:tcBorders>
            <w:shd w:val="clear" w:color="auto" w:fill="DEEAF6" w:themeFill="accent5" w:themeFillTint="33"/>
            <w:vAlign w:val="center"/>
            <w:hideMark/>
          </w:tcPr>
          <w:p w14:paraId="476A54D8" w14:textId="5DCA7346"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0,0</w:t>
            </w:r>
          </w:p>
        </w:tc>
        <w:tc>
          <w:tcPr>
            <w:tcW w:w="651" w:type="dxa"/>
            <w:tcBorders>
              <w:top w:val="nil"/>
              <w:left w:val="nil"/>
              <w:bottom w:val="nil"/>
              <w:right w:val="nil"/>
            </w:tcBorders>
            <w:shd w:val="clear" w:color="auto" w:fill="DEEAF6" w:themeFill="accent5" w:themeFillTint="33"/>
            <w:vAlign w:val="center"/>
            <w:hideMark/>
          </w:tcPr>
          <w:p w14:paraId="5545C8F8" w14:textId="3AB531C0"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0,0</w:t>
            </w:r>
          </w:p>
        </w:tc>
        <w:tc>
          <w:tcPr>
            <w:tcW w:w="704" w:type="dxa"/>
            <w:gridSpan w:val="2"/>
            <w:tcBorders>
              <w:top w:val="nil"/>
              <w:left w:val="nil"/>
              <w:bottom w:val="nil"/>
              <w:right w:val="nil"/>
            </w:tcBorders>
            <w:shd w:val="clear" w:color="auto" w:fill="DEEAF6" w:themeFill="accent5" w:themeFillTint="33"/>
            <w:vAlign w:val="center"/>
            <w:hideMark/>
          </w:tcPr>
          <w:p w14:paraId="713BBE83" w14:textId="54426D1D"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0,0</w:t>
            </w:r>
          </w:p>
        </w:tc>
        <w:tc>
          <w:tcPr>
            <w:tcW w:w="651" w:type="dxa"/>
            <w:gridSpan w:val="2"/>
            <w:tcBorders>
              <w:top w:val="nil"/>
              <w:left w:val="nil"/>
              <w:bottom w:val="nil"/>
              <w:right w:val="nil"/>
            </w:tcBorders>
            <w:shd w:val="clear" w:color="auto" w:fill="DEEAF6" w:themeFill="accent5" w:themeFillTint="33"/>
            <w:vAlign w:val="center"/>
            <w:hideMark/>
          </w:tcPr>
          <w:p w14:paraId="1C08A16D"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12259390"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469AC14C"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39F64D1D"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426EDD" w:rsidRPr="009276A2" w14:paraId="5A46D8B5"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46DFD7A1"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lastRenderedPageBreak/>
              <w:t>6</w:t>
            </w:r>
          </w:p>
        </w:tc>
        <w:tc>
          <w:tcPr>
            <w:tcW w:w="1437" w:type="dxa"/>
            <w:gridSpan w:val="2"/>
            <w:tcBorders>
              <w:top w:val="nil"/>
              <w:left w:val="nil"/>
              <w:bottom w:val="nil"/>
              <w:right w:val="nil"/>
            </w:tcBorders>
            <w:shd w:val="clear" w:color="auto" w:fill="DEEAF6" w:themeFill="accent5" w:themeFillTint="33"/>
            <w:vAlign w:val="center"/>
            <w:hideMark/>
          </w:tcPr>
          <w:p w14:paraId="146013C2"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Ostatné kapitálové príjmy</w:t>
            </w:r>
          </w:p>
        </w:tc>
        <w:tc>
          <w:tcPr>
            <w:tcW w:w="2504" w:type="dxa"/>
            <w:gridSpan w:val="5"/>
            <w:tcBorders>
              <w:top w:val="nil"/>
              <w:left w:val="nil"/>
              <w:bottom w:val="nil"/>
              <w:right w:val="nil"/>
            </w:tcBorders>
            <w:shd w:val="clear" w:color="auto" w:fill="DEEAF6" w:themeFill="accent5" w:themeFillTint="33"/>
            <w:vAlign w:val="center"/>
            <w:hideMark/>
          </w:tcPr>
          <w:p w14:paraId="44E2ABE7"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D.92+D..99</w:t>
            </w:r>
          </w:p>
        </w:tc>
        <w:tc>
          <w:tcPr>
            <w:tcW w:w="680" w:type="dxa"/>
            <w:gridSpan w:val="2"/>
            <w:tcBorders>
              <w:top w:val="nil"/>
              <w:left w:val="nil"/>
              <w:bottom w:val="nil"/>
              <w:right w:val="nil"/>
            </w:tcBorders>
            <w:shd w:val="clear" w:color="auto" w:fill="DEEAF6" w:themeFill="accent5" w:themeFillTint="33"/>
            <w:vAlign w:val="center"/>
            <w:hideMark/>
          </w:tcPr>
          <w:p w14:paraId="46E9A01F" w14:textId="1360CDA0"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2,0</w:t>
            </w:r>
          </w:p>
        </w:tc>
        <w:tc>
          <w:tcPr>
            <w:tcW w:w="651" w:type="dxa"/>
            <w:tcBorders>
              <w:top w:val="nil"/>
              <w:left w:val="nil"/>
              <w:bottom w:val="nil"/>
              <w:right w:val="nil"/>
            </w:tcBorders>
            <w:shd w:val="clear" w:color="auto" w:fill="DEEAF6" w:themeFill="accent5" w:themeFillTint="33"/>
            <w:vAlign w:val="center"/>
            <w:hideMark/>
          </w:tcPr>
          <w:p w14:paraId="0BB0B1FC" w14:textId="03BD2FAC"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1,7</w:t>
            </w:r>
          </w:p>
        </w:tc>
        <w:tc>
          <w:tcPr>
            <w:tcW w:w="704" w:type="dxa"/>
            <w:gridSpan w:val="2"/>
            <w:tcBorders>
              <w:top w:val="nil"/>
              <w:left w:val="nil"/>
              <w:bottom w:val="nil"/>
              <w:right w:val="nil"/>
            </w:tcBorders>
            <w:shd w:val="clear" w:color="auto" w:fill="DEEAF6" w:themeFill="accent5" w:themeFillTint="33"/>
            <w:vAlign w:val="center"/>
            <w:hideMark/>
          </w:tcPr>
          <w:p w14:paraId="14A8D988" w14:textId="0BDA83F9"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1,8</w:t>
            </w:r>
          </w:p>
        </w:tc>
        <w:tc>
          <w:tcPr>
            <w:tcW w:w="651" w:type="dxa"/>
            <w:gridSpan w:val="2"/>
            <w:tcBorders>
              <w:top w:val="nil"/>
              <w:left w:val="nil"/>
              <w:bottom w:val="nil"/>
              <w:right w:val="nil"/>
            </w:tcBorders>
            <w:shd w:val="clear" w:color="auto" w:fill="DEEAF6" w:themeFill="accent5" w:themeFillTint="33"/>
            <w:vAlign w:val="center"/>
            <w:hideMark/>
          </w:tcPr>
          <w:p w14:paraId="2CADE6BD"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26799A35"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221DA9EA"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670C347F"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426EDD" w:rsidRPr="009276A2" w14:paraId="2D80D3C5"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6AF47929"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7</w:t>
            </w:r>
          </w:p>
        </w:tc>
        <w:tc>
          <w:tcPr>
            <w:tcW w:w="1437" w:type="dxa"/>
            <w:gridSpan w:val="2"/>
            <w:tcBorders>
              <w:top w:val="nil"/>
              <w:left w:val="nil"/>
              <w:bottom w:val="nil"/>
              <w:right w:val="nil"/>
            </w:tcBorders>
            <w:shd w:val="clear" w:color="auto" w:fill="DEEAF6" w:themeFill="accent5" w:themeFillTint="33"/>
            <w:vAlign w:val="center"/>
            <w:hideMark/>
          </w:tcPr>
          <w:p w14:paraId="3FD8F8D4"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Príjmy spolu</w:t>
            </w:r>
          </w:p>
        </w:tc>
        <w:tc>
          <w:tcPr>
            <w:tcW w:w="2504" w:type="dxa"/>
            <w:gridSpan w:val="5"/>
            <w:tcBorders>
              <w:top w:val="nil"/>
              <w:left w:val="nil"/>
              <w:bottom w:val="nil"/>
              <w:right w:val="nil"/>
            </w:tcBorders>
            <w:shd w:val="clear" w:color="auto" w:fill="DEEAF6" w:themeFill="accent5" w:themeFillTint="33"/>
            <w:vAlign w:val="center"/>
            <w:hideMark/>
          </w:tcPr>
          <w:p w14:paraId="01CEBC41" w14:textId="77777777" w:rsidR="00FC30B1" w:rsidRPr="004C1920" w:rsidRDefault="00FC30B1" w:rsidP="00FC30B1">
            <w:pPr>
              <w:spacing w:after="0" w:line="240" w:lineRule="auto"/>
              <w:rPr>
                <w:rFonts w:ascii="Arial Narrow" w:eastAsia="Times New Roman" w:hAnsi="Arial Narrow" w:cs="Calibri"/>
                <w:b/>
                <w:bCs/>
                <w:sz w:val="16"/>
                <w:szCs w:val="16"/>
                <w:lang w:eastAsia="sk-SK"/>
              </w:rPr>
            </w:pPr>
            <w:r w:rsidRPr="004C1920">
              <w:rPr>
                <w:rFonts w:ascii="Arial Narrow" w:eastAsia="Times New Roman" w:hAnsi="Arial Narrow" w:cs="Calibri"/>
                <w:b/>
                <w:bCs/>
                <w:sz w:val="16"/>
                <w:szCs w:val="16"/>
                <w:lang w:eastAsia="sk-SK"/>
              </w:rPr>
              <w:t>TR</w:t>
            </w:r>
          </w:p>
        </w:tc>
        <w:tc>
          <w:tcPr>
            <w:tcW w:w="680" w:type="dxa"/>
            <w:gridSpan w:val="2"/>
            <w:tcBorders>
              <w:top w:val="nil"/>
              <w:left w:val="nil"/>
              <w:bottom w:val="nil"/>
              <w:right w:val="nil"/>
            </w:tcBorders>
            <w:shd w:val="clear" w:color="auto" w:fill="DEEAF6" w:themeFill="accent5" w:themeFillTint="33"/>
            <w:vAlign w:val="center"/>
            <w:hideMark/>
          </w:tcPr>
          <w:p w14:paraId="7318B7EB" w14:textId="59059A8F" w:rsidR="00FC30B1" w:rsidRPr="00A22C01" w:rsidRDefault="00FC30B1" w:rsidP="00FC30B1">
            <w:pPr>
              <w:spacing w:after="0" w:line="240" w:lineRule="auto"/>
              <w:jc w:val="center"/>
              <w:rPr>
                <w:rFonts w:ascii="Arial Narrow" w:eastAsia="Times New Roman" w:hAnsi="Arial Narrow" w:cs="Calibri"/>
                <w:b/>
                <w:bCs/>
                <w:color w:val="000000" w:themeColor="text1"/>
                <w:sz w:val="16"/>
                <w:szCs w:val="16"/>
                <w:lang w:eastAsia="sk-SK"/>
              </w:rPr>
            </w:pPr>
            <w:r w:rsidRPr="00A22C01">
              <w:rPr>
                <w:rFonts w:ascii="Arial Narrow" w:hAnsi="Arial Narrow" w:cs="Calibri"/>
                <w:b/>
                <w:bCs/>
                <w:color w:val="000000" w:themeColor="text1"/>
                <w:sz w:val="16"/>
                <w:szCs w:val="16"/>
              </w:rPr>
              <w:t>52,8</w:t>
            </w:r>
          </w:p>
        </w:tc>
        <w:tc>
          <w:tcPr>
            <w:tcW w:w="651" w:type="dxa"/>
            <w:tcBorders>
              <w:top w:val="nil"/>
              <w:left w:val="nil"/>
              <w:bottom w:val="nil"/>
              <w:right w:val="nil"/>
            </w:tcBorders>
            <w:shd w:val="clear" w:color="auto" w:fill="DEEAF6" w:themeFill="accent5" w:themeFillTint="33"/>
            <w:vAlign w:val="center"/>
            <w:hideMark/>
          </w:tcPr>
          <w:p w14:paraId="165495F5" w14:textId="47073525" w:rsidR="00FC30B1" w:rsidRPr="00A22C01" w:rsidRDefault="00FC30B1" w:rsidP="00FC30B1">
            <w:pPr>
              <w:spacing w:after="0" w:line="240" w:lineRule="auto"/>
              <w:jc w:val="center"/>
              <w:rPr>
                <w:rFonts w:ascii="Arial Narrow" w:eastAsia="Times New Roman" w:hAnsi="Arial Narrow" w:cs="Calibri"/>
                <w:b/>
                <w:bCs/>
                <w:color w:val="000000" w:themeColor="text1"/>
                <w:sz w:val="16"/>
                <w:szCs w:val="16"/>
                <w:lang w:eastAsia="sk-SK"/>
              </w:rPr>
            </w:pPr>
            <w:r w:rsidRPr="00A22C01">
              <w:rPr>
                <w:rFonts w:ascii="Arial Narrow" w:hAnsi="Arial Narrow" w:cs="Calibri"/>
                <w:b/>
                <w:bCs/>
                <w:color w:val="000000" w:themeColor="text1"/>
                <w:sz w:val="16"/>
                <w:szCs w:val="16"/>
              </w:rPr>
              <w:t>43,0</w:t>
            </w:r>
          </w:p>
        </w:tc>
        <w:tc>
          <w:tcPr>
            <w:tcW w:w="704" w:type="dxa"/>
            <w:gridSpan w:val="2"/>
            <w:tcBorders>
              <w:top w:val="nil"/>
              <w:left w:val="nil"/>
              <w:bottom w:val="nil"/>
              <w:right w:val="nil"/>
            </w:tcBorders>
            <w:shd w:val="clear" w:color="auto" w:fill="DEEAF6" w:themeFill="accent5" w:themeFillTint="33"/>
            <w:vAlign w:val="center"/>
            <w:hideMark/>
          </w:tcPr>
          <w:p w14:paraId="46098B7B" w14:textId="7A8E9412" w:rsidR="00FC30B1" w:rsidRPr="00A22C01" w:rsidRDefault="00FC30B1" w:rsidP="00FC30B1">
            <w:pPr>
              <w:spacing w:after="0" w:line="240" w:lineRule="auto"/>
              <w:jc w:val="center"/>
              <w:rPr>
                <w:rFonts w:ascii="Arial Narrow" w:eastAsia="Times New Roman" w:hAnsi="Arial Narrow" w:cs="Calibri"/>
                <w:b/>
                <w:bCs/>
                <w:color w:val="000000" w:themeColor="text1"/>
                <w:sz w:val="16"/>
                <w:szCs w:val="16"/>
                <w:lang w:eastAsia="sk-SK"/>
              </w:rPr>
            </w:pPr>
            <w:r w:rsidRPr="00A22C01">
              <w:rPr>
                <w:rFonts w:ascii="Arial Narrow" w:hAnsi="Arial Narrow" w:cs="Calibri"/>
                <w:b/>
                <w:bCs/>
                <w:color w:val="000000" w:themeColor="text1"/>
                <w:sz w:val="16"/>
                <w:szCs w:val="16"/>
              </w:rPr>
              <w:t>41,6</w:t>
            </w:r>
          </w:p>
        </w:tc>
        <w:tc>
          <w:tcPr>
            <w:tcW w:w="651" w:type="dxa"/>
            <w:gridSpan w:val="2"/>
            <w:tcBorders>
              <w:top w:val="nil"/>
              <w:left w:val="nil"/>
              <w:bottom w:val="nil"/>
              <w:right w:val="nil"/>
            </w:tcBorders>
            <w:shd w:val="clear" w:color="auto" w:fill="DEEAF6" w:themeFill="accent5" w:themeFillTint="33"/>
            <w:vAlign w:val="center"/>
            <w:hideMark/>
          </w:tcPr>
          <w:p w14:paraId="7738BF5A"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5711DF72"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63B60D13"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5A208AFC"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426EDD" w:rsidRPr="009276A2" w14:paraId="5F777B5F"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4248E776"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8</w:t>
            </w:r>
          </w:p>
        </w:tc>
        <w:tc>
          <w:tcPr>
            <w:tcW w:w="1437" w:type="dxa"/>
            <w:gridSpan w:val="2"/>
            <w:tcBorders>
              <w:top w:val="nil"/>
              <w:left w:val="nil"/>
              <w:bottom w:val="nil"/>
              <w:right w:val="nil"/>
            </w:tcBorders>
            <w:shd w:val="clear" w:color="auto" w:fill="DEEAF6" w:themeFill="accent5" w:themeFillTint="33"/>
            <w:vAlign w:val="center"/>
            <w:hideMark/>
          </w:tcPr>
          <w:p w14:paraId="01E46ADE"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Z toho: Transfery z EU (akruál)</w:t>
            </w:r>
          </w:p>
        </w:tc>
        <w:tc>
          <w:tcPr>
            <w:tcW w:w="2504" w:type="dxa"/>
            <w:gridSpan w:val="5"/>
            <w:tcBorders>
              <w:top w:val="nil"/>
              <w:left w:val="nil"/>
              <w:bottom w:val="nil"/>
              <w:right w:val="nil"/>
            </w:tcBorders>
            <w:shd w:val="clear" w:color="auto" w:fill="DEEAF6" w:themeFill="accent5" w:themeFillTint="33"/>
            <w:vAlign w:val="center"/>
            <w:hideMark/>
          </w:tcPr>
          <w:p w14:paraId="32E487B0"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D.7EU+D.9EU</w:t>
            </w:r>
          </w:p>
        </w:tc>
        <w:tc>
          <w:tcPr>
            <w:tcW w:w="680" w:type="dxa"/>
            <w:gridSpan w:val="2"/>
            <w:tcBorders>
              <w:top w:val="nil"/>
              <w:left w:val="nil"/>
              <w:bottom w:val="nil"/>
              <w:right w:val="nil"/>
            </w:tcBorders>
            <w:shd w:val="clear" w:color="auto" w:fill="DEEAF6" w:themeFill="accent5" w:themeFillTint="33"/>
            <w:vAlign w:val="center"/>
            <w:hideMark/>
          </w:tcPr>
          <w:p w14:paraId="043637E5" w14:textId="4AD36941"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4,0</w:t>
            </w:r>
          </w:p>
        </w:tc>
        <w:tc>
          <w:tcPr>
            <w:tcW w:w="651" w:type="dxa"/>
            <w:tcBorders>
              <w:top w:val="nil"/>
              <w:left w:val="nil"/>
              <w:bottom w:val="nil"/>
              <w:right w:val="nil"/>
            </w:tcBorders>
            <w:shd w:val="clear" w:color="auto" w:fill="DEEAF6" w:themeFill="accent5" w:themeFillTint="33"/>
            <w:vAlign w:val="center"/>
            <w:hideMark/>
          </w:tcPr>
          <w:p w14:paraId="2F0B0537" w14:textId="2B79C00D"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3,2</w:t>
            </w:r>
          </w:p>
        </w:tc>
        <w:tc>
          <w:tcPr>
            <w:tcW w:w="704" w:type="dxa"/>
            <w:gridSpan w:val="2"/>
            <w:tcBorders>
              <w:top w:val="nil"/>
              <w:left w:val="nil"/>
              <w:bottom w:val="nil"/>
              <w:right w:val="nil"/>
            </w:tcBorders>
            <w:shd w:val="clear" w:color="auto" w:fill="DEEAF6" w:themeFill="accent5" w:themeFillTint="33"/>
            <w:vAlign w:val="center"/>
            <w:hideMark/>
          </w:tcPr>
          <w:p w14:paraId="54D3CB39" w14:textId="78C9799A"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2,0</w:t>
            </w:r>
          </w:p>
        </w:tc>
        <w:tc>
          <w:tcPr>
            <w:tcW w:w="651" w:type="dxa"/>
            <w:gridSpan w:val="2"/>
            <w:tcBorders>
              <w:top w:val="nil"/>
              <w:left w:val="nil"/>
              <w:bottom w:val="nil"/>
              <w:right w:val="nil"/>
            </w:tcBorders>
            <w:shd w:val="clear" w:color="auto" w:fill="DEEAF6" w:themeFill="accent5" w:themeFillTint="33"/>
            <w:vAlign w:val="center"/>
            <w:hideMark/>
          </w:tcPr>
          <w:p w14:paraId="5C28250B"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0B2200F3"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328B179C"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1D159164"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426EDD" w:rsidRPr="009276A2" w14:paraId="0FA2519B"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05C4E7BF"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9</w:t>
            </w:r>
          </w:p>
        </w:tc>
        <w:tc>
          <w:tcPr>
            <w:tcW w:w="1437" w:type="dxa"/>
            <w:gridSpan w:val="2"/>
            <w:tcBorders>
              <w:top w:val="nil"/>
              <w:left w:val="nil"/>
              <w:bottom w:val="nil"/>
              <w:right w:val="nil"/>
            </w:tcBorders>
            <w:shd w:val="clear" w:color="auto" w:fill="DEEAF6" w:themeFill="accent5" w:themeFillTint="33"/>
            <w:vAlign w:val="center"/>
            <w:hideMark/>
          </w:tcPr>
          <w:p w14:paraId="6DFB4401"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Celkové príjmy bez transferu z EÚ (7-8)</w:t>
            </w:r>
          </w:p>
        </w:tc>
        <w:tc>
          <w:tcPr>
            <w:tcW w:w="2504" w:type="dxa"/>
            <w:gridSpan w:val="5"/>
            <w:tcBorders>
              <w:top w:val="nil"/>
              <w:left w:val="nil"/>
              <w:bottom w:val="nil"/>
              <w:right w:val="nil"/>
            </w:tcBorders>
            <w:shd w:val="clear" w:color="auto" w:fill="DEEAF6" w:themeFill="accent5" w:themeFillTint="33"/>
            <w:vAlign w:val="center"/>
            <w:hideMark/>
          </w:tcPr>
          <w:p w14:paraId="5B6CCE5A"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680" w:type="dxa"/>
            <w:gridSpan w:val="2"/>
            <w:tcBorders>
              <w:top w:val="nil"/>
              <w:left w:val="nil"/>
              <w:bottom w:val="nil"/>
              <w:right w:val="nil"/>
            </w:tcBorders>
            <w:shd w:val="clear" w:color="auto" w:fill="DEEAF6" w:themeFill="accent5" w:themeFillTint="33"/>
            <w:vAlign w:val="center"/>
            <w:hideMark/>
          </w:tcPr>
          <w:p w14:paraId="7835336D" w14:textId="644B02B4"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48,9</w:t>
            </w:r>
          </w:p>
        </w:tc>
        <w:tc>
          <w:tcPr>
            <w:tcW w:w="651" w:type="dxa"/>
            <w:tcBorders>
              <w:top w:val="nil"/>
              <w:left w:val="nil"/>
              <w:bottom w:val="nil"/>
              <w:right w:val="nil"/>
            </w:tcBorders>
            <w:shd w:val="clear" w:color="auto" w:fill="DEEAF6" w:themeFill="accent5" w:themeFillTint="33"/>
            <w:vAlign w:val="center"/>
            <w:hideMark/>
          </w:tcPr>
          <w:p w14:paraId="2C02C98C" w14:textId="2CB393AD"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39,8</w:t>
            </w:r>
          </w:p>
        </w:tc>
        <w:tc>
          <w:tcPr>
            <w:tcW w:w="704" w:type="dxa"/>
            <w:gridSpan w:val="2"/>
            <w:tcBorders>
              <w:top w:val="nil"/>
              <w:left w:val="nil"/>
              <w:bottom w:val="nil"/>
              <w:right w:val="nil"/>
            </w:tcBorders>
            <w:shd w:val="clear" w:color="auto" w:fill="DEEAF6" w:themeFill="accent5" w:themeFillTint="33"/>
            <w:vAlign w:val="center"/>
            <w:hideMark/>
          </w:tcPr>
          <w:p w14:paraId="01FAB789" w14:textId="003516FD"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39,7</w:t>
            </w:r>
          </w:p>
        </w:tc>
        <w:tc>
          <w:tcPr>
            <w:tcW w:w="651" w:type="dxa"/>
            <w:gridSpan w:val="2"/>
            <w:tcBorders>
              <w:top w:val="nil"/>
              <w:left w:val="nil"/>
              <w:bottom w:val="nil"/>
              <w:right w:val="nil"/>
            </w:tcBorders>
            <w:shd w:val="clear" w:color="auto" w:fill="DEEAF6" w:themeFill="accent5" w:themeFillTint="33"/>
            <w:vAlign w:val="center"/>
            <w:hideMark/>
          </w:tcPr>
          <w:p w14:paraId="0A5FB4AD"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14A30348"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4CC18EA1"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38898AE5"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426EDD" w:rsidRPr="009276A2" w14:paraId="0932ADDD"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612155B0"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10</w:t>
            </w:r>
          </w:p>
        </w:tc>
        <w:tc>
          <w:tcPr>
            <w:tcW w:w="1437" w:type="dxa"/>
            <w:gridSpan w:val="2"/>
            <w:tcBorders>
              <w:top w:val="nil"/>
              <w:left w:val="nil"/>
              <w:bottom w:val="nil"/>
              <w:right w:val="nil"/>
            </w:tcBorders>
            <w:shd w:val="clear" w:color="auto" w:fill="DEEAF6" w:themeFill="accent5" w:themeFillTint="33"/>
            <w:vAlign w:val="center"/>
            <w:hideMark/>
          </w:tcPr>
          <w:p w14:paraId="56E12B7C"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p.m. Príjmové opatrenia (inkrement mimo EU fondových opatrení)</w:t>
            </w:r>
          </w:p>
        </w:tc>
        <w:tc>
          <w:tcPr>
            <w:tcW w:w="2504" w:type="dxa"/>
            <w:gridSpan w:val="5"/>
            <w:tcBorders>
              <w:top w:val="nil"/>
              <w:left w:val="nil"/>
              <w:bottom w:val="nil"/>
              <w:right w:val="nil"/>
            </w:tcBorders>
            <w:shd w:val="clear" w:color="auto" w:fill="DEEAF6" w:themeFill="accent5" w:themeFillTint="33"/>
            <w:vAlign w:val="center"/>
            <w:hideMark/>
          </w:tcPr>
          <w:p w14:paraId="174E1921"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680" w:type="dxa"/>
            <w:gridSpan w:val="2"/>
            <w:tcBorders>
              <w:top w:val="nil"/>
              <w:left w:val="nil"/>
              <w:bottom w:val="nil"/>
              <w:right w:val="nil"/>
            </w:tcBorders>
            <w:shd w:val="clear" w:color="auto" w:fill="DEEAF6" w:themeFill="accent5" w:themeFillTint="33"/>
            <w:vAlign w:val="center"/>
            <w:hideMark/>
          </w:tcPr>
          <w:p w14:paraId="2A26BBBD" w14:textId="0FBF91CC"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0,0</w:t>
            </w:r>
          </w:p>
        </w:tc>
        <w:tc>
          <w:tcPr>
            <w:tcW w:w="651" w:type="dxa"/>
            <w:tcBorders>
              <w:top w:val="nil"/>
              <w:left w:val="nil"/>
              <w:bottom w:val="nil"/>
              <w:right w:val="nil"/>
            </w:tcBorders>
            <w:shd w:val="clear" w:color="auto" w:fill="DEEAF6" w:themeFill="accent5" w:themeFillTint="33"/>
            <w:vAlign w:val="center"/>
            <w:hideMark/>
          </w:tcPr>
          <w:p w14:paraId="2AFD16B5" w14:textId="43490731"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0,0</w:t>
            </w:r>
          </w:p>
        </w:tc>
        <w:tc>
          <w:tcPr>
            <w:tcW w:w="704" w:type="dxa"/>
            <w:gridSpan w:val="2"/>
            <w:tcBorders>
              <w:top w:val="nil"/>
              <w:left w:val="nil"/>
              <w:bottom w:val="nil"/>
              <w:right w:val="nil"/>
            </w:tcBorders>
            <w:shd w:val="clear" w:color="auto" w:fill="DEEAF6" w:themeFill="accent5" w:themeFillTint="33"/>
            <w:vAlign w:val="center"/>
            <w:hideMark/>
          </w:tcPr>
          <w:p w14:paraId="4A5CD773" w14:textId="63A5C0F7"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w:t>
            </w:r>
          </w:p>
        </w:tc>
        <w:tc>
          <w:tcPr>
            <w:tcW w:w="651" w:type="dxa"/>
            <w:gridSpan w:val="2"/>
            <w:tcBorders>
              <w:top w:val="nil"/>
              <w:left w:val="nil"/>
              <w:bottom w:val="nil"/>
              <w:right w:val="nil"/>
            </w:tcBorders>
            <w:shd w:val="clear" w:color="auto" w:fill="DEEAF6" w:themeFill="accent5" w:themeFillTint="33"/>
            <w:vAlign w:val="center"/>
            <w:hideMark/>
          </w:tcPr>
          <w:p w14:paraId="66C22B5F"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4206B820"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16D26A96"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214FB07F"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426EDD" w:rsidRPr="009276A2" w14:paraId="06E24089"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7844B3D3"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11</w:t>
            </w:r>
          </w:p>
        </w:tc>
        <w:tc>
          <w:tcPr>
            <w:tcW w:w="1437" w:type="dxa"/>
            <w:gridSpan w:val="2"/>
            <w:tcBorders>
              <w:top w:val="nil"/>
              <w:left w:val="nil"/>
              <w:bottom w:val="nil"/>
              <w:right w:val="nil"/>
            </w:tcBorders>
            <w:shd w:val="clear" w:color="auto" w:fill="DEEAF6" w:themeFill="accent5" w:themeFillTint="33"/>
            <w:vAlign w:val="center"/>
            <w:hideMark/>
          </w:tcPr>
          <w:p w14:paraId="7EB39CDC"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p.m. Jednorazové príjmy zahrnuté v prognóze (level)</w:t>
            </w:r>
          </w:p>
        </w:tc>
        <w:tc>
          <w:tcPr>
            <w:tcW w:w="2504" w:type="dxa"/>
            <w:gridSpan w:val="5"/>
            <w:tcBorders>
              <w:top w:val="nil"/>
              <w:left w:val="nil"/>
              <w:bottom w:val="nil"/>
              <w:right w:val="nil"/>
            </w:tcBorders>
            <w:shd w:val="clear" w:color="auto" w:fill="DEEAF6" w:themeFill="accent5" w:themeFillTint="33"/>
            <w:vAlign w:val="center"/>
            <w:hideMark/>
          </w:tcPr>
          <w:p w14:paraId="4B95A3D3"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680" w:type="dxa"/>
            <w:gridSpan w:val="2"/>
            <w:tcBorders>
              <w:top w:val="nil"/>
              <w:left w:val="nil"/>
              <w:bottom w:val="nil"/>
              <w:right w:val="nil"/>
            </w:tcBorders>
            <w:shd w:val="clear" w:color="auto" w:fill="DEEAF6" w:themeFill="accent5" w:themeFillTint="33"/>
            <w:vAlign w:val="center"/>
            <w:hideMark/>
          </w:tcPr>
          <w:p w14:paraId="46BAB1E4" w14:textId="68E8B1CC"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0,0</w:t>
            </w:r>
          </w:p>
        </w:tc>
        <w:tc>
          <w:tcPr>
            <w:tcW w:w="651" w:type="dxa"/>
            <w:tcBorders>
              <w:top w:val="nil"/>
              <w:left w:val="nil"/>
              <w:bottom w:val="nil"/>
              <w:right w:val="nil"/>
            </w:tcBorders>
            <w:shd w:val="clear" w:color="auto" w:fill="DEEAF6" w:themeFill="accent5" w:themeFillTint="33"/>
            <w:vAlign w:val="center"/>
            <w:hideMark/>
          </w:tcPr>
          <w:p w14:paraId="03474250" w14:textId="41F9D8CB"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0,0</w:t>
            </w:r>
          </w:p>
        </w:tc>
        <w:tc>
          <w:tcPr>
            <w:tcW w:w="704" w:type="dxa"/>
            <w:gridSpan w:val="2"/>
            <w:tcBorders>
              <w:top w:val="nil"/>
              <w:left w:val="nil"/>
              <w:bottom w:val="nil"/>
              <w:right w:val="nil"/>
            </w:tcBorders>
            <w:shd w:val="clear" w:color="auto" w:fill="DEEAF6" w:themeFill="accent5" w:themeFillTint="33"/>
            <w:vAlign w:val="center"/>
            <w:hideMark/>
          </w:tcPr>
          <w:p w14:paraId="5FC7994E" w14:textId="28FEBCFD"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0,0</w:t>
            </w:r>
          </w:p>
        </w:tc>
        <w:tc>
          <w:tcPr>
            <w:tcW w:w="651" w:type="dxa"/>
            <w:gridSpan w:val="2"/>
            <w:tcBorders>
              <w:top w:val="nil"/>
              <w:left w:val="nil"/>
              <w:bottom w:val="nil"/>
              <w:right w:val="nil"/>
            </w:tcBorders>
            <w:shd w:val="clear" w:color="auto" w:fill="DEEAF6" w:themeFill="accent5" w:themeFillTint="33"/>
            <w:vAlign w:val="center"/>
            <w:hideMark/>
          </w:tcPr>
          <w:p w14:paraId="07511F8E"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4E344960"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46EFC9F5"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78238CEC"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C1228B" w:rsidRPr="009276A2" w14:paraId="4032FFF4" w14:textId="77777777" w:rsidTr="00426EDD">
        <w:trPr>
          <w:gridAfter w:val="1"/>
          <w:wAfter w:w="29" w:type="dxa"/>
          <w:trHeight w:val="300"/>
        </w:trPr>
        <w:tc>
          <w:tcPr>
            <w:tcW w:w="1776" w:type="dxa"/>
            <w:gridSpan w:val="3"/>
            <w:tcBorders>
              <w:top w:val="nil"/>
              <w:left w:val="nil"/>
              <w:bottom w:val="nil"/>
              <w:right w:val="nil"/>
            </w:tcBorders>
            <w:shd w:val="clear" w:color="auto" w:fill="auto"/>
            <w:vAlign w:val="center"/>
            <w:hideMark/>
          </w:tcPr>
          <w:p w14:paraId="30D2728E" w14:textId="77777777" w:rsidR="00C1228B" w:rsidRPr="009276A2" w:rsidRDefault="00C1228B" w:rsidP="00616580">
            <w:pPr>
              <w:spacing w:after="0" w:line="240" w:lineRule="auto"/>
              <w:rPr>
                <w:rFonts w:ascii="Arial Narrow" w:eastAsia="Times New Roman" w:hAnsi="Arial Narrow" w:cs="Calibri"/>
                <w:i/>
                <w:iCs/>
                <w:sz w:val="16"/>
                <w:szCs w:val="16"/>
                <w:lang w:eastAsia="sk-SK"/>
              </w:rPr>
            </w:pPr>
            <w:r w:rsidRPr="009276A2">
              <w:rPr>
                <w:rFonts w:ascii="Arial Narrow" w:eastAsia="Times New Roman" w:hAnsi="Arial Narrow" w:cs="Calibri"/>
                <w:i/>
                <w:iCs/>
                <w:sz w:val="16"/>
                <w:szCs w:val="16"/>
                <w:lang w:eastAsia="sk-SK"/>
              </w:rPr>
              <w:t>Výdavky</w:t>
            </w:r>
          </w:p>
        </w:tc>
        <w:tc>
          <w:tcPr>
            <w:tcW w:w="2504" w:type="dxa"/>
            <w:gridSpan w:val="5"/>
            <w:tcBorders>
              <w:top w:val="nil"/>
              <w:left w:val="nil"/>
              <w:bottom w:val="nil"/>
              <w:right w:val="nil"/>
            </w:tcBorders>
            <w:shd w:val="clear" w:color="auto" w:fill="auto"/>
            <w:vAlign w:val="center"/>
            <w:hideMark/>
          </w:tcPr>
          <w:p w14:paraId="14818090"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ESA kód</w:t>
            </w:r>
          </w:p>
        </w:tc>
        <w:tc>
          <w:tcPr>
            <w:tcW w:w="680" w:type="dxa"/>
            <w:gridSpan w:val="2"/>
            <w:tcBorders>
              <w:top w:val="nil"/>
              <w:left w:val="nil"/>
              <w:bottom w:val="nil"/>
              <w:right w:val="nil"/>
            </w:tcBorders>
            <w:shd w:val="clear" w:color="auto" w:fill="auto"/>
            <w:vAlign w:val="center"/>
            <w:hideMark/>
          </w:tcPr>
          <w:p w14:paraId="472DD906"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mld. eur</w:t>
            </w:r>
          </w:p>
        </w:tc>
        <w:tc>
          <w:tcPr>
            <w:tcW w:w="651" w:type="dxa"/>
            <w:tcBorders>
              <w:top w:val="nil"/>
              <w:left w:val="nil"/>
              <w:bottom w:val="nil"/>
              <w:right w:val="nil"/>
            </w:tcBorders>
            <w:shd w:val="clear" w:color="auto" w:fill="auto"/>
            <w:vAlign w:val="center"/>
            <w:hideMark/>
          </w:tcPr>
          <w:p w14:paraId="44EB844F" w14:textId="77777777" w:rsidR="00C1228B"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xml:space="preserve">v % </w:t>
            </w:r>
          </w:p>
          <w:p w14:paraId="1A3FAF55"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HDP</w:t>
            </w:r>
          </w:p>
        </w:tc>
        <w:tc>
          <w:tcPr>
            <w:tcW w:w="704" w:type="dxa"/>
            <w:gridSpan w:val="2"/>
            <w:tcBorders>
              <w:top w:val="nil"/>
              <w:left w:val="nil"/>
              <w:bottom w:val="nil"/>
              <w:right w:val="nil"/>
            </w:tcBorders>
            <w:shd w:val="clear" w:color="auto" w:fill="auto"/>
            <w:vAlign w:val="center"/>
            <w:hideMark/>
          </w:tcPr>
          <w:p w14:paraId="1836012F" w14:textId="77777777" w:rsidR="00C1228B"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xml:space="preserve">v % </w:t>
            </w:r>
          </w:p>
          <w:p w14:paraId="6AD82F7B"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HDP</w:t>
            </w:r>
          </w:p>
        </w:tc>
        <w:tc>
          <w:tcPr>
            <w:tcW w:w="651" w:type="dxa"/>
            <w:gridSpan w:val="2"/>
            <w:tcBorders>
              <w:top w:val="nil"/>
              <w:left w:val="nil"/>
              <w:bottom w:val="nil"/>
              <w:right w:val="nil"/>
            </w:tcBorders>
            <w:shd w:val="clear" w:color="auto" w:fill="auto"/>
            <w:vAlign w:val="center"/>
            <w:hideMark/>
          </w:tcPr>
          <w:p w14:paraId="02A25F7F"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v % HDP</w:t>
            </w:r>
          </w:p>
        </w:tc>
        <w:tc>
          <w:tcPr>
            <w:tcW w:w="651" w:type="dxa"/>
            <w:gridSpan w:val="2"/>
            <w:tcBorders>
              <w:top w:val="nil"/>
              <w:left w:val="nil"/>
              <w:bottom w:val="nil"/>
              <w:right w:val="nil"/>
            </w:tcBorders>
            <w:shd w:val="clear" w:color="auto" w:fill="auto"/>
            <w:vAlign w:val="center"/>
            <w:hideMark/>
          </w:tcPr>
          <w:p w14:paraId="2A364E80"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v % HDP</w:t>
            </w:r>
          </w:p>
        </w:tc>
        <w:tc>
          <w:tcPr>
            <w:tcW w:w="651" w:type="dxa"/>
            <w:gridSpan w:val="2"/>
            <w:tcBorders>
              <w:top w:val="nil"/>
              <w:left w:val="nil"/>
              <w:bottom w:val="nil"/>
              <w:right w:val="nil"/>
            </w:tcBorders>
            <w:shd w:val="clear" w:color="auto" w:fill="auto"/>
            <w:vAlign w:val="center"/>
            <w:hideMark/>
          </w:tcPr>
          <w:p w14:paraId="006E434C"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v % HDP</w:t>
            </w:r>
          </w:p>
        </w:tc>
        <w:tc>
          <w:tcPr>
            <w:tcW w:w="651" w:type="dxa"/>
            <w:gridSpan w:val="2"/>
            <w:tcBorders>
              <w:top w:val="nil"/>
              <w:left w:val="nil"/>
              <w:bottom w:val="nil"/>
              <w:right w:val="nil"/>
            </w:tcBorders>
            <w:shd w:val="clear" w:color="auto" w:fill="auto"/>
            <w:vAlign w:val="center"/>
            <w:hideMark/>
          </w:tcPr>
          <w:p w14:paraId="211866F8"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v % HDP</w:t>
            </w:r>
          </w:p>
        </w:tc>
      </w:tr>
      <w:tr w:rsidR="00426EDD" w:rsidRPr="009276A2" w14:paraId="7614E057"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7F91FA08"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12</w:t>
            </w:r>
          </w:p>
        </w:tc>
        <w:tc>
          <w:tcPr>
            <w:tcW w:w="1437" w:type="dxa"/>
            <w:gridSpan w:val="2"/>
            <w:tcBorders>
              <w:top w:val="nil"/>
              <w:left w:val="nil"/>
              <w:bottom w:val="nil"/>
              <w:right w:val="nil"/>
            </w:tcBorders>
            <w:shd w:val="clear" w:color="auto" w:fill="DEEAF6" w:themeFill="accent5" w:themeFillTint="33"/>
            <w:vAlign w:val="center"/>
            <w:hideMark/>
          </w:tcPr>
          <w:p w14:paraId="1E320AE1"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Kompenzácie zamestnancov</w:t>
            </w:r>
          </w:p>
        </w:tc>
        <w:tc>
          <w:tcPr>
            <w:tcW w:w="2504" w:type="dxa"/>
            <w:gridSpan w:val="5"/>
            <w:tcBorders>
              <w:top w:val="nil"/>
              <w:left w:val="nil"/>
              <w:bottom w:val="nil"/>
              <w:right w:val="nil"/>
            </w:tcBorders>
            <w:shd w:val="clear" w:color="auto" w:fill="DEEAF6" w:themeFill="accent5" w:themeFillTint="33"/>
            <w:vAlign w:val="center"/>
            <w:hideMark/>
          </w:tcPr>
          <w:p w14:paraId="00D82AE4"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D.1</w:t>
            </w:r>
          </w:p>
        </w:tc>
        <w:tc>
          <w:tcPr>
            <w:tcW w:w="680" w:type="dxa"/>
            <w:gridSpan w:val="2"/>
            <w:tcBorders>
              <w:top w:val="nil"/>
              <w:left w:val="nil"/>
              <w:bottom w:val="nil"/>
              <w:right w:val="nil"/>
            </w:tcBorders>
            <w:shd w:val="clear" w:color="auto" w:fill="DEEAF6" w:themeFill="accent5" w:themeFillTint="33"/>
            <w:vAlign w:val="center"/>
            <w:hideMark/>
          </w:tcPr>
          <w:p w14:paraId="7FF21570" w14:textId="4FA4F633"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13,5</w:t>
            </w:r>
          </w:p>
        </w:tc>
        <w:tc>
          <w:tcPr>
            <w:tcW w:w="651" w:type="dxa"/>
            <w:tcBorders>
              <w:top w:val="nil"/>
              <w:left w:val="nil"/>
              <w:bottom w:val="nil"/>
              <w:right w:val="nil"/>
            </w:tcBorders>
            <w:shd w:val="clear" w:color="auto" w:fill="DEEAF6" w:themeFill="accent5" w:themeFillTint="33"/>
            <w:vAlign w:val="center"/>
            <w:hideMark/>
          </w:tcPr>
          <w:p w14:paraId="052D54C4" w14:textId="0685D687"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11,0</w:t>
            </w:r>
          </w:p>
        </w:tc>
        <w:tc>
          <w:tcPr>
            <w:tcW w:w="704" w:type="dxa"/>
            <w:gridSpan w:val="2"/>
            <w:tcBorders>
              <w:top w:val="nil"/>
              <w:left w:val="nil"/>
              <w:bottom w:val="nil"/>
              <w:right w:val="nil"/>
            </w:tcBorders>
            <w:shd w:val="clear" w:color="auto" w:fill="DEEAF6" w:themeFill="accent5" w:themeFillTint="33"/>
            <w:vAlign w:val="center"/>
            <w:hideMark/>
          </w:tcPr>
          <w:p w14:paraId="37199196" w14:textId="57839DE8"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11,1</w:t>
            </w:r>
          </w:p>
        </w:tc>
        <w:tc>
          <w:tcPr>
            <w:tcW w:w="651" w:type="dxa"/>
            <w:gridSpan w:val="2"/>
            <w:tcBorders>
              <w:top w:val="nil"/>
              <w:left w:val="nil"/>
              <w:bottom w:val="nil"/>
              <w:right w:val="nil"/>
            </w:tcBorders>
            <w:shd w:val="clear" w:color="auto" w:fill="DEEAF6" w:themeFill="accent5" w:themeFillTint="33"/>
            <w:vAlign w:val="center"/>
            <w:hideMark/>
          </w:tcPr>
          <w:p w14:paraId="6AF2EBAD"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044830EE"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6089CF49"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21E1FF89"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426EDD" w:rsidRPr="009276A2" w14:paraId="548BDC78"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19EF64F1"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13</w:t>
            </w:r>
          </w:p>
        </w:tc>
        <w:tc>
          <w:tcPr>
            <w:tcW w:w="1437" w:type="dxa"/>
            <w:gridSpan w:val="2"/>
            <w:tcBorders>
              <w:top w:val="nil"/>
              <w:left w:val="nil"/>
              <w:bottom w:val="nil"/>
              <w:right w:val="nil"/>
            </w:tcBorders>
            <w:shd w:val="clear" w:color="auto" w:fill="DEEAF6" w:themeFill="accent5" w:themeFillTint="33"/>
            <w:vAlign w:val="center"/>
            <w:hideMark/>
          </w:tcPr>
          <w:p w14:paraId="1000246E"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Medzispotreba</w:t>
            </w:r>
          </w:p>
        </w:tc>
        <w:tc>
          <w:tcPr>
            <w:tcW w:w="2504" w:type="dxa"/>
            <w:gridSpan w:val="5"/>
            <w:tcBorders>
              <w:top w:val="nil"/>
              <w:left w:val="nil"/>
              <w:bottom w:val="nil"/>
              <w:right w:val="nil"/>
            </w:tcBorders>
            <w:shd w:val="clear" w:color="auto" w:fill="DEEAF6" w:themeFill="accent5" w:themeFillTint="33"/>
            <w:vAlign w:val="center"/>
            <w:hideMark/>
          </w:tcPr>
          <w:p w14:paraId="7082503F"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P.2</w:t>
            </w:r>
          </w:p>
        </w:tc>
        <w:tc>
          <w:tcPr>
            <w:tcW w:w="680" w:type="dxa"/>
            <w:gridSpan w:val="2"/>
            <w:tcBorders>
              <w:top w:val="nil"/>
              <w:left w:val="nil"/>
              <w:bottom w:val="nil"/>
              <w:right w:val="nil"/>
            </w:tcBorders>
            <w:shd w:val="clear" w:color="auto" w:fill="DEEAF6" w:themeFill="accent5" w:themeFillTint="33"/>
            <w:vAlign w:val="center"/>
            <w:hideMark/>
          </w:tcPr>
          <w:p w14:paraId="524D7B3E" w14:textId="6F4DB534"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6,9</w:t>
            </w:r>
          </w:p>
        </w:tc>
        <w:tc>
          <w:tcPr>
            <w:tcW w:w="651" w:type="dxa"/>
            <w:tcBorders>
              <w:top w:val="nil"/>
              <w:left w:val="nil"/>
              <w:bottom w:val="nil"/>
              <w:right w:val="nil"/>
            </w:tcBorders>
            <w:shd w:val="clear" w:color="auto" w:fill="DEEAF6" w:themeFill="accent5" w:themeFillTint="33"/>
            <w:vAlign w:val="center"/>
            <w:hideMark/>
          </w:tcPr>
          <w:p w14:paraId="017DEB32" w14:textId="132D89A0"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5,6</w:t>
            </w:r>
          </w:p>
        </w:tc>
        <w:tc>
          <w:tcPr>
            <w:tcW w:w="704" w:type="dxa"/>
            <w:gridSpan w:val="2"/>
            <w:tcBorders>
              <w:top w:val="nil"/>
              <w:left w:val="nil"/>
              <w:bottom w:val="nil"/>
              <w:right w:val="nil"/>
            </w:tcBorders>
            <w:shd w:val="clear" w:color="auto" w:fill="DEEAF6" w:themeFill="accent5" w:themeFillTint="33"/>
            <w:vAlign w:val="center"/>
            <w:hideMark/>
          </w:tcPr>
          <w:p w14:paraId="56B47F55" w14:textId="55056ACF"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6,0</w:t>
            </w:r>
          </w:p>
        </w:tc>
        <w:tc>
          <w:tcPr>
            <w:tcW w:w="651" w:type="dxa"/>
            <w:gridSpan w:val="2"/>
            <w:tcBorders>
              <w:top w:val="nil"/>
              <w:left w:val="nil"/>
              <w:bottom w:val="nil"/>
              <w:right w:val="nil"/>
            </w:tcBorders>
            <w:shd w:val="clear" w:color="auto" w:fill="DEEAF6" w:themeFill="accent5" w:themeFillTint="33"/>
            <w:vAlign w:val="center"/>
            <w:hideMark/>
          </w:tcPr>
          <w:p w14:paraId="6585B320"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5535B05C"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07BB9C2E"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4363539F"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426EDD" w:rsidRPr="009276A2" w14:paraId="698938D3"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1495BC0A"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14</w:t>
            </w:r>
          </w:p>
        </w:tc>
        <w:tc>
          <w:tcPr>
            <w:tcW w:w="1437" w:type="dxa"/>
            <w:gridSpan w:val="2"/>
            <w:tcBorders>
              <w:top w:val="nil"/>
              <w:left w:val="nil"/>
              <w:bottom w:val="nil"/>
              <w:right w:val="nil"/>
            </w:tcBorders>
            <w:shd w:val="clear" w:color="auto" w:fill="DEEAF6" w:themeFill="accent5" w:themeFillTint="33"/>
            <w:vAlign w:val="center"/>
            <w:hideMark/>
          </w:tcPr>
          <w:p w14:paraId="4F5B9A4F"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Úrokové výdavky</w:t>
            </w:r>
          </w:p>
        </w:tc>
        <w:tc>
          <w:tcPr>
            <w:tcW w:w="2504" w:type="dxa"/>
            <w:gridSpan w:val="5"/>
            <w:tcBorders>
              <w:top w:val="nil"/>
              <w:left w:val="nil"/>
              <w:bottom w:val="nil"/>
              <w:right w:val="nil"/>
            </w:tcBorders>
            <w:shd w:val="clear" w:color="auto" w:fill="DEEAF6" w:themeFill="accent5" w:themeFillTint="33"/>
            <w:vAlign w:val="center"/>
            <w:hideMark/>
          </w:tcPr>
          <w:p w14:paraId="083B97E7"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D.41</w:t>
            </w:r>
          </w:p>
        </w:tc>
        <w:tc>
          <w:tcPr>
            <w:tcW w:w="680" w:type="dxa"/>
            <w:gridSpan w:val="2"/>
            <w:tcBorders>
              <w:top w:val="nil"/>
              <w:left w:val="nil"/>
              <w:bottom w:val="nil"/>
              <w:right w:val="nil"/>
            </w:tcBorders>
            <w:shd w:val="clear" w:color="auto" w:fill="DEEAF6" w:themeFill="accent5" w:themeFillTint="33"/>
            <w:vAlign w:val="center"/>
            <w:hideMark/>
          </w:tcPr>
          <w:p w14:paraId="713F2C2B" w14:textId="4BDF5D11"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1,4</w:t>
            </w:r>
          </w:p>
        </w:tc>
        <w:tc>
          <w:tcPr>
            <w:tcW w:w="651" w:type="dxa"/>
            <w:tcBorders>
              <w:top w:val="nil"/>
              <w:left w:val="nil"/>
              <w:bottom w:val="nil"/>
              <w:right w:val="nil"/>
            </w:tcBorders>
            <w:shd w:val="clear" w:color="auto" w:fill="DEEAF6" w:themeFill="accent5" w:themeFillTint="33"/>
            <w:vAlign w:val="center"/>
            <w:hideMark/>
          </w:tcPr>
          <w:p w14:paraId="1F8E50C1" w14:textId="53023528"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1,2</w:t>
            </w:r>
          </w:p>
        </w:tc>
        <w:tc>
          <w:tcPr>
            <w:tcW w:w="704" w:type="dxa"/>
            <w:gridSpan w:val="2"/>
            <w:tcBorders>
              <w:top w:val="nil"/>
              <w:left w:val="nil"/>
              <w:bottom w:val="nil"/>
              <w:right w:val="nil"/>
            </w:tcBorders>
            <w:shd w:val="clear" w:color="auto" w:fill="DEEAF6" w:themeFill="accent5" w:themeFillTint="33"/>
            <w:vAlign w:val="center"/>
            <w:hideMark/>
          </w:tcPr>
          <w:p w14:paraId="31BCBB94" w14:textId="16BE3386"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1,3</w:t>
            </w:r>
          </w:p>
        </w:tc>
        <w:tc>
          <w:tcPr>
            <w:tcW w:w="651" w:type="dxa"/>
            <w:gridSpan w:val="2"/>
            <w:tcBorders>
              <w:top w:val="nil"/>
              <w:left w:val="nil"/>
              <w:bottom w:val="nil"/>
              <w:right w:val="nil"/>
            </w:tcBorders>
            <w:shd w:val="clear" w:color="auto" w:fill="DEEAF6" w:themeFill="accent5" w:themeFillTint="33"/>
            <w:vAlign w:val="center"/>
            <w:hideMark/>
          </w:tcPr>
          <w:p w14:paraId="3074F0D6" w14:textId="19CB560D"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1,5</w:t>
            </w:r>
          </w:p>
        </w:tc>
        <w:tc>
          <w:tcPr>
            <w:tcW w:w="651" w:type="dxa"/>
            <w:gridSpan w:val="2"/>
            <w:tcBorders>
              <w:top w:val="nil"/>
              <w:left w:val="nil"/>
              <w:bottom w:val="nil"/>
              <w:right w:val="nil"/>
            </w:tcBorders>
            <w:shd w:val="clear" w:color="auto" w:fill="DEEAF6" w:themeFill="accent5" w:themeFillTint="33"/>
            <w:vAlign w:val="center"/>
            <w:hideMark/>
          </w:tcPr>
          <w:p w14:paraId="114813F1" w14:textId="28B0F74F"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1,7</w:t>
            </w:r>
          </w:p>
        </w:tc>
        <w:tc>
          <w:tcPr>
            <w:tcW w:w="651" w:type="dxa"/>
            <w:gridSpan w:val="2"/>
            <w:tcBorders>
              <w:top w:val="nil"/>
              <w:left w:val="nil"/>
              <w:bottom w:val="nil"/>
              <w:right w:val="nil"/>
            </w:tcBorders>
            <w:shd w:val="clear" w:color="auto" w:fill="DEEAF6" w:themeFill="accent5" w:themeFillTint="33"/>
            <w:vAlign w:val="center"/>
            <w:hideMark/>
          </w:tcPr>
          <w:p w14:paraId="1531C1FF" w14:textId="280C4939"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1,8</w:t>
            </w:r>
          </w:p>
        </w:tc>
        <w:tc>
          <w:tcPr>
            <w:tcW w:w="651" w:type="dxa"/>
            <w:gridSpan w:val="2"/>
            <w:tcBorders>
              <w:top w:val="nil"/>
              <w:left w:val="nil"/>
              <w:bottom w:val="nil"/>
              <w:right w:val="nil"/>
            </w:tcBorders>
            <w:shd w:val="clear" w:color="auto" w:fill="DEEAF6" w:themeFill="accent5" w:themeFillTint="33"/>
            <w:vAlign w:val="center"/>
            <w:hideMark/>
          </w:tcPr>
          <w:p w14:paraId="30EC0504" w14:textId="7A61DA08"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1,8</w:t>
            </w:r>
          </w:p>
        </w:tc>
      </w:tr>
      <w:tr w:rsidR="00426EDD" w:rsidRPr="009276A2" w14:paraId="300239F5"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5055F6B4"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15</w:t>
            </w:r>
          </w:p>
        </w:tc>
        <w:tc>
          <w:tcPr>
            <w:tcW w:w="1437" w:type="dxa"/>
            <w:gridSpan w:val="2"/>
            <w:tcBorders>
              <w:top w:val="nil"/>
              <w:left w:val="nil"/>
              <w:bottom w:val="nil"/>
              <w:right w:val="nil"/>
            </w:tcBorders>
            <w:shd w:val="clear" w:color="auto" w:fill="DEEAF6" w:themeFill="accent5" w:themeFillTint="33"/>
            <w:vAlign w:val="center"/>
            <w:hideMark/>
          </w:tcPr>
          <w:p w14:paraId="0CE6417E"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Sociálne dávky okrem naturálnych sociálnych transferov</w:t>
            </w:r>
          </w:p>
        </w:tc>
        <w:tc>
          <w:tcPr>
            <w:tcW w:w="2504" w:type="dxa"/>
            <w:gridSpan w:val="5"/>
            <w:tcBorders>
              <w:top w:val="nil"/>
              <w:left w:val="nil"/>
              <w:bottom w:val="nil"/>
              <w:right w:val="nil"/>
            </w:tcBorders>
            <w:shd w:val="clear" w:color="auto" w:fill="DEEAF6" w:themeFill="accent5" w:themeFillTint="33"/>
            <w:vAlign w:val="center"/>
            <w:hideMark/>
          </w:tcPr>
          <w:p w14:paraId="786B3A0A"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D.62</w:t>
            </w:r>
          </w:p>
        </w:tc>
        <w:tc>
          <w:tcPr>
            <w:tcW w:w="680" w:type="dxa"/>
            <w:gridSpan w:val="2"/>
            <w:tcBorders>
              <w:top w:val="nil"/>
              <w:left w:val="nil"/>
              <w:bottom w:val="nil"/>
              <w:right w:val="nil"/>
            </w:tcBorders>
            <w:shd w:val="clear" w:color="auto" w:fill="DEEAF6" w:themeFill="accent5" w:themeFillTint="33"/>
            <w:vAlign w:val="center"/>
            <w:hideMark/>
          </w:tcPr>
          <w:p w14:paraId="449E8579" w14:textId="16F66C4E"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20,0</w:t>
            </w:r>
          </w:p>
        </w:tc>
        <w:tc>
          <w:tcPr>
            <w:tcW w:w="651" w:type="dxa"/>
            <w:tcBorders>
              <w:top w:val="nil"/>
              <w:left w:val="nil"/>
              <w:bottom w:val="nil"/>
              <w:right w:val="nil"/>
            </w:tcBorders>
            <w:shd w:val="clear" w:color="auto" w:fill="DEEAF6" w:themeFill="accent5" w:themeFillTint="33"/>
            <w:vAlign w:val="center"/>
            <w:hideMark/>
          </w:tcPr>
          <w:p w14:paraId="107345E8" w14:textId="06A5A882"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16,3</w:t>
            </w:r>
          </w:p>
        </w:tc>
        <w:tc>
          <w:tcPr>
            <w:tcW w:w="704" w:type="dxa"/>
            <w:gridSpan w:val="2"/>
            <w:tcBorders>
              <w:top w:val="nil"/>
              <w:left w:val="nil"/>
              <w:bottom w:val="nil"/>
              <w:right w:val="nil"/>
            </w:tcBorders>
            <w:shd w:val="clear" w:color="auto" w:fill="DEEAF6" w:themeFill="accent5" w:themeFillTint="33"/>
            <w:vAlign w:val="center"/>
            <w:hideMark/>
          </w:tcPr>
          <w:p w14:paraId="314D8BAE" w14:textId="1C3E313C"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16,7</w:t>
            </w:r>
          </w:p>
        </w:tc>
        <w:tc>
          <w:tcPr>
            <w:tcW w:w="651" w:type="dxa"/>
            <w:gridSpan w:val="2"/>
            <w:tcBorders>
              <w:top w:val="nil"/>
              <w:left w:val="nil"/>
              <w:bottom w:val="nil"/>
              <w:right w:val="nil"/>
            </w:tcBorders>
            <w:shd w:val="clear" w:color="auto" w:fill="DEEAF6" w:themeFill="accent5" w:themeFillTint="33"/>
            <w:vAlign w:val="center"/>
            <w:hideMark/>
          </w:tcPr>
          <w:p w14:paraId="06F4671C"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692448EE"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300EAF4C"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3E67D279"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r>
      <w:tr w:rsidR="00426EDD" w:rsidRPr="009276A2" w14:paraId="75B89DB4"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60764937"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16</w:t>
            </w:r>
          </w:p>
        </w:tc>
        <w:tc>
          <w:tcPr>
            <w:tcW w:w="1437" w:type="dxa"/>
            <w:gridSpan w:val="2"/>
            <w:tcBorders>
              <w:top w:val="nil"/>
              <w:left w:val="nil"/>
              <w:bottom w:val="nil"/>
              <w:right w:val="nil"/>
            </w:tcBorders>
            <w:shd w:val="clear" w:color="auto" w:fill="DEEAF6" w:themeFill="accent5" w:themeFillTint="33"/>
            <w:vAlign w:val="center"/>
            <w:hideMark/>
          </w:tcPr>
          <w:p w14:paraId="34E39B52"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Naturálne sociálne transfery</w:t>
            </w:r>
          </w:p>
        </w:tc>
        <w:tc>
          <w:tcPr>
            <w:tcW w:w="2504" w:type="dxa"/>
            <w:gridSpan w:val="5"/>
            <w:tcBorders>
              <w:top w:val="nil"/>
              <w:left w:val="nil"/>
              <w:bottom w:val="nil"/>
              <w:right w:val="nil"/>
            </w:tcBorders>
            <w:shd w:val="clear" w:color="auto" w:fill="DEEAF6" w:themeFill="accent5" w:themeFillTint="33"/>
            <w:vAlign w:val="center"/>
            <w:hideMark/>
          </w:tcPr>
          <w:p w14:paraId="1ACA788D"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D.632</w:t>
            </w:r>
          </w:p>
        </w:tc>
        <w:tc>
          <w:tcPr>
            <w:tcW w:w="680" w:type="dxa"/>
            <w:gridSpan w:val="2"/>
            <w:tcBorders>
              <w:top w:val="nil"/>
              <w:left w:val="nil"/>
              <w:bottom w:val="nil"/>
              <w:right w:val="nil"/>
            </w:tcBorders>
            <w:shd w:val="clear" w:color="auto" w:fill="DEEAF6" w:themeFill="accent5" w:themeFillTint="33"/>
            <w:vAlign w:val="center"/>
            <w:hideMark/>
          </w:tcPr>
          <w:p w14:paraId="647F71F1" w14:textId="18F39282"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4,2</w:t>
            </w:r>
          </w:p>
        </w:tc>
        <w:tc>
          <w:tcPr>
            <w:tcW w:w="651" w:type="dxa"/>
            <w:tcBorders>
              <w:top w:val="nil"/>
              <w:left w:val="nil"/>
              <w:bottom w:val="nil"/>
              <w:right w:val="nil"/>
            </w:tcBorders>
            <w:shd w:val="clear" w:color="auto" w:fill="DEEAF6" w:themeFill="accent5" w:themeFillTint="33"/>
            <w:vAlign w:val="center"/>
            <w:hideMark/>
          </w:tcPr>
          <w:p w14:paraId="084317A6" w14:textId="5348322F"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3,4</w:t>
            </w:r>
          </w:p>
        </w:tc>
        <w:tc>
          <w:tcPr>
            <w:tcW w:w="704" w:type="dxa"/>
            <w:gridSpan w:val="2"/>
            <w:tcBorders>
              <w:top w:val="nil"/>
              <w:left w:val="nil"/>
              <w:bottom w:val="nil"/>
              <w:right w:val="nil"/>
            </w:tcBorders>
            <w:shd w:val="clear" w:color="auto" w:fill="DEEAF6" w:themeFill="accent5" w:themeFillTint="33"/>
            <w:vAlign w:val="center"/>
            <w:hideMark/>
          </w:tcPr>
          <w:p w14:paraId="10EF00C4" w14:textId="13BA0E51"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3,7</w:t>
            </w:r>
          </w:p>
        </w:tc>
        <w:tc>
          <w:tcPr>
            <w:tcW w:w="651" w:type="dxa"/>
            <w:gridSpan w:val="2"/>
            <w:tcBorders>
              <w:top w:val="nil"/>
              <w:left w:val="nil"/>
              <w:bottom w:val="nil"/>
              <w:right w:val="nil"/>
            </w:tcBorders>
            <w:shd w:val="clear" w:color="auto" w:fill="DEEAF6" w:themeFill="accent5" w:themeFillTint="33"/>
            <w:vAlign w:val="center"/>
            <w:hideMark/>
          </w:tcPr>
          <w:p w14:paraId="3BFD214A"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78F2F5A9"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1BC7562C"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4941A08A"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r>
      <w:tr w:rsidR="00426EDD" w:rsidRPr="009276A2" w14:paraId="0DD4773E"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4686FED9"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17</w:t>
            </w:r>
          </w:p>
        </w:tc>
        <w:tc>
          <w:tcPr>
            <w:tcW w:w="1437" w:type="dxa"/>
            <w:gridSpan w:val="2"/>
            <w:tcBorders>
              <w:top w:val="nil"/>
              <w:left w:val="nil"/>
              <w:bottom w:val="nil"/>
              <w:right w:val="nil"/>
            </w:tcBorders>
            <w:shd w:val="clear" w:color="auto" w:fill="DEEAF6" w:themeFill="accent5" w:themeFillTint="33"/>
            <w:vAlign w:val="center"/>
            <w:hideMark/>
          </w:tcPr>
          <w:p w14:paraId="43EB996F"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Subvencie</w:t>
            </w:r>
          </w:p>
        </w:tc>
        <w:tc>
          <w:tcPr>
            <w:tcW w:w="2504" w:type="dxa"/>
            <w:gridSpan w:val="5"/>
            <w:tcBorders>
              <w:top w:val="nil"/>
              <w:left w:val="nil"/>
              <w:bottom w:val="nil"/>
              <w:right w:val="nil"/>
            </w:tcBorders>
            <w:shd w:val="clear" w:color="auto" w:fill="DEEAF6" w:themeFill="accent5" w:themeFillTint="33"/>
            <w:vAlign w:val="center"/>
            <w:hideMark/>
          </w:tcPr>
          <w:p w14:paraId="4069FF8E"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D.3</w:t>
            </w:r>
          </w:p>
        </w:tc>
        <w:tc>
          <w:tcPr>
            <w:tcW w:w="680" w:type="dxa"/>
            <w:gridSpan w:val="2"/>
            <w:tcBorders>
              <w:top w:val="nil"/>
              <w:left w:val="nil"/>
              <w:bottom w:val="nil"/>
              <w:right w:val="nil"/>
            </w:tcBorders>
            <w:shd w:val="clear" w:color="auto" w:fill="DEEAF6" w:themeFill="accent5" w:themeFillTint="33"/>
            <w:vAlign w:val="center"/>
            <w:hideMark/>
          </w:tcPr>
          <w:p w14:paraId="3D7DC852" w14:textId="63C3F9B6"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4,1</w:t>
            </w:r>
          </w:p>
        </w:tc>
        <w:tc>
          <w:tcPr>
            <w:tcW w:w="651" w:type="dxa"/>
            <w:tcBorders>
              <w:top w:val="nil"/>
              <w:left w:val="nil"/>
              <w:bottom w:val="nil"/>
              <w:right w:val="nil"/>
            </w:tcBorders>
            <w:shd w:val="clear" w:color="auto" w:fill="DEEAF6" w:themeFill="accent5" w:themeFillTint="33"/>
            <w:vAlign w:val="center"/>
            <w:hideMark/>
          </w:tcPr>
          <w:p w14:paraId="1D7AD48C" w14:textId="704FB579"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3,3</w:t>
            </w:r>
          </w:p>
        </w:tc>
        <w:tc>
          <w:tcPr>
            <w:tcW w:w="704" w:type="dxa"/>
            <w:gridSpan w:val="2"/>
            <w:tcBorders>
              <w:top w:val="nil"/>
              <w:left w:val="nil"/>
              <w:bottom w:val="nil"/>
              <w:right w:val="nil"/>
            </w:tcBorders>
            <w:shd w:val="clear" w:color="auto" w:fill="DEEAF6" w:themeFill="accent5" w:themeFillTint="33"/>
            <w:vAlign w:val="center"/>
            <w:hideMark/>
          </w:tcPr>
          <w:p w14:paraId="0C38C1C6" w14:textId="3CF1D48D"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1,6</w:t>
            </w:r>
          </w:p>
        </w:tc>
        <w:tc>
          <w:tcPr>
            <w:tcW w:w="651" w:type="dxa"/>
            <w:gridSpan w:val="2"/>
            <w:tcBorders>
              <w:top w:val="nil"/>
              <w:left w:val="nil"/>
              <w:bottom w:val="nil"/>
              <w:right w:val="nil"/>
            </w:tcBorders>
            <w:shd w:val="clear" w:color="auto" w:fill="DEEAF6" w:themeFill="accent5" w:themeFillTint="33"/>
            <w:vAlign w:val="center"/>
            <w:hideMark/>
          </w:tcPr>
          <w:p w14:paraId="786E8445"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42D545E0"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0AE67121"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458EAECB"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r>
      <w:tr w:rsidR="00426EDD" w:rsidRPr="009276A2" w14:paraId="24BC85A1" w14:textId="77777777" w:rsidTr="00426EDD">
        <w:trPr>
          <w:gridAfter w:val="1"/>
          <w:wAfter w:w="29" w:type="dxa"/>
          <w:trHeight w:val="526"/>
        </w:trPr>
        <w:tc>
          <w:tcPr>
            <w:tcW w:w="339" w:type="dxa"/>
            <w:tcBorders>
              <w:top w:val="nil"/>
              <w:left w:val="nil"/>
              <w:bottom w:val="nil"/>
              <w:right w:val="nil"/>
            </w:tcBorders>
            <w:shd w:val="clear" w:color="auto" w:fill="DEEAF6" w:themeFill="accent5" w:themeFillTint="33"/>
            <w:vAlign w:val="center"/>
            <w:hideMark/>
          </w:tcPr>
          <w:p w14:paraId="2AEF42AB"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18</w:t>
            </w:r>
          </w:p>
        </w:tc>
        <w:tc>
          <w:tcPr>
            <w:tcW w:w="1437" w:type="dxa"/>
            <w:gridSpan w:val="2"/>
            <w:tcBorders>
              <w:top w:val="nil"/>
              <w:left w:val="nil"/>
              <w:bottom w:val="nil"/>
              <w:right w:val="nil"/>
            </w:tcBorders>
            <w:shd w:val="clear" w:color="auto" w:fill="DEEAF6" w:themeFill="accent5" w:themeFillTint="33"/>
            <w:vAlign w:val="center"/>
            <w:hideMark/>
          </w:tcPr>
          <w:p w14:paraId="37DD55FD"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Ostatné bežné transfery</w:t>
            </w:r>
          </w:p>
        </w:tc>
        <w:tc>
          <w:tcPr>
            <w:tcW w:w="2504" w:type="dxa"/>
            <w:gridSpan w:val="5"/>
            <w:tcBorders>
              <w:top w:val="nil"/>
              <w:left w:val="nil"/>
              <w:bottom w:val="nil"/>
              <w:right w:val="nil"/>
            </w:tcBorders>
            <w:shd w:val="clear" w:color="auto" w:fill="DEEAF6" w:themeFill="accent5" w:themeFillTint="33"/>
            <w:vAlign w:val="center"/>
            <w:hideMark/>
          </w:tcPr>
          <w:p w14:paraId="4138A9C5"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D.29+(D.4-D.41)+D.5+D.7+D.8</w:t>
            </w:r>
          </w:p>
        </w:tc>
        <w:tc>
          <w:tcPr>
            <w:tcW w:w="680" w:type="dxa"/>
            <w:gridSpan w:val="2"/>
            <w:tcBorders>
              <w:top w:val="nil"/>
              <w:left w:val="nil"/>
              <w:bottom w:val="nil"/>
              <w:right w:val="nil"/>
            </w:tcBorders>
            <w:shd w:val="clear" w:color="auto" w:fill="DEEAF6" w:themeFill="accent5" w:themeFillTint="33"/>
            <w:vAlign w:val="center"/>
            <w:hideMark/>
          </w:tcPr>
          <w:p w14:paraId="35D5C2C2" w14:textId="2473E6C9"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2,6</w:t>
            </w:r>
          </w:p>
        </w:tc>
        <w:tc>
          <w:tcPr>
            <w:tcW w:w="651" w:type="dxa"/>
            <w:tcBorders>
              <w:top w:val="nil"/>
              <w:left w:val="nil"/>
              <w:bottom w:val="nil"/>
              <w:right w:val="nil"/>
            </w:tcBorders>
            <w:shd w:val="clear" w:color="auto" w:fill="DEEAF6" w:themeFill="accent5" w:themeFillTint="33"/>
            <w:vAlign w:val="center"/>
            <w:hideMark/>
          </w:tcPr>
          <w:p w14:paraId="649D5E4C" w14:textId="0D698464"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2,1</w:t>
            </w:r>
          </w:p>
        </w:tc>
        <w:tc>
          <w:tcPr>
            <w:tcW w:w="704" w:type="dxa"/>
            <w:gridSpan w:val="2"/>
            <w:tcBorders>
              <w:top w:val="nil"/>
              <w:left w:val="nil"/>
              <w:bottom w:val="nil"/>
              <w:right w:val="nil"/>
            </w:tcBorders>
            <w:shd w:val="clear" w:color="auto" w:fill="DEEAF6" w:themeFill="accent5" w:themeFillTint="33"/>
            <w:vAlign w:val="center"/>
            <w:hideMark/>
          </w:tcPr>
          <w:p w14:paraId="043770F1" w14:textId="24089BDD"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2,1</w:t>
            </w:r>
          </w:p>
        </w:tc>
        <w:tc>
          <w:tcPr>
            <w:tcW w:w="651" w:type="dxa"/>
            <w:gridSpan w:val="2"/>
            <w:tcBorders>
              <w:top w:val="nil"/>
              <w:left w:val="nil"/>
              <w:bottom w:val="nil"/>
              <w:right w:val="nil"/>
            </w:tcBorders>
            <w:shd w:val="clear" w:color="auto" w:fill="DEEAF6" w:themeFill="accent5" w:themeFillTint="33"/>
            <w:vAlign w:val="center"/>
            <w:hideMark/>
          </w:tcPr>
          <w:p w14:paraId="5DF46D2B"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050CFD7D"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5E656958"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73873300"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r>
      <w:tr w:rsidR="00426EDD" w:rsidRPr="009276A2" w14:paraId="1F6B8BD0"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6F5F4A6D"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19</w:t>
            </w:r>
          </w:p>
        </w:tc>
        <w:tc>
          <w:tcPr>
            <w:tcW w:w="1437" w:type="dxa"/>
            <w:gridSpan w:val="2"/>
            <w:tcBorders>
              <w:top w:val="nil"/>
              <w:left w:val="nil"/>
              <w:bottom w:val="nil"/>
              <w:right w:val="nil"/>
            </w:tcBorders>
            <w:shd w:val="clear" w:color="auto" w:fill="DEEAF6" w:themeFill="accent5" w:themeFillTint="33"/>
            <w:vAlign w:val="center"/>
            <w:hideMark/>
          </w:tcPr>
          <w:p w14:paraId="35B728BE"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Tvorba hrubého fixného kapitálu</w:t>
            </w:r>
          </w:p>
        </w:tc>
        <w:tc>
          <w:tcPr>
            <w:tcW w:w="2504" w:type="dxa"/>
            <w:gridSpan w:val="5"/>
            <w:tcBorders>
              <w:top w:val="nil"/>
              <w:left w:val="nil"/>
              <w:bottom w:val="nil"/>
              <w:right w:val="nil"/>
            </w:tcBorders>
            <w:shd w:val="clear" w:color="auto" w:fill="DEEAF6" w:themeFill="accent5" w:themeFillTint="33"/>
            <w:vAlign w:val="center"/>
            <w:hideMark/>
          </w:tcPr>
          <w:p w14:paraId="4EA2BF4A"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P.51</w:t>
            </w:r>
          </w:p>
        </w:tc>
        <w:tc>
          <w:tcPr>
            <w:tcW w:w="680" w:type="dxa"/>
            <w:gridSpan w:val="2"/>
            <w:tcBorders>
              <w:top w:val="nil"/>
              <w:left w:val="nil"/>
              <w:bottom w:val="nil"/>
              <w:right w:val="nil"/>
            </w:tcBorders>
            <w:shd w:val="clear" w:color="auto" w:fill="DEEAF6" w:themeFill="accent5" w:themeFillTint="33"/>
            <w:vAlign w:val="center"/>
            <w:hideMark/>
          </w:tcPr>
          <w:p w14:paraId="5491518C" w14:textId="79503537"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5,8</w:t>
            </w:r>
          </w:p>
        </w:tc>
        <w:tc>
          <w:tcPr>
            <w:tcW w:w="651" w:type="dxa"/>
            <w:tcBorders>
              <w:top w:val="nil"/>
              <w:left w:val="nil"/>
              <w:bottom w:val="nil"/>
              <w:right w:val="nil"/>
            </w:tcBorders>
            <w:shd w:val="clear" w:color="auto" w:fill="DEEAF6" w:themeFill="accent5" w:themeFillTint="33"/>
            <w:vAlign w:val="center"/>
            <w:hideMark/>
          </w:tcPr>
          <w:p w14:paraId="65F255A1" w14:textId="15166735"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4,7</w:t>
            </w:r>
          </w:p>
        </w:tc>
        <w:tc>
          <w:tcPr>
            <w:tcW w:w="704" w:type="dxa"/>
            <w:gridSpan w:val="2"/>
            <w:tcBorders>
              <w:top w:val="nil"/>
              <w:left w:val="nil"/>
              <w:bottom w:val="nil"/>
              <w:right w:val="nil"/>
            </w:tcBorders>
            <w:shd w:val="clear" w:color="auto" w:fill="DEEAF6" w:themeFill="accent5" w:themeFillTint="33"/>
            <w:vAlign w:val="center"/>
            <w:hideMark/>
          </w:tcPr>
          <w:p w14:paraId="1CCBDF4D" w14:textId="17822935"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4,1</w:t>
            </w:r>
          </w:p>
        </w:tc>
        <w:tc>
          <w:tcPr>
            <w:tcW w:w="651" w:type="dxa"/>
            <w:gridSpan w:val="2"/>
            <w:tcBorders>
              <w:top w:val="nil"/>
              <w:left w:val="nil"/>
              <w:bottom w:val="nil"/>
              <w:right w:val="nil"/>
            </w:tcBorders>
            <w:shd w:val="clear" w:color="auto" w:fill="DEEAF6" w:themeFill="accent5" w:themeFillTint="33"/>
            <w:vAlign w:val="center"/>
            <w:hideMark/>
          </w:tcPr>
          <w:p w14:paraId="54425055"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0F10B209"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0E8ABEFE"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7BCDC0D4"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r>
      <w:tr w:rsidR="00426EDD" w:rsidRPr="009276A2" w14:paraId="05070404"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7BDF7BB5"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20</w:t>
            </w:r>
          </w:p>
        </w:tc>
        <w:tc>
          <w:tcPr>
            <w:tcW w:w="1437" w:type="dxa"/>
            <w:gridSpan w:val="2"/>
            <w:tcBorders>
              <w:top w:val="nil"/>
              <w:left w:val="nil"/>
              <w:bottom w:val="nil"/>
              <w:right w:val="nil"/>
            </w:tcBorders>
            <w:shd w:val="clear" w:color="auto" w:fill="DEEAF6" w:themeFill="accent5" w:themeFillTint="33"/>
            <w:vAlign w:val="center"/>
            <w:hideMark/>
          </w:tcPr>
          <w:p w14:paraId="4799C417" w14:textId="77777777" w:rsidR="00C1228B" w:rsidRPr="009276A2" w:rsidRDefault="00C1228B" w:rsidP="00616580">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Z toho: Národne financované verejné investície</w:t>
            </w:r>
          </w:p>
        </w:tc>
        <w:tc>
          <w:tcPr>
            <w:tcW w:w="2504" w:type="dxa"/>
            <w:gridSpan w:val="5"/>
            <w:tcBorders>
              <w:top w:val="nil"/>
              <w:left w:val="nil"/>
              <w:bottom w:val="nil"/>
              <w:right w:val="nil"/>
            </w:tcBorders>
            <w:shd w:val="clear" w:color="auto" w:fill="DEEAF6" w:themeFill="accent5" w:themeFillTint="33"/>
            <w:vAlign w:val="center"/>
            <w:hideMark/>
          </w:tcPr>
          <w:p w14:paraId="71049193" w14:textId="77777777" w:rsidR="00C1228B" w:rsidRPr="009276A2" w:rsidRDefault="00C1228B" w:rsidP="00616580">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680" w:type="dxa"/>
            <w:gridSpan w:val="2"/>
            <w:tcBorders>
              <w:top w:val="nil"/>
              <w:left w:val="nil"/>
              <w:bottom w:val="nil"/>
              <w:right w:val="nil"/>
            </w:tcBorders>
            <w:shd w:val="clear" w:color="auto" w:fill="DEEAF6" w:themeFill="accent5" w:themeFillTint="33"/>
            <w:vAlign w:val="center"/>
          </w:tcPr>
          <w:p w14:paraId="5751B1D5" w14:textId="77739EA2" w:rsidR="00C1228B" w:rsidRPr="009276A2" w:rsidRDefault="00A47975" w:rsidP="00616580">
            <w:pPr>
              <w:spacing w:after="0" w:line="240" w:lineRule="auto"/>
              <w:jc w:val="center"/>
              <w:rPr>
                <w:rFonts w:ascii="Arial Narrow" w:eastAsia="Times New Roman" w:hAnsi="Arial Narrow" w:cs="Calibri"/>
                <w:sz w:val="16"/>
                <w:szCs w:val="16"/>
                <w:lang w:eastAsia="sk-SK"/>
              </w:rPr>
            </w:pPr>
            <w:r>
              <w:rPr>
                <w:rFonts w:ascii="Arial Narrow" w:eastAsia="Times New Roman" w:hAnsi="Arial Narrow" w:cs="Calibri"/>
                <w:sz w:val="16"/>
                <w:szCs w:val="16"/>
                <w:lang w:eastAsia="sk-SK"/>
              </w:rPr>
              <w:t>3,1</w:t>
            </w:r>
          </w:p>
        </w:tc>
        <w:tc>
          <w:tcPr>
            <w:tcW w:w="651" w:type="dxa"/>
            <w:tcBorders>
              <w:top w:val="nil"/>
              <w:left w:val="nil"/>
              <w:bottom w:val="nil"/>
              <w:right w:val="nil"/>
            </w:tcBorders>
            <w:shd w:val="clear" w:color="auto" w:fill="DEEAF6" w:themeFill="accent5" w:themeFillTint="33"/>
            <w:vAlign w:val="center"/>
          </w:tcPr>
          <w:p w14:paraId="742014EA" w14:textId="29999886" w:rsidR="00C1228B" w:rsidRPr="009276A2" w:rsidRDefault="00A47975" w:rsidP="00616580">
            <w:pPr>
              <w:spacing w:after="0" w:line="240" w:lineRule="auto"/>
              <w:jc w:val="center"/>
              <w:rPr>
                <w:rFonts w:ascii="Arial Narrow" w:eastAsia="Times New Roman" w:hAnsi="Arial Narrow" w:cs="Calibri"/>
                <w:sz w:val="16"/>
                <w:szCs w:val="16"/>
                <w:lang w:eastAsia="sk-SK"/>
              </w:rPr>
            </w:pPr>
            <w:r>
              <w:rPr>
                <w:rFonts w:ascii="Arial Narrow" w:eastAsia="Times New Roman" w:hAnsi="Arial Narrow" w:cs="Calibri"/>
                <w:sz w:val="16"/>
                <w:szCs w:val="16"/>
                <w:lang w:eastAsia="sk-SK"/>
              </w:rPr>
              <w:t>2,6</w:t>
            </w:r>
          </w:p>
        </w:tc>
        <w:tc>
          <w:tcPr>
            <w:tcW w:w="704" w:type="dxa"/>
            <w:gridSpan w:val="2"/>
            <w:tcBorders>
              <w:top w:val="nil"/>
              <w:left w:val="nil"/>
              <w:bottom w:val="nil"/>
              <w:right w:val="nil"/>
            </w:tcBorders>
            <w:shd w:val="clear" w:color="auto" w:fill="DEEAF6" w:themeFill="accent5" w:themeFillTint="33"/>
            <w:vAlign w:val="center"/>
          </w:tcPr>
          <w:p w14:paraId="0DCF3B5D" w14:textId="047D2746" w:rsidR="00C1228B" w:rsidRPr="00C13411" w:rsidRDefault="00A47975" w:rsidP="00616580">
            <w:pPr>
              <w:spacing w:after="0" w:line="240" w:lineRule="auto"/>
              <w:jc w:val="center"/>
              <w:rPr>
                <w:rFonts w:ascii="Arial Narrow" w:eastAsia="Times New Roman" w:hAnsi="Arial Narrow" w:cs="Calibri"/>
                <w:sz w:val="16"/>
                <w:szCs w:val="16"/>
                <w:lang w:eastAsia="sk-SK"/>
              </w:rPr>
            </w:pPr>
            <w:r>
              <w:rPr>
                <w:rFonts w:ascii="Arial Narrow" w:eastAsia="Times New Roman" w:hAnsi="Arial Narrow" w:cs="Calibri"/>
                <w:sz w:val="16"/>
                <w:szCs w:val="16"/>
                <w:lang w:eastAsia="sk-SK"/>
              </w:rPr>
              <w:t>2,9</w:t>
            </w:r>
          </w:p>
        </w:tc>
        <w:tc>
          <w:tcPr>
            <w:tcW w:w="651" w:type="dxa"/>
            <w:gridSpan w:val="2"/>
            <w:tcBorders>
              <w:top w:val="nil"/>
              <w:left w:val="nil"/>
              <w:bottom w:val="nil"/>
              <w:right w:val="nil"/>
            </w:tcBorders>
            <w:shd w:val="clear" w:color="auto" w:fill="DEEAF6" w:themeFill="accent5" w:themeFillTint="33"/>
            <w:vAlign w:val="center"/>
          </w:tcPr>
          <w:p w14:paraId="6225170E" w14:textId="50584CB2" w:rsidR="00C1228B" w:rsidRPr="00C13411" w:rsidRDefault="00A47975" w:rsidP="00616580">
            <w:pPr>
              <w:spacing w:after="0" w:line="240" w:lineRule="auto"/>
              <w:jc w:val="center"/>
              <w:rPr>
                <w:rFonts w:ascii="Arial Narrow" w:eastAsia="Times New Roman" w:hAnsi="Arial Narrow" w:cs="Calibri"/>
                <w:sz w:val="16"/>
                <w:szCs w:val="16"/>
                <w:lang w:eastAsia="sk-SK"/>
              </w:rPr>
            </w:pPr>
            <w:r>
              <w:rPr>
                <w:rFonts w:ascii="Arial Narrow" w:eastAsia="Times New Roman" w:hAnsi="Arial Narrow" w:cs="Calibri"/>
                <w:sz w:val="16"/>
                <w:szCs w:val="16"/>
                <w:lang w:eastAsia="sk-SK"/>
              </w:rPr>
              <w:t>3,7</w:t>
            </w:r>
          </w:p>
        </w:tc>
        <w:tc>
          <w:tcPr>
            <w:tcW w:w="651" w:type="dxa"/>
            <w:gridSpan w:val="2"/>
            <w:tcBorders>
              <w:top w:val="nil"/>
              <w:left w:val="nil"/>
              <w:bottom w:val="nil"/>
              <w:right w:val="nil"/>
            </w:tcBorders>
            <w:shd w:val="clear" w:color="auto" w:fill="DEEAF6" w:themeFill="accent5" w:themeFillTint="33"/>
            <w:vAlign w:val="center"/>
          </w:tcPr>
          <w:p w14:paraId="43F25DBC" w14:textId="66831F34" w:rsidR="00C1228B" w:rsidRPr="00C13411" w:rsidRDefault="00A47975" w:rsidP="00616580">
            <w:pPr>
              <w:spacing w:after="0" w:line="240" w:lineRule="auto"/>
              <w:jc w:val="center"/>
              <w:rPr>
                <w:rFonts w:ascii="Arial Narrow" w:eastAsia="Times New Roman" w:hAnsi="Arial Narrow" w:cs="Calibri"/>
                <w:sz w:val="16"/>
                <w:szCs w:val="16"/>
                <w:lang w:eastAsia="sk-SK"/>
              </w:rPr>
            </w:pPr>
            <w:r>
              <w:rPr>
                <w:rFonts w:ascii="Arial Narrow" w:eastAsia="Times New Roman" w:hAnsi="Arial Narrow" w:cs="Calibri"/>
                <w:sz w:val="16"/>
                <w:szCs w:val="16"/>
                <w:lang w:eastAsia="sk-SK"/>
              </w:rPr>
              <w:t>3,1</w:t>
            </w:r>
          </w:p>
        </w:tc>
        <w:tc>
          <w:tcPr>
            <w:tcW w:w="651" w:type="dxa"/>
            <w:gridSpan w:val="2"/>
            <w:tcBorders>
              <w:top w:val="nil"/>
              <w:left w:val="nil"/>
              <w:bottom w:val="nil"/>
              <w:right w:val="nil"/>
            </w:tcBorders>
            <w:shd w:val="clear" w:color="auto" w:fill="DEEAF6" w:themeFill="accent5" w:themeFillTint="33"/>
            <w:vAlign w:val="center"/>
          </w:tcPr>
          <w:p w14:paraId="4402D37B" w14:textId="4F51063A" w:rsidR="00C1228B" w:rsidRPr="00C13411" w:rsidRDefault="00A47975" w:rsidP="00616580">
            <w:pPr>
              <w:spacing w:after="0" w:line="240" w:lineRule="auto"/>
              <w:jc w:val="center"/>
              <w:rPr>
                <w:rFonts w:ascii="Arial Narrow" w:eastAsia="Times New Roman" w:hAnsi="Arial Narrow" w:cs="Calibri"/>
                <w:sz w:val="16"/>
                <w:szCs w:val="16"/>
                <w:lang w:eastAsia="sk-SK"/>
              </w:rPr>
            </w:pPr>
            <w:r>
              <w:rPr>
                <w:rFonts w:ascii="Arial Narrow" w:eastAsia="Times New Roman" w:hAnsi="Arial Narrow" w:cs="Calibri"/>
                <w:sz w:val="16"/>
                <w:szCs w:val="16"/>
                <w:lang w:eastAsia="sk-SK"/>
              </w:rPr>
              <w:t>3,0</w:t>
            </w:r>
          </w:p>
        </w:tc>
        <w:tc>
          <w:tcPr>
            <w:tcW w:w="651" w:type="dxa"/>
            <w:gridSpan w:val="2"/>
            <w:tcBorders>
              <w:top w:val="nil"/>
              <w:left w:val="nil"/>
              <w:bottom w:val="nil"/>
              <w:right w:val="nil"/>
            </w:tcBorders>
            <w:shd w:val="clear" w:color="auto" w:fill="DEEAF6" w:themeFill="accent5" w:themeFillTint="33"/>
            <w:vAlign w:val="center"/>
          </w:tcPr>
          <w:p w14:paraId="3B77FBE3" w14:textId="7268ADF8" w:rsidR="00C1228B" w:rsidRPr="00C13411" w:rsidRDefault="00C1228B" w:rsidP="00616580">
            <w:pPr>
              <w:spacing w:after="0" w:line="240" w:lineRule="auto"/>
              <w:jc w:val="center"/>
              <w:rPr>
                <w:rFonts w:ascii="Arial Narrow" w:eastAsia="Times New Roman" w:hAnsi="Arial Narrow" w:cs="Calibri"/>
                <w:sz w:val="16"/>
                <w:szCs w:val="16"/>
                <w:lang w:eastAsia="sk-SK"/>
              </w:rPr>
            </w:pPr>
          </w:p>
        </w:tc>
      </w:tr>
      <w:tr w:rsidR="00426EDD" w:rsidRPr="009276A2" w14:paraId="08546EFE"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7931CB0B"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21</w:t>
            </w:r>
          </w:p>
        </w:tc>
        <w:tc>
          <w:tcPr>
            <w:tcW w:w="1437" w:type="dxa"/>
            <w:gridSpan w:val="2"/>
            <w:tcBorders>
              <w:top w:val="nil"/>
              <w:left w:val="nil"/>
              <w:bottom w:val="nil"/>
              <w:right w:val="nil"/>
            </w:tcBorders>
            <w:shd w:val="clear" w:color="auto" w:fill="DEEAF6" w:themeFill="accent5" w:themeFillTint="33"/>
            <w:vAlign w:val="center"/>
            <w:hideMark/>
          </w:tcPr>
          <w:p w14:paraId="06474AAD"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Kapitálové transfery</w:t>
            </w:r>
          </w:p>
        </w:tc>
        <w:tc>
          <w:tcPr>
            <w:tcW w:w="2504" w:type="dxa"/>
            <w:gridSpan w:val="5"/>
            <w:tcBorders>
              <w:top w:val="nil"/>
              <w:left w:val="nil"/>
              <w:bottom w:val="nil"/>
              <w:right w:val="nil"/>
            </w:tcBorders>
            <w:shd w:val="clear" w:color="auto" w:fill="DEEAF6" w:themeFill="accent5" w:themeFillTint="33"/>
            <w:vAlign w:val="center"/>
            <w:hideMark/>
          </w:tcPr>
          <w:p w14:paraId="7808950D"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D.9</w:t>
            </w:r>
          </w:p>
        </w:tc>
        <w:tc>
          <w:tcPr>
            <w:tcW w:w="680" w:type="dxa"/>
            <w:gridSpan w:val="2"/>
            <w:tcBorders>
              <w:top w:val="nil"/>
              <w:left w:val="nil"/>
              <w:bottom w:val="nil"/>
              <w:right w:val="nil"/>
            </w:tcBorders>
            <w:shd w:val="clear" w:color="auto" w:fill="DEEAF6" w:themeFill="accent5" w:themeFillTint="33"/>
            <w:vAlign w:val="center"/>
            <w:hideMark/>
          </w:tcPr>
          <w:p w14:paraId="7C4B1B7D" w14:textId="34E6E733"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0,7</w:t>
            </w:r>
          </w:p>
        </w:tc>
        <w:tc>
          <w:tcPr>
            <w:tcW w:w="651" w:type="dxa"/>
            <w:tcBorders>
              <w:top w:val="nil"/>
              <w:left w:val="nil"/>
              <w:bottom w:val="nil"/>
              <w:right w:val="nil"/>
            </w:tcBorders>
            <w:shd w:val="clear" w:color="auto" w:fill="DEEAF6" w:themeFill="accent5" w:themeFillTint="33"/>
            <w:vAlign w:val="center"/>
            <w:hideMark/>
          </w:tcPr>
          <w:p w14:paraId="686A8FB5" w14:textId="19405CC8"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0,6</w:t>
            </w:r>
          </w:p>
        </w:tc>
        <w:tc>
          <w:tcPr>
            <w:tcW w:w="704" w:type="dxa"/>
            <w:gridSpan w:val="2"/>
            <w:tcBorders>
              <w:top w:val="nil"/>
              <w:left w:val="nil"/>
              <w:bottom w:val="nil"/>
              <w:right w:val="nil"/>
            </w:tcBorders>
            <w:shd w:val="clear" w:color="auto" w:fill="DEEAF6" w:themeFill="accent5" w:themeFillTint="33"/>
            <w:vAlign w:val="center"/>
            <w:hideMark/>
          </w:tcPr>
          <w:p w14:paraId="5B17F1FD" w14:textId="5534228C"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 </w:t>
            </w:r>
          </w:p>
        </w:tc>
        <w:tc>
          <w:tcPr>
            <w:tcW w:w="651" w:type="dxa"/>
            <w:gridSpan w:val="2"/>
            <w:tcBorders>
              <w:top w:val="nil"/>
              <w:left w:val="nil"/>
              <w:bottom w:val="nil"/>
              <w:right w:val="nil"/>
            </w:tcBorders>
            <w:shd w:val="clear" w:color="auto" w:fill="DEEAF6" w:themeFill="accent5" w:themeFillTint="33"/>
            <w:vAlign w:val="center"/>
            <w:hideMark/>
          </w:tcPr>
          <w:p w14:paraId="40AB4B94"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067F5059"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5D3A292B"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1B4A315D" w14:textId="77777777" w:rsidR="00FC30B1" w:rsidRPr="00C13411" w:rsidRDefault="00FC30B1" w:rsidP="00FC30B1">
            <w:pPr>
              <w:spacing w:after="0" w:line="240" w:lineRule="auto"/>
              <w:jc w:val="center"/>
              <w:rPr>
                <w:rFonts w:ascii="Arial Narrow" w:eastAsia="Times New Roman" w:hAnsi="Arial Narrow" w:cs="Calibri"/>
                <w:sz w:val="16"/>
                <w:szCs w:val="16"/>
                <w:lang w:eastAsia="sk-SK"/>
              </w:rPr>
            </w:pPr>
            <w:r w:rsidRPr="00C13411">
              <w:rPr>
                <w:rFonts w:ascii="Arial Narrow" w:eastAsia="Times New Roman" w:hAnsi="Arial Narrow" w:cs="Calibri"/>
                <w:sz w:val="16"/>
                <w:szCs w:val="16"/>
                <w:lang w:eastAsia="sk-SK"/>
              </w:rPr>
              <w:t> </w:t>
            </w:r>
          </w:p>
        </w:tc>
      </w:tr>
      <w:tr w:rsidR="00426EDD" w:rsidRPr="009276A2" w14:paraId="00382654"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2A32AE36"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22</w:t>
            </w:r>
          </w:p>
        </w:tc>
        <w:tc>
          <w:tcPr>
            <w:tcW w:w="1437" w:type="dxa"/>
            <w:gridSpan w:val="2"/>
            <w:tcBorders>
              <w:top w:val="nil"/>
              <w:left w:val="nil"/>
              <w:bottom w:val="nil"/>
              <w:right w:val="nil"/>
            </w:tcBorders>
            <w:shd w:val="clear" w:color="auto" w:fill="DEEAF6" w:themeFill="accent5" w:themeFillTint="33"/>
            <w:vAlign w:val="center"/>
            <w:hideMark/>
          </w:tcPr>
          <w:p w14:paraId="75522056"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Ostatné kapitálové výdavky</w:t>
            </w:r>
          </w:p>
        </w:tc>
        <w:tc>
          <w:tcPr>
            <w:tcW w:w="2504" w:type="dxa"/>
            <w:gridSpan w:val="5"/>
            <w:tcBorders>
              <w:top w:val="nil"/>
              <w:left w:val="nil"/>
              <w:bottom w:val="nil"/>
              <w:right w:val="nil"/>
            </w:tcBorders>
            <w:shd w:val="clear" w:color="auto" w:fill="DEEAF6" w:themeFill="accent5" w:themeFillTint="33"/>
            <w:vAlign w:val="center"/>
            <w:hideMark/>
          </w:tcPr>
          <w:p w14:paraId="6AAF7176"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P.52+P.53+NP</w:t>
            </w:r>
          </w:p>
        </w:tc>
        <w:tc>
          <w:tcPr>
            <w:tcW w:w="680" w:type="dxa"/>
            <w:gridSpan w:val="2"/>
            <w:tcBorders>
              <w:top w:val="nil"/>
              <w:left w:val="nil"/>
              <w:bottom w:val="nil"/>
              <w:right w:val="nil"/>
            </w:tcBorders>
            <w:shd w:val="clear" w:color="auto" w:fill="DEEAF6" w:themeFill="accent5" w:themeFillTint="33"/>
            <w:vAlign w:val="center"/>
            <w:hideMark/>
          </w:tcPr>
          <w:p w14:paraId="67A09D32" w14:textId="4C1E300C"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-0,3</w:t>
            </w:r>
          </w:p>
        </w:tc>
        <w:tc>
          <w:tcPr>
            <w:tcW w:w="651" w:type="dxa"/>
            <w:tcBorders>
              <w:top w:val="nil"/>
              <w:left w:val="nil"/>
              <w:bottom w:val="nil"/>
              <w:right w:val="nil"/>
            </w:tcBorders>
            <w:shd w:val="clear" w:color="auto" w:fill="DEEAF6" w:themeFill="accent5" w:themeFillTint="33"/>
            <w:vAlign w:val="center"/>
            <w:hideMark/>
          </w:tcPr>
          <w:p w14:paraId="17BB857F" w14:textId="3D26185F"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-0,3</w:t>
            </w:r>
          </w:p>
        </w:tc>
        <w:tc>
          <w:tcPr>
            <w:tcW w:w="704" w:type="dxa"/>
            <w:gridSpan w:val="2"/>
            <w:tcBorders>
              <w:top w:val="nil"/>
              <w:left w:val="nil"/>
              <w:bottom w:val="nil"/>
              <w:right w:val="nil"/>
            </w:tcBorders>
            <w:shd w:val="clear" w:color="auto" w:fill="DEEAF6" w:themeFill="accent5" w:themeFillTint="33"/>
            <w:vAlign w:val="center"/>
            <w:hideMark/>
          </w:tcPr>
          <w:p w14:paraId="0FFD160F" w14:textId="7981D072"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0,9</w:t>
            </w:r>
          </w:p>
        </w:tc>
        <w:tc>
          <w:tcPr>
            <w:tcW w:w="651" w:type="dxa"/>
            <w:gridSpan w:val="2"/>
            <w:tcBorders>
              <w:top w:val="nil"/>
              <w:left w:val="nil"/>
              <w:bottom w:val="nil"/>
              <w:right w:val="nil"/>
            </w:tcBorders>
            <w:shd w:val="clear" w:color="auto" w:fill="DEEAF6" w:themeFill="accent5" w:themeFillTint="33"/>
            <w:vAlign w:val="center"/>
            <w:hideMark/>
          </w:tcPr>
          <w:p w14:paraId="7B43E469"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769E7B5D"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38EF9C4A"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5B4BA650"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426EDD" w:rsidRPr="009276A2" w14:paraId="1D26C23C"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05232123"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23</w:t>
            </w:r>
          </w:p>
        </w:tc>
        <w:tc>
          <w:tcPr>
            <w:tcW w:w="1437" w:type="dxa"/>
            <w:gridSpan w:val="2"/>
            <w:tcBorders>
              <w:top w:val="nil"/>
              <w:left w:val="nil"/>
              <w:bottom w:val="nil"/>
              <w:right w:val="nil"/>
            </w:tcBorders>
            <w:shd w:val="clear" w:color="auto" w:fill="DEEAF6" w:themeFill="accent5" w:themeFillTint="33"/>
            <w:vAlign w:val="center"/>
            <w:hideMark/>
          </w:tcPr>
          <w:p w14:paraId="2FBAED2C" w14:textId="77777777" w:rsidR="00FC30B1" w:rsidRPr="004C1920" w:rsidRDefault="00FC30B1" w:rsidP="00FC30B1">
            <w:pPr>
              <w:spacing w:after="0" w:line="240" w:lineRule="auto"/>
              <w:rPr>
                <w:rFonts w:ascii="Arial Narrow" w:eastAsia="Times New Roman" w:hAnsi="Arial Narrow" w:cs="Calibri"/>
                <w:b/>
                <w:bCs/>
                <w:sz w:val="16"/>
                <w:szCs w:val="16"/>
                <w:lang w:eastAsia="sk-SK"/>
              </w:rPr>
            </w:pPr>
            <w:r w:rsidRPr="004C1920">
              <w:rPr>
                <w:rFonts w:ascii="Arial Narrow" w:eastAsia="Times New Roman" w:hAnsi="Arial Narrow" w:cs="Calibri"/>
                <w:b/>
                <w:bCs/>
                <w:sz w:val="16"/>
                <w:szCs w:val="16"/>
                <w:lang w:eastAsia="sk-SK"/>
              </w:rPr>
              <w:t>Výdavky spolu</w:t>
            </w:r>
          </w:p>
        </w:tc>
        <w:tc>
          <w:tcPr>
            <w:tcW w:w="2504" w:type="dxa"/>
            <w:gridSpan w:val="5"/>
            <w:tcBorders>
              <w:top w:val="nil"/>
              <w:left w:val="nil"/>
              <w:bottom w:val="nil"/>
              <w:right w:val="nil"/>
            </w:tcBorders>
            <w:shd w:val="clear" w:color="auto" w:fill="DEEAF6" w:themeFill="accent5" w:themeFillTint="33"/>
            <w:vAlign w:val="center"/>
            <w:hideMark/>
          </w:tcPr>
          <w:p w14:paraId="31296E56" w14:textId="77777777" w:rsidR="00FC30B1" w:rsidRPr="004C1920" w:rsidRDefault="00FC30B1" w:rsidP="00FC30B1">
            <w:pPr>
              <w:spacing w:after="0" w:line="240" w:lineRule="auto"/>
              <w:rPr>
                <w:rFonts w:ascii="Arial Narrow" w:eastAsia="Times New Roman" w:hAnsi="Arial Narrow" w:cs="Calibri"/>
                <w:b/>
                <w:bCs/>
                <w:sz w:val="16"/>
                <w:szCs w:val="16"/>
                <w:lang w:eastAsia="sk-SK"/>
              </w:rPr>
            </w:pPr>
            <w:r w:rsidRPr="004C1920">
              <w:rPr>
                <w:rFonts w:ascii="Arial Narrow" w:eastAsia="Times New Roman" w:hAnsi="Arial Narrow" w:cs="Calibri"/>
                <w:b/>
                <w:bCs/>
                <w:sz w:val="16"/>
                <w:szCs w:val="16"/>
                <w:lang w:eastAsia="sk-SK"/>
              </w:rPr>
              <w:t>TE</w:t>
            </w:r>
          </w:p>
        </w:tc>
        <w:tc>
          <w:tcPr>
            <w:tcW w:w="680" w:type="dxa"/>
            <w:gridSpan w:val="2"/>
            <w:tcBorders>
              <w:top w:val="nil"/>
              <w:left w:val="nil"/>
              <w:bottom w:val="nil"/>
              <w:right w:val="nil"/>
            </w:tcBorders>
            <w:shd w:val="clear" w:color="auto" w:fill="DEEAF6" w:themeFill="accent5" w:themeFillTint="33"/>
            <w:vAlign w:val="center"/>
            <w:hideMark/>
          </w:tcPr>
          <w:p w14:paraId="1D7AB97D" w14:textId="0426A0C0" w:rsidR="00FC30B1" w:rsidRPr="00A22C01" w:rsidRDefault="00FC30B1" w:rsidP="00FC30B1">
            <w:pPr>
              <w:spacing w:after="0" w:line="240" w:lineRule="auto"/>
              <w:jc w:val="center"/>
              <w:rPr>
                <w:rFonts w:ascii="Arial Narrow" w:eastAsia="Times New Roman" w:hAnsi="Arial Narrow" w:cs="Calibri"/>
                <w:b/>
                <w:bCs/>
                <w:color w:val="000000" w:themeColor="text1"/>
                <w:sz w:val="16"/>
                <w:szCs w:val="16"/>
                <w:lang w:eastAsia="sk-SK"/>
              </w:rPr>
            </w:pPr>
            <w:r w:rsidRPr="00A22C01">
              <w:rPr>
                <w:rFonts w:ascii="Arial Narrow" w:hAnsi="Arial Narrow" w:cs="Calibri"/>
                <w:b/>
                <w:bCs/>
                <w:color w:val="000000" w:themeColor="text1"/>
                <w:sz w:val="16"/>
                <w:szCs w:val="16"/>
              </w:rPr>
              <w:t>58,9</w:t>
            </w:r>
          </w:p>
        </w:tc>
        <w:tc>
          <w:tcPr>
            <w:tcW w:w="651" w:type="dxa"/>
            <w:tcBorders>
              <w:top w:val="nil"/>
              <w:left w:val="nil"/>
              <w:bottom w:val="nil"/>
              <w:right w:val="nil"/>
            </w:tcBorders>
            <w:shd w:val="clear" w:color="auto" w:fill="DEEAF6" w:themeFill="accent5" w:themeFillTint="33"/>
            <w:vAlign w:val="center"/>
            <w:hideMark/>
          </w:tcPr>
          <w:p w14:paraId="082AC33F" w14:textId="58F198A0" w:rsidR="00FC30B1" w:rsidRPr="00A22C01" w:rsidRDefault="00FC30B1" w:rsidP="00FC30B1">
            <w:pPr>
              <w:spacing w:after="0" w:line="240" w:lineRule="auto"/>
              <w:jc w:val="center"/>
              <w:rPr>
                <w:rFonts w:ascii="Arial Narrow" w:eastAsia="Times New Roman" w:hAnsi="Arial Narrow" w:cs="Calibri"/>
                <w:b/>
                <w:bCs/>
                <w:color w:val="000000" w:themeColor="text1"/>
                <w:sz w:val="16"/>
                <w:szCs w:val="16"/>
                <w:lang w:eastAsia="sk-SK"/>
              </w:rPr>
            </w:pPr>
            <w:r w:rsidRPr="00A22C01">
              <w:rPr>
                <w:rFonts w:ascii="Arial Narrow" w:hAnsi="Arial Narrow" w:cs="Calibri"/>
                <w:b/>
                <w:bCs/>
                <w:color w:val="000000" w:themeColor="text1"/>
                <w:sz w:val="16"/>
                <w:szCs w:val="16"/>
              </w:rPr>
              <w:t>47,9</w:t>
            </w:r>
          </w:p>
        </w:tc>
        <w:tc>
          <w:tcPr>
            <w:tcW w:w="704" w:type="dxa"/>
            <w:gridSpan w:val="2"/>
            <w:tcBorders>
              <w:top w:val="nil"/>
              <w:left w:val="nil"/>
              <w:bottom w:val="nil"/>
              <w:right w:val="nil"/>
            </w:tcBorders>
            <w:shd w:val="clear" w:color="auto" w:fill="DEEAF6" w:themeFill="accent5" w:themeFillTint="33"/>
            <w:vAlign w:val="center"/>
            <w:hideMark/>
          </w:tcPr>
          <w:p w14:paraId="6B910703" w14:textId="477918C7" w:rsidR="00FC30B1" w:rsidRPr="00A22C01" w:rsidRDefault="00FC30B1" w:rsidP="00FC30B1">
            <w:pPr>
              <w:spacing w:after="0" w:line="240" w:lineRule="auto"/>
              <w:jc w:val="center"/>
              <w:rPr>
                <w:rFonts w:ascii="Arial Narrow" w:eastAsia="Times New Roman" w:hAnsi="Arial Narrow" w:cs="Calibri"/>
                <w:b/>
                <w:bCs/>
                <w:color w:val="000000" w:themeColor="text1"/>
                <w:sz w:val="16"/>
                <w:szCs w:val="16"/>
                <w:lang w:eastAsia="sk-SK"/>
              </w:rPr>
            </w:pPr>
            <w:r w:rsidRPr="00A22C01">
              <w:rPr>
                <w:rFonts w:ascii="Arial Narrow" w:hAnsi="Arial Narrow" w:cs="Calibri"/>
                <w:b/>
                <w:bCs/>
                <w:color w:val="000000" w:themeColor="text1"/>
                <w:sz w:val="16"/>
                <w:szCs w:val="16"/>
              </w:rPr>
              <w:t>47,5</w:t>
            </w:r>
          </w:p>
        </w:tc>
        <w:tc>
          <w:tcPr>
            <w:tcW w:w="651" w:type="dxa"/>
            <w:gridSpan w:val="2"/>
            <w:tcBorders>
              <w:top w:val="nil"/>
              <w:left w:val="nil"/>
              <w:bottom w:val="nil"/>
              <w:right w:val="nil"/>
            </w:tcBorders>
            <w:shd w:val="clear" w:color="auto" w:fill="DEEAF6" w:themeFill="accent5" w:themeFillTint="33"/>
            <w:vAlign w:val="center"/>
            <w:hideMark/>
          </w:tcPr>
          <w:p w14:paraId="35C6EC59"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2B65E3EE"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7EE5F3E1"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56C9F772"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426EDD" w:rsidRPr="009276A2" w14:paraId="1E94BD12"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72F627E6"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24</w:t>
            </w:r>
          </w:p>
        </w:tc>
        <w:tc>
          <w:tcPr>
            <w:tcW w:w="1437" w:type="dxa"/>
            <w:gridSpan w:val="2"/>
            <w:tcBorders>
              <w:top w:val="nil"/>
              <w:left w:val="nil"/>
              <w:bottom w:val="nil"/>
              <w:right w:val="nil"/>
            </w:tcBorders>
            <w:shd w:val="clear" w:color="auto" w:fill="DEEAF6" w:themeFill="accent5" w:themeFillTint="33"/>
            <w:vAlign w:val="center"/>
            <w:hideMark/>
          </w:tcPr>
          <w:p w14:paraId="686593EB"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Z toho: Výdavky financované z transferov z EÚ (=8)</w:t>
            </w:r>
          </w:p>
        </w:tc>
        <w:tc>
          <w:tcPr>
            <w:tcW w:w="2504" w:type="dxa"/>
            <w:gridSpan w:val="5"/>
            <w:tcBorders>
              <w:top w:val="nil"/>
              <w:left w:val="nil"/>
              <w:bottom w:val="nil"/>
              <w:right w:val="nil"/>
            </w:tcBorders>
            <w:shd w:val="clear" w:color="auto" w:fill="DEEAF6" w:themeFill="accent5" w:themeFillTint="33"/>
            <w:vAlign w:val="center"/>
            <w:hideMark/>
          </w:tcPr>
          <w:p w14:paraId="1BE897D5"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D.7EU+D.9EU</w:t>
            </w:r>
          </w:p>
        </w:tc>
        <w:tc>
          <w:tcPr>
            <w:tcW w:w="680" w:type="dxa"/>
            <w:gridSpan w:val="2"/>
            <w:tcBorders>
              <w:top w:val="nil"/>
              <w:left w:val="nil"/>
              <w:bottom w:val="nil"/>
              <w:right w:val="nil"/>
            </w:tcBorders>
            <w:shd w:val="clear" w:color="auto" w:fill="DEEAF6" w:themeFill="accent5" w:themeFillTint="33"/>
            <w:vAlign w:val="center"/>
            <w:hideMark/>
          </w:tcPr>
          <w:p w14:paraId="45158AB7" w14:textId="0BB85E4B"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4,0</w:t>
            </w:r>
          </w:p>
        </w:tc>
        <w:tc>
          <w:tcPr>
            <w:tcW w:w="651" w:type="dxa"/>
            <w:tcBorders>
              <w:top w:val="nil"/>
              <w:left w:val="nil"/>
              <w:bottom w:val="nil"/>
              <w:right w:val="nil"/>
            </w:tcBorders>
            <w:shd w:val="clear" w:color="auto" w:fill="DEEAF6" w:themeFill="accent5" w:themeFillTint="33"/>
            <w:vAlign w:val="center"/>
            <w:hideMark/>
          </w:tcPr>
          <w:p w14:paraId="66775B21" w14:textId="3B06081D"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3,2</w:t>
            </w:r>
          </w:p>
        </w:tc>
        <w:tc>
          <w:tcPr>
            <w:tcW w:w="704" w:type="dxa"/>
            <w:gridSpan w:val="2"/>
            <w:tcBorders>
              <w:top w:val="nil"/>
              <w:left w:val="nil"/>
              <w:bottom w:val="nil"/>
              <w:right w:val="nil"/>
            </w:tcBorders>
            <w:shd w:val="clear" w:color="auto" w:fill="DEEAF6" w:themeFill="accent5" w:themeFillTint="33"/>
            <w:vAlign w:val="center"/>
            <w:hideMark/>
          </w:tcPr>
          <w:p w14:paraId="0BEFFA3A" w14:textId="71720218"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2,0</w:t>
            </w:r>
          </w:p>
        </w:tc>
        <w:tc>
          <w:tcPr>
            <w:tcW w:w="651" w:type="dxa"/>
            <w:gridSpan w:val="2"/>
            <w:tcBorders>
              <w:top w:val="nil"/>
              <w:left w:val="nil"/>
              <w:bottom w:val="nil"/>
              <w:right w:val="nil"/>
            </w:tcBorders>
            <w:shd w:val="clear" w:color="auto" w:fill="DEEAF6" w:themeFill="accent5" w:themeFillTint="33"/>
            <w:vAlign w:val="center"/>
            <w:hideMark/>
          </w:tcPr>
          <w:p w14:paraId="105F3281"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2F213184"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277566B4"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5DF1C162"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426EDD" w:rsidRPr="009276A2" w14:paraId="71F262A6"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4B2627AA"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25</w:t>
            </w:r>
          </w:p>
        </w:tc>
        <w:tc>
          <w:tcPr>
            <w:tcW w:w="1437" w:type="dxa"/>
            <w:gridSpan w:val="2"/>
            <w:tcBorders>
              <w:top w:val="nil"/>
              <w:left w:val="nil"/>
              <w:bottom w:val="nil"/>
              <w:right w:val="nil"/>
            </w:tcBorders>
            <w:shd w:val="clear" w:color="auto" w:fill="DEEAF6" w:themeFill="accent5" w:themeFillTint="33"/>
            <w:vAlign w:val="center"/>
            <w:hideMark/>
          </w:tcPr>
          <w:p w14:paraId="11CC9394"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Národne financované výdavky (23-24)</w:t>
            </w:r>
          </w:p>
        </w:tc>
        <w:tc>
          <w:tcPr>
            <w:tcW w:w="2504" w:type="dxa"/>
            <w:gridSpan w:val="5"/>
            <w:tcBorders>
              <w:top w:val="nil"/>
              <w:left w:val="nil"/>
              <w:bottom w:val="nil"/>
              <w:right w:val="nil"/>
            </w:tcBorders>
            <w:shd w:val="clear" w:color="auto" w:fill="DEEAF6" w:themeFill="accent5" w:themeFillTint="33"/>
            <w:vAlign w:val="center"/>
            <w:hideMark/>
          </w:tcPr>
          <w:p w14:paraId="7046610A"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680" w:type="dxa"/>
            <w:gridSpan w:val="2"/>
            <w:tcBorders>
              <w:top w:val="nil"/>
              <w:left w:val="nil"/>
              <w:bottom w:val="nil"/>
              <w:right w:val="nil"/>
            </w:tcBorders>
            <w:shd w:val="clear" w:color="auto" w:fill="DEEAF6" w:themeFill="accent5" w:themeFillTint="33"/>
            <w:vAlign w:val="center"/>
            <w:hideMark/>
          </w:tcPr>
          <w:p w14:paraId="5705B963" w14:textId="3DC75073"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54,9</w:t>
            </w:r>
          </w:p>
        </w:tc>
        <w:tc>
          <w:tcPr>
            <w:tcW w:w="651" w:type="dxa"/>
            <w:tcBorders>
              <w:top w:val="nil"/>
              <w:left w:val="nil"/>
              <w:bottom w:val="nil"/>
              <w:right w:val="nil"/>
            </w:tcBorders>
            <w:shd w:val="clear" w:color="auto" w:fill="DEEAF6" w:themeFill="accent5" w:themeFillTint="33"/>
            <w:vAlign w:val="center"/>
            <w:hideMark/>
          </w:tcPr>
          <w:p w14:paraId="11A5F571" w14:textId="22661DD3"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44,7</w:t>
            </w:r>
          </w:p>
        </w:tc>
        <w:tc>
          <w:tcPr>
            <w:tcW w:w="704" w:type="dxa"/>
            <w:gridSpan w:val="2"/>
            <w:tcBorders>
              <w:top w:val="nil"/>
              <w:left w:val="nil"/>
              <w:bottom w:val="nil"/>
              <w:right w:val="nil"/>
            </w:tcBorders>
            <w:shd w:val="clear" w:color="auto" w:fill="DEEAF6" w:themeFill="accent5" w:themeFillTint="33"/>
            <w:vAlign w:val="center"/>
            <w:hideMark/>
          </w:tcPr>
          <w:p w14:paraId="26C5A7CD" w14:textId="4292FD85"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45,5</w:t>
            </w:r>
          </w:p>
        </w:tc>
        <w:tc>
          <w:tcPr>
            <w:tcW w:w="651" w:type="dxa"/>
            <w:gridSpan w:val="2"/>
            <w:tcBorders>
              <w:top w:val="nil"/>
              <w:left w:val="nil"/>
              <w:bottom w:val="nil"/>
              <w:right w:val="nil"/>
            </w:tcBorders>
            <w:shd w:val="clear" w:color="auto" w:fill="DEEAF6" w:themeFill="accent5" w:themeFillTint="33"/>
            <w:vAlign w:val="center"/>
            <w:hideMark/>
          </w:tcPr>
          <w:p w14:paraId="07C31C59"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632330A3"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580DC0CB"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22AA14F3"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426EDD" w:rsidRPr="009276A2" w14:paraId="675185CD"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7ABF793B"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26</w:t>
            </w:r>
          </w:p>
        </w:tc>
        <w:tc>
          <w:tcPr>
            <w:tcW w:w="1437" w:type="dxa"/>
            <w:gridSpan w:val="2"/>
            <w:tcBorders>
              <w:top w:val="nil"/>
              <w:left w:val="nil"/>
              <w:bottom w:val="nil"/>
              <w:right w:val="nil"/>
            </w:tcBorders>
            <w:shd w:val="clear" w:color="auto" w:fill="DEEAF6" w:themeFill="accent5" w:themeFillTint="33"/>
            <w:vAlign w:val="center"/>
            <w:hideMark/>
          </w:tcPr>
          <w:p w14:paraId="1E9AC140"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p.m. Národne kofinancovanie fondov EÚ</w:t>
            </w:r>
          </w:p>
        </w:tc>
        <w:tc>
          <w:tcPr>
            <w:tcW w:w="2504" w:type="dxa"/>
            <w:gridSpan w:val="5"/>
            <w:tcBorders>
              <w:top w:val="nil"/>
              <w:left w:val="nil"/>
              <w:bottom w:val="nil"/>
              <w:right w:val="nil"/>
            </w:tcBorders>
            <w:shd w:val="clear" w:color="auto" w:fill="DEEAF6" w:themeFill="accent5" w:themeFillTint="33"/>
            <w:vAlign w:val="center"/>
            <w:hideMark/>
          </w:tcPr>
          <w:p w14:paraId="31F46E9F"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680" w:type="dxa"/>
            <w:gridSpan w:val="2"/>
            <w:tcBorders>
              <w:top w:val="nil"/>
              <w:left w:val="nil"/>
              <w:bottom w:val="nil"/>
              <w:right w:val="nil"/>
            </w:tcBorders>
            <w:shd w:val="clear" w:color="auto" w:fill="DEEAF6" w:themeFill="accent5" w:themeFillTint="33"/>
            <w:vAlign w:val="center"/>
            <w:hideMark/>
          </w:tcPr>
          <w:p w14:paraId="09449059" w14:textId="1C14B74D"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0,6</w:t>
            </w:r>
          </w:p>
        </w:tc>
        <w:tc>
          <w:tcPr>
            <w:tcW w:w="651" w:type="dxa"/>
            <w:tcBorders>
              <w:top w:val="nil"/>
              <w:left w:val="nil"/>
              <w:bottom w:val="nil"/>
              <w:right w:val="nil"/>
            </w:tcBorders>
            <w:shd w:val="clear" w:color="auto" w:fill="DEEAF6" w:themeFill="accent5" w:themeFillTint="33"/>
            <w:vAlign w:val="center"/>
            <w:hideMark/>
          </w:tcPr>
          <w:p w14:paraId="26625DDB" w14:textId="61C8D299"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0,5</w:t>
            </w:r>
          </w:p>
        </w:tc>
        <w:tc>
          <w:tcPr>
            <w:tcW w:w="704" w:type="dxa"/>
            <w:gridSpan w:val="2"/>
            <w:tcBorders>
              <w:top w:val="nil"/>
              <w:left w:val="nil"/>
              <w:bottom w:val="nil"/>
              <w:right w:val="nil"/>
            </w:tcBorders>
            <w:shd w:val="clear" w:color="auto" w:fill="DEEAF6" w:themeFill="accent5" w:themeFillTint="33"/>
            <w:vAlign w:val="center"/>
            <w:hideMark/>
          </w:tcPr>
          <w:p w14:paraId="26B764E4" w14:textId="70441850" w:rsidR="00FC30B1" w:rsidRPr="00A22C01" w:rsidRDefault="00A578D7" w:rsidP="00FC30B1">
            <w:pPr>
              <w:spacing w:after="0" w:line="240" w:lineRule="auto"/>
              <w:jc w:val="center"/>
              <w:rPr>
                <w:rFonts w:ascii="Arial Narrow" w:eastAsia="Times New Roman" w:hAnsi="Arial Narrow" w:cs="Calibri"/>
                <w:color w:val="000000" w:themeColor="text1"/>
                <w:sz w:val="16"/>
                <w:szCs w:val="16"/>
                <w:lang w:eastAsia="sk-SK"/>
              </w:rPr>
            </w:pPr>
            <w:r>
              <w:rPr>
                <w:rFonts w:ascii="Arial Narrow" w:hAnsi="Arial Narrow" w:cs="Calibri"/>
                <w:color w:val="000000" w:themeColor="text1"/>
                <w:sz w:val="16"/>
                <w:szCs w:val="16"/>
              </w:rPr>
              <w:t>0,4</w:t>
            </w:r>
            <w:r w:rsidR="00FC30B1" w:rsidRPr="00A22C01">
              <w:rPr>
                <w:rFonts w:ascii="Arial Narrow" w:hAnsi="Arial Narrow" w:cs="Calibri"/>
                <w:color w:val="000000" w:themeColor="text1"/>
                <w:sz w:val="16"/>
                <w:szCs w:val="16"/>
              </w:rPr>
              <w:t> </w:t>
            </w:r>
          </w:p>
        </w:tc>
        <w:tc>
          <w:tcPr>
            <w:tcW w:w="651" w:type="dxa"/>
            <w:gridSpan w:val="2"/>
            <w:tcBorders>
              <w:top w:val="nil"/>
              <w:left w:val="nil"/>
              <w:bottom w:val="nil"/>
              <w:right w:val="nil"/>
            </w:tcBorders>
            <w:shd w:val="clear" w:color="auto" w:fill="DEEAF6" w:themeFill="accent5" w:themeFillTint="33"/>
            <w:vAlign w:val="center"/>
            <w:hideMark/>
          </w:tcPr>
          <w:p w14:paraId="64A6397F"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57F89F97"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780F579E"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7FA13A96"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426EDD" w:rsidRPr="009276A2" w14:paraId="3BE9AC39"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3D86E64F"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27</w:t>
            </w:r>
          </w:p>
        </w:tc>
        <w:tc>
          <w:tcPr>
            <w:tcW w:w="1437" w:type="dxa"/>
            <w:gridSpan w:val="2"/>
            <w:tcBorders>
              <w:top w:val="nil"/>
              <w:left w:val="nil"/>
              <w:bottom w:val="nil"/>
              <w:right w:val="nil"/>
            </w:tcBorders>
            <w:shd w:val="clear" w:color="auto" w:fill="DEEAF6" w:themeFill="accent5" w:themeFillTint="33"/>
            <w:vAlign w:val="center"/>
            <w:hideMark/>
          </w:tcPr>
          <w:p w14:paraId="7B3E408F"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p.m. Cyklický komponent dávok v nezamestnanosti</w:t>
            </w:r>
          </w:p>
        </w:tc>
        <w:tc>
          <w:tcPr>
            <w:tcW w:w="2504" w:type="dxa"/>
            <w:gridSpan w:val="5"/>
            <w:tcBorders>
              <w:top w:val="nil"/>
              <w:left w:val="nil"/>
              <w:bottom w:val="nil"/>
              <w:right w:val="nil"/>
            </w:tcBorders>
            <w:shd w:val="clear" w:color="auto" w:fill="DEEAF6" w:themeFill="accent5" w:themeFillTint="33"/>
            <w:vAlign w:val="center"/>
            <w:hideMark/>
          </w:tcPr>
          <w:p w14:paraId="1E3FA251"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680" w:type="dxa"/>
            <w:gridSpan w:val="2"/>
            <w:tcBorders>
              <w:top w:val="nil"/>
              <w:left w:val="nil"/>
              <w:bottom w:val="nil"/>
              <w:right w:val="nil"/>
            </w:tcBorders>
            <w:shd w:val="clear" w:color="auto" w:fill="DEEAF6" w:themeFill="accent5" w:themeFillTint="33"/>
            <w:vAlign w:val="center"/>
            <w:hideMark/>
          </w:tcPr>
          <w:p w14:paraId="0A42B45A" w14:textId="7F65A201"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0,0</w:t>
            </w:r>
          </w:p>
        </w:tc>
        <w:tc>
          <w:tcPr>
            <w:tcW w:w="651" w:type="dxa"/>
            <w:tcBorders>
              <w:top w:val="nil"/>
              <w:left w:val="nil"/>
              <w:bottom w:val="nil"/>
              <w:right w:val="nil"/>
            </w:tcBorders>
            <w:shd w:val="clear" w:color="auto" w:fill="DEEAF6" w:themeFill="accent5" w:themeFillTint="33"/>
            <w:vAlign w:val="center"/>
            <w:hideMark/>
          </w:tcPr>
          <w:p w14:paraId="3C0D99A4" w14:textId="790504C2"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0,0</w:t>
            </w:r>
          </w:p>
        </w:tc>
        <w:tc>
          <w:tcPr>
            <w:tcW w:w="704" w:type="dxa"/>
            <w:gridSpan w:val="2"/>
            <w:tcBorders>
              <w:top w:val="nil"/>
              <w:left w:val="nil"/>
              <w:bottom w:val="nil"/>
              <w:right w:val="nil"/>
            </w:tcBorders>
            <w:shd w:val="clear" w:color="auto" w:fill="DEEAF6" w:themeFill="accent5" w:themeFillTint="33"/>
            <w:vAlign w:val="center"/>
            <w:hideMark/>
          </w:tcPr>
          <w:p w14:paraId="70CC0436" w14:textId="5094852E"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 </w:t>
            </w:r>
            <w:r w:rsidR="00A578D7">
              <w:rPr>
                <w:rFonts w:ascii="Arial Narrow" w:hAnsi="Arial Narrow" w:cs="Calibri"/>
                <w:color w:val="000000" w:themeColor="text1"/>
                <w:sz w:val="16"/>
                <w:szCs w:val="16"/>
              </w:rPr>
              <w:t>0,0</w:t>
            </w:r>
          </w:p>
        </w:tc>
        <w:tc>
          <w:tcPr>
            <w:tcW w:w="651" w:type="dxa"/>
            <w:gridSpan w:val="2"/>
            <w:tcBorders>
              <w:top w:val="nil"/>
              <w:left w:val="nil"/>
              <w:bottom w:val="nil"/>
              <w:right w:val="nil"/>
            </w:tcBorders>
            <w:shd w:val="clear" w:color="auto" w:fill="DEEAF6" w:themeFill="accent5" w:themeFillTint="33"/>
            <w:vAlign w:val="center"/>
            <w:hideMark/>
          </w:tcPr>
          <w:p w14:paraId="5DCA9170"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3F3A5F69"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3D6B244C"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525C59B1"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426EDD" w:rsidRPr="009276A2" w14:paraId="114BA3AB"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0E80E725"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28</w:t>
            </w:r>
          </w:p>
        </w:tc>
        <w:tc>
          <w:tcPr>
            <w:tcW w:w="1437" w:type="dxa"/>
            <w:gridSpan w:val="2"/>
            <w:tcBorders>
              <w:top w:val="nil"/>
              <w:left w:val="nil"/>
              <w:bottom w:val="nil"/>
              <w:right w:val="nil"/>
            </w:tcBorders>
            <w:shd w:val="clear" w:color="auto" w:fill="DEEAF6" w:themeFill="accent5" w:themeFillTint="33"/>
            <w:vAlign w:val="center"/>
            <w:hideMark/>
          </w:tcPr>
          <w:p w14:paraId="02302128"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p.m. Jednorazové výdavky zahrnuté v projekcii (level)</w:t>
            </w:r>
          </w:p>
        </w:tc>
        <w:tc>
          <w:tcPr>
            <w:tcW w:w="2504" w:type="dxa"/>
            <w:gridSpan w:val="5"/>
            <w:tcBorders>
              <w:top w:val="nil"/>
              <w:left w:val="nil"/>
              <w:bottom w:val="nil"/>
              <w:right w:val="nil"/>
            </w:tcBorders>
            <w:shd w:val="clear" w:color="auto" w:fill="DEEAF6" w:themeFill="accent5" w:themeFillTint="33"/>
            <w:vAlign w:val="center"/>
            <w:hideMark/>
          </w:tcPr>
          <w:p w14:paraId="0B749D2D"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680" w:type="dxa"/>
            <w:gridSpan w:val="2"/>
            <w:tcBorders>
              <w:top w:val="nil"/>
              <w:left w:val="nil"/>
              <w:bottom w:val="nil"/>
              <w:right w:val="nil"/>
            </w:tcBorders>
            <w:shd w:val="clear" w:color="auto" w:fill="DEEAF6" w:themeFill="accent5" w:themeFillTint="33"/>
            <w:vAlign w:val="center"/>
            <w:hideMark/>
          </w:tcPr>
          <w:p w14:paraId="13BE902F" w14:textId="6CC6158B"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0,0</w:t>
            </w:r>
          </w:p>
        </w:tc>
        <w:tc>
          <w:tcPr>
            <w:tcW w:w="651" w:type="dxa"/>
            <w:tcBorders>
              <w:top w:val="nil"/>
              <w:left w:val="nil"/>
              <w:bottom w:val="nil"/>
              <w:right w:val="nil"/>
            </w:tcBorders>
            <w:shd w:val="clear" w:color="auto" w:fill="DEEAF6" w:themeFill="accent5" w:themeFillTint="33"/>
            <w:vAlign w:val="center"/>
            <w:hideMark/>
          </w:tcPr>
          <w:p w14:paraId="10AE1477" w14:textId="06355B8D"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0,0</w:t>
            </w:r>
          </w:p>
        </w:tc>
        <w:tc>
          <w:tcPr>
            <w:tcW w:w="704" w:type="dxa"/>
            <w:gridSpan w:val="2"/>
            <w:tcBorders>
              <w:top w:val="nil"/>
              <w:left w:val="nil"/>
              <w:bottom w:val="nil"/>
              <w:right w:val="nil"/>
            </w:tcBorders>
            <w:shd w:val="clear" w:color="auto" w:fill="DEEAF6" w:themeFill="accent5" w:themeFillTint="33"/>
            <w:vAlign w:val="center"/>
            <w:hideMark/>
          </w:tcPr>
          <w:p w14:paraId="0153C2B5" w14:textId="4805F2FC"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 </w:t>
            </w:r>
            <w:r w:rsidR="00A578D7">
              <w:rPr>
                <w:rFonts w:ascii="Arial Narrow" w:hAnsi="Arial Narrow" w:cs="Calibri"/>
                <w:color w:val="000000" w:themeColor="text1"/>
                <w:sz w:val="16"/>
                <w:szCs w:val="16"/>
              </w:rPr>
              <w:t>0,0</w:t>
            </w:r>
          </w:p>
        </w:tc>
        <w:tc>
          <w:tcPr>
            <w:tcW w:w="651" w:type="dxa"/>
            <w:gridSpan w:val="2"/>
            <w:tcBorders>
              <w:top w:val="nil"/>
              <w:left w:val="nil"/>
              <w:bottom w:val="nil"/>
              <w:right w:val="nil"/>
            </w:tcBorders>
            <w:shd w:val="clear" w:color="auto" w:fill="DEEAF6" w:themeFill="accent5" w:themeFillTint="33"/>
            <w:vAlign w:val="center"/>
            <w:hideMark/>
          </w:tcPr>
          <w:p w14:paraId="05614EB2"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0114AF97"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11A0DB91"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6313FFDD"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426EDD" w:rsidRPr="009276A2" w14:paraId="59245525"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1DD29D8E"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29</w:t>
            </w:r>
          </w:p>
        </w:tc>
        <w:tc>
          <w:tcPr>
            <w:tcW w:w="1437" w:type="dxa"/>
            <w:gridSpan w:val="2"/>
            <w:tcBorders>
              <w:top w:val="nil"/>
              <w:left w:val="nil"/>
              <w:bottom w:val="nil"/>
              <w:right w:val="nil"/>
            </w:tcBorders>
            <w:shd w:val="clear" w:color="auto" w:fill="DEEAF6" w:themeFill="accent5" w:themeFillTint="33"/>
            <w:vAlign w:val="center"/>
            <w:hideMark/>
          </w:tcPr>
          <w:p w14:paraId="33F32089"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Čisté národne financované primárne výdavky (pred príjmovými opatreniami (=25-26-27-28-14)</w:t>
            </w:r>
          </w:p>
        </w:tc>
        <w:tc>
          <w:tcPr>
            <w:tcW w:w="2504" w:type="dxa"/>
            <w:gridSpan w:val="5"/>
            <w:tcBorders>
              <w:top w:val="nil"/>
              <w:left w:val="nil"/>
              <w:bottom w:val="nil"/>
              <w:right w:val="nil"/>
            </w:tcBorders>
            <w:shd w:val="clear" w:color="auto" w:fill="DEEAF6" w:themeFill="accent5" w:themeFillTint="33"/>
            <w:vAlign w:val="center"/>
            <w:hideMark/>
          </w:tcPr>
          <w:p w14:paraId="1133FA58" w14:textId="77777777" w:rsidR="00FC30B1" w:rsidRPr="009276A2" w:rsidRDefault="00FC30B1" w:rsidP="00FC30B1">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680" w:type="dxa"/>
            <w:gridSpan w:val="2"/>
            <w:tcBorders>
              <w:top w:val="nil"/>
              <w:left w:val="nil"/>
              <w:bottom w:val="nil"/>
              <w:right w:val="nil"/>
            </w:tcBorders>
            <w:shd w:val="clear" w:color="auto" w:fill="DEEAF6" w:themeFill="accent5" w:themeFillTint="33"/>
            <w:vAlign w:val="center"/>
            <w:hideMark/>
          </w:tcPr>
          <w:p w14:paraId="1217BBE4" w14:textId="27478152"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52,8</w:t>
            </w:r>
          </w:p>
        </w:tc>
        <w:tc>
          <w:tcPr>
            <w:tcW w:w="651" w:type="dxa"/>
            <w:tcBorders>
              <w:top w:val="nil"/>
              <w:left w:val="nil"/>
              <w:bottom w:val="nil"/>
              <w:right w:val="nil"/>
            </w:tcBorders>
            <w:shd w:val="clear" w:color="auto" w:fill="DEEAF6" w:themeFill="accent5" w:themeFillTint="33"/>
            <w:vAlign w:val="center"/>
            <w:hideMark/>
          </w:tcPr>
          <w:p w14:paraId="338FDCF7" w14:textId="7D38DD1C" w:rsidR="00FC30B1" w:rsidRPr="00A22C01" w:rsidRDefault="00FC30B1" w:rsidP="00FC30B1">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43,0</w:t>
            </w:r>
          </w:p>
        </w:tc>
        <w:tc>
          <w:tcPr>
            <w:tcW w:w="704" w:type="dxa"/>
            <w:gridSpan w:val="2"/>
            <w:tcBorders>
              <w:top w:val="nil"/>
              <w:left w:val="nil"/>
              <w:bottom w:val="nil"/>
              <w:right w:val="nil"/>
            </w:tcBorders>
            <w:shd w:val="clear" w:color="auto" w:fill="DEEAF6" w:themeFill="accent5" w:themeFillTint="33"/>
            <w:vAlign w:val="center"/>
            <w:hideMark/>
          </w:tcPr>
          <w:p w14:paraId="311CBFFB" w14:textId="09876F77" w:rsidR="00FC30B1" w:rsidRPr="00A22C01" w:rsidRDefault="00A578D7" w:rsidP="00FC30B1">
            <w:pPr>
              <w:spacing w:after="0" w:line="240" w:lineRule="auto"/>
              <w:jc w:val="center"/>
              <w:rPr>
                <w:rFonts w:ascii="Arial Narrow" w:eastAsia="Times New Roman" w:hAnsi="Arial Narrow" w:cs="Calibri"/>
                <w:color w:val="000000" w:themeColor="text1"/>
                <w:sz w:val="16"/>
                <w:szCs w:val="16"/>
                <w:lang w:eastAsia="sk-SK"/>
              </w:rPr>
            </w:pPr>
            <w:r>
              <w:rPr>
                <w:rFonts w:ascii="Arial Narrow" w:hAnsi="Arial Narrow" w:cs="Calibri"/>
                <w:color w:val="000000" w:themeColor="text1"/>
                <w:sz w:val="16"/>
                <w:szCs w:val="16"/>
              </w:rPr>
              <w:t>43,8</w:t>
            </w:r>
            <w:r w:rsidR="00FC30B1" w:rsidRPr="00A22C01">
              <w:rPr>
                <w:rFonts w:ascii="Arial Narrow" w:hAnsi="Arial Narrow" w:cs="Calibri"/>
                <w:color w:val="000000" w:themeColor="text1"/>
                <w:sz w:val="16"/>
                <w:szCs w:val="16"/>
              </w:rPr>
              <w:t> </w:t>
            </w:r>
          </w:p>
        </w:tc>
        <w:tc>
          <w:tcPr>
            <w:tcW w:w="651" w:type="dxa"/>
            <w:gridSpan w:val="2"/>
            <w:tcBorders>
              <w:top w:val="nil"/>
              <w:left w:val="nil"/>
              <w:bottom w:val="nil"/>
              <w:right w:val="nil"/>
            </w:tcBorders>
            <w:shd w:val="clear" w:color="auto" w:fill="DEEAF6" w:themeFill="accent5" w:themeFillTint="33"/>
            <w:vAlign w:val="center"/>
            <w:hideMark/>
          </w:tcPr>
          <w:p w14:paraId="36FDC844"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40F8A881"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1E652180"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c>
          <w:tcPr>
            <w:tcW w:w="651" w:type="dxa"/>
            <w:gridSpan w:val="2"/>
            <w:tcBorders>
              <w:top w:val="nil"/>
              <w:left w:val="nil"/>
              <w:bottom w:val="nil"/>
              <w:right w:val="nil"/>
            </w:tcBorders>
            <w:shd w:val="clear" w:color="auto" w:fill="DEEAF6" w:themeFill="accent5" w:themeFillTint="33"/>
            <w:vAlign w:val="center"/>
            <w:hideMark/>
          </w:tcPr>
          <w:p w14:paraId="28C2EDAA" w14:textId="77777777" w:rsidR="00FC30B1" w:rsidRPr="009276A2" w:rsidRDefault="00FC30B1" w:rsidP="00FC30B1">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w:t>
            </w:r>
          </w:p>
        </w:tc>
      </w:tr>
      <w:tr w:rsidR="00C1228B" w:rsidRPr="009276A2" w14:paraId="190C77F1" w14:textId="77777777" w:rsidTr="00426EDD">
        <w:trPr>
          <w:gridAfter w:val="1"/>
          <w:wAfter w:w="29" w:type="dxa"/>
          <w:trHeight w:val="300"/>
        </w:trPr>
        <w:tc>
          <w:tcPr>
            <w:tcW w:w="1776" w:type="dxa"/>
            <w:gridSpan w:val="3"/>
            <w:tcBorders>
              <w:top w:val="nil"/>
              <w:left w:val="nil"/>
              <w:bottom w:val="nil"/>
              <w:right w:val="nil"/>
            </w:tcBorders>
            <w:shd w:val="clear" w:color="auto" w:fill="auto"/>
            <w:vAlign w:val="center"/>
            <w:hideMark/>
          </w:tcPr>
          <w:p w14:paraId="61E343BB" w14:textId="77777777" w:rsidR="00C1228B" w:rsidRPr="009276A2" w:rsidRDefault="00C1228B" w:rsidP="00616580">
            <w:pPr>
              <w:spacing w:after="0" w:line="240" w:lineRule="auto"/>
              <w:rPr>
                <w:rFonts w:ascii="Arial Narrow" w:eastAsia="Times New Roman" w:hAnsi="Arial Narrow" w:cs="Calibri"/>
                <w:i/>
                <w:iCs/>
                <w:sz w:val="16"/>
                <w:szCs w:val="16"/>
                <w:lang w:eastAsia="sk-SK"/>
              </w:rPr>
            </w:pPr>
            <w:r w:rsidRPr="009276A2">
              <w:rPr>
                <w:rFonts w:ascii="Arial Narrow" w:eastAsia="Times New Roman" w:hAnsi="Arial Narrow" w:cs="Calibri"/>
                <w:i/>
                <w:iCs/>
                <w:sz w:val="16"/>
                <w:szCs w:val="16"/>
                <w:lang w:eastAsia="sk-SK"/>
              </w:rPr>
              <w:t>Národne financované primárne výdavky</w:t>
            </w:r>
          </w:p>
        </w:tc>
        <w:tc>
          <w:tcPr>
            <w:tcW w:w="2504" w:type="dxa"/>
            <w:gridSpan w:val="5"/>
            <w:tcBorders>
              <w:top w:val="nil"/>
              <w:left w:val="nil"/>
              <w:bottom w:val="nil"/>
              <w:right w:val="nil"/>
            </w:tcBorders>
            <w:shd w:val="clear" w:color="auto" w:fill="auto"/>
            <w:vAlign w:val="center"/>
            <w:hideMark/>
          </w:tcPr>
          <w:p w14:paraId="66AA4E39" w14:textId="77777777" w:rsidR="00C1228B" w:rsidRPr="009276A2" w:rsidRDefault="00C1228B" w:rsidP="00616580">
            <w:pPr>
              <w:spacing w:after="0" w:line="240" w:lineRule="auto"/>
              <w:rPr>
                <w:rFonts w:ascii="Arial Narrow" w:eastAsia="Times New Roman" w:hAnsi="Arial Narrow" w:cs="Calibri"/>
                <w:i/>
                <w:iCs/>
                <w:sz w:val="16"/>
                <w:szCs w:val="16"/>
                <w:lang w:eastAsia="sk-SK"/>
              </w:rPr>
            </w:pPr>
          </w:p>
        </w:tc>
        <w:tc>
          <w:tcPr>
            <w:tcW w:w="680" w:type="dxa"/>
            <w:gridSpan w:val="2"/>
            <w:tcBorders>
              <w:top w:val="nil"/>
              <w:left w:val="nil"/>
              <w:bottom w:val="nil"/>
              <w:right w:val="nil"/>
            </w:tcBorders>
            <w:shd w:val="clear" w:color="auto" w:fill="auto"/>
            <w:vAlign w:val="center"/>
            <w:hideMark/>
          </w:tcPr>
          <w:p w14:paraId="2E87D320"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2BBB341D"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704" w:type="dxa"/>
            <w:gridSpan w:val="2"/>
            <w:tcBorders>
              <w:top w:val="nil"/>
              <w:left w:val="nil"/>
              <w:bottom w:val="nil"/>
              <w:right w:val="nil"/>
            </w:tcBorders>
            <w:shd w:val="clear" w:color="auto" w:fill="auto"/>
            <w:vAlign w:val="center"/>
            <w:hideMark/>
          </w:tcPr>
          <w:p w14:paraId="47CB0CEF"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xml:space="preserve">miera </w:t>
            </w:r>
          </w:p>
          <w:p w14:paraId="53BC02D7"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rastu</w:t>
            </w:r>
          </w:p>
        </w:tc>
        <w:tc>
          <w:tcPr>
            <w:tcW w:w="651" w:type="dxa"/>
            <w:gridSpan w:val="2"/>
            <w:tcBorders>
              <w:top w:val="nil"/>
              <w:left w:val="nil"/>
              <w:bottom w:val="nil"/>
              <w:right w:val="nil"/>
            </w:tcBorders>
            <w:shd w:val="clear" w:color="auto" w:fill="auto"/>
            <w:vAlign w:val="center"/>
            <w:hideMark/>
          </w:tcPr>
          <w:p w14:paraId="6EC5E006"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miera rastu</w:t>
            </w:r>
          </w:p>
        </w:tc>
        <w:tc>
          <w:tcPr>
            <w:tcW w:w="651" w:type="dxa"/>
            <w:gridSpan w:val="2"/>
            <w:tcBorders>
              <w:top w:val="nil"/>
              <w:left w:val="nil"/>
              <w:bottom w:val="nil"/>
              <w:right w:val="nil"/>
            </w:tcBorders>
            <w:shd w:val="clear" w:color="auto" w:fill="auto"/>
            <w:vAlign w:val="center"/>
            <w:hideMark/>
          </w:tcPr>
          <w:p w14:paraId="383031ED"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miera rastu</w:t>
            </w:r>
          </w:p>
        </w:tc>
        <w:tc>
          <w:tcPr>
            <w:tcW w:w="651" w:type="dxa"/>
            <w:gridSpan w:val="2"/>
            <w:tcBorders>
              <w:top w:val="nil"/>
              <w:left w:val="nil"/>
              <w:bottom w:val="nil"/>
              <w:right w:val="nil"/>
            </w:tcBorders>
            <w:shd w:val="clear" w:color="auto" w:fill="auto"/>
            <w:vAlign w:val="center"/>
            <w:hideMark/>
          </w:tcPr>
          <w:p w14:paraId="2BF832BB"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miera rastu</w:t>
            </w:r>
          </w:p>
        </w:tc>
        <w:tc>
          <w:tcPr>
            <w:tcW w:w="651" w:type="dxa"/>
            <w:gridSpan w:val="2"/>
            <w:tcBorders>
              <w:top w:val="nil"/>
              <w:left w:val="nil"/>
              <w:bottom w:val="nil"/>
              <w:right w:val="nil"/>
            </w:tcBorders>
            <w:shd w:val="clear" w:color="auto" w:fill="auto"/>
            <w:vAlign w:val="center"/>
            <w:hideMark/>
          </w:tcPr>
          <w:p w14:paraId="6BBEFD68"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miera rastu</w:t>
            </w:r>
          </w:p>
        </w:tc>
      </w:tr>
      <w:tr w:rsidR="00426EDD" w:rsidRPr="009276A2" w14:paraId="04D61EF6" w14:textId="77777777" w:rsidTr="00426EDD">
        <w:trPr>
          <w:gridAfter w:val="1"/>
          <w:wAfter w:w="29" w:type="dxa"/>
          <w:trHeight w:val="330"/>
        </w:trPr>
        <w:tc>
          <w:tcPr>
            <w:tcW w:w="339" w:type="dxa"/>
            <w:tcBorders>
              <w:top w:val="nil"/>
              <w:left w:val="nil"/>
              <w:bottom w:val="nil"/>
              <w:right w:val="nil"/>
            </w:tcBorders>
            <w:shd w:val="clear" w:color="auto" w:fill="DEEAF6" w:themeFill="accent5" w:themeFillTint="33"/>
            <w:vAlign w:val="center"/>
            <w:hideMark/>
          </w:tcPr>
          <w:p w14:paraId="0E622774"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30</w:t>
            </w:r>
          </w:p>
        </w:tc>
        <w:tc>
          <w:tcPr>
            <w:tcW w:w="1437" w:type="dxa"/>
            <w:gridSpan w:val="2"/>
            <w:tcBorders>
              <w:top w:val="nil"/>
              <w:left w:val="nil"/>
              <w:bottom w:val="nil"/>
              <w:right w:val="nil"/>
            </w:tcBorders>
            <w:shd w:val="clear" w:color="auto" w:fill="DEEAF6" w:themeFill="accent5" w:themeFillTint="33"/>
            <w:vAlign w:val="center"/>
            <w:hideMark/>
          </w:tcPr>
          <w:p w14:paraId="66904AE1" w14:textId="77777777" w:rsidR="00C1228B" w:rsidRPr="009276A2" w:rsidRDefault="00C1228B" w:rsidP="00616580">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Rast čistých národných primárnych výdavkov</w:t>
            </w:r>
          </w:p>
        </w:tc>
        <w:tc>
          <w:tcPr>
            <w:tcW w:w="2504" w:type="dxa"/>
            <w:gridSpan w:val="5"/>
            <w:tcBorders>
              <w:top w:val="nil"/>
              <w:left w:val="nil"/>
              <w:bottom w:val="nil"/>
              <w:right w:val="nil"/>
            </w:tcBorders>
            <w:shd w:val="clear" w:color="auto" w:fill="DEEAF6" w:themeFill="accent5" w:themeFillTint="33"/>
            <w:vAlign w:val="center"/>
            <w:hideMark/>
          </w:tcPr>
          <w:p w14:paraId="48958D5A" w14:textId="77777777" w:rsidR="00C1228B" w:rsidRPr="009276A2" w:rsidRDefault="00C1228B" w:rsidP="00616580">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680" w:type="dxa"/>
            <w:gridSpan w:val="2"/>
            <w:tcBorders>
              <w:top w:val="nil"/>
              <w:left w:val="nil"/>
              <w:bottom w:val="nil"/>
              <w:right w:val="nil"/>
            </w:tcBorders>
            <w:shd w:val="clear" w:color="auto" w:fill="DEEAF6" w:themeFill="accent5" w:themeFillTint="33"/>
            <w:vAlign w:val="center"/>
            <w:hideMark/>
          </w:tcPr>
          <w:p w14:paraId="2C5C99F3"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xml:space="preserve"> -</w:t>
            </w:r>
          </w:p>
        </w:tc>
        <w:tc>
          <w:tcPr>
            <w:tcW w:w="651" w:type="dxa"/>
            <w:tcBorders>
              <w:top w:val="nil"/>
              <w:left w:val="nil"/>
              <w:bottom w:val="nil"/>
              <w:right w:val="nil"/>
            </w:tcBorders>
            <w:shd w:val="clear" w:color="auto" w:fill="DEEAF6" w:themeFill="accent5" w:themeFillTint="33"/>
            <w:vAlign w:val="center"/>
            <w:hideMark/>
          </w:tcPr>
          <w:p w14:paraId="778ADA76"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xml:space="preserve"> -</w:t>
            </w:r>
          </w:p>
        </w:tc>
        <w:tc>
          <w:tcPr>
            <w:tcW w:w="704" w:type="dxa"/>
            <w:gridSpan w:val="2"/>
            <w:tcBorders>
              <w:top w:val="nil"/>
              <w:left w:val="nil"/>
              <w:bottom w:val="nil"/>
              <w:right w:val="nil"/>
            </w:tcBorders>
            <w:shd w:val="clear" w:color="auto" w:fill="DEEAF6" w:themeFill="accent5" w:themeFillTint="33"/>
            <w:vAlign w:val="center"/>
            <w:hideMark/>
          </w:tcPr>
          <w:p w14:paraId="24EBE33F" w14:textId="2BCBD81C" w:rsidR="00C1228B" w:rsidRPr="00A22C01" w:rsidRDefault="006B7250"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6,2</w:t>
            </w:r>
          </w:p>
        </w:tc>
        <w:tc>
          <w:tcPr>
            <w:tcW w:w="651" w:type="dxa"/>
            <w:gridSpan w:val="2"/>
            <w:tcBorders>
              <w:top w:val="nil"/>
              <w:left w:val="nil"/>
              <w:bottom w:val="nil"/>
              <w:right w:val="nil"/>
            </w:tcBorders>
            <w:shd w:val="clear" w:color="auto" w:fill="DEEAF6" w:themeFill="accent5" w:themeFillTint="33"/>
            <w:vAlign w:val="center"/>
            <w:hideMark/>
          </w:tcPr>
          <w:p w14:paraId="08799D77"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3,8</w:t>
            </w:r>
          </w:p>
        </w:tc>
        <w:tc>
          <w:tcPr>
            <w:tcW w:w="651" w:type="dxa"/>
            <w:gridSpan w:val="2"/>
            <w:tcBorders>
              <w:top w:val="nil"/>
              <w:left w:val="nil"/>
              <w:bottom w:val="nil"/>
              <w:right w:val="nil"/>
            </w:tcBorders>
            <w:shd w:val="clear" w:color="auto" w:fill="DEEAF6" w:themeFill="accent5" w:themeFillTint="33"/>
            <w:vAlign w:val="center"/>
            <w:hideMark/>
          </w:tcPr>
          <w:p w14:paraId="3C9A8CD6"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0,9</w:t>
            </w:r>
          </w:p>
        </w:tc>
        <w:tc>
          <w:tcPr>
            <w:tcW w:w="651" w:type="dxa"/>
            <w:gridSpan w:val="2"/>
            <w:tcBorders>
              <w:top w:val="nil"/>
              <w:left w:val="nil"/>
              <w:bottom w:val="nil"/>
              <w:right w:val="nil"/>
            </w:tcBorders>
            <w:shd w:val="clear" w:color="auto" w:fill="DEEAF6" w:themeFill="accent5" w:themeFillTint="33"/>
            <w:vAlign w:val="center"/>
            <w:hideMark/>
          </w:tcPr>
          <w:p w14:paraId="1019C6D6"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1,6</w:t>
            </w:r>
          </w:p>
        </w:tc>
        <w:tc>
          <w:tcPr>
            <w:tcW w:w="651" w:type="dxa"/>
            <w:gridSpan w:val="2"/>
            <w:tcBorders>
              <w:top w:val="nil"/>
              <w:left w:val="nil"/>
              <w:bottom w:val="nil"/>
              <w:right w:val="nil"/>
            </w:tcBorders>
            <w:shd w:val="clear" w:color="auto" w:fill="DEEAF6" w:themeFill="accent5" w:themeFillTint="33"/>
            <w:vAlign w:val="center"/>
            <w:hideMark/>
          </w:tcPr>
          <w:p w14:paraId="47EDB218"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1,5</w:t>
            </w:r>
          </w:p>
        </w:tc>
      </w:tr>
      <w:tr w:rsidR="00C1228B" w:rsidRPr="009276A2" w14:paraId="6525FE4F" w14:textId="77777777" w:rsidTr="00426EDD">
        <w:trPr>
          <w:gridAfter w:val="1"/>
          <w:wAfter w:w="29" w:type="dxa"/>
          <w:trHeight w:val="300"/>
        </w:trPr>
        <w:tc>
          <w:tcPr>
            <w:tcW w:w="1776" w:type="dxa"/>
            <w:gridSpan w:val="3"/>
            <w:tcBorders>
              <w:top w:val="nil"/>
              <w:left w:val="nil"/>
              <w:bottom w:val="nil"/>
              <w:right w:val="nil"/>
            </w:tcBorders>
            <w:shd w:val="clear" w:color="auto" w:fill="auto"/>
            <w:vAlign w:val="center"/>
            <w:hideMark/>
          </w:tcPr>
          <w:p w14:paraId="256E677C" w14:textId="77777777" w:rsidR="00C1228B" w:rsidRPr="009276A2" w:rsidRDefault="00C1228B" w:rsidP="00616580">
            <w:pPr>
              <w:spacing w:after="0" w:line="240" w:lineRule="auto"/>
              <w:rPr>
                <w:rFonts w:ascii="Arial Narrow" w:eastAsia="Times New Roman" w:hAnsi="Arial Narrow" w:cs="Calibri"/>
                <w:i/>
                <w:iCs/>
                <w:sz w:val="16"/>
                <w:szCs w:val="16"/>
                <w:lang w:eastAsia="sk-SK"/>
              </w:rPr>
            </w:pPr>
            <w:r w:rsidRPr="009276A2">
              <w:rPr>
                <w:rFonts w:ascii="Arial Narrow" w:eastAsia="Times New Roman" w:hAnsi="Arial Narrow" w:cs="Calibri"/>
                <w:i/>
                <w:iCs/>
                <w:sz w:val="16"/>
                <w:szCs w:val="16"/>
                <w:lang w:eastAsia="sk-SK"/>
              </w:rPr>
              <w:t>Výsledok hospodárenia</w:t>
            </w:r>
          </w:p>
        </w:tc>
        <w:tc>
          <w:tcPr>
            <w:tcW w:w="2504" w:type="dxa"/>
            <w:gridSpan w:val="5"/>
            <w:tcBorders>
              <w:top w:val="nil"/>
              <w:left w:val="nil"/>
              <w:bottom w:val="nil"/>
              <w:right w:val="nil"/>
            </w:tcBorders>
            <w:shd w:val="clear" w:color="auto" w:fill="auto"/>
            <w:vAlign w:val="center"/>
            <w:hideMark/>
          </w:tcPr>
          <w:p w14:paraId="1784C8A8"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ESA kód</w:t>
            </w:r>
          </w:p>
        </w:tc>
        <w:tc>
          <w:tcPr>
            <w:tcW w:w="680" w:type="dxa"/>
            <w:gridSpan w:val="2"/>
            <w:tcBorders>
              <w:top w:val="nil"/>
              <w:left w:val="nil"/>
              <w:bottom w:val="nil"/>
              <w:right w:val="nil"/>
            </w:tcBorders>
            <w:shd w:val="clear" w:color="auto" w:fill="auto"/>
            <w:vAlign w:val="center"/>
            <w:hideMark/>
          </w:tcPr>
          <w:p w14:paraId="5C1288E1"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mld. eur</w:t>
            </w:r>
          </w:p>
        </w:tc>
        <w:tc>
          <w:tcPr>
            <w:tcW w:w="651" w:type="dxa"/>
            <w:tcBorders>
              <w:top w:val="nil"/>
              <w:left w:val="nil"/>
              <w:bottom w:val="nil"/>
              <w:right w:val="nil"/>
            </w:tcBorders>
            <w:shd w:val="clear" w:color="auto" w:fill="auto"/>
            <w:vAlign w:val="center"/>
            <w:hideMark/>
          </w:tcPr>
          <w:p w14:paraId="4E1A1440"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xml:space="preserve">v % </w:t>
            </w:r>
          </w:p>
          <w:p w14:paraId="5987C665"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HDP</w:t>
            </w:r>
          </w:p>
        </w:tc>
        <w:tc>
          <w:tcPr>
            <w:tcW w:w="704" w:type="dxa"/>
            <w:gridSpan w:val="2"/>
            <w:tcBorders>
              <w:top w:val="nil"/>
              <w:left w:val="nil"/>
              <w:bottom w:val="nil"/>
              <w:right w:val="nil"/>
            </w:tcBorders>
            <w:shd w:val="clear" w:color="auto" w:fill="auto"/>
            <w:vAlign w:val="center"/>
            <w:hideMark/>
          </w:tcPr>
          <w:p w14:paraId="48D30727"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xml:space="preserve">v % </w:t>
            </w:r>
          </w:p>
          <w:p w14:paraId="62C643AC"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HDP</w:t>
            </w:r>
          </w:p>
        </w:tc>
        <w:tc>
          <w:tcPr>
            <w:tcW w:w="651" w:type="dxa"/>
            <w:gridSpan w:val="2"/>
            <w:tcBorders>
              <w:top w:val="nil"/>
              <w:left w:val="nil"/>
              <w:bottom w:val="nil"/>
              <w:right w:val="nil"/>
            </w:tcBorders>
            <w:shd w:val="clear" w:color="auto" w:fill="auto"/>
            <w:vAlign w:val="center"/>
            <w:hideMark/>
          </w:tcPr>
          <w:p w14:paraId="6B1F1BE3"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v % HDP</w:t>
            </w:r>
          </w:p>
        </w:tc>
        <w:tc>
          <w:tcPr>
            <w:tcW w:w="651" w:type="dxa"/>
            <w:gridSpan w:val="2"/>
            <w:tcBorders>
              <w:top w:val="nil"/>
              <w:left w:val="nil"/>
              <w:bottom w:val="nil"/>
              <w:right w:val="nil"/>
            </w:tcBorders>
            <w:shd w:val="clear" w:color="auto" w:fill="auto"/>
            <w:vAlign w:val="center"/>
            <w:hideMark/>
          </w:tcPr>
          <w:p w14:paraId="237DBDB7"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v % HDP</w:t>
            </w:r>
          </w:p>
        </w:tc>
        <w:tc>
          <w:tcPr>
            <w:tcW w:w="651" w:type="dxa"/>
            <w:gridSpan w:val="2"/>
            <w:tcBorders>
              <w:top w:val="nil"/>
              <w:left w:val="nil"/>
              <w:bottom w:val="nil"/>
              <w:right w:val="nil"/>
            </w:tcBorders>
            <w:shd w:val="clear" w:color="auto" w:fill="auto"/>
            <w:vAlign w:val="center"/>
            <w:hideMark/>
          </w:tcPr>
          <w:p w14:paraId="29E3DED6"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v % HDP</w:t>
            </w:r>
          </w:p>
        </w:tc>
        <w:tc>
          <w:tcPr>
            <w:tcW w:w="651" w:type="dxa"/>
            <w:gridSpan w:val="2"/>
            <w:tcBorders>
              <w:top w:val="nil"/>
              <w:left w:val="nil"/>
              <w:bottom w:val="nil"/>
              <w:right w:val="nil"/>
            </w:tcBorders>
            <w:shd w:val="clear" w:color="auto" w:fill="auto"/>
            <w:vAlign w:val="center"/>
            <w:hideMark/>
          </w:tcPr>
          <w:p w14:paraId="25E88AEA"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v % HDP</w:t>
            </w:r>
          </w:p>
        </w:tc>
      </w:tr>
      <w:tr w:rsidR="00426EDD" w:rsidRPr="009276A2" w14:paraId="2D77FFF7"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7D9A0B97" w14:textId="77777777" w:rsidR="00426EDD" w:rsidRPr="009276A2" w:rsidRDefault="00426EDD" w:rsidP="00426EDD">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31</w:t>
            </w:r>
          </w:p>
        </w:tc>
        <w:tc>
          <w:tcPr>
            <w:tcW w:w="1437" w:type="dxa"/>
            <w:gridSpan w:val="2"/>
            <w:tcBorders>
              <w:top w:val="nil"/>
              <w:left w:val="nil"/>
              <w:bottom w:val="nil"/>
              <w:right w:val="nil"/>
            </w:tcBorders>
            <w:shd w:val="clear" w:color="auto" w:fill="DEEAF6" w:themeFill="accent5" w:themeFillTint="33"/>
            <w:vAlign w:val="center"/>
            <w:hideMark/>
          </w:tcPr>
          <w:p w14:paraId="19BB9977" w14:textId="77777777" w:rsidR="00426EDD" w:rsidRPr="009276A2" w:rsidRDefault="00426EDD" w:rsidP="00426EDD">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Výsledok hospodárenia</w:t>
            </w:r>
          </w:p>
        </w:tc>
        <w:tc>
          <w:tcPr>
            <w:tcW w:w="2504" w:type="dxa"/>
            <w:gridSpan w:val="5"/>
            <w:tcBorders>
              <w:top w:val="nil"/>
              <w:left w:val="nil"/>
              <w:bottom w:val="nil"/>
              <w:right w:val="nil"/>
            </w:tcBorders>
            <w:shd w:val="clear" w:color="auto" w:fill="DEEAF6" w:themeFill="accent5" w:themeFillTint="33"/>
            <w:vAlign w:val="center"/>
            <w:hideMark/>
          </w:tcPr>
          <w:p w14:paraId="4CFB3C94" w14:textId="77777777" w:rsidR="00426EDD" w:rsidRPr="009276A2" w:rsidRDefault="00426EDD" w:rsidP="00426EDD">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B.9</w:t>
            </w:r>
          </w:p>
        </w:tc>
        <w:tc>
          <w:tcPr>
            <w:tcW w:w="680" w:type="dxa"/>
            <w:gridSpan w:val="2"/>
            <w:tcBorders>
              <w:top w:val="nil"/>
              <w:left w:val="nil"/>
              <w:bottom w:val="nil"/>
              <w:right w:val="nil"/>
            </w:tcBorders>
            <w:shd w:val="clear" w:color="auto" w:fill="DEEAF6" w:themeFill="accent5" w:themeFillTint="33"/>
            <w:vAlign w:val="center"/>
            <w:hideMark/>
          </w:tcPr>
          <w:p w14:paraId="5D4FC524" w14:textId="462E86A2"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-6,0</w:t>
            </w:r>
          </w:p>
        </w:tc>
        <w:tc>
          <w:tcPr>
            <w:tcW w:w="651" w:type="dxa"/>
            <w:tcBorders>
              <w:top w:val="nil"/>
              <w:left w:val="nil"/>
              <w:bottom w:val="nil"/>
              <w:right w:val="nil"/>
            </w:tcBorders>
            <w:shd w:val="clear" w:color="auto" w:fill="DEEAF6" w:themeFill="accent5" w:themeFillTint="33"/>
            <w:vAlign w:val="center"/>
            <w:hideMark/>
          </w:tcPr>
          <w:p w14:paraId="584AEBF0" w14:textId="01EFD43D"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-4,9</w:t>
            </w:r>
          </w:p>
        </w:tc>
        <w:tc>
          <w:tcPr>
            <w:tcW w:w="704" w:type="dxa"/>
            <w:gridSpan w:val="2"/>
            <w:tcBorders>
              <w:top w:val="nil"/>
              <w:left w:val="nil"/>
              <w:bottom w:val="nil"/>
              <w:right w:val="nil"/>
            </w:tcBorders>
            <w:shd w:val="clear" w:color="auto" w:fill="DEEAF6" w:themeFill="accent5" w:themeFillTint="33"/>
            <w:vAlign w:val="center"/>
            <w:hideMark/>
          </w:tcPr>
          <w:p w14:paraId="4D4A4BAD" w14:textId="68ADE466"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-5,9</w:t>
            </w:r>
          </w:p>
        </w:tc>
        <w:tc>
          <w:tcPr>
            <w:tcW w:w="651" w:type="dxa"/>
            <w:gridSpan w:val="2"/>
            <w:tcBorders>
              <w:top w:val="nil"/>
              <w:left w:val="nil"/>
              <w:bottom w:val="nil"/>
              <w:right w:val="nil"/>
            </w:tcBorders>
            <w:shd w:val="clear" w:color="auto" w:fill="DEEAF6" w:themeFill="accent5" w:themeFillTint="33"/>
            <w:vAlign w:val="center"/>
            <w:hideMark/>
          </w:tcPr>
          <w:p w14:paraId="3645FE7F" w14:textId="72201EC1"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-5,1</w:t>
            </w:r>
          </w:p>
        </w:tc>
        <w:tc>
          <w:tcPr>
            <w:tcW w:w="651" w:type="dxa"/>
            <w:gridSpan w:val="2"/>
            <w:tcBorders>
              <w:top w:val="nil"/>
              <w:left w:val="nil"/>
              <w:bottom w:val="nil"/>
              <w:right w:val="nil"/>
            </w:tcBorders>
            <w:shd w:val="clear" w:color="auto" w:fill="DEEAF6" w:themeFill="accent5" w:themeFillTint="33"/>
            <w:vAlign w:val="center"/>
            <w:hideMark/>
          </w:tcPr>
          <w:p w14:paraId="36410F07" w14:textId="5548D310"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-3,9</w:t>
            </w:r>
          </w:p>
        </w:tc>
        <w:tc>
          <w:tcPr>
            <w:tcW w:w="651" w:type="dxa"/>
            <w:gridSpan w:val="2"/>
            <w:tcBorders>
              <w:top w:val="nil"/>
              <w:left w:val="nil"/>
              <w:bottom w:val="nil"/>
              <w:right w:val="nil"/>
            </w:tcBorders>
            <w:shd w:val="clear" w:color="auto" w:fill="DEEAF6" w:themeFill="accent5" w:themeFillTint="33"/>
            <w:vAlign w:val="center"/>
            <w:hideMark/>
          </w:tcPr>
          <w:p w14:paraId="78EA3E8E" w14:textId="65D5FDE1"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-2,9</w:t>
            </w:r>
          </w:p>
        </w:tc>
        <w:tc>
          <w:tcPr>
            <w:tcW w:w="651" w:type="dxa"/>
            <w:gridSpan w:val="2"/>
            <w:tcBorders>
              <w:top w:val="nil"/>
              <w:left w:val="nil"/>
              <w:bottom w:val="nil"/>
              <w:right w:val="nil"/>
            </w:tcBorders>
            <w:shd w:val="clear" w:color="auto" w:fill="DEEAF6" w:themeFill="accent5" w:themeFillTint="33"/>
            <w:vAlign w:val="center"/>
            <w:hideMark/>
          </w:tcPr>
          <w:p w14:paraId="4D6EC492" w14:textId="5D797E3F"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-1,8</w:t>
            </w:r>
          </w:p>
        </w:tc>
      </w:tr>
      <w:tr w:rsidR="00426EDD" w:rsidRPr="009276A2" w14:paraId="6F92B165"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6FA361EC" w14:textId="77777777" w:rsidR="00426EDD" w:rsidRPr="009276A2" w:rsidRDefault="00426EDD" w:rsidP="00426EDD">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32</w:t>
            </w:r>
          </w:p>
        </w:tc>
        <w:tc>
          <w:tcPr>
            <w:tcW w:w="1437" w:type="dxa"/>
            <w:gridSpan w:val="2"/>
            <w:tcBorders>
              <w:top w:val="nil"/>
              <w:left w:val="nil"/>
              <w:bottom w:val="nil"/>
              <w:right w:val="nil"/>
            </w:tcBorders>
            <w:shd w:val="clear" w:color="auto" w:fill="DEEAF6" w:themeFill="accent5" w:themeFillTint="33"/>
            <w:vAlign w:val="center"/>
            <w:hideMark/>
          </w:tcPr>
          <w:p w14:paraId="69F0879A" w14:textId="77777777" w:rsidR="00426EDD" w:rsidRPr="009276A2" w:rsidRDefault="00426EDD" w:rsidP="00426EDD">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Primárny výsledok hospodárenia</w:t>
            </w:r>
          </w:p>
        </w:tc>
        <w:tc>
          <w:tcPr>
            <w:tcW w:w="2504" w:type="dxa"/>
            <w:gridSpan w:val="5"/>
            <w:tcBorders>
              <w:top w:val="nil"/>
              <w:left w:val="nil"/>
              <w:bottom w:val="nil"/>
              <w:right w:val="nil"/>
            </w:tcBorders>
            <w:shd w:val="clear" w:color="auto" w:fill="DEEAF6" w:themeFill="accent5" w:themeFillTint="33"/>
            <w:vAlign w:val="center"/>
            <w:hideMark/>
          </w:tcPr>
          <w:p w14:paraId="4B8F1C4D" w14:textId="77777777" w:rsidR="00426EDD" w:rsidRPr="009276A2" w:rsidRDefault="00426EDD" w:rsidP="00426EDD">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B.9-D.41p</w:t>
            </w:r>
          </w:p>
        </w:tc>
        <w:tc>
          <w:tcPr>
            <w:tcW w:w="680" w:type="dxa"/>
            <w:gridSpan w:val="2"/>
            <w:tcBorders>
              <w:top w:val="nil"/>
              <w:left w:val="nil"/>
              <w:bottom w:val="nil"/>
              <w:right w:val="nil"/>
            </w:tcBorders>
            <w:shd w:val="clear" w:color="auto" w:fill="DEEAF6" w:themeFill="accent5" w:themeFillTint="33"/>
            <w:vAlign w:val="center"/>
            <w:hideMark/>
          </w:tcPr>
          <w:p w14:paraId="4C3D8B64" w14:textId="18ED2B1A"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-4,6</w:t>
            </w:r>
          </w:p>
        </w:tc>
        <w:tc>
          <w:tcPr>
            <w:tcW w:w="651" w:type="dxa"/>
            <w:tcBorders>
              <w:top w:val="nil"/>
              <w:left w:val="nil"/>
              <w:bottom w:val="nil"/>
              <w:right w:val="nil"/>
            </w:tcBorders>
            <w:shd w:val="clear" w:color="auto" w:fill="DEEAF6" w:themeFill="accent5" w:themeFillTint="33"/>
            <w:vAlign w:val="center"/>
            <w:hideMark/>
          </w:tcPr>
          <w:p w14:paraId="701957DD" w14:textId="5D9B53B8"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-3,7</w:t>
            </w:r>
          </w:p>
        </w:tc>
        <w:tc>
          <w:tcPr>
            <w:tcW w:w="704" w:type="dxa"/>
            <w:gridSpan w:val="2"/>
            <w:tcBorders>
              <w:top w:val="nil"/>
              <w:left w:val="nil"/>
              <w:bottom w:val="nil"/>
              <w:right w:val="nil"/>
            </w:tcBorders>
            <w:shd w:val="clear" w:color="auto" w:fill="DEEAF6" w:themeFill="accent5" w:themeFillTint="33"/>
            <w:vAlign w:val="center"/>
            <w:hideMark/>
          </w:tcPr>
          <w:p w14:paraId="174C9FA4" w14:textId="2AE79A6E"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-4,5</w:t>
            </w:r>
          </w:p>
        </w:tc>
        <w:tc>
          <w:tcPr>
            <w:tcW w:w="651" w:type="dxa"/>
            <w:gridSpan w:val="2"/>
            <w:tcBorders>
              <w:top w:val="nil"/>
              <w:left w:val="nil"/>
              <w:bottom w:val="nil"/>
              <w:right w:val="nil"/>
            </w:tcBorders>
            <w:shd w:val="clear" w:color="auto" w:fill="DEEAF6" w:themeFill="accent5" w:themeFillTint="33"/>
            <w:vAlign w:val="center"/>
            <w:hideMark/>
          </w:tcPr>
          <w:p w14:paraId="71950ED9" w14:textId="121C269C"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-3,6</w:t>
            </w:r>
          </w:p>
        </w:tc>
        <w:tc>
          <w:tcPr>
            <w:tcW w:w="651" w:type="dxa"/>
            <w:gridSpan w:val="2"/>
            <w:tcBorders>
              <w:top w:val="nil"/>
              <w:left w:val="nil"/>
              <w:bottom w:val="nil"/>
              <w:right w:val="nil"/>
            </w:tcBorders>
            <w:shd w:val="clear" w:color="auto" w:fill="DEEAF6" w:themeFill="accent5" w:themeFillTint="33"/>
            <w:vAlign w:val="center"/>
            <w:hideMark/>
          </w:tcPr>
          <w:p w14:paraId="7E67847A" w14:textId="5D01EE6F"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-2,3</w:t>
            </w:r>
          </w:p>
        </w:tc>
        <w:tc>
          <w:tcPr>
            <w:tcW w:w="651" w:type="dxa"/>
            <w:gridSpan w:val="2"/>
            <w:tcBorders>
              <w:top w:val="nil"/>
              <w:left w:val="nil"/>
              <w:bottom w:val="nil"/>
              <w:right w:val="nil"/>
            </w:tcBorders>
            <w:shd w:val="clear" w:color="auto" w:fill="DEEAF6" w:themeFill="accent5" w:themeFillTint="33"/>
            <w:vAlign w:val="center"/>
            <w:hideMark/>
          </w:tcPr>
          <w:p w14:paraId="64524104" w14:textId="2E250845"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w:t>
            </w:r>
          </w:p>
        </w:tc>
        <w:tc>
          <w:tcPr>
            <w:tcW w:w="651" w:type="dxa"/>
            <w:gridSpan w:val="2"/>
            <w:tcBorders>
              <w:top w:val="nil"/>
              <w:left w:val="nil"/>
              <w:bottom w:val="nil"/>
              <w:right w:val="nil"/>
            </w:tcBorders>
            <w:shd w:val="clear" w:color="auto" w:fill="DEEAF6" w:themeFill="accent5" w:themeFillTint="33"/>
            <w:vAlign w:val="center"/>
            <w:hideMark/>
          </w:tcPr>
          <w:p w14:paraId="42952AAB" w14:textId="5DBB00C7"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0,1</w:t>
            </w:r>
          </w:p>
        </w:tc>
      </w:tr>
      <w:tr w:rsidR="00C1228B" w:rsidRPr="009276A2" w14:paraId="67E67B91" w14:textId="77777777" w:rsidTr="00426EDD">
        <w:trPr>
          <w:gridAfter w:val="1"/>
          <w:wAfter w:w="29" w:type="dxa"/>
          <w:trHeight w:val="300"/>
        </w:trPr>
        <w:tc>
          <w:tcPr>
            <w:tcW w:w="1776" w:type="dxa"/>
            <w:gridSpan w:val="3"/>
            <w:tcBorders>
              <w:top w:val="nil"/>
              <w:left w:val="nil"/>
              <w:bottom w:val="nil"/>
              <w:right w:val="nil"/>
            </w:tcBorders>
            <w:shd w:val="clear" w:color="auto" w:fill="auto"/>
            <w:vAlign w:val="center"/>
            <w:hideMark/>
          </w:tcPr>
          <w:p w14:paraId="69AC5046" w14:textId="77777777" w:rsidR="00C1228B" w:rsidRPr="009276A2" w:rsidRDefault="00C1228B" w:rsidP="00616580">
            <w:pPr>
              <w:spacing w:after="0" w:line="240" w:lineRule="auto"/>
              <w:rPr>
                <w:rFonts w:ascii="Arial Narrow" w:eastAsia="Times New Roman" w:hAnsi="Arial Narrow" w:cs="Calibri"/>
                <w:i/>
                <w:iCs/>
                <w:sz w:val="16"/>
                <w:szCs w:val="16"/>
                <w:lang w:eastAsia="sk-SK"/>
              </w:rPr>
            </w:pPr>
            <w:r w:rsidRPr="009276A2">
              <w:rPr>
                <w:rFonts w:ascii="Arial Narrow" w:eastAsia="Times New Roman" w:hAnsi="Arial Narrow" w:cs="Calibri"/>
                <w:i/>
                <w:iCs/>
                <w:sz w:val="16"/>
                <w:szCs w:val="16"/>
                <w:lang w:eastAsia="sk-SK"/>
              </w:rPr>
              <w:lastRenderedPageBreak/>
              <w:t>Cyklické očistenie</w:t>
            </w:r>
          </w:p>
        </w:tc>
        <w:tc>
          <w:tcPr>
            <w:tcW w:w="2504" w:type="dxa"/>
            <w:gridSpan w:val="5"/>
            <w:tcBorders>
              <w:top w:val="nil"/>
              <w:left w:val="nil"/>
              <w:bottom w:val="nil"/>
              <w:right w:val="nil"/>
            </w:tcBorders>
            <w:shd w:val="clear" w:color="auto" w:fill="auto"/>
            <w:vAlign w:val="center"/>
            <w:hideMark/>
          </w:tcPr>
          <w:p w14:paraId="12906C84" w14:textId="77777777" w:rsidR="00C1228B" w:rsidRPr="009276A2" w:rsidRDefault="00C1228B" w:rsidP="00616580">
            <w:pPr>
              <w:spacing w:after="0" w:line="240" w:lineRule="auto"/>
              <w:rPr>
                <w:rFonts w:ascii="Arial Narrow" w:eastAsia="Times New Roman" w:hAnsi="Arial Narrow" w:cs="Calibri"/>
                <w:i/>
                <w:iCs/>
                <w:sz w:val="16"/>
                <w:szCs w:val="16"/>
                <w:lang w:eastAsia="sk-SK"/>
              </w:rPr>
            </w:pPr>
          </w:p>
        </w:tc>
        <w:tc>
          <w:tcPr>
            <w:tcW w:w="680" w:type="dxa"/>
            <w:gridSpan w:val="2"/>
            <w:tcBorders>
              <w:top w:val="nil"/>
              <w:left w:val="nil"/>
              <w:bottom w:val="nil"/>
              <w:right w:val="nil"/>
            </w:tcBorders>
            <w:shd w:val="clear" w:color="auto" w:fill="auto"/>
            <w:vAlign w:val="center"/>
            <w:hideMark/>
          </w:tcPr>
          <w:p w14:paraId="499FCAAF" w14:textId="77777777" w:rsidR="00C1228B" w:rsidRPr="00A22C01" w:rsidRDefault="00C1228B" w:rsidP="00616580">
            <w:pPr>
              <w:spacing w:after="0" w:line="240" w:lineRule="auto"/>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122F8766"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xml:space="preserve">v % </w:t>
            </w:r>
          </w:p>
          <w:p w14:paraId="446A1624"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HDP</w:t>
            </w:r>
          </w:p>
        </w:tc>
        <w:tc>
          <w:tcPr>
            <w:tcW w:w="704" w:type="dxa"/>
            <w:gridSpan w:val="2"/>
            <w:tcBorders>
              <w:top w:val="nil"/>
              <w:left w:val="nil"/>
              <w:bottom w:val="nil"/>
              <w:right w:val="nil"/>
            </w:tcBorders>
            <w:shd w:val="clear" w:color="auto" w:fill="auto"/>
            <w:vAlign w:val="center"/>
            <w:hideMark/>
          </w:tcPr>
          <w:p w14:paraId="34E044DC"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xml:space="preserve">v % </w:t>
            </w:r>
          </w:p>
          <w:p w14:paraId="1ABE8756"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HDP</w:t>
            </w:r>
          </w:p>
        </w:tc>
        <w:tc>
          <w:tcPr>
            <w:tcW w:w="651" w:type="dxa"/>
            <w:gridSpan w:val="2"/>
            <w:tcBorders>
              <w:top w:val="nil"/>
              <w:left w:val="nil"/>
              <w:bottom w:val="nil"/>
              <w:right w:val="nil"/>
            </w:tcBorders>
            <w:shd w:val="clear" w:color="auto" w:fill="auto"/>
            <w:vAlign w:val="center"/>
            <w:hideMark/>
          </w:tcPr>
          <w:p w14:paraId="1A5AB8CC"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v % HDP</w:t>
            </w:r>
          </w:p>
        </w:tc>
        <w:tc>
          <w:tcPr>
            <w:tcW w:w="651" w:type="dxa"/>
            <w:gridSpan w:val="2"/>
            <w:tcBorders>
              <w:top w:val="nil"/>
              <w:left w:val="nil"/>
              <w:bottom w:val="nil"/>
              <w:right w:val="nil"/>
            </w:tcBorders>
            <w:shd w:val="clear" w:color="auto" w:fill="auto"/>
            <w:vAlign w:val="center"/>
            <w:hideMark/>
          </w:tcPr>
          <w:p w14:paraId="257039AF"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v % HDP</w:t>
            </w:r>
          </w:p>
        </w:tc>
        <w:tc>
          <w:tcPr>
            <w:tcW w:w="651" w:type="dxa"/>
            <w:gridSpan w:val="2"/>
            <w:tcBorders>
              <w:top w:val="nil"/>
              <w:left w:val="nil"/>
              <w:bottom w:val="nil"/>
              <w:right w:val="nil"/>
            </w:tcBorders>
            <w:shd w:val="clear" w:color="auto" w:fill="auto"/>
            <w:vAlign w:val="center"/>
            <w:hideMark/>
          </w:tcPr>
          <w:p w14:paraId="5D61C4AA"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v % HDP</w:t>
            </w:r>
          </w:p>
        </w:tc>
        <w:tc>
          <w:tcPr>
            <w:tcW w:w="651" w:type="dxa"/>
            <w:gridSpan w:val="2"/>
            <w:tcBorders>
              <w:top w:val="nil"/>
              <w:left w:val="nil"/>
              <w:bottom w:val="nil"/>
              <w:right w:val="nil"/>
            </w:tcBorders>
            <w:shd w:val="clear" w:color="auto" w:fill="auto"/>
            <w:vAlign w:val="center"/>
            <w:hideMark/>
          </w:tcPr>
          <w:p w14:paraId="0AC2A2A6"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v % HDP</w:t>
            </w:r>
          </w:p>
        </w:tc>
      </w:tr>
      <w:tr w:rsidR="00426EDD" w:rsidRPr="00426EDD" w14:paraId="7B627BA2"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101F4B89" w14:textId="77777777" w:rsidR="00426EDD" w:rsidRPr="009276A2" w:rsidRDefault="00426EDD" w:rsidP="00426EDD">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33</w:t>
            </w:r>
          </w:p>
        </w:tc>
        <w:tc>
          <w:tcPr>
            <w:tcW w:w="1437" w:type="dxa"/>
            <w:gridSpan w:val="2"/>
            <w:tcBorders>
              <w:top w:val="nil"/>
              <w:left w:val="nil"/>
              <w:bottom w:val="nil"/>
              <w:right w:val="nil"/>
            </w:tcBorders>
            <w:shd w:val="clear" w:color="auto" w:fill="DEEAF6" w:themeFill="accent5" w:themeFillTint="33"/>
            <w:vAlign w:val="center"/>
            <w:hideMark/>
          </w:tcPr>
          <w:p w14:paraId="1BA182CA" w14:textId="77777777" w:rsidR="00426EDD" w:rsidRPr="009276A2" w:rsidRDefault="00426EDD" w:rsidP="00426EDD">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Štrukturálne saldo</w:t>
            </w:r>
          </w:p>
        </w:tc>
        <w:tc>
          <w:tcPr>
            <w:tcW w:w="2504" w:type="dxa"/>
            <w:gridSpan w:val="5"/>
            <w:tcBorders>
              <w:top w:val="nil"/>
              <w:left w:val="nil"/>
              <w:bottom w:val="nil"/>
              <w:right w:val="nil"/>
            </w:tcBorders>
            <w:shd w:val="clear" w:color="auto" w:fill="DEEAF6" w:themeFill="accent5" w:themeFillTint="33"/>
            <w:vAlign w:val="center"/>
            <w:hideMark/>
          </w:tcPr>
          <w:p w14:paraId="1E2345D1" w14:textId="77777777" w:rsidR="00426EDD" w:rsidRPr="009276A2" w:rsidRDefault="00426EDD" w:rsidP="00426EDD">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680" w:type="dxa"/>
            <w:gridSpan w:val="2"/>
            <w:tcBorders>
              <w:top w:val="nil"/>
              <w:left w:val="nil"/>
              <w:bottom w:val="nil"/>
              <w:right w:val="nil"/>
            </w:tcBorders>
            <w:shd w:val="clear" w:color="auto" w:fill="DEEAF6" w:themeFill="accent5" w:themeFillTint="33"/>
            <w:vAlign w:val="center"/>
            <w:hideMark/>
          </w:tcPr>
          <w:p w14:paraId="4A3A32E0" w14:textId="6A19B798"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 xml:space="preserve"> -</w:t>
            </w:r>
          </w:p>
        </w:tc>
        <w:tc>
          <w:tcPr>
            <w:tcW w:w="651" w:type="dxa"/>
            <w:tcBorders>
              <w:top w:val="nil"/>
              <w:left w:val="nil"/>
              <w:bottom w:val="nil"/>
              <w:right w:val="nil"/>
            </w:tcBorders>
            <w:shd w:val="clear" w:color="auto" w:fill="DEEAF6" w:themeFill="accent5" w:themeFillTint="33"/>
            <w:vAlign w:val="center"/>
            <w:hideMark/>
          </w:tcPr>
          <w:p w14:paraId="35BE8DF2" w14:textId="77A5323C"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-4,7</w:t>
            </w:r>
          </w:p>
        </w:tc>
        <w:tc>
          <w:tcPr>
            <w:tcW w:w="704" w:type="dxa"/>
            <w:gridSpan w:val="2"/>
            <w:tcBorders>
              <w:top w:val="nil"/>
              <w:left w:val="nil"/>
              <w:bottom w:val="nil"/>
              <w:right w:val="nil"/>
            </w:tcBorders>
            <w:shd w:val="clear" w:color="auto" w:fill="DEEAF6" w:themeFill="accent5" w:themeFillTint="33"/>
            <w:vAlign w:val="center"/>
            <w:hideMark/>
          </w:tcPr>
          <w:p w14:paraId="6A585D32" w14:textId="178516D8"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-5,6</w:t>
            </w:r>
          </w:p>
        </w:tc>
        <w:tc>
          <w:tcPr>
            <w:tcW w:w="651" w:type="dxa"/>
            <w:gridSpan w:val="2"/>
            <w:tcBorders>
              <w:top w:val="nil"/>
              <w:left w:val="nil"/>
              <w:bottom w:val="nil"/>
              <w:right w:val="nil"/>
            </w:tcBorders>
            <w:shd w:val="clear" w:color="auto" w:fill="DEEAF6" w:themeFill="accent5" w:themeFillTint="33"/>
            <w:vAlign w:val="center"/>
            <w:hideMark/>
          </w:tcPr>
          <w:p w14:paraId="5AFC30A9" w14:textId="67CA176F"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-5,0</w:t>
            </w:r>
          </w:p>
        </w:tc>
        <w:tc>
          <w:tcPr>
            <w:tcW w:w="651" w:type="dxa"/>
            <w:gridSpan w:val="2"/>
            <w:tcBorders>
              <w:top w:val="nil"/>
              <w:left w:val="nil"/>
              <w:bottom w:val="nil"/>
              <w:right w:val="nil"/>
            </w:tcBorders>
            <w:shd w:val="clear" w:color="auto" w:fill="DEEAF6" w:themeFill="accent5" w:themeFillTint="33"/>
            <w:vAlign w:val="center"/>
            <w:hideMark/>
          </w:tcPr>
          <w:p w14:paraId="17E3BA02" w14:textId="4EF1FBA7"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-3,3</w:t>
            </w:r>
          </w:p>
        </w:tc>
        <w:tc>
          <w:tcPr>
            <w:tcW w:w="651" w:type="dxa"/>
            <w:gridSpan w:val="2"/>
            <w:tcBorders>
              <w:top w:val="nil"/>
              <w:left w:val="nil"/>
              <w:bottom w:val="nil"/>
              <w:right w:val="nil"/>
            </w:tcBorders>
            <w:shd w:val="clear" w:color="auto" w:fill="DEEAF6" w:themeFill="accent5" w:themeFillTint="33"/>
            <w:vAlign w:val="center"/>
            <w:hideMark/>
          </w:tcPr>
          <w:p w14:paraId="1663A6CF" w14:textId="345018F3"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-2,1</w:t>
            </w:r>
          </w:p>
        </w:tc>
        <w:tc>
          <w:tcPr>
            <w:tcW w:w="651" w:type="dxa"/>
            <w:gridSpan w:val="2"/>
            <w:tcBorders>
              <w:top w:val="nil"/>
              <w:left w:val="nil"/>
              <w:bottom w:val="nil"/>
              <w:right w:val="nil"/>
            </w:tcBorders>
            <w:shd w:val="clear" w:color="auto" w:fill="DEEAF6" w:themeFill="accent5" w:themeFillTint="33"/>
            <w:vAlign w:val="center"/>
            <w:hideMark/>
          </w:tcPr>
          <w:p w14:paraId="08032300" w14:textId="7FD9EF9A" w:rsidR="00426EDD" w:rsidRPr="00A22C01" w:rsidRDefault="00426EDD" w:rsidP="00426EDD">
            <w:pPr>
              <w:spacing w:after="0" w:line="240" w:lineRule="auto"/>
              <w:jc w:val="center"/>
              <w:rPr>
                <w:rFonts w:ascii="Arial Narrow" w:eastAsia="Times New Roman" w:hAnsi="Arial Narrow" w:cs="Calibri"/>
                <w:b/>
                <w:bCs/>
                <w:color w:val="000000" w:themeColor="text1"/>
                <w:sz w:val="16"/>
                <w:szCs w:val="16"/>
                <w:lang w:eastAsia="sk-SK"/>
              </w:rPr>
            </w:pPr>
            <w:r w:rsidRPr="00A22C01">
              <w:rPr>
                <w:rFonts w:ascii="Arial Narrow" w:hAnsi="Arial Narrow" w:cs="Calibri"/>
                <w:color w:val="000000" w:themeColor="text1"/>
                <w:sz w:val="16"/>
                <w:szCs w:val="16"/>
              </w:rPr>
              <w:t>-0,9</w:t>
            </w:r>
          </w:p>
        </w:tc>
      </w:tr>
      <w:tr w:rsidR="00426EDD" w:rsidRPr="00426EDD" w14:paraId="5D77467B"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0C2DDE61" w14:textId="77777777" w:rsidR="00426EDD" w:rsidRPr="009276A2" w:rsidRDefault="00426EDD" w:rsidP="00426EDD">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34</w:t>
            </w:r>
          </w:p>
        </w:tc>
        <w:tc>
          <w:tcPr>
            <w:tcW w:w="1437" w:type="dxa"/>
            <w:gridSpan w:val="2"/>
            <w:tcBorders>
              <w:top w:val="nil"/>
              <w:left w:val="nil"/>
              <w:bottom w:val="nil"/>
              <w:right w:val="nil"/>
            </w:tcBorders>
            <w:shd w:val="clear" w:color="auto" w:fill="DEEAF6" w:themeFill="accent5" w:themeFillTint="33"/>
            <w:vAlign w:val="center"/>
            <w:hideMark/>
          </w:tcPr>
          <w:p w14:paraId="56B8F1B3" w14:textId="77777777" w:rsidR="00426EDD" w:rsidRPr="009276A2" w:rsidRDefault="00426EDD" w:rsidP="00426EDD">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Štrukturálne primárne saldo</w:t>
            </w:r>
          </w:p>
        </w:tc>
        <w:tc>
          <w:tcPr>
            <w:tcW w:w="2504" w:type="dxa"/>
            <w:gridSpan w:val="5"/>
            <w:tcBorders>
              <w:top w:val="nil"/>
              <w:left w:val="nil"/>
              <w:bottom w:val="nil"/>
              <w:right w:val="nil"/>
            </w:tcBorders>
            <w:shd w:val="clear" w:color="auto" w:fill="DEEAF6" w:themeFill="accent5" w:themeFillTint="33"/>
            <w:vAlign w:val="center"/>
            <w:hideMark/>
          </w:tcPr>
          <w:p w14:paraId="101D3E4A" w14:textId="77777777" w:rsidR="00426EDD" w:rsidRPr="009276A2" w:rsidRDefault="00426EDD" w:rsidP="00426EDD">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680" w:type="dxa"/>
            <w:gridSpan w:val="2"/>
            <w:tcBorders>
              <w:top w:val="nil"/>
              <w:left w:val="nil"/>
              <w:bottom w:val="nil"/>
              <w:right w:val="nil"/>
            </w:tcBorders>
            <w:shd w:val="clear" w:color="auto" w:fill="DEEAF6" w:themeFill="accent5" w:themeFillTint="33"/>
            <w:vAlign w:val="center"/>
            <w:hideMark/>
          </w:tcPr>
          <w:p w14:paraId="4CEB63B1" w14:textId="66C9D22A"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 xml:space="preserve"> -</w:t>
            </w:r>
          </w:p>
        </w:tc>
        <w:tc>
          <w:tcPr>
            <w:tcW w:w="651" w:type="dxa"/>
            <w:tcBorders>
              <w:top w:val="nil"/>
              <w:left w:val="nil"/>
              <w:bottom w:val="nil"/>
              <w:right w:val="nil"/>
            </w:tcBorders>
            <w:shd w:val="clear" w:color="auto" w:fill="DEEAF6" w:themeFill="accent5" w:themeFillTint="33"/>
            <w:vAlign w:val="center"/>
            <w:hideMark/>
          </w:tcPr>
          <w:p w14:paraId="7D5C49B9" w14:textId="679092C3"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-3,5</w:t>
            </w:r>
          </w:p>
        </w:tc>
        <w:tc>
          <w:tcPr>
            <w:tcW w:w="704" w:type="dxa"/>
            <w:gridSpan w:val="2"/>
            <w:tcBorders>
              <w:top w:val="nil"/>
              <w:left w:val="nil"/>
              <w:bottom w:val="nil"/>
              <w:right w:val="nil"/>
            </w:tcBorders>
            <w:shd w:val="clear" w:color="auto" w:fill="DEEAF6" w:themeFill="accent5" w:themeFillTint="33"/>
            <w:vAlign w:val="center"/>
            <w:hideMark/>
          </w:tcPr>
          <w:p w14:paraId="588548E6" w14:textId="305B2632"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-4,3</w:t>
            </w:r>
          </w:p>
        </w:tc>
        <w:tc>
          <w:tcPr>
            <w:tcW w:w="651" w:type="dxa"/>
            <w:gridSpan w:val="2"/>
            <w:tcBorders>
              <w:top w:val="nil"/>
              <w:left w:val="nil"/>
              <w:bottom w:val="nil"/>
              <w:right w:val="nil"/>
            </w:tcBorders>
            <w:shd w:val="clear" w:color="auto" w:fill="DEEAF6" w:themeFill="accent5" w:themeFillTint="33"/>
            <w:vAlign w:val="center"/>
            <w:hideMark/>
          </w:tcPr>
          <w:p w14:paraId="0C4A81CA" w14:textId="33D52076"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-3,5</w:t>
            </w:r>
          </w:p>
        </w:tc>
        <w:tc>
          <w:tcPr>
            <w:tcW w:w="651" w:type="dxa"/>
            <w:gridSpan w:val="2"/>
            <w:tcBorders>
              <w:top w:val="nil"/>
              <w:left w:val="nil"/>
              <w:bottom w:val="nil"/>
              <w:right w:val="nil"/>
            </w:tcBorders>
            <w:shd w:val="clear" w:color="auto" w:fill="DEEAF6" w:themeFill="accent5" w:themeFillTint="33"/>
            <w:vAlign w:val="center"/>
            <w:hideMark/>
          </w:tcPr>
          <w:p w14:paraId="2161DAE2" w14:textId="124B0F9C"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-1,7</w:t>
            </w:r>
          </w:p>
        </w:tc>
        <w:tc>
          <w:tcPr>
            <w:tcW w:w="651" w:type="dxa"/>
            <w:gridSpan w:val="2"/>
            <w:tcBorders>
              <w:top w:val="nil"/>
              <w:left w:val="nil"/>
              <w:bottom w:val="nil"/>
              <w:right w:val="nil"/>
            </w:tcBorders>
            <w:shd w:val="clear" w:color="auto" w:fill="DEEAF6" w:themeFill="accent5" w:themeFillTint="33"/>
            <w:vAlign w:val="center"/>
            <w:hideMark/>
          </w:tcPr>
          <w:p w14:paraId="4216C1EE" w14:textId="64A284BF"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-0,3</w:t>
            </w:r>
          </w:p>
        </w:tc>
        <w:tc>
          <w:tcPr>
            <w:tcW w:w="651" w:type="dxa"/>
            <w:gridSpan w:val="2"/>
            <w:tcBorders>
              <w:top w:val="nil"/>
              <w:left w:val="nil"/>
              <w:bottom w:val="nil"/>
              <w:right w:val="nil"/>
            </w:tcBorders>
            <w:shd w:val="clear" w:color="auto" w:fill="DEEAF6" w:themeFill="accent5" w:themeFillTint="33"/>
            <w:vAlign w:val="center"/>
            <w:hideMark/>
          </w:tcPr>
          <w:p w14:paraId="7E1A9947" w14:textId="49CB929D"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1,0</w:t>
            </w:r>
          </w:p>
        </w:tc>
      </w:tr>
      <w:tr w:rsidR="00426EDD" w:rsidRPr="00426EDD" w14:paraId="06E2F74B" w14:textId="77777777" w:rsidTr="00426EDD">
        <w:trPr>
          <w:gridAfter w:val="1"/>
          <w:wAfter w:w="29" w:type="dxa"/>
          <w:trHeight w:val="300"/>
        </w:trPr>
        <w:tc>
          <w:tcPr>
            <w:tcW w:w="1776" w:type="dxa"/>
            <w:gridSpan w:val="3"/>
            <w:tcBorders>
              <w:top w:val="nil"/>
              <w:left w:val="nil"/>
              <w:bottom w:val="nil"/>
              <w:right w:val="nil"/>
            </w:tcBorders>
            <w:shd w:val="clear" w:color="auto" w:fill="auto"/>
            <w:vAlign w:val="center"/>
            <w:hideMark/>
          </w:tcPr>
          <w:p w14:paraId="43D7C91B" w14:textId="77777777" w:rsidR="00C1228B" w:rsidRPr="009276A2" w:rsidRDefault="00C1228B" w:rsidP="00616580">
            <w:pPr>
              <w:spacing w:after="0" w:line="240" w:lineRule="auto"/>
              <w:rPr>
                <w:rFonts w:ascii="Arial Narrow" w:eastAsia="Times New Roman" w:hAnsi="Arial Narrow" w:cs="Calibri"/>
                <w:i/>
                <w:iCs/>
                <w:sz w:val="16"/>
                <w:szCs w:val="16"/>
                <w:lang w:eastAsia="sk-SK"/>
              </w:rPr>
            </w:pPr>
            <w:r w:rsidRPr="009276A2">
              <w:rPr>
                <w:rFonts w:ascii="Arial Narrow" w:eastAsia="Times New Roman" w:hAnsi="Arial Narrow" w:cs="Calibri"/>
                <w:i/>
                <w:iCs/>
                <w:sz w:val="16"/>
                <w:szCs w:val="16"/>
                <w:lang w:eastAsia="sk-SK"/>
              </w:rPr>
              <w:t>Dlh</w:t>
            </w:r>
          </w:p>
        </w:tc>
        <w:tc>
          <w:tcPr>
            <w:tcW w:w="2504" w:type="dxa"/>
            <w:gridSpan w:val="5"/>
            <w:tcBorders>
              <w:top w:val="nil"/>
              <w:left w:val="nil"/>
              <w:bottom w:val="nil"/>
              <w:right w:val="nil"/>
            </w:tcBorders>
            <w:shd w:val="clear" w:color="auto" w:fill="auto"/>
            <w:vAlign w:val="center"/>
            <w:hideMark/>
          </w:tcPr>
          <w:p w14:paraId="484AE447" w14:textId="77777777" w:rsidR="00C1228B" w:rsidRPr="009276A2" w:rsidRDefault="00C1228B" w:rsidP="00616580">
            <w:pPr>
              <w:spacing w:after="0" w:line="240" w:lineRule="auto"/>
              <w:rPr>
                <w:rFonts w:ascii="Arial Narrow" w:eastAsia="Times New Roman" w:hAnsi="Arial Narrow" w:cs="Calibri"/>
                <w:i/>
                <w:iCs/>
                <w:sz w:val="16"/>
                <w:szCs w:val="16"/>
                <w:lang w:eastAsia="sk-SK"/>
              </w:rPr>
            </w:pPr>
          </w:p>
        </w:tc>
        <w:tc>
          <w:tcPr>
            <w:tcW w:w="680" w:type="dxa"/>
            <w:gridSpan w:val="2"/>
            <w:tcBorders>
              <w:top w:val="nil"/>
              <w:left w:val="nil"/>
              <w:bottom w:val="nil"/>
              <w:right w:val="nil"/>
            </w:tcBorders>
            <w:shd w:val="clear" w:color="auto" w:fill="auto"/>
            <w:vAlign w:val="center"/>
            <w:hideMark/>
          </w:tcPr>
          <w:p w14:paraId="7C245EF7" w14:textId="77777777" w:rsidR="00C1228B" w:rsidRPr="00A22C01" w:rsidRDefault="00C1228B" w:rsidP="00616580">
            <w:pPr>
              <w:spacing w:after="0" w:line="240" w:lineRule="auto"/>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1A5C2E82"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xml:space="preserve">v % </w:t>
            </w:r>
          </w:p>
          <w:p w14:paraId="5D70DF9B"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HDP</w:t>
            </w:r>
          </w:p>
        </w:tc>
        <w:tc>
          <w:tcPr>
            <w:tcW w:w="704" w:type="dxa"/>
            <w:gridSpan w:val="2"/>
            <w:tcBorders>
              <w:top w:val="nil"/>
              <w:left w:val="nil"/>
              <w:bottom w:val="nil"/>
              <w:right w:val="nil"/>
            </w:tcBorders>
            <w:shd w:val="clear" w:color="auto" w:fill="auto"/>
            <w:vAlign w:val="center"/>
            <w:hideMark/>
          </w:tcPr>
          <w:p w14:paraId="4E3F27DB"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xml:space="preserve">v % </w:t>
            </w:r>
          </w:p>
          <w:p w14:paraId="67E8E1A2"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HDP</w:t>
            </w:r>
          </w:p>
        </w:tc>
        <w:tc>
          <w:tcPr>
            <w:tcW w:w="651" w:type="dxa"/>
            <w:gridSpan w:val="2"/>
            <w:tcBorders>
              <w:top w:val="nil"/>
              <w:left w:val="nil"/>
              <w:bottom w:val="nil"/>
              <w:right w:val="nil"/>
            </w:tcBorders>
            <w:shd w:val="clear" w:color="auto" w:fill="auto"/>
            <w:vAlign w:val="center"/>
            <w:hideMark/>
          </w:tcPr>
          <w:p w14:paraId="6C250553"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v % HDP</w:t>
            </w:r>
          </w:p>
        </w:tc>
        <w:tc>
          <w:tcPr>
            <w:tcW w:w="651" w:type="dxa"/>
            <w:gridSpan w:val="2"/>
            <w:tcBorders>
              <w:top w:val="nil"/>
              <w:left w:val="nil"/>
              <w:bottom w:val="nil"/>
              <w:right w:val="nil"/>
            </w:tcBorders>
            <w:shd w:val="clear" w:color="auto" w:fill="auto"/>
            <w:vAlign w:val="center"/>
            <w:hideMark/>
          </w:tcPr>
          <w:p w14:paraId="634A3C8F"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v % HDP</w:t>
            </w:r>
          </w:p>
        </w:tc>
        <w:tc>
          <w:tcPr>
            <w:tcW w:w="651" w:type="dxa"/>
            <w:gridSpan w:val="2"/>
            <w:tcBorders>
              <w:top w:val="nil"/>
              <w:left w:val="nil"/>
              <w:bottom w:val="nil"/>
              <w:right w:val="nil"/>
            </w:tcBorders>
            <w:shd w:val="clear" w:color="auto" w:fill="auto"/>
            <w:vAlign w:val="center"/>
            <w:hideMark/>
          </w:tcPr>
          <w:p w14:paraId="32021A15"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v % HDP</w:t>
            </w:r>
          </w:p>
        </w:tc>
        <w:tc>
          <w:tcPr>
            <w:tcW w:w="651" w:type="dxa"/>
            <w:gridSpan w:val="2"/>
            <w:tcBorders>
              <w:top w:val="nil"/>
              <w:left w:val="nil"/>
              <w:bottom w:val="nil"/>
              <w:right w:val="nil"/>
            </w:tcBorders>
            <w:shd w:val="clear" w:color="auto" w:fill="auto"/>
            <w:vAlign w:val="center"/>
            <w:hideMark/>
          </w:tcPr>
          <w:p w14:paraId="15AF7332"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v % HDP</w:t>
            </w:r>
          </w:p>
        </w:tc>
      </w:tr>
      <w:tr w:rsidR="00426EDD" w:rsidRPr="00426EDD" w14:paraId="63939EEA"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4C35BF94"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35</w:t>
            </w:r>
          </w:p>
        </w:tc>
        <w:tc>
          <w:tcPr>
            <w:tcW w:w="1437" w:type="dxa"/>
            <w:gridSpan w:val="2"/>
            <w:tcBorders>
              <w:top w:val="nil"/>
              <w:left w:val="nil"/>
              <w:bottom w:val="nil"/>
              <w:right w:val="nil"/>
            </w:tcBorders>
            <w:shd w:val="clear" w:color="auto" w:fill="DEEAF6" w:themeFill="accent5" w:themeFillTint="33"/>
            <w:vAlign w:val="center"/>
            <w:hideMark/>
          </w:tcPr>
          <w:p w14:paraId="4503679C" w14:textId="77777777" w:rsidR="00C1228B" w:rsidRPr="009276A2" w:rsidRDefault="00C1228B" w:rsidP="00616580">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Hrubý dlh</w:t>
            </w:r>
          </w:p>
        </w:tc>
        <w:tc>
          <w:tcPr>
            <w:tcW w:w="2504" w:type="dxa"/>
            <w:gridSpan w:val="5"/>
            <w:tcBorders>
              <w:top w:val="nil"/>
              <w:left w:val="nil"/>
              <w:bottom w:val="nil"/>
              <w:right w:val="nil"/>
            </w:tcBorders>
            <w:shd w:val="clear" w:color="auto" w:fill="DEEAF6" w:themeFill="accent5" w:themeFillTint="33"/>
            <w:vAlign w:val="center"/>
            <w:hideMark/>
          </w:tcPr>
          <w:p w14:paraId="2EAA9328" w14:textId="77777777" w:rsidR="00C1228B" w:rsidRPr="009276A2" w:rsidRDefault="00C1228B" w:rsidP="00616580">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680" w:type="dxa"/>
            <w:gridSpan w:val="2"/>
            <w:tcBorders>
              <w:top w:val="nil"/>
              <w:left w:val="nil"/>
              <w:bottom w:val="nil"/>
              <w:right w:val="nil"/>
            </w:tcBorders>
            <w:shd w:val="clear" w:color="auto" w:fill="DEEAF6" w:themeFill="accent5" w:themeFillTint="33"/>
            <w:vAlign w:val="center"/>
            <w:hideMark/>
          </w:tcPr>
          <w:p w14:paraId="60DC23F2"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68,8</w:t>
            </w:r>
          </w:p>
        </w:tc>
        <w:tc>
          <w:tcPr>
            <w:tcW w:w="651" w:type="dxa"/>
            <w:tcBorders>
              <w:top w:val="nil"/>
              <w:left w:val="nil"/>
              <w:bottom w:val="nil"/>
              <w:right w:val="nil"/>
            </w:tcBorders>
            <w:shd w:val="clear" w:color="auto" w:fill="DEEAF6" w:themeFill="accent5" w:themeFillTint="33"/>
            <w:vAlign w:val="center"/>
            <w:hideMark/>
          </w:tcPr>
          <w:p w14:paraId="785BE084"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56,0</w:t>
            </w:r>
          </w:p>
        </w:tc>
        <w:tc>
          <w:tcPr>
            <w:tcW w:w="704" w:type="dxa"/>
            <w:gridSpan w:val="2"/>
            <w:tcBorders>
              <w:top w:val="nil"/>
              <w:left w:val="nil"/>
              <w:bottom w:val="nil"/>
              <w:right w:val="nil"/>
            </w:tcBorders>
            <w:shd w:val="clear" w:color="auto" w:fill="DEEAF6" w:themeFill="accent5" w:themeFillTint="33"/>
            <w:vAlign w:val="center"/>
            <w:hideMark/>
          </w:tcPr>
          <w:p w14:paraId="77C10D7A" w14:textId="21C47B36" w:rsidR="00C1228B" w:rsidRPr="00A22C01" w:rsidRDefault="00426EDD"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58,5</w:t>
            </w:r>
          </w:p>
        </w:tc>
        <w:tc>
          <w:tcPr>
            <w:tcW w:w="651" w:type="dxa"/>
            <w:gridSpan w:val="2"/>
            <w:tcBorders>
              <w:top w:val="nil"/>
              <w:left w:val="nil"/>
              <w:bottom w:val="nil"/>
              <w:right w:val="nil"/>
            </w:tcBorders>
            <w:shd w:val="clear" w:color="auto" w:fill="DEEAF6" w:themeFill="accent5" w:themeFillTint="33"/>
            <w:vAlign w:val="center"/>
            <w:hideMark/>
          </w:tcPr>
          <w:p w14:paraId="442F0651" w14:textId="09B788DC" w:rsidR="00C1228B" w:rsidRPr="00A22C01" w:rsidRDefault="00426EDD"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59,8</w:t>
            </w:r>
          </w:p>
        </w:tc>
        <w:tc>
          <w:tcPr>
            <w:tcW w:w="651" w:type="dxa"/>
            <w:gridSpan w:val="2"/>
            <w:tcBorders>
              <w:top w:val="nil"/>
              <w:left w:val="nil"/>
              <w:bottom w:val="nil"/>
              <w:right w:val="nil"/>
            </w:tcBorders>
            <w:shd w:val="clear" w:color="auto" w:fill="DEEAF6" w:themeFill="accent5" w:themeFillTint="33"/>
            <w:vAlign w:val="center"/>
            <w:hideMark/>
          </w:tcPr>
          <w:p w14:paraId="5B123B26" w14:textId="610A02E9" w:rsidR="00C1228B" w:rsidRPr="00A22C01" w:rsidRDefault="00426EDD"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61,6</w:t>
            </w:r>
          </w:p>
        </w:tc>
        <w:tc>
          <w:tcPr>
            <w:tcW w:w="651" w:type="dxa"/>
            <w:gridSpan w:val="2"/>
            <w:tcBorders>
              <w:top w:val="nil"/>
              <w:left w:val="nil"/>
              <w:bottom w:val="nil"/>
              <w:right w:val="nil"/>
            </w:tcBorders>
            <w:shd w:val="clear" w:color="auto" w:fill="DEEAF6" w:themeFill="accent5" w:themeFillTint="33"/>
            <w:vAlign w:val="center"/>
            <w:hideMark/>
          </w:tcPr>
          <w:p w14:paraId="657405F5" w14:textId="581E9E2D" w:rsidR="00C1228B" w:rsidRPr="00A22C01" w:rsidRDefault="00426EDD"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62,1</w:t>
            </w:r>
          </w:p>
        </w:tc>
        <w:tc>
          <w:tcPr>
            <w:tcW w:w="651" w:type="dxa"/>
            <w:gridSpan w:val="2"/>
            <w:tcBorders>
              <w:top w:val="nil"/>
              <w:left w:val="nil"/>
              <w:bottom w:val="nil"/>
              <w:right w:val="nil"/>
            </w:tcBorders>
            <w:shd w:val="clear" w:color="auto" w:fill="DEEAF6" w:themeFill="accent5" w:themeFillTint="33"/>
            <w:vAlign w:val="center"/>
            <w:hideMark/>
          </w:tcPr>
          <w:p w14:paraId="2F156A16" w14:textId="29A71604" w:rsidR="00C1228B" w:rsidRPr="00A22C01" w:rsidRDefault="00426EDD"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61,4</w:t>
            </w:r>
          </w:p>
        </w:tc>
      </w:tr>
      <w:tr w:rsidR="00426EDD" w:rsidRPr="00426EDD" w14:paraId="112995FE" w14:textId="77777777" w:rsidTr="00426EDD">
        <w:trPr>
          <w:gridAfter w:val="1"/>
          <w:wAfter w:w="29" w:type="dxa"/>
          <w:trHeight w:val="300"/>
        </w:trPr>
        <w:tc>
          <w:tcPr>
            <w:tcW w:w="339" w:type="dxa"/>
            <w:tcBorders>
              <w:top w:val="nil"/>
              <w:left w:val="nil"/>
              <w:bottom w:val="nil"/>
              <w:right w:val="nil"/>
            </w:tcBorders>
            <w:shd w:val="clear" w:color="auto" w:fill="DEEAF6" w:themeFill="accent5" w:themeFillTint="33"/>
            <w:vAlign w:val="center"/>
            <w:hideMark/>
          </w:tcPr>
          <w:p w14:paraId="31445771" w14:textId="77777777" w:rsidR="00426EDD" w:rsidRPr="009276A2" w:rsidRDefault="00426EDD" w:rsidP="00426EDD">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36</w:t>
            </w:r>
          </w:p>
        </w:tc>
        <w:tc>
          <w:tcPr>
            <w:tcW w:w="1437" w:type="dxa"/>
            <w:gridSpan w:val="2"/>
            <w:tcBorders>
              <w:top w:val="nil"/>
              <w:left w:val="nil"/>
              <w:bottom w:val="nil"/>
              <w:right w:val="nil"/>
            </w:tcBorders>
            <w:shd w:val="clear" w:color="auto" w:fill="DEEAF6" w:themeFill="accent5" w:themeFillTint="33"/>
            <w:vAlign w:val="center"/>
            <w:hideMark/>
          </w:tcPr>
          <w:p w14:paraId="25DB5B20" w14:textId="77777777" w:rsidR="00426EDD" w:rsidRPr="009276A2" w:rsidRDefault="00426EDD" w:rsidP="00426EDD">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Zmena hrubého dlhu</w:t>
            </w:r>
          </w:p>
        </w:tc>
        <w:tc>
          <w:tcPr>
            <w:tcW w:w="2504" w:type="dxa"/>
            <w:gridSpan w:val="5"/>
            <w:tcBorders>
              <w:top w:val="nil"/>
              <w:left w:val="nil"/>
              <w:bottom w:val="nil"/>
              <w:right w:val="nil"/>
            </w:tcBorders>
            <w:shd w:val="clear" w:color="auto" w:fill="DEEAF6" w:themeFill="accent5" w:themeFillTint="33"/>
            <w:vAlign w:val="center"/>
            <w:hideMark/>
          </w:tcPr>
          <w:p w14:paraId="6B43A2A1" w14:textId="77777777" w:rsidR="00426EDD" w:rsidRPr="009276A2" w:rsidRDefault="00426EDD" w:rsidP="00426EDD">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680" w:type="dxa"/>
            <w:gridSpan w:val="2"/>
            <w:tcBorders>
              <w:top w:val="nil"/>
              <w:left w:val="nil"/>
              <w:bottom w:val="nil"/>
              <w:right w:val="nil"/>
            </w:tcBorders>
            <w:shd w:val="clear" w:color="auto" w:fill="DEEAF6" w:themeFill="accent5" w:themeFillTint="33"/>
            <w:vAlign w:val="center"/>
            <w:hideMark/>
          </w:tcPr>
          <w:p w14:paraId="1CC2E9AF" w14:textId="0A045FFD"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5,3</w:t>
            </w:r>
          </w:p>
        </w:tc>
        <w:tc>
          <w:tcPr>
            <w:tcW w:w="651" w:type="dxa"/>
            <w:tcBorders>
              <w:top w:val="nil"/>
              <w:left w:val="nil"/>
              <w:bottom w:val="nil"/>
              <w:right w:val="nil"/>
            </w:tcBorders>
            <w:shd w:val="clear" w:color="auto" w:fill="DEEAF6" w:themeFill="accent5" w:themeFillTint="33"/>
            <w:vAlign w:val="center"/>
            <w:hideMark/>
          </w:tcPr>
          <w:p w14:paraId="7C8BA754" w14:textId="64E319CA"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-1,7</w:t>
            </w:r>
          </w:p>
        </w:tc>
        <w:tc>
          <w:tcPr>
            <w:tcW w:w="704" w:type="dxa"/>
            <w:gridSpan w:val="2"/>
            <w:tcBorders>
              <w:top w:val="nil"/>
              <w:left w:val="nil"/>
              <w:bottom w:val="nil"/>
              <w:right w:val="nil"/>
            </w:tcBorders>
            <w:shd w:val="clear" w:color="auto" w:fill="DEEAF6" w:themeFill="accent5" w:themeFillTint="33"/>
            <w:vAlign w:val="center"/>
            <w:hideMark/>
          </w:tcPr>
          <w:p w14:paraId="149F29AB" w14:textId="77615304"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2,4</w:t>
            </w:r>
          </w:p>
        </w:tc>
        <w:tc>
          <w:tcPr>
            <w:tcW w:w="651" w:type="dxa"/>
            <w:gridSpan w:val="2"/>
            <w:tcBorders>
              <w:top w:val="nil"/>
              <w:left w:val="nil"/>
              <w:bottom w:val="nil"/>
              <w:right w:val="nil"/>
            </w:tcBorders>
            <w:shd w:val="clear" w:color="auto" w:fill="DEEAF6" w:themeFill="accent5" w:themeFillTint="33"/>
            <w:vAlign w:val="center"/>
            <w:hideMark/>
          </w:tcPr>
          <w:p w14:paraId="390E4B2E" w14:textId="6BBAAB39"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1,3</w:t>
            </w:r>
          </w:p>
        </w:tc>
        <w:tc>
          <w:tcPr>
            <w:tcW w:w="651" w:type="dxa"/>
            <w:gridSpan w:val="2"/>
            <w:tcBorders>
              <w:top w:val="nil"/>
              <w:left w:val="nil"/>
              <w:bottom w:val="nil"/>
              <w:right w:val="nil"/>
            </w:tcBorders>
            <w:shd w:val="clear" w:color="auto" w:fill="DEEAF6" w:themeFill="accent5" w:themeFillTint="33"/>
            <w:vAlign w:val="center"/>
            <w:hideMark/>
          </w:tcPr>
          <w:p w14:paraId="7466F72E" w14:textId="7347A3C3"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1,9</w:t>
            </w:r>
          </w:p>
        </w:tc>
        <w:tc>
          <w:tcPr>
            <w:tcW w:w="651" w:type="dxa"/>
            <w:gridSpan w:val="2"/>
            <w:tcBorders>
              <w:top w:val="nil"/>
              <w:left w:val="nil"/>
              <w:bottom w:val="nil"/>
              <w:right w:val="nil"/>
            </w:tcBorders>
            <w:shd w:val="clear" w:color="auto" w:fill="DEEAF6" w:themeFill="accent5" w:themeFillTint="33"/>
            <w:vAlign w:val="center"/>
            <w:hideMark/>
          </w:tcPr>
          <w:p w14:paraId="2D2586E4" w14:textId="1E626C00"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0,5</w:t>
            </w:r>
          </w:p>
        </w:tc>
        <w:tc>
          <w:tcPr>
            <w:tcW w:w="651" w:type="dxa"/>
            <w:gridSpan w:val="2"/>
            <w:tcBorders>
              <w:top w:val="nil"/>
              <w:left w:val="nil"/>
              <w:bottom w:val="nil"/>
              <w:right w:val="nil"/>
            </w:tcBorders>
            <w:shd w:val="clear" w:color="auto" w:fill="DEEAF6" w:themeFill="accent5" w:themeFillTint="33"/>
            <w:vAlign w:val="center"/>
            <w:hideMark/>
          </w:tcPr>
          <w:p w14:paraId="13B490F4" w14:textId="40D5EEBA"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-0,7</w:t>
            </w:r>
          </w:p>
        </w:tc>
      </w:tr>
      <w:tr w:rsidR="00426EDD" w:rsidRPr="00426EDD" w14:paraId="3829C30D" w14:textId="77777777" w:rsidTr="00426EDD">
        <w:trPr>
          <w:gridAfter w:val="1"/>
          <w:wAfter w:w="29" w:type="dxa"/>
          <w:trHeight w:val="300"/>
        </w:trPr>
        <w:tc>
          <w:tcPr>
            <w:tcW w:w="339" w:type="dxa"/>
            <w:tcBorders>
              <w:top w:val="nil"/>
              <w:left w:val="nil"/>
              <w:bottom w:val="nil"/>
              <w:right w:val="nil"/>
            </w:tcBorders>
            <w:shd w:val="clear" w:color="auto" w:fill="auto"/>
            <w:vAlign w:val="center"/>
            <w:hideMark/>
          </w:tcPr>
          <w:p w14:paraId="036BF157"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37</w:t>
            </w:r>
          </w:p>
        </w:tc>
        <w:tc>
          <w:tcPr>
            <w:tcW w:w="1437" w:type="dxa"/>
            <w:gridSpan w:val="2"/>
            <w:tcBorders>
              <w:top w:val="nil"/>
              <w:left w:val="nil"/>
              <w:bottom w:val="nil"/>
              <w:right w:val="nil"/>
            </w:tcBorders>
            <w:shd w:val="clear" w:color="auto" w:fill="auto"/>
            <w:vAlign w:val="center"/>
            <w:hideMark/>
          </w:tcPr>
          <w:p w14:paraId="5F1655B2" w14:textId="77777777" w:rsidR="00C1228B" w:rsidRPr="009276A2" w:rsidRDefault="00C1228B" w:rsidP="00616580">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Príspevky k zmene hrubého dlhu</w:t>
            </w:r>
          </w:p>
        </w:tc>
        <w:tc>
          <w:tcPr>
            <w:tcW w:w="2504" w:type="dxa"/>
            <w:gridSpan w:val="5"/>
            <w:tcBorders>
              <w:top w:val="nil"/>
              <w:left w:val="nil"/>
              <w:bottom w:val="nil"/>
              <w:right w:val="nil"/>
            </w:tcBorders>
            <w:shd w:val="clear" w:color="auto" w:fill="auto"/>
            <w:vAlign w:val="center"/>
            <w:hideMark/>
          </w:tcPr>
          <w:p w14:paraId="76E26541" w14:textId="77777777" w:rsidR="00C1228B" w:rsidRPr="009276A2" w:rsidRDefault="00C1228B" w:rsidP="00616580">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680" w:type="dxa"/>
            <w:gridSpan w:val="2"/>
            <w:tcBorders>
              <w:top w:val="nil"/>
              <w:left w:val="nil"/>
              <w:bottom w:val="nil"/>
              <w:right w:val="nil"/>
            </w:tcBorders>
            <w:shd w:val="clear" w:color="auto" w:fill="auto"/>
            <w:vAlign w:val="center"/>
            <w:hideMark/>
          </w:tcPr>
          <w:p w14:paraId="6653556A"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w:t>
            </w:r>
          </w:p>
        </w:tc>
        <w:tc>
          <w:tcPr>
            <w:tcW w:w="651" w:type="dxa"/>
            <w:tcBorders>
              <w:top w:val="nil"/>
              <w:left w:val="nil"/>
              <w:bottom w:val="nil"/>
              <w:right w:val="nil"/>
            </w:tcBorders>
            <w:shd w:val="clear" w:color="auto" w:fill="auto"/>
            <w:vAlign w:val="center"/>
            <w:hideMark/>
          </w:tcPr>
          <w:p w14:paraId="2600A571"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w:t>
            </w:r>
          </w:p>
        </w:tc>
        <w:tc>
          <w:tcPr>
            <w:tcW w:w="704" w:type="dxa"/>
            <w:gridSpan w:val="2"/>
            <w:tcBorders>
              <w:top w:val="nil"/>
              <w:left w:val="nil"/>
              <w:bottom w:val="nil"/>
              <w:right w:val="nil"/>
            </w:tcBorders>
            <w:shd w:val="clear" w:color="auto" w:fill="auto"/>
            <w:vAlign w:val="center"/>
            <w:hideMark/>
          </w:tcPr>
          <w:p w14:paraId="01D7A30A"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w:t>
            </w:r>
          </w:p>
        </w:tc>
        <w:tc>
          <w:tcPr>
            <w:tcW w:w="651" w:type="dxa"/>
            <w:gridSpan w:val="2"/>
            <w:tcBorders>
              <w:top w:val="nil"/>
              <w:left w:val="nil"/>
              <w:bottom w:val="nil"/>
              <w:right w:val="nil"/>
            </w:tcBorders>
            <w:shd w:val="clear" w:color="auto" w:fill="auto"/>
            <w:vAlign w:val="center"/>
            <w:hideMark/>
          </w:tcPr>
          <w:p w14:paraId="489678F2"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w:t>
            </w:r>
          </w:p>
        </w:tc>
        <w:tc>
          <w:tcPr>
            <w:tcW w:w="651" w:type="dxa"/>
            <w:gridSpan w:val="2"/>
            <w:tcBorders>
              <w:top w:val="nil"/>
              <w:left w:val="nil"/>
              <w:bottom w:val="nil"/>
              <w:right w:val="nil"/>
            </w:tcBorders>
            <w:shd w:val="clear" w:color="auto" w:fill="auto"/>
            <w:vAlign w:val="center"/>
            <w:hideMark/>
          </w:tcPr>
          <w:p w14:paraId="4FAAAC3D"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w:t>
            </w:r>
          </w:p>
        </w:tc>
        <w:tc>
          <w:tcPr>
            <w:tcW w:w="651" w:type="dxa"/>
            <w:gridSpan w:val="2"/>
            <w:tcBorders>
              <w:top w:val="nil"/>
              <w:left w:val="nil"/>
              <w:bottom w:val="nil"/>
              <w:right w:val="nil"/>
            </w:tcBorders>
            <w:shd w:val="clear" w:color="auto" w:fill="auto"/>
            <w:vAlign w:val="center"/>
            <w:hideMark/>
          </w:tcPr>
          <w:p w14:paraId="619E8636"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w:t>
            </w:r>
          </w:p>
        </w:tc>
        <w:tc>
          <w:tcPr>
            <w:tcW w:w="651" w:type="dxa"/>
            <w:gridSpan w:val="2"/>
            <w:tcBorders>
              <w:top w:val="nil"/>
              <w:left w:val="nil"/>
              <w:bottom w:val="nil"/>
              <w:right w:val="nil"/>
            </w:tcBorders>
            <w:shd w:val="clear" w:color="auto" w:fill="auto"/>
            <w:vAlign w:val="center"/>
            <w:hideMark/>
          </w:tcPr>
          <w:p w14:paraId="198FAE98"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w:t>
            </w:r>
          </w:p>
        </w:tc>
      </w:tr>
      <w:tr w:rsidR="00426EDD" w:rsidRPr="009276A2" w14:paraId="45AFD616" w14:textId="77777777" w:rsidTr="00426EDD">
        <w:trPr>
          <w:trHeight w:val="300"/>
        </w:trPr>
        <w:tc>
          <w:tcPr>
            <w:tcW w:w="339" w:type="dxa"/>
            <w:tcBorders>
              <w:top w:val="nil"/>
              <w:left w:val="nil"/>
              <w:bottom w:val="nil"/>
              <w:right w:val="nil"/>
            </w:tcBorders>
            <w:shd w:val="clear" w:color="auto" w:fill="DEEAF6" w:themeFill="accent5" w:themeFillTint="33"/>
            <w:vAlign w:val="center"/>
            <w:hideMark/>
          </w:tcPr>
          <w:p w14:paraId="352CAEA7" w14:textId="77777777" w:rsidR="00426EDD" w:rsidRPr="009276A2" w:rsidRDefault="00426EDD" w:rsidP="00426EDD">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38</w:t>
            </w:r>
          </w:p>
        </w:tc>
        <w:tc>
          <w:tcPr>
            <w:tcW w:w="2597" w:type="dxa"/>
            <w:gridSpan w:val="4"/>
            <w:tcBorders>
              <w:top w:val="nil"/>
              <w:left w:val="nil"/>
              <w:bottom w:val="nil"/>
              <w:right w:val="nil"/>
            </w:tcBorders>
            <w:shd w:val="clear" w:color="auto" w:fill="DEEAF6" w:themeFill="accent5" w:themeFillTint="33"/>
            <w:vAlign w:val="center"/>
            <w:hideMark/>
          </w:tcPr>
          <w:p w14:paraId="0E3509D9" w14:textId="77777777" w:rsidR="00426EDD" w:rsidRPr="009276A2" w:rsidRDefault="00426EDD" w:rsidP="00426EDD">
            <w:pPr>
              <w:spacing w:after="0" w:line="240" w:lineRule="auto"/>
              <w:ind w:firstLineChars="100" w:firstLine="160"/>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Primárne saldo (= mínus 32)</w:t>
            </w:r>
          </w:p>
        </w:tc>
        <w:tc>
          <w:tcPr>
            <w:tcW w:w="567" w:type="dxa"/>
            <w:gridSpan w:val="2"/>
            <w:tcBorders>
              <w:top w:val="nil"/>
              <w:left w:val="nil"/>
              <w:bottom w:val="nil"/>
              <w:right w:val="nil"/>
            </w:tcBorders>
            <w:shd w:val="clear" w:color="auto" w:fill="DEEAF6" w:themeFill="accent5" w:themeFillTint="33"/>
            <w:vAlign w:val="center"/>
            <w:hideMark/>
          </w:tcPr>
          <w:p w14:paraId="23C780C2" w14:textId="77777777" w:rsidR="00426EDD" w:rsidRPr="009276A2" w:rsidRDefault="00426EDD" w:rsidP="00426EDD">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1128" w:type="dxa"/>
            <w:gridSpan w:val="2"/>
            <w:tcBorders>
              <w:top w:val="nil"/>
              <w:left w:val="nil"/>
              <w:bottom w:val="nil"/>
              <w:right w:val="nil"/>
            </w:tcBorders>
            <w:shd w:val="clear" w:color="auto" w:fill="DEEAF6" w:themeFill="accent5" w:themeFillTint="33"/>
            <w:vAlign w:val="center"/>
            <w:hideMark/>
          </w:tcPr>
          <w:p w14:paraId="37A34B6C" w14:textId="6A342E48"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 xml:space="preserve"> -</w:t>
            </w:r>
          </w:p>
        </w:tc>
        <w:tc>
          <w:tcPr>
            <w:tcW w:w="1073" w:type="dxa"/>
            <w:gridSpan w:val="3"/>
            <w:tcBorders>
              <w:top w:val="nil"/>
              <w:left w:val="nil"/>
              <w:bottom w:val="nil"/>
              <w:right w:val="nil"/>
            </w:tcBorders>
            <w:shd w:val="clear" w:color="auto" w:fill="DEEAF6" w:themeFill="accent5" w:themeFillTint="33"/>
            <w:vAlign w:val="center"/>
            <w:hideMark/>
          </w:tcPr>
          <w:p w14:paraId="0E9149E0" w14:textId="6EE082C1"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3,7</w:t>
            </w:r>
          </w:p>
        </w:tc>
        <w:tc>
          <w:tcPr>
            <w:tcW w:w="723" w:type="dxa"/>
            <w:gridSpan w:val="2"/>
            <w:tcBorders>
              <w:top w:val="nil"/>
              <w:left w:val="nil"/>
              <w:bottom w:val="nil"/>
              <w:right w:val="nil"/>
            </w:tcBorders>
            <w:shd w:val="clear" w:color="auto" w:fill="DEEAF6" w:themeFill="accent5" w:themeFillTint="33"/>
            <w:vAlign w:val="center"/>
            <w:hideMark/>
          </w:tcPr>
          <w:p w14:paraId="76CBCF78" w14:textId="360516F5"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4,5</w:t>
            </w:r>
          </w:p>
        </w:tc>
        <w:tc>
          <w:tcPr>
            <w:tcW w:w="668" w:type="dxa"/>
            <w:gridSpan w:val="2"/>
            <w:tcBorders>
              <w:top w:val="nil"/>
              <w:left w:val="nil"/>
              <w:bottom w:val="nil"/>
              <w:right w:val="nil"/>
            </w:tcBorders>
            <w:shd w:val="clear" w:color="auto" w:fill="DEEAF6" w:themeFill="accent5" w:themeFillTint="33"/>
            <w:vAlign w:val="center"/>
            <w:hideMark/>
          </w:tcPr>
          <w:p w14:paraId="03E3182C" w14:textId="7C4E7DC2"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3,6</w:t>
            </w:r>
          </w:p>
        </w:tc>
        <w:tc>
          <w:tcPr>
            <w:tcW w:w="651" w:type="dxa"/>
            <w:gridSpan w:val="2"/>
            <w:tcBorders>
              <w:top w:val="nil"/>
              <w:left w:val="nil"/>
              <w:bottom w:val="nil"/>
              <w:right w:val="nil"/>
            </w:tcBorders>
            <w:shd w:val="clear" w:color="auto" w:fill="DEEAF6" w:themeFill="accent5" w:themeFillTint="33"/>
            <w:vAlign w:val="center"/>
            <w:hideMark/>
          </w:tcPr>
          <w:p w14:paraId="3A2300EA" w14:textId="6A3B63A0"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2,3</w:t>
            </w:r>
          </w:p>
        </w:tc>
        <w:tc>
          <w:tcPr>
            <w:tcW w:w="652" w:type="dxa"/>
            <w:gridSpan w:val="2"/>
            <w:tcBorders>
              <w:top w:val="nil"/>
              <w:left w:val="nil"/>
              <w:bottom w:val="nil"/>
              <w:right w:val="nil"/>
            </w:tcBorders>
            <w:shd w:val="clear" w:color="auto" w:fill="DEEAF6" w:themeFill="accent5" w:themeFillTint="33"/>
            <w:vAlign w:val="center"/>
            <w:hideMark/>
          </w:tcPr>
          <w:p w14:paraId="6BE6DBEF" w14:textId="0369DD8D"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w:t>
            </w:r>
          </w:p>
        </w:tc>
        <w:tc>
          <w:tcPr>
            <w:tcW w:w="550" w:type="dxa"/>
            <w:gridSpan w:val="2"/>
            <w:tcBorders>
              <w:top w:val="nil"/>
              <w:left w:val="nil"/>
              <w:bottom w:val="nil"/>
              <w:right w:val="nil"/>
            </w:tcBorders>
            <w:shd w:val="clear" w:color="auto" w:fill="DEEAF6" w:themeFill="accent5" w:themeFillTint="33"/>
            <w:vAlign w:val="center"/>
            <w:hideMark/>
          </w:tcPr>
          <w:p w14:paraId="1290523E" w14:textId="0F651755"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-0,1</w:t>
            </w:r>
          </w:p>
        </w:tc>
      </w:tr>
      <w:tr w:rsidR="00426EDD" w:rsidRPr="009276A2" w14:paraId="523ABCC2" w14:textId="77777777" w:rsidTr="00426EDD">
        <w:trPr>
          <w:trHeight w:val="300"/>
        </w:trPr>
        <w:tc>
          <w:tcPr>
            <w:tcW w:w="339" w:type="dxa"/>
            <w:tcBorders>
              <w:top w:val="nil"/>
              <w:left w:val="nil"/>
              <w:bottom w:val="nil"/>
              <w:right w:val="nil"/>
            </w:tcBorders>
            <w:shd w:val="clear" w:color="auto" w:fill="DEEAF6" w:themeFill="accent5" w:themeFillTint="33"/>
            <w:vAlign w:val="center"/>
            <w:hideMark/>
          </w:tcPr>
          <w:p w14:paraId="05B4E15D" w14:textId="77777777" w:rsidR="00426EDD" w:rsidRPr="009276A2" w:rsidRDefault="00426EDD" w:rsidP="00426EDD">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39</w:t>
            </w:r>
          </w:p>
        </w:tc>
        <w:tc>
          <w:tcPr>
            <w:tcW w:w="2597" w:type="dxa"/>
            <w:gridSpan w:val="4"/>
            <w:tcBorders>
              <w:top w:val="nil"/>
              <w:left w:val="nil"/>
              <w:bottom w:val="nil"/>
              <w:right w:val="nil"/>
            </w:tcBorders>
            <w:shd w:val="clear" w:color="auto" w:fill="DEEAF6" w:themeFill="accent5" w:themeFillTint="33"/>
            <w:vAlign w:val="center"/>
            <w:hideMark/>
          </w:tcPr>
          <w:p w14:paraId="07365853" w14:textId="77777777" w:rsidR="00426EDD" w:rsidRPr="009276A2" w:rsidRDefault="00426EDD" w:rsidP="00426EDD">
            <w:pPr>
              <w:spacing w:after="0" w:line="240" w:lineRule="auto"/>
              <w:ind w:firstLineChars="100" w:firstLine="160"/>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Efekt snehovej gule</w:t>
            </w:r>
          </w:p>
        </w:tc>
        <w:tc>
          <w:tcPr>
            <w:tcW w:w="567" w:type="dxa"/>
            <w:gridSpan w:val="2"/>
            <w:tcBorders>
              <w:top w:val="nil"/>
              <w:left w:val="nil"/>
              <w:bottom w:val="nil"/>
              <w:right w:val="nil"/>
            </w:tcBorders>
            <w:shd w:val="clear" w:color="auto" w:fill="DEEAF6" w:themeFill="accent5" w:themeFillTint="33"/>
            <w:vAlign w:val="center"/>
            <w:hideMark/>
          </w:tcPr>
          <w:p w14:paraId="4AE709B8" w14:textId="77777777" w:rsidR="00426EDD" w:rsidRPr="009276A2" w:rsidRDefault="00426EDD" w:rsidP="00426EDD">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1128" w:type="dxa"/>
            <w:gridSpan w:val="2"/>
            <w:tcBorders>
              <w:top w:val="nil"/>
              <w:left w:val="nil"/>
              <w:bottom w:val="nil"/>
              <w:right w:val="nil"/>
            </w:tcBorders>
            <w:shd w:val="clear" w:color="auto" w:fill="DEEAF6" w:themeFill="accent5" w:themeFillTint="33"/>
            <w:vAlign w:val="center"/>
            <w:hideMark/>
          </w:tcPr>
          <w:p w14:paraId="1C6CC012" w14:textId="343CD8B1"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 xml:space="preserve"> -</w:t>
            </w:r>
          </w:p>
        </w:tc>
        <w:tc>
          <w:tcPr>
            <w:tcW w:w="1073" w:type="dxa"/>
            <w:gridSpan w:val="3"/>
            <w:tcBorders>
              <w:top w:val="nil"/>
              <w:left w:val="nil"/>
              <w:bottom w:val="nil"/>
              <w:right w:val="nil"/>
            </w:tcBorders>
            <w:shd w:val="clear" w:color="auto" w:fill="DEEAF6" w:themeFill="accent5" w:themeFillTint="33"/>
            <w:vAlign w:val="center"/>
            <w:hideMark/>
          </w:tcPr>
          <w:p w14:paraId="13113F6B" w14:textId="1D51DCB6"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-5,0</w:t>
            </w:r>
          </w:p>
        </w:tc>
        <w:tc>
          <w:tcPr>
            <w:tcW w:w="723" w:type="dxa"/>
            <w:gridSpan w:val="2"/>
            <w:tcBorders>
              <w:top w:val="nil"/>
              <w:left w:val="nil"/>
              <w:bottom w:val="nil"/>
              <w:right w:val="nil"/>
            </w:tcBorders>
            <w:shd w:val="clear" w:color="auto" w:fill="DEEAF6" w:themeFill="accent5" w:themeFillTint="33"/>
            <w:vAlign w:val="center"/>
            <w:hideMark/>
          </w:tcPr>
          <w:p w14:paraId="17BAAD49" w14:textId="688D06DC"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-2,3</w:t>
            </w:r>
          </w:p>
        </w:tc>
        <w:tc>
          <w:tcPr>
            <w:tcW w:w="668" w:type="dxa"/>
            <w:gridSpan w:val="2"/>
            <w:tcBorders>
              <w:top w:val="nil"/>
              <w:left w:val="nil"/>
              <w:bottom w:val="nil"/>
              <w:right w:val="nil"/>
            </w:tcBorders>
            <w:shd w:val="clear" w:color="auto" w:fill="DEEAF6" w:themeFill="accent5" w:themeFillTint="33"/>
            <w:vAlign w:val="center"/>
            <w:hideMark/>
          </w:tcPr>
          <w:p w14:paraId="6F9692F2" w14:textId="054D1079"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-1,8</w:t>
            </w:r>
          </w:p>
        </w:tc>
        <w:tc>
          <w:tcPr>
            <w:tcW w:w="651" w:type="dxa"/>
            <w:gridSpan w:val="2"/>
            <w:tcBorders>
              <w:top w:val="nil"/>
              <w:left w:val="nil"/>
              <w:bottom w:val="nil"/>
              <w:right w:val="nil"/>
            </w:tcBorders>
            <w:shd w:val="clear" w:color="auto" w:fill="DEEAF6" w:themeFill="accent5" w:themeFillTint="33"/>
            <w:vAlign w:val="center"/>
            <w:hideMark/>
          </w:tcPr>
          <w:p w14:paraId="7E904E6A" w14:textId="787DB0AB"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-0,4</w:t>
            </w:r>
          </w:p>
        </w:tc>
        <w:tc>
          <w:tcPr>
            <w:tcW w:w="652" w:type="dxa"/>
            <w:gridSpan w:val="2"/>
            <w:tcBorders>
              <w:top w:val="nil"/>
              <w:left w:val="nil"/>
              <w:bottom w:val="nil"/>
              <w:right w:val="nil"/>
            </w:tcBorders>
            <w:shd w:val="clear" w:color="auto" w:fill="DEEAF6" w:themeFill="accent5" w:themeFillTint="33"/>
            <w:vAlign w:val="center"/>
            <w:hideMark/>
          </w:tcPr>
          <w:p w14:paraId="011D2622" w14:textId="08EF919A"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-0,6</w:t>
            </w:r>
          </w:p>
        </w:tc>
        <w:tc>
          <w:tcPr>
            <w:tcW w:w="550" w:type="dxa"/>
            <w:gridSpan w:val="2"/>
            <w:tcBorders>
              <w:top w:val="nil"/>
              <w:left w:val="nil"/>
              <w:bottom w:val="nil"/>
              <w:right w:val="nil"/>
            </w:tcBorders>
            <w:shd w:val="clear" w:color="auto" w:fill="DEEAF6" w:themeFill="accent5" w:themeFillTint="33"/>
            <w:vAlign w:val="center"/>
            <w:hideMark/>
          </w:tcPr>
          <w:p w14:paraId="564C8FF0" w14:textId="69B16FA0"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-0,6</w:t>
            </w:r>
          </w:p>
        </w:tc>
      </w:tr>
      <w:tr w:rsidR="00426EDD" w:rsidRPr="009276A2" w14:paraId="2B817C95" w14:textId="77777777" w:rsidTr="00426EDD">
        <w:trPr>
          <w:trHeight w:val="300"/>
        </w:trPr>
        <w:tc>
          <w:tcPr>
            <w:tcW w:w="339" w:type="dxa"/>
            <w:tcBorders>
              <w:top w:val="nil"/>
              <w:left w:val="nil"/>
              <w:bottom w:val="nil"/>
              <w:right w:val="nil"/>
            </w:tcBorders>
            <w:shd w:val="clear" w:color="auto" w:fill="DEEAF6" w:themeFill="accent5" w:themeFillTint="33"/>
            <w:vAlign w:val="center"/>
            <w:hideMark/>
          </w:tcPr>
          <w:p w14:paraId="32684A39" w14:textId="77777777" w:rsidR="00426EDD" w:rsidRPr="009276A2" w:rsidRDefault="00426EDD" w:rsidP="00426EDD">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40</w:t>
            </w:r>
          </w:p>
        </w:tc>
        <w:tc>
          <w:tcPr>
            <w:tcW w:w="2597" w:type="dxa"/>
            <w:gridSpan w:val="4"/>
            <w:tcBorders>
              <w:top w:val="nil"/>
              <w:left w:val="nil"/>
              <w:bottom w:val="nil"/>
              <w:right w:val="nil"/>
            </w:tcBorders>
            <w:shd w:val="clear" w:color="auto" w:fill="DEEAF6" w:themeFill="accent5" w:themeFillTint="33"/>
            <w:vAlign w:val="center"/>
            <w:hideMark/>
          </w:tcPr>
          <w:p w14:paraId="65F44E30" w14:textId="77777777" w:rsidR="00426EDD" w:rsidRPr="009276A2" w:rsidRDefault="00426EDD" w:rsidP="00426EDD">
            <w:pPr>
              <w:spacing w:after="0" w:line="240" w:lineRule="auto"/>
              <w:ind w:firstLineChars="200" w:firstLine="320"/>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Úrokové náklady (= mínus 14)</w:t>
            </w:r>
          </w:p>
        </w:tc>
        <w:tc>
          <w:tcPr>
            <w:tcW w:w="567" w:type="dxa"/>
            <w:gridSpan w:val="2"/>
            <w:tcBorders>
              <w:top w:val="nil"/>
              <w:left w:val="nil"/>
              <w:bottom w:val="nil"/>
              <w:right w:val="nil"/>
            </w:tcBorders>
            <w:shd w:val="clear" w:color="auto" w:fill="DEEAF6" w:themeFill="accent5" w:themeFillTint="33"/>
            <w:vAlign w:val="center"/>
            <w:hideMark/>
          </w:tcPr>
          <w:p w14:paraId="68686D56" w14:textId="77777777" w:rsidR="00426EDD" w:rsidRPr="009276A2" w:rsidRDefault="00426EDD" w:rsidP="00426EDD">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1128" w:type="dxa"/>
            <w:gridSpan w:val="2"/>
            <w:tcBorders>
              <w:top w:val="nil"/>
              <w:left w:val="nil"/>
              <w:bottom w:val="nil"/>
              <w:right w:val="nil"/>
            </w:tcBorders>
            <w:shd w:val="clear" w:color="auto" w:fill="DEEAF6" w:themeFill="accent5" w:themeFillTint="33"/>
            <w:vAlign w:val="center"/>
            <w:hideMark/>
          </w:tcPr>
          <w:p w14:paraId="09377DA6" w14:textId="57142D2F"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 xml:space="preserve"> -</w:t>
            </w:r>
          </w:p>
        </w:tc>
        <w:tc>
          <w:tcPr>
            <w:tcW w:w="1073" w:type="dxa"/>
            <w:gridSpan w:val="3"/>
            <w:tcBorders>
              <w:top w:val="nil"/>
              <w:left w:val="nil"/>
              <w:bottom w:val="nil"/>
              <w:right w:val="nil"/>
            </w:tcBorders>
            <w:shd w:val="clear" w:color="auto" w:fill="DEEAF6" w:themeFill="accent5" w:themeFillTint="33"/>
            <w:vAlign w:val="center"/>
            <w:hideMark/>
          </w:tcPr>
          <w:p w14:paraId="30DBF105" w14:textId="3C1638AB"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1,2</w:t>
            </w:r>
          </w:p>
        </w:tc>
        <w:tc>
          <w:tcPr>
            <w:tcW w:w="723" w:type="dxa"/>
            <w:gridSpan w:val="2"/>
            <w:tcBorders>
              <w:top w:val="nil"/>
              <w:left w:val="nil"/>
              <w:bottom w:val="nil"/>
              <w:right w:val="nil"/>
            </w:tcBorders>
            <w:shd w:val="clear" w:color="auto" w:fill="DEEAF6" w:themeFill="accent5" w:themeFillTint="33"/>
            <w:vAlign w:val="center"/>
            <w:hideMark/>
          </w:tcPr>
          <w:p w14:paraId="00BA0AA3" w14:textId="3B88D4BC"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1,3</w:t>
            </w:r>
          </w:p>
        </w:tc>
        <w:tc>
          <w:tcPr>
            <w:tcW w:w="668" w:type="dxa"/>
            <w:gridSpan w:val="2"/>
            <w:tcBorders>
              <w:top w:val="nil"/>
              <w:left w:val="nil"/>
              <w:bottom w:val="nil"/>
              <w:right w:val="nil"/>
            </w:tcBorders>
            <w:shd w:val="clear" w:color="auto" w:fill="DEEAF6" w:themeFill="accent5" w:themeFillTint="33"/>
            <w:vAlign w:val="center"/>
            <w:hideMark/>
          </w:tcPr>
          <w:p w14:paraId="7C36BD11" w14:textId="0B55F742"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1,5</w:t>
            </w:r>
          </w:p>
        </w:tc>
        <w:tc>
          <w:tcPr>
            <w:tcW w:w="651" w:type="dxa"/>
            <w:gridSpan w:val="2"/>
            <w:tcBorders>
              <w:top w:val="nil"/>
              <w:left w:val="nil"/>
              <w:bottom w:val="nil"/>
              <w:right w:val="nil"/>
            </w:tcBorders>
            <w:shd w:val="clear" w:color="auto" w:fill="DEEAF6" w:themeFill="accent5" w:themeFillTint="33"/>
            <w:vAlign w:val="center"/>
            <w:hideMark/>
          </w:tcPr>
          <w:p w14:paraId="5B003BAC" w14:textId="7BFB52F9"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1,7</w:t>
            </w:r>
          </w:p>
        </w:tc>
        <w:tc>
          <w:tcPr>
            <w:tcW w:w="652" w:type="dxa"/>
            <w:gridSpan w:val="2"/>
            <w:tcBorders>
              <w:top w:val="nil"/>
              <w:left w:val="nil"/>
              <w:bottom w:val="nil"/>
              <w:right w:val="nil"/>
            </w:tcBorders>
            <w:shd w:val="clear" w:color="auto" w:fill="DEEAF6" w:themeFill="accent5" w:themeFillTint="33"/>
            <w:vAlign w:val="center"/>
            <w:hideMark/>
          </w:tcPr>
          <w:p w14:paraId="32FE1CA9" w14:textId="73AB1CE8"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1,8</w:t>
            </w:r>
          </w:p>
        </w:tc>
        <w:tc>
          <w:tcPr>
            <w:tcW w:w="550" w:type="dxa"/>
            <w:gridSpan w:val="2"/>
            <w:tcBorders>
              <w:top w:val="nil"/>
              <w:left w:val="nil"/>
              <w:bottom w:val="nil"/>
              <w:right w:val="nil"/>
            </w:tcBorders>
            <w:shd w:val="clear" w:color="auto" w:fill="DEEAF6" w:themeFill="accent5" w:themeFillTint="33"/>
            <w:vAlign w:val="center"/>
            <w:hideMark/>
          </w:tcPr>
          <w:p w14:paraId="599E5DCE" w14:textId="0680D344"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1,8</w:t>
            </w:r>
          </w:p>
        </w:tc>
      </w:tr>
      <w:tr w:rsidR="00426EDD" w:rsidRPr="009276A2" w14:paraId="363BBEF0" w14:textId="77777777" w:rsidTr="00426EDD">
        <w:trPr>
          <w:trHeight w:val="300"/>
        </w:trPr>
        <w:tc>
          <w:tcPr>
            <w:tcW w:w="339" w:type="dxa"/>
            <w:tcBorders>
              <w:top w:val="nil"/>
              <w:left w:val="nil"/>
              <w:bottom w:val="nil"/>
              <w:right w:val="nil"/>
            </w:tcBorders>
            <w:shd w:val="clear" w:color="auto" w:fill="DEEAF6" w:themeFill="accent5" w:themeFillTint="33"/>
            <w:vAlign w:val="center"/>
            <w:hideMark/>
          </w:tcPr>
          <w:p w14:paraId="21952451" w14:textId="77777777" w:rsidR="00426EDD" w:rsidRPr="009276A2" w:rsidRDefault="00426EDD" w:rsidP="00426EDD">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41</w:t>
            </w:r>
          </w:p>
        </w:tc>
        <w:tc>
          <w:tcPr>
            <w:tcW w:w="2597" w:type="dxa"/>
            <w:gridSpan w:val="4"/>
            <w:tcBorders>
              <w:top w:val="nil"/>
              <w:left w:val="nil"/>
              <w:bottom w:val="nil"/>
              <w:right w:val="nil"/>
            </w:tcBorders>
            <w:shd w:val="clear" w:color="auto" w:fill="DEEAF6" w:themeFill="accent5" w:themeFillTint="33"/>
            <w:vAlign w:val="center"/>
            <w:hideMark/>
          </w:tcPr>
          <w:p w14:paraId="719EF623" w14:textId="77777777" w:rsidR="00426EDD" w:rsidRPr="009276A2" w:rsidRDefault="00426EDD" w:rsidP="00426EDD">
            <w:pPr>
              <w:spacing w:after="0" w:line="240" w:lineRule="auto"/>
              <w:ind w:firstLineChars="200" w:firstLine="320"/>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Reálny rast HDP</w:t>
            </w:r>
          </w:p>
        </w:tc>
        <w:tc>
          <w:tcPr>
            <w:tcW w:w="567" w:type="dxa"/>
            <w:gridSpan w:val="2"/>
            <w:tcBorders>
              <w:top w:val="nil"/>
              <w:left w:val="nil"/>
              <w:bottom w:val="nil"/>
              <w:right w:val="nil"/>
            </w:tcBorders>
            <w:shd w:val="clear" w:color="auto" w:fill="DEEAF6" w:themeFill="accent5" w:themeFillTint="33"/>
            <w:vAlign w:val="center"/>
            <w:hideMark/>
          </w:tcPr>
          <w:p w14:paraId="7A559E30" w14:textId="77777777" w:rsidR="00426EDD" w:rsidRPr="009276A2" w:rsidRDefault="00426EDD" w:rsidP="00426EDD">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1128" w:type="dxa"/>
            <w:gridSpan w:val="2"/>
            <w:tcBorders>
              <w:top w:val="nil"/>
              <w:left w:val="nil"/>
              <w:bottom w:val="nil"/>
              <w:right w:val="nil"/>
            </w:tcBorders>
            <w:shd w:val="clear" w:color="auto" w:fill="DEEAF6" w:themeFill="accent5" w:themeFillTint="33"/>
            <w:vAlign w:val="center"/>
            <w:hideMark/>
          </w:tcPr>
          <w:p w14:paraId="41A292D8" w14:textId="1735893C"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 xml:space="preserve"> -</w:t>
            </w:r>
          </w:p>
        </w:tc>
        <w:tc>
          <w:tcPr>
            <w:tcW w:w="1073" w:type="dxa"/>
            <w:gridSpan w:val="3"/>
            <w:tcBorders>
              <w:top w:val="nil"/>
              <w:left w:val="nil"/>
              <w:bottom w:val="nil"/>
              <w:right w:val="nil"/>
            </w:tcBorders>
            <w:shd w:val="clear" w:color="auto" w:fill="DEEAF6" w:themeFill="accent5" w:themeFillTint="33"/>
            <w:vAlign w:val="center"/>
            <w:hideMark/>
          </w:tcPr>
          <w:p w14:paraId="14E8489B" w14:textId="7BDE78BE"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-0,8</w:t>
            </w:r>
          </w:p>
        </w:tc>
        <w:tc>
          <w:tcPr>
            <w:tcW w:w="723" w:type="dxa"/>
            <w:gridSpan w:val="2"/>
            <w:tcBorders>
              <w:top w:val="nil"/>
              <w:left w:val="nil"/>
              <w:bottom w:val="nil"/>
              <w:right w:val="nil"/>
            </w:tcBorders>
            <w:shd w:val="clear" w:color="auto" w:fill="DEEAF6" w:themeFill="accent5" w:themeFillTint="33"/>
            <w:vAlign w:val="center"/>
            <w:hideMark/>
          </w:tcPr>
          <w:p w14:paraId="2E361782" w14:textId="20CB08D6"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-1,2</w:t>
            </w:r>
          </w:p>
        </w:tc>
        <w:tc>
          <w:tcPr>
            <w:tcW w:w="668" w:type="dxa"/>
            <w:gridSpan w:val="2"/>
            <w:tcBorders>
              <w:top w:val="nil"/>
              <w:left w:val="nil"/>
              <w:bottom w:val="nil"/>
              <w:right w:val="nil"/>
            </w:tcBorders>
            <w:shd w:val="clear" w:color="auto" w:fill="DEEAF6" w:themeFill="accent5" w:themeFillTint="33"/>
            <w:vAlign w:val="center"/>
            <w:hideMark/>
          </w:tcPr>
          <w:p w14:paraId="6C30AEB7" w14:textId="281EBE4E"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-1,4</w:t>
            </w:r>
          </w:p>
        </w:tc>
        <w:tc>
          <w:tcPr>
            <w:tcW w:w="651" w:type="dxa"/>
            <w:gridSpan w:val="2"/>
            <w:tcBorders>
              <w:top w:val="nil"/>
              <w:left w:val="nil"/>
              <w:bottom w:val="nil"/>
              <w:right w:val="nil"/>
            </w:tcBorders>
            <w:shd w:val="clear" w:color="auto" w:fill="DEEAF6" w:themeFill="accent5" w:themeFillTint="33"/>
            <w:vAlign w:val="center"/>
            <w:hideMark/>
          </w:tcPr>
          <w:p w14:paraId="22AB902D" w14:textId="3E777188"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-0,3</w:t>
            </w:r>
          </w:p>
        </w:tc>
        <w:tc>
          <w:tcPr>
            <w:tcW w:w="652" w:type="dxa"/>
            <w:gridSpan w:val="2"/>
            <w:tcBorders>
              <w:top w:val="nil"/>
              <w:left w:val="nil"/>
              <w:bottom w:val="nil"/>
              <w:right w:val="nil"/>
            </w:tcBorders>
            <w:shd w:val="clear" w:color="auto" w:fill="DEEAF6" w:themeFill="accent5" w:themeFillTint="33"/>
            <w:vAlign w:val="center"/>
            <w:hideMark/>
          </w:tcPr>
          <w:p w14:paraId="2AC6E531" w14:textId="074B34EB"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-0,6</w:t>
            </w:r>
          </w:p>
        </w:tc>
        <w:tc>
          <w:tcPr>
            <w:tcW w:w="550" w:type="dxa"/>
            <w:gridSpan w:val="2"/>
            <w:tcBorders>
              <w:top w:val="nil"/>
              <w:left w:val="nil"/>
              <w:bottom w:val="nil"/>
              <w:right w:val="nil"/>
            </w:tcBorders>
            <w:shd w:val="clear" w:color="auto" w:fill="DEEAF6" w:themeFill="accent5" w:themeFillTint="33"/>
            <w:vAlign w:val="center"/>
            <w:hideMark/>
          </w:tcPr>
          <w:p w14:paraId="2B535049" w14:textId="6B39CBEC"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-0,7</w:t>
            </w:r>
          </w:p>
        </w:tc>
      </w:tr>
      <w:tr w:rsidR="00426EDD" w:rsidRPr="009276A2" w14:paraId="40E2B487" w14:textId="77777777" w:rsidTr="00426EDD">
        <w:trPr>
          <w:trHeight w:val="300"/>
        </w:trPr>
        <w:tc>
          <w:tcPr>
            <w:tcW w:w="339" w:type="dxa"/>
            <w:tcBorders>
              <w:top w:val="nil"/>
              <w:left w:val="nil"/>
              <w:bottom w:val="nil"/>
              <w:right w:val="nil"/>
            </w:tcBorders>
            <w:shd w:val="clear" w:color="auto" w:fill="DEEAF6" w:themeFill="accent5" w:themeFillTint="33"/>
            <w:vAlign w:val="center"/>
            <w:hideMark/>
          </w:tcPr>
          <w:p w14:paraId="2D18BC6E" w14:textId="77777777" w:rsidR="00426EDD" w:rsidRPr="009276A2" w:rsidRDefault="00426EDD" w:rsidP="00426EDD">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42</w:t>
            </w:r>
          </w:p>
        </w:tc>
        <w:tc>
          <w:tcPr>
            <w:tcW w:w="2597" w:type="dxa"/>
            <w:gridSpan w:val="4"/>
            <w:tcBorders>
              <w:top w:val="nil"/>
              <w:left w:val="nil"/>
              <w:bottom w:val="nil"/>
              <w:right w:val="nil"/>
            </w:tcBorders>
            <w:shd w:val="clear" w:color="auto" w:fill="DEEAF6" w:themeFill="accent5" w:themeFillTint="33"/>
            <w:vAlign w:val="center"/>
            <w:hideMark/>
          </w:tcPr>
          <w:p w14:paraId="29018721" w14:textId="77777777" w:rsidR="00426EDD" w:rsidRPr="009276A2" w:rsidRDefault="00426EDD" w:rsidP="00426EDD">
            <w:pPr>
              <w:spacing w:after="0" w:line="240" w:lineRule="auto"/>
              <w:ind w:firstLineChars="200" w:firstLine="320"/>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Deflátor HDP</w:t>
            </w:r>
          </w:p>
        </w:tc>
        <w:tc>
          <w:tcPr>
            <w:tcW w:w="567" w:type="dxa"/>
            <w:gridSpan w:val="2"/>
            <w:tcBorders>
              <w:top w:val="nil"/>
              <w:left w:val="nil"/>
              <w:bottom w:val="nil"/>
              <w:right w:val="nil"/>
            </w:tcBorders>
            <w:shd w:val="clear" w:color="auto" w:fill="DEEAF6" w:themeFill="accent5" w:themeFillTint="33"/>
            <w:vAlign w:val="center"/>
            <w:hideMark/>
          </w:tcPr>
          <w:p w14:paraId="3AA9B52F" w14:textId="77777777" w:rsidR="00426EDD" w:rsidRPr="009276A2" w:rsidRDefault="00426EDD" w:rsidP="00426EDD">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1128" w:type="dxa"/>
            <w:gridSpan w:val="2"/>
            <w:tcBorders>
              <w:top w:val="nil"/>
              <w:left w:val="nil"/>
              <w:bottom w:val="nil"/>
              <w:right w:val="nil"/>
            </w:tcBorders>
            <w:shd w:val="clear" w:color="auto" w:fill="DEEAF6" w:themeFill="accent5" w:themeFillTint="33"/>
            <w:vAlign w:val="center"/>
            <w:hideMark/>
          </w:tcPr>
          <w:p w14:paraId="1B98AEC2" w14:textId="2351118D"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 xml:space="preserve"> -</w:t>
            </w:r>
          </w:p>
        </w:tc>
        <w:tc>
          <w:tcPr>
            <w:tcW w:w="1073" w:type="dxa"/>
            <w:gridSpan w:val="3"/>
            <w:tcBorders>
              <w:top w:val="nil"/>
              <w:left w:val="nil"/>
              <w:bottom w:val="nil"/>
              <w:right w:val="nil"/>
            </w:tcBorders>
            <w:shd w:val="clear" w:color="auto" w:fill="DEEAF6" w:themeFill="accent5" w:themeFillTint="33"/>
            <w:vAlign w:val="center"/>
            <w:hideMark/>
          </w:tcPr>
          <w:p w14:paraId="4B75046B" w14:textId="781B0897"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-5,3</w:t>
            </w:r>
          </w:p>
        </w:tc>
        <w:tc>
          <w:tcPr>
            <w:tcW w:w="723" w:type="dxa"/>
            <w:gridSpan w:val="2"/>
            <w:tcBorders>
              <w:top w:val="nil"/>
              <w:left w:val="nil"/>
              <w:bottom w:val="nil"/>
              <w:right w:val="nil"/>
            </w:tcBorders>
            <w:shd w:val="clear" w:color="auto" w:fill="DEEAF6" w:themeFill="accent5" w:themeFillTint="33"/>
            <w:vAlign w:val="center"/>
            <w:hideMark/>
          </w:tcPr>
          <w:p w14:paraId="633762B2" w14:textId="402575CD"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-2,5</w:t>
            </w:r>
          </w:p>
        </w:tc>
        <w:tc>
          <w:tcPr>
            <w:tcW w:w="668" w:type="dxa"/>
            <w:gridSpan w:val="2"/>
            <w:tcBorders>
              <w:top w:val="nil"/>
              <w:left w:val="nil"/>
              <w:bottom w:val="nil"/>
              <w:right w:val="nil"/>
            </w:tcBorders>
            <w:shd w:val="clear" w:color="auto" w:fill="DEEAF6" w:themeFill="accent5" w:themeFillTint="33"/>
            <w:vAlign w:val="center"/>
            <w:hideMark/>
          </w:tcPr>
          <w:p w14:paraId="5ED24118" w14:textId="78251781"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-1,8</w:t>
            </w:r>
          </w:p>
        </w:tc>
        <w:tc>
          <w:tcPr>
            <w:tcW w:w="651" w:type="dxa"/>
            <w:gridSpan w:val="2"/>
            <w:tcBorders>
              <w:top w:val="nil"/>
              <w:left w:val="nil"/>
              <w:bottom w:val="nil"/>
              <w:right w:val="nil"/>
            </w:tcBorders>
            <w:shd w:val="clear" w:color="auto" w:fill="DEEAF6" w:themeFill="accent5" w:themeFillTint="33"/>
            <w:vAlign w:val="center"/>
            <w:hideMark/>
          </w:tcPr>
          <w:p w14:paraId="43182E47" w14:textId="4203AE7E"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-1,8</w:t>
            </w:r>
          </w:p>
        </w:tc>
        <w:tc>
          <w:tcPr>
            <w:tcW w:w="652" w:type="dxa"/>
            <w:gridSpan w:val="2"/>
            <w:tcBorders>
              <w:top w:val="nil"/>
              <w:left w:val="nil"/>
              <w:bottom w:val="nil"/>
              <w:right w:val="nil"/>
            </w:tcBorders>
            <w:shd w:val="clear" w:color="auto" w:fill="DEEAF6" w:themeFill="accent5" w:themeFillTint="33"/>
            <w:vAlign w:val="center"/>
            <w:hideMark/>
          </w:tcPr>
          <w:p w14:paraId="11B43D9A" w14:textId="2249F0B7"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-1,8</w:t>
            </w:r>
          </w:p>
        </w:tc>
        <w:tc>
          <w:tcPr>
            <w:tcW w:w="550" w:type="dxa"/>
            <w:gridSpan w:val="2"/>
            <w:tcBorders>
              <w:top w:val="nil"/>
              <w:left w:val="nil"/>
              <w:bottom w:val="nil"/>
              <w:right w:val="nil"/>
            </w:tcBorders>
            <w:shd w:val="clear" w:color="auto" w:fill="DEEAF6" w:themeFill="accent5" w:themeFillTint="33"/>
            <w:vAlign w:val="center"/>
            <w:hideMark/>
          </w:tcPr>
          <w:p w14:paraId="4AABEE53" w14:textId="09A46743"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-1,8</w:t>
            </w:r>
          </w:p>
        </w:tc>
      </w:tr>
      <w:tr w:rsidR="00426EDD" w:rsidRPr="009276A2" w14:paraId="00D5209A" w14:textId="77777777" w:rsidTr="00426EDD">
        <w:trPr>
          <w:trHeight w:val="300"/>
        </w:trPr>
        <w:tc>
          <w:tcPr>
            <w:tcW w:w="339" w:type="dxa"/>
            <w:tcBorders>
              <w:top w:val="nil"/>
              <w:left w:val="nil"/>
              <w:bottom w:val="nil"/>
              <w:right w:val="nil"/>
            </w:tcBorders>
            <w:shd w:val="clear" w:color="auto" w:fill="DEEAF6" w:themeFill="accent5" w:themeFillTint="33"/>
            <w:vAlign w:val="center"/>
            <w:hideMark/>
          </w:tcPr>
          <w:p w14:paraId="543478BB" w14:textId="77777777" w:rsidR="00426EDD" w:rsidRPr="009276A2" w:rsidRDefault="00426EDD" w:rsidP="00426EDD">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43</w:t>
            </w:r>
          </w:p>
        </w:tc>
        <w:tc>
          <w:tcPr>
            <w:tcW w:w="2597" w:type="dxa"/>
            <w:gridSpan w:val="4"/>
            <w:tcBorders>
              <w:top w:val="nil"/>
              <w:left w:val="nil"/>
              <w:bottom w:val="nil"/>
              <w:right w:val="nil"/>
            </w:tcBorders>
            <w:shd w:val="clear" w:color="auto" w:fill="DEEAF6" w:themeFill="accent5" w:themeFillTint="33"/>
            <w:vAlign w:val="center"/>
            <w:hideMark/>
          </w:tcPr>
          <w:p w14:paraId="7C088807" w14:textId="77777777" w:rsidR="00426EDD" w:rsidRPr="009276A2" w:rsidRDefault="00426EDD" w:rsidP="00426EDD">
            <w:pPr>
              <w:spacing w:after="0" w:line="240" w:lineRule="auto"/>
              <w:ind w:firstLineChars="100" w:firstLine="160"/>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Zosúladenie deficitu a dlhu (= 36-38-39)</w:t>
            </w:r>
          </w:p>
        </w:tc>
        <w:tc>
          <w:tcPr>
            <w:tcW w:w="567" w:type="dxa"/>
            <w:gridSpan w:val="2"/>
            <w:tcBorders>
              <w:top w:val="nil"/>
              <w:left w:val="nil"/>
              <w:bottom w:val="nil"/>
              <w:right w:val="nil"/>
            </w:tcBorders>
            <w:shd w:val="clear" w:color="auto" w:fill="DEEAF6" w:themeFill="accent5" w:themeFillTint="33"/>
            <w:vAlign w:val="center"/>
            <w:hideMark/>
          </w:tcPr>
          <w:p w14:paraId="6E577C89" w14:textId="77777777" w:rsidR="00426EDD" w:rsidRPr="009276A2" w:rsidRDefault="00426EDD" w:rsidP="00426EDD">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1128" w:type="dxa"/>
            <w:gridSpan w:val="2"/>
            <w:tcBorders>
              <w:top w:val="nil"/>
              <w:left w:val="nil"/>
              <w:bottom w:val="nil"/>
              <w:right w:val="nil"/>
            </w:tcBorders>
            <w:shd w:val="clear" w:color="auto" w:fill="DEEAF6" w:themeFill="accent5" w:themeFillTint="33"/>
            <w:vAlign w:val="center"/>
            <w:hideMark/>
          </w:tcPr>
          <w:p w14:paraId="2D5187AF" w14:textId="031A3376"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 xml:space="preserve"> -</w:t>
            </w:r>
          </w:p>
        </w:tc>
        <w:tc>
          <w:tcPr>
            <w:tcW w:w="1073" w:type="dxa"/>
            <w:gridSpan w:val="3"/>
            <w:tcBorders>
              <w:top w:val="nil"/>
              <w:left w:val="nil"/>
              <w:bottom w:val="nil"/>
              <w:right w:val="nil"/>
            </w:tcBorders>
            <w:shd w:val="clear" w:color="auto" w:fill="DEEAF6" w:themeFill="accent5" w:themeFillTint="33"/>
            <w:vAlign w:val="center"/>
            <w:hideMark/>
          </w:tcPr>
          <w:p w14:paraId="2BCF1E6A" w14:textId="1F34D93C"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-0,5</w:t>
            </w:r>
          </w:p>
        </w:tc>
        <w:tc>
          <w:tcPr>
            <w:tcW w:w="723" w:type="dxa"/>
            <w:gridSpan w:val="2"/>
            <w:tcBorders>
              <w:top w:val="nil"/>
              <w:left w:val="nil"/>
              <w:bottom w:val="nil"/>
              <w:right w:val="nil"/>
            </w:tcBorders>
            <w:shd w:val="clear" w:color="auto" w:fill="DEEAF6" w:themeFill="accent5" w:themeFillTint="33"/>
            <w:vAlign w:val="center"/>
            <w:hideMark/>
          </w:tcPr>
          <w:p w14:paraId="43CE9A2E" w14:textId="497EA273"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0,2</w:t>
            </w:r>
          </w:p>
        </w:tc>
        <w:tc>
          <w:tcPr>
            <w:tcW w:w="668" w:type="dxa"/>
            <w:gridSpan w:val="2"/>
            <w:tcBorders>
              <w:top w:val="nil"/>
              <w:left w:val="nil"/>
              <w:bottom w:val="nil"/>
              <w:right w:val="nil"/>
            </w:tcBorders>
            <w:shd w:val="clear" w:color="auto" w:fill="DEEAF6" w:themeFill="accent5" w:themeFillTint="33"/>
            <w:vAlign w:val="center"/>
            <w:hideMark/>
          </w:tcPr>
          <w:p w14:paraId="67FDB019" w14:textId="1A2AE37B"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-0,6</w:t>
            </w:r>
          </w:p>
        </w:tc>
        <w:tc>
          <w:tcPr>
            <w:tcW w:w="651" w:type="dxa"/>
            <w:gridSpan w:val="2"/>
            <w:tcBorders>
              <w:top w:val="nil"/>
              <w:left w:val="nil"/>
              <w:bottom w:val="nil"/>
              <w:right w:val="nil"/>
            </w:tcBorders>
            <w:shd w:val="clear" w:color="auto" w:fill="DEEAF6" w:themeFill="accent5" w:themeFillTint="33"/>
            <w:vAlign w:val="center"/>
            <w:hideMark/>
          </w:tcPr>
          <w:p w14:paraId="0A59A3AD" w14:textId="7A65A705"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0,0</w:t>
            </w:r>
          </w:p>
        </w:tc>
        <w:tc>
          <w:tcPr>
            <w:tcW w:w="652" w:type="dxa"/>
            <w:gridSpan w:val="2"/>
            <w:tcBorders>
              <w:top w:val="nil"/>
              <w:left w:val="nil"/>
              <w:bottom w:val="nil"/>
              <w:right w:val="nil"/>
            </w:tcBorders>
            <w:shd w:val="clear" w:color="auto" w:fill="DEEAF6" w:themeFill="accent5" w:themeFillTint="33"/>
            <w:vAlign w:val="center"/>
            <w:hideMark/>
          </w:tcPr>
          <w:p w14:paraId="2BE8C93D" w14:textId="28C553A5"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0,0</w:t>
            </w:r>
          </w:p>
        </w:tc>
        <w:tc>
          <w:tcPr>
            <w:tcW w:w="550" w:type="dxa"/>
            <w:gridSpan w:val="2"/>
            <w:tcBorders>
              <w:top w:val="nil"/>
              <w:left w:val="nil"/>
              <w:bottom w:val="nil"/>
              <w:right w:val="nil"/>
            </w:tcBorders>
            <w:shd w:val="clear" w:color="auto" w:fill="DEEAF6" w:themeFill="accent5" w:themeFillTint="33"/>
            <w:vAlign w:val="center"/>
            <w:hideMark/>
          </w:tcPr>
          <w:p w14:paraId="1C7CF524" w14:textId="352698EA"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0,0</w:t>
            </w:r>
          </w:p>
        </w:tc>
      </w:tr>
      <w:tr w:rsidR="00426EDD" w:rsidRPr="009276A2" w14:paraId="479C8ECF" w14:textId="77777777" w:rsidTr="00426EDD">
        <w:trPr>
          <w:trHeight w:val="300"/>
        </w:trPr>
        <w:tc>
          <w:tcPr>
            <w:tcW w:w="339" w:type="dxa"/>
            <w:tcBorders>
              <w:top w:val="nil"/>
              <w:left w:val="nil"/>
              <w:bottom w:val="nil"/>
              <w:right w:val="nil"/>
            </w:tcBorders>
            <w:shd w:val="clear" w:color="auto" w:fill="auto"/>
            <w:vAlign w:val="center"/>
            <w:hideMark/>
          </w:tcPr>
          <w:p w14:paraId="0B50621B" w14:textId="77777777" w:rsidR="00C1228B" w:rsidRPr="009276A2" w:rsidRDefault="00C1228B" w:rsidP="00616580">
            <w:pPr>
              <w:spacing w:after="0" w:line="240" w:lineRule="auto"/>
              <w:jc w:val="center"/>
              <w:rPr>
                <w:rFonts w:ascii="Arial Narrow" w:eastAsia="Times New Roman" w:hAnsi="Arial Narrow" w:cs="Calibri"/>
                <w:sz w:val="16"/>
                <w:szCs w:val="16"/>
                <w:lang w:eastAsia="sk-SK"/>
              </w:rPr>
            </w:pPr>
          </w:p>
        </w:tc>
        <w:tc>
          <w:tcPr>
            <w:tcW w:w="835" w:type="dxa"/>
            <w:tcBorders>
              <w:top w:val="nil"/>
              <w:left w:val="nil"/>
              <w:bottom w:val="nil"/>
              <w:right w:val="nil"/>
            </w:tcBorders>
            <w:shd w:val="clear" w:color="auto" w:fill="auto"/>
            <w:vAlign w:val="center"/>
            <w:hideMark/>
          </w:tcPr>
          <w:p w14:paraId="25D05517" w14:textId="77777777" w:rsidR="00C1228B" w:rsidRPr="009276A2" w:rsidRDefault="00C1228B" w:rsidP="00616580">
            <w:pPr>
              <w:spacing w:after="0" w:line="240" w:lineRule="auto"/>
              <w:jc w:val="center"/>
              <w:rPr>
                <w:rFonts w:ascii="Times New Roman" w:eastAsia="Times New Roman" w:hAnsi="Times New Roman" w:cs="Times New Roman"/>
                <w:sz w:val="20"/>
                <w:szCs w:val="20"/>
                <w:lang w:eastAsia="sk-SK"/>
              </w:rPr>
            </w:pPr>
          </w:p>
        </w:tc>
        <w:tc>
          <w:tcPr>
            <w:tcW w:w="1762" w:type="dxa"/>
            <w:gridSpan w:val="3"/>
            <w:tcBorders>
              <w:top w:val="nil"/>
              <w:left w:val="nil"/>
              <w:bottom w:val="nil"/>
              <w:right w:val="nil"/>
            </w:tcBorders>
            <w:shd w:val="clear" w:color="auto" w:fill="auto"/>
            <w:vAlign w:val="center"/>
            <w:hideMark/>
          </w:tcPr>
          <w:p w14:paraId="445D29EF"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182" w:type="dxa"/>
            <w:tcBorders>
              <w:top w:val="nil"/>
              <w:left w:val="nil"/>
              <w:bottom w:val="nil"/>
              <w:right w:val="nil"/>
            </w:tcBorders>
            <w:shd w:val="clear" w:color="auto" w:fill="auto"/>
            <w:vAlign w:val="center"/>
            <w:hideMark/>
          </w:tcPr>
          <w:p w14:paraId="451E9E76"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385" w:type="dxa"/>
            <w:tcBorders>
              <w:top w:val="nil"/>
              <w:left w:val="nil"/>
              <w:bottom w:val="nil"/>
              <w:right w:val="nil"/>
            </w:tcBorders>
            <w:shd w:val="clear" w:color="auto" w:fill="auto"/>
            <w:vAlign w:val="center"/>
            <w:hideMark/>
          </w:tcPr>
          <w:p w14:paraId="42B1F4ED"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1128" w:type="dxa"/>
            <w:gridSpan w:val="2"/>
            <w:tcBorders>
              <w:top w:val="nil"/>
              <w:left w:val="nil"/>
              <w:bottom w:val="nil"/>
              <w:right w:val="nil"/>
            </w:tcBorders>
            <w:shd w:val="clear" w:color="auto" w:fill="auto"/>
            <w:vAlign w:val="center"/>
            <w:hideMark/>
          </w:tcPr>
          <w:p w14:paraId="400DFCB1"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w:t>
            </w:r>
          </w:p>
        </w:tc>
        <w:tc>
          <w:tcPr>
            <w:tcW w:w="1073" w:type="dxa"/>
            <w:gridSpan w:val="3"/>
            <w:tcBorders>
              <w:top w:val="nil"/>
              <w:left w:val="nil"/>
              <w:bottom w:val="nil"/>
              <w:right w:val="nil"/>
            </w:tcBorders>
            <w:shd w:val="clear" w:color="auto" w:fill="auto"/>
            <w:vAlign w:val="center"/>
            <w:hideMark/>
          </w:tcPr>
          <w:p w14:paraId="73A3EEE9"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w:t>
            </w:r>
          </w:p>
        </w:tc>
        <w:tc>
          <w:tcPr>
            <w:tcW w:w="723" w:type="dxa"/>
            <w:gridSpan w:val="2"/>
            <w:tcBorders>
              <w:top w:val="nil"/>
              <w:left w:val="nil"/>
              <w:bottom w:val="nil"/>
              <w:right w:val="nil"/>
            </w:tcBorders>
            <w:shd w:val="clear" w:color="auto" w:fill="auto"/>
            <w:vAlign w:val="center"/>
            <w:hideMark/>
          </w:tcPr>
          <w:p w14:paraId="73114DF6"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w:t>
            </w:r>
          </w:p>
        </w:tc>
        <w:tc>
          <w:tcPr>
            <w:tcW w:w="668" w:type="dxa"/>
            <w:gridSpan w:val="2"/>
            <w:tcBorders>
              <w:top w:val="nil"/>
              <w:left w:val="nil"/>
              <w:bottom w:val="nil"/>
              <w:right w:val="nil"/>
            </w:tcBorders>
            <w:shd w:val="clear" w:color="auto" w:fill="auto"/>
            <w:vAlign w:val="center"/>
            <w:hideMark/>
          </w:tcPr>
          <w:p w14:paraId="79E8D72A"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w:t>
            </w:r>
          </w:p>
        </w:tc>
        <w:tc>
          <w:tcPr>
            <w:tcW w:w="651" w:type="dxa"/>
            <w:gridSpan w:val="2"/>
            <w:tcBorders>
              <w:top w:val="nil"/>
              <w:left w:val="nil"/>
              <w:bottom w:val="nil"/>
              <w:right w:val="nil"/>
            </w:tcBorders>
            <w:shd w:val="clear" w:color="auto" w:fill="auto"/>
            <w:vAlign w:val="center"/>
            <w:hideMark/>
          </w:tcPr>
          <w:p w14:paraId="74936FC0"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w:t>
            </w:r>
          </w:p>
        </w:tc>
        <w:tc>
          <w:tcPr>
            <w:tcW w:w="652" w:type="dxa"/>
            <w:gridSpan w:val="2"/>
            <w:tcBorders>
              <w:top w:val="nil"/>
              <w:left w:val="nil"/>
              <w:bottom w:val="nil"/>
              <w:right w:val="nil"/>
            </w:tcBorders>
            <w:shd w:val="clear" w:color="auto" w:fill="auto"/>
            <w:vAlign w:val="center"/>
            <w:hideMark/>
          </w:tcPr>
          <w:p w14:paraId="5732FE94"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w:t>
            </w:r>
          </w:p>
        </w:tc>
        <w:tc>
          <w:tcPr>
            <w:tcW w:w="550" w:type="dxa"/>
            <w:gridSpan w:val="2"/>
            <w:tcBorders>
              <w:top w:val="nil"/>
              <w:left w:val="nil"/>
              <w:bottom w:val="nil"/>
              <w:right w:val="nil"/>
            </w:tcBorders>
            <w:shd w:val="clear" w:color="auto" w:fill="auto"/>
            <w:vAlign w:val="center"/>
            <w:hideMark/>
          </w:tcPr>
          <w:p w14:paraId="5A5D47E9"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w:t>
            </w:r>
          </w:p>
        </w:tc>
      </w:tr>
      <w:tr w:rsidR="00426EDD" w:rsidRPr="009276A2" w14:paraId="69DA24B1" w14:textId="77777777" w:rsidTr="00426EDD">
        <w:trPr>
          <w:trHeight w:val="330"/>
        </w:trPr>
        <w:tc>
          <w:tcPr>
            <w:tcW w:w="339" w:type="dxa"/>
            <w:tcBorders>
              <w:top w:val="nil"/>
              <w:left w:val="nil"/>
              <w:bottom w:val="nil"/>
              <w:right w:val="nil"/>
            </w:tcBorders>
            <w:shd w:val="clear" w:color="auto" w:fill="DEEAF6" w:themeFill="accent5" w:themeFillTint="33"/>
            <w:vAlign w:val="center"/>
            <w:hideMark/>
          </w:tcPr>
          <w:p w14:paraId="5C1F7AE2" w14:textId="77777777" w:rsidR="00426EDD" w:rsidRPr="009276A2" w:rsidRDefault="00426EDD" w:rsidP="00426EDD">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44</w:t>
            </w:r>
          </w:p>
        </w:tc>
        <w:tc>
          <w:tcPr>
            <w:tcW w:w="2597" w:type="dxa"/>
            <w:gridSpan w:val="4"/>
            <w:tcBorders>
              <w:top w:val="nil"/>
              <w:left w:val="nil"/>
              <w:bottom w:val="nil"/>
              <w:right w:val="nil"/>
            </w:tcBorders>
            <w:shd w:val="clear" w:color="auto" w:fill="DEEAF6" w:themeFill="accent5" w:themeFillTint="33"/>
            <w:vAlign w:val="center"/>
            <w:hideMark/>
          </w:tcPr>
          <w:p w14:paraId="3EBA0838" w14:textId="77777777" w:rsidR="00426EDD" w:rsidRPr="009276A2" w:rsidRDefault="00426EDD" w:rsidP="00426EDD">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p.m. Implicitná úroková miera dlhu (= 14 / dlh (t-1))</w:t>
            </w:r>
          </w:p>
        </w:tc>
        <w:tc>
          <w:tcPr>
            <w:tcW w:w="567" w:type="dxa"/>
            <w:gridSpan w:val="2"/>
            <w:tcBorders>
              <w:top w:val="nil"/>
              <w:left w:val="nil"/>
              <w:bottom w:val="nil"/>
              <w:right w:val="nil"/>
            </w:tcBorders>
            <w:shd w:val="clear" w:color="auto" w:fill="DEEAF6" w:themeFill="accent5" w:themeFillTint="33"/>
            <w:vAlign w:val="center"/>
            <w:hideMark/>
          </w:tcPr>
          <w:p w14:paraId="01DA1734" w14:textId="77777777" w:rsidR="00426EDD" w:rsidRPr="009276A2" w:rsidRDefault="00426EDD" w:rsidP="00426EDD">
            <w:pPr>
              <w:spacing w:after="0" w:line="240" w:lineRule="auto"/>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1128" w:type="dxa"/>
            <w:gridSpan w:val="2"/>
            <w:tcBorders>
              <w:top w:val="nil"/>
              <w:left w:val="nil"/>
              <w:bottom w:val="nil"/>
              <w:right w:val="nil"/>
            </w:tcBorders>
            <w:shd w:val="clear" w:color="auto" w:fill="DEEAF6" w:themeFill="accent5" w:themeFillTint="33"/>
            <w:vAlign w:val="center"/>
            <w:hideMark/>
          </w:tcPr>
          <w:p w14:paraId="26B8C49D" w14:textId="24C516C9"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 xml:space="preserve"> -</w:t>
            </w:r>
          </w:p>
        </w:tc>
        <w:tc>
          <w:tcPr>
            <w:tcW w:w="1073" w:type="dxa"/>
            <w:gridSpan w:val="3"/>
            <w:tcBorders>
              <w:top w:val="nil"/>
              <w:left w:val="nil"/>
              <w:bottom w:val="nil"/>
              <w:right w:val="nil"/>
            </w:tcBorders>
            <w:shd w:val="clear" w:color="auto" w:fill="DEEAF6" w:themeFill="accent5" w:themeFillTint="33"/>
            <w:vAlign w:val="center"/>
            <w:hideMark/>
          </w:tcPr>
          <w:p w14:paraId="195B80A6" w14:textId="3807E553"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2,0</w:t>
            </w:r>
          </w:p>
        </w:tc>
        <w:tc>
          <w:tcPr>
            <w:tcW w:w="723" w:type="dxa"/>
            <w:gridSpan w:val="2"/>
            <w:tcBorders>
              <w:top w:val="nil"/>
              <w:left w:val="nil"/>
              <w:bottom w:val="nil"/>
              <w:right w:val="nil"/>
            </w:tcBorders>
            <w:shd w:val="clear" w:color="auto" w:fill="DEEAF6" w:themeFill="accent5" w:themeFillTint="33"/>
            <w:vAlign w:val="center"/>
            <w:hideMark/>
          </w:tcPr>
          <w:p w14:paraId="666320F7" w14:textId="21F585DC"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2,4</w:t>
            </w:r>
          </w:p>
        </w:tc>
        <w:tc>
          <w:tcPr>
            <w:tcW w:w="668" w:type="dxa"/>
            <w:gridSpan w:val="2"/>
            <w:tcBorders>
              <w:top w:val="nil"/>
              <w:left w:val="nil"/>
              <w:bottom w:val="nil"/>
              <w:right w:val="nil"/>
            </w:tcBorders>
            <w:shd w:val="clear" w:color="auto" w:fill="DEEAF6" w:themeFill="accent5" w:themeFillTint="33"/>
            <w:vAlign w:val="center"/>
            <w:hideMark/>
          </w:tcPr>
          <w:p w14:paraId="03F49A92" w14:textId="631D0131"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2,6</w:t>
            </w:r>
          </w:p>
        </w:tc>
        <w:tc>
          <w:tcPr>
            <w:tcW w:w="651" w:type="dxa"/>
            <w:gridSpan w:val="2"/>
            <w:tcBorders>
              <w:top w:val="nil"/>
              <w:left w:val="nil"/>
              <w:bottom w:val="nil"/>
              <w:right w:val="nil"/>
            </w:tcBorders>
            <w:shd w:val="clear" w:color="auto" w:fill="DEEAF6" w:themeFill="accent5" w:themeFillTint="33"/>
            <w:vAlign w:val="center"/>
            <w:hideMark/>
          </w:tcPr>
          <w:p w14:paraId="59DA89A9" w14:textId="6AC39E73"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2,8</w:t>
            </w:r>
          </w:p>
        </w:tc>
        <w:tc>
          <w:tcPr>
            <w:tcW w:w="652" w:type="dxa"/>
            <w:gridSpan w:val="2"/>
            <w:tcBorders>
              <w:top w:val="nil"/>
              <w:left w:val="nil"/>
              <w:bottom w:val="nil"/>
              <w:right w:val="nil"/>
            </w:tcBorders>
            <w:shd w:val="clear" w:color="auto" w:fill="DEEAF6" w:themeFill="accent5" w:themeFillTint="33"/>
            <w:vAlign w:val="center"/>
            <w:hideMark/>
          </w:tcPr>
          <w:p w14:paraId="2FE00232" w14:textId="6DA27FF6"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2,9</w:t>
            </w:r>
          </w:p>
        </w:tc>
        <w:tc>
          <w:tcPr>
            <w:tcW w:w="550" w:type="dxa"/>
            <w:gridSpan w:val="2"/>
            <w:tcBorders>
              <w:top w:val="nil"/>
              <w:left w:val="nil"/>
              <w:bottom w:val="nil"/>
              <w:right w:val="nil"/>
            </w:tcBorders>
            <w:shd w:val="clear" w:color="auto" w:fill="DEEAF6" w:themeFill="accent5" w:themeFillTint="33"/>
            <w:vAlign w:val="center"/>
            <w:hideMark/>
          </w:tcPr>
          <w:p w14:paraId="3FC0FDEC" w14:textId="0E13E693" w:rsidR="00426EDD" w:rsidRPr="00A22C01" w:rsidRDefault="00426EDD" w:rsidP="00426EDD">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3,0</w:t>
            </w:r>
          </w:p>
        </w:tc>
      </w:tr>
    </w:tbl>
    <w:p w14:paraId="052AD8DE" w14:textId="77777777" w:rsidR="00B218F9" w:rsidRPr="00135823" w:rsidRDefault="00B218F9" w:rsidP="00B218F9">
      <w:pPr>
        <w:widowControl w:val="0"/>
        <w:spacing w:before="40" w:after="40"/>
        <w:jc w:val="right"/>
        <w:rPr>
          <w:rFonts w:ascii="Arial Narrow" w:eastAsia="NeueHaasGroteskText W02" w:hAnsi="Arial Narrow" w:cs="Arial"/>
          <w:i/>
          <w:iCs/>
          <w:color w:val="000000" w:themeColor="text1"/>
          <w:sz w:val="16"/>
          <w:szCs w:val="16"/>
          <w:u w:color="2C9ADC"/>
        </w:rPr>
      </w:pPr>
      <w:r w:rsidRPr="00135823">
        <w:rPr>
          <w:rFonts w:ascii="Arial Narrow" w:eastAsia="NeueHaasGroteskText W02" w:hAnsi="Arial Narrow" w:cs="Arial"/>
          <w:i/>
          <w:iCs/>
          <w:color w:val="000000" w:themeColor="text1"/>
          <w:sz w:val="16"/>
          <w:szCs w:val="16"/>
          <w:u w:color="2C9ADC"/>
        </w:rPr>
        <w:t>Zdroj: Európska komisia</w:t>
      </w:r>
    </w:p>
    <w:p w14:paraId="5EF25101" w14:textId="367C7DCA" w:rsidR="00C1228B" w:rsidRPr="009276A2" w:rsidRDefault="00C1228B" w:rsidP="00C1228B">
      <w:pPr>
        <w:widowControl w:val="0"/>
        <w:spacing w:before="40" w:after="40"/>
        <w:jc w:val="both"/>
        <w:rPr>
          <w:rFonts w:ascii="Arial Narrow" w:eastAsia="NeueHaasGroteskText W02" w:hAnsi="Arial Narrow" w:cs="Arial"/>
          <w:b/>
          <w:bCs/>
          <w:color w:val="2C9ADC"/>
          <w:sz w:val="20"/>
          <w:szCs w:val="20"/>
          <w:u w:color="2C9ADC"/>
        </w:rPr>
      </w:pPr>
    </w:p>
    <w:tbl>
      <w:tblPr>
        <w:tblW w:w="9733" w:type="dxa"/>
        <w:tblCellMar>
          <w:left w:w="70" w:type="dxa"/>
          <w:right w:w="70" w:type="dxa"/>
        </w:tblCellMar>
        <w:tblLook w:val="04A0" w:firstRow="1" w:lastRow="0" w:firstColumn="1" w:lastColumn="0" w:noHBand="0" w:noVBand="1"/>
      </w:tblPr>
      <w:tblGrid>
        <w:gridCol w:w="334"/>
        <w:gridCol w:w="3635"/>
        <w:gridCol w:w="767"/>
        <w:gridCol w:w="740"/>
        <w:gridCol w:w="534"/>
        <w:gridCol w:w="32"/>
        <w:gridCol w:w="458"/>
        <w:gridCol w:w="490"/>
        <w:gridCol w:w="490"/>
        <w:gridCol w:w="490"/>
        <w:gridCol w:w="490"/>
        <w:gridCol w:w="490"/>
        <w:gridCol w:w="783"/>
      </w:tblGrid>
      <w:tr w:rsidR="005774C5" w:rsidRPr="009276A2" w14:paraId="660676E9" w14:textId="77777777" w:rsidTr="005774C5">
        <w:trPr>
          <w:gridAfter w:val="7"/>
          <w:wAfter w:w="3691" w:type="dxa"/>
          <w:trHeight w:val="254"/>
        </w:trPr>
        <w:tc>
          <w:tcPr>
            <w:tcW w:w="6042" w:type="dxa"/>
            <w:gridSpan w:val="6"/>
            <w:tcBorders>
              <w:top w:val="nil"/>
              <w:left w:val="nil"/>
              <w:bottom w:val="nil"/>
              <w:right w:val="nil"/>
            </w:tcBorders>
            <w:shd w:val="clear" w:color="auto" w:fill="auto"/>
            <w:noWrap/>
            <w:vAlign w:val="bottom"/>
          </w:tcPr>
          <w:p w14:paraId="01063406" w14:textId="22C68F84" w:rsidR="005774C5" w:rsidRPr="009276A2" w:rsidRDefault="005774C5" w:rsidP="005774C5">
            <w:pPr>
              <w:spacing w:after="0" w:line="240" w:lineRule="auto"/>
              <w:rPr>
                <w:rFonts w:ascii="Arial Narrow" w:eastAsia="Times New Roman" w:hAnsi="Arial Narrow" w:cs="Calibri"/>
                <w:b/>
                <w:bCs/>
                <w:color w:val="000000"/>
                <w:sz w:val="18"/>
                <w:szCs w:val="18"/>
                <w:lang w:eastAsia="sk-SK"/>
              </w:rPr>
            </w:pPr>
            <w:r w:rsidRPr="005774C5">
              <w:rPr>
                <w:rFonts w:ascii="Arial Narrow" w:eastAsia="Times New Roman" w:hAnsi="Arial Narrow" w:cs="Calibri"/>
                <w:b/>
                <w:bCs/>
                <w:color w:val="2C9ADC"/>
                <w:sz w:val="18"/>
                <w:szCs w:val="18"/>
                <w:lang w:eastAsia="sk-SK"/>
              </w:rPr>
              <w:t>TABUĽKA 5 – Odhadovaný vplyv diskrečných príjmových opatrení</w:t>
            </w:r>
          </w:p>
        </w:tc>
      </w:tr>
      <w:tr w:rsidR="005774C5" w:rsidRPr="009276A2" w14:paraId="47AC639E" w14:textId="77777777" w:rsidTr="005774C5">
        <w:trPr>
          <w:trHeight w:val="266"/>
        </w:trPr>
        <w:tc>
          <w:tcPr>
            <w:tcW w:w="3969" w:type="dxa"/>
            <w:gridSpan w:val="2"/>
            <w:tcBorders>
              <w:top w:val="nil"/>
              <w:left w:val="nil"/>
              <w:right w:val="nil"/>
            </w:tcBorders>
            <w:shd w:val="clear" w:color="auto" w:fill="auto"/>
            <w:vAlign w:val="center"/>
          </w:tcPr>
          <w:p w14:paraId="0B663D2F" w14:textId="77777777" w:rsidR="005774C5" w:rsidRPr="009276A2" w:rsidRDefault="005774C5" w:rsidP="005774C5">
            <w:pPr>
              <w:spacing w:after="0" w:line="240" w:lineRule="auto"/>
              <w:jc w:val="center"/>
              <w:rPr>
                <w:rFonts w:ascii="Arial Narrow" w:eastAsia="Times New Roman" w:hAnsi="Arial Narrow" w:cs="Calibri"/>
                <w:b/>
                <w:bCs/>
                <w:sz w:val="18"/>
                <w:szCs w:val="18"/>
                <w:lang w:eastAsia="sk-SK"/>
              </w:rPr>
            </w:pPr>
          </w:p>
        </w:tc>
        <w:tc>
          <w:tcPr>
            <w:tcW w:w="767" w:type="dxa"/>
            <w:tcBorders>
              <w:top w:val="nil"/>
              <w:left w:val="nil"/>
              <w:right w:val="nil"/>
            </w:tcBorders>
            <w:shd w:val="clear" w:color="auto" w:fill="auto"/>
            <w:vAlign w:val="center"/>
          </w:tcPr>
          <w:p w14:paraId="6C45F808" w14:textId="77777777" w:rsidR="005774C5" w:rsidRPr="009276A2" w:rsidRDefault="005774C5" w:rsidP="005774C5">
            <w:pPr>
              <w:spacing w:after="0" w:line="240" w:lineRule="auto"/>
              <w:jc w:val="center"/>
              <w:rPr>
                <w:rFonts w:ascii="Arial Narrow" w:eastAsia="Times New Roman" w:hAnsi="Arial Narrow" w:cs="Calibri"/>
                <w:b/>
                <w:bCs/>
                <w:sz w:val="18"/>
                <w:szCs w:val="18"/>
                <w:lang w:eastAsia="sk-SK"/>
              </w:rPr>
            </w:pPr>
          </w:p>
        </w:tc>
        <w:tc>
          <w:tcPr>
            <w:tcW w:w="740" w:type="dxa"/>
            <w:tcBorders>
              <w:top w:val="nil"/>
              <w:left w:val="nil"/>
              <w:right w:val="nil"/>
            </w:tcBorders>
            <w:shd w:val="clear" w:color="auto" w:fill="auto"/>
            <w:vAlign w:val="center"/>
          </w:tcPr>
          <w:p w14:paraId="53494171" w14:textId="77777777" w:rsidR="005774C5" w:rsidRPr="009276A2" w:rsidRDefault="005774C5" w:rsidP="005774C5">
            <w:pPr>
              <w:spacing w:after="0" w:line="240" w:lineRule="auto"/>
              <w:jc w:val="center"/>
              <w:rPr>
                <w:rFonts w:ascii="Arial Narrow" w:eastAsia="Times New Roman" w:hAnsi="Arial Narrow" w:cs="Calibri"/>
                <w:b/>
                <w:bCs/>
                <w:sz w:val="18"/>
                <w:szCs w:val="18"/>
                <w:lang w:eastAsia="sk-SK"/>
              </w:rPr>
            </w:pPr>
          </w:p>
        </w:tc>
        <w:tc>
          <w:tcPr>
            <w:tcW w:w="534" w:type="dxa"/>
            <w:tcBorders>
              <w:top w:val="nil"/>
              <w:left w:val="nil"/>
              <w:right w:val="nil"/>
            </w:tcBorders>
            <w:shd w:val="clear" w:color="auto" w:fill="auto"/>
            <w:vAlign w:val="center"/>
          </w:tcPr>
          <w:p w14:paraId="3C6073AD" w14:textId="77777777" w:rsidR="005774C5" w:rsidRPr="009276A2" w:rsidRDefault="005774C5" w:rsidP="005774C5">
            <w:pPr>
              <w:spacing w:after="0" w:line="240" w:lineRule="auto"/>
              <w:jc w:val="center"/>
              <w:rPr>
                <w:rFonts w:ascii="Arial Narrow" w:eastAsia="Times New Roman" w:hAnsi="Arial Narrow" w:cs="Calibri"/>
                <w:sz w:val="16"/>
                <w:szCs w:val="16"/>
                <w:lang w:eastAsia="sk-SK"/>
              </w:rPr>
            </w:pPr>
          </w:p>
        </w:tc>
        <w:tc>
          <w:tcPr>
            <w:tcW w:w="490" w:type="dxa"/>
            <w:gridSpan w:val="2"/>
            <w:tcBorders>
              <w:top w:val="nil"/>
              <w:left w:val="nil"/>
              <w:right w:val="nil"/>
            </w:tcBorders>
            <w:shd w:val="clear" w:color="auto" w:fill="auto"/>
            <w:vAlign w:val="center"/>
          </w:tcPr>
          <w:p w14:paraId="5B4295B4" w14:textId="0A0360CA" w:rsidR="005774C5" w:rsidRPr="009276A2" w:rsidRDefault="005774C5" w:rsidP="005774C5">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b/>
                <w:bCs/>
                <w:sz w:val="18"/>
                <w:szCs w:val="18"/>
                <w:lang w:eastAsia="sk-SK"/>
              </w:rPr>
              <w:t>2023</w:t>
            </w:r>
          </w:p>
        </w:tc>
        <w:tc>
          <w:tcPr>
            <w:tcW w:w="490" w:type="dxa"/>
            <w:tcBorders>
              <w:top w:val="nil"/>
              <w:left w:val="nil"/>
              <w:right w:val="nil"/>
            </w:tcBorders>
            <w:shd w:val="clear" w:color="auto" w:fill="auto"/>
            <w:vAlign w:val="center"/>
          </w:tcPr>
          <w:p w14:paraId="2475FCC6" w14:textId="3EA4CB39" w:rsidR="005774C5" w:rsidRPr="009276A2" w:rsidRDefault="005774C5" w:rsidP="005774C5">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b/>
                <w:bCs/>
                <w:sz w:val="18"/>
                <w:szCs w:val="18"/>
                <w:lang w:eastAsia="sk-SK"/>
              </w:rPr>
              <w:t>2024</w:t>
            </w:r>
          </w:p>
        </w:tc>
        <w:tc>
          <w:tcPr>
            <w:tcW w:w="490" w:type="dxa"/>
            <w:tcBorders>
              <w:top w:val="nil"/>
              <w:left w:val="nil"/>
              <w:right w:val="nil"/>
            </w:tcBorders>
            <w:shd w:val="clear" w:color="auto" w:fill="auto"/>
            <w:vAlign w:val="center"/>
          </w:tcPr>
          <w:p w14:paraId="5D6EFE5C" w14:textId="53151921" w:rsidR="005774C5" w:rsidRPr="009276A2" w:rsidRDefault="005774C5" w:rsidP="005774C5">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b/>
                <w:bCs/>
                <w:sz w:val="18"/>
                <w:szCs w:val="18"/>
                <w:lang w:eastAsia="sk-SK"/>
              </w:rPr>
              <w:t>2025</w:t>
            </w:r>
          </w:p>
        </w:tc>
        <w:tc>
          <w:tcPr>
            <w:tcW w:w="490" w:type="dxa"/>
            <w:tcBorders>
              <w:top w:val="nil"/>
              <w:left w:val="nil"/>
              <w:right w:val="nil"/>
            </w:tcBorders>
            <w:shd w:val="clear" w:color="auto" w:fill="auto"/>
            <w:vAlign w:val="center"/>
          </w:tcPr>
          <w:p w14:paraId="062105BD" w14:textId="6B71F581" w:rsidR="005774C5" w:rsidRPr="009276A2" w:rsidRDefault="005774C5" w:rsidP="005774C5">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b/>
                <w:bCs/>
                <w:sz w:val="18"/>
                <w:szCs w:val="18"/>
                <w:lang w:eastAsia="sk-SK"/>
              </w:rPr>
              <w:t>2026</w:t>
            </w:r>
          </w:p>
        </w:tc>
        <w:tc>
          <w:tcPr>
            <w:tcW w:w="490" w:type="dxa"/>
            <w:tcBorders>
              <w:top w:val="nil"/>
              <w:left w:val="nil"/>
              <w:right w:val="nil"/>
            </w:tcBorders>
            <w:shd w:val="clear" w:color="auto" w:fill="auto"/>
            <w:vAlign w:val="center"/>
          </w:tcPr>
          <w:p w14:paraId="3BE5CFDE" w14:textId="0DE452FF" w:rsidR="005774C5" w:rsidRPr="009276A2" w:rsidRDefault="005774C5" w:rsidP="005774C5">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b/>
                <w:bCs/>
                <w:sz w:val="18"/>
                <w:szCs w:val="18"/>
                <w:lang w:eastAsia="sk-SK"/>
              </w:rPr>
              <w:t>2027</w:t>
            </w:r>
          </w:p>
        </w:tc>
        <w:tc>
          <w:tcPr>
            <w:tcW w:w="490" w:type="dxa"/>
            <w:tcBorders>
              <w:top w:val="nil"/>
              <w:left w:val="nil"/>
              <w:right w:val="nil"/>
            </w:tcBorders>
            <w:shd w:val="clear" w:color="auto" w:fill="auto"/>
            <w:vAlign w:val="center"/>
          </w:tcPr>
          <w:p w14:paraId="7A6457EE" w14:textId="0B50C14E" w:rsidR="005774C5" w:rsidRPr="009276A2" w:rsidRDefault="005774C5" w:rsidP="005774C5">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b/>
                <w:bCs/>
                <w:sz w:val="18"/>
                <w:szCs w:val="18"/>
                <w:lang w:eastAsia="sk-SK"/>
              </w:rPr>
              <w:t>2028</w:t>
            </w:r>
          </w:p>
        </w:tc>
        <w:tc>
          <w:tcPr>
            <w:tcW w:w="783" w:type="dxa"/>
            <w:tcBorders>
              <w:top w:val="nil"/>
              <w:left w:val="nil"/>
              <w:bottom w:val="nil"/>
              <w:right w:val="nil"/>
            </w:tcBorders>
            <w:shd w:val="clear" w:color="auto" w:fill="auto"/>
            <w:noWrap/>
            <w:vAlign w:val="bottom"/>
          </w:tcPr>
          <w:p w14:paraId="768E2EF5" w14:textId="77777777" w:rsidR="005774C5" w:rsidRPr="009276A2" w:rsidRDefault="005774C5" w:rsidP="005774C5">
            <w:pPr>
              <w:spacing w:after="0" w:line="240" w:lineRule="auto"/>
              <w:jc w:val="center"/>
              <w:rPr>
                <w:rFonts w:ascii="Arial Narrow" w:eastAsia="Times New Roman" w:hAnsi="Arial Narrow" w:cs="Calibri"/>
                <w:color w:val="2F5496"/>
                <w:sz w:val="16"/>
                <w:szCs w:val="16"/>
                <w:lang w:eastAsia="sk-SK"/>
              </w:rPr>
            </w:pPr>
          </w:p>
        </w:tc>
      </w:tr>
      <w:tr w:rsidR="005774C5" w:rsidRPr="009276A2" w14:paraId="2464D657" w14:textId="77777777" w:rsidTr="005774C5">
        <w:trPr>
          <w:trHeight w:val="266"/>
        </w:trPr>
        <w:tc>
          <w:tcPr>
            <w:tcW w:w="3969" w:type="dxa"/>
            <w:gridSpan w:val="2"/>
            <w:tcBorders>
              <w:left w:val="nil"/>
              <w:bottom w:val="single" w:sz="8" w:space="0" w:color="auto"/>
              <w:right w:val="nil"/>
            </w:tcBorders>
            <w:shd w:val="clear" w:color="auto" w:fill="auto"/>
            <w:vAlign w:val="center"/>
            <w:hideMark/>
          </w:tcPr>
          <w:p w14:paraId="210CB359" w14:textId="77777777" w:rsidR="005774C5" w:rsidRPr="009276A2" w:rsidRDefault="005774C5" w:rsidP="005774C5">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Názov opatrenia</w:t>
            </w:r>
          </w:p>
        </w:tc>
        <w:tc>
          <w:tcPr>
            <w:tcW w:w="767" w:type="dxa"/>
            <w:tcBorders>
              <w:left w:val="nil"/>
              <w:bottom w:val="nil"/>
              <w:right w:val="nil"/>
            </w:tcBorders>
            <w:shd w:val="clear" w:color="auto" w:fill="auto"/>
            <w:vAlign w:val="center"/>
            <w:hideMark/>
          </w:tcPr>
          <w:p w14:paraId="7F490F15" w14:textId="77777777" w:rsidR="005774C5" w:rsidRPr="009276A2" w:rsidRDefault="005774C5" w:rsidP="005774C5">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One-off</w:t>
            </w:r>
          </w:p>
        </w:tc>
        <w:tc>
          <w:tcPr>
            <w:tcW w:w="740" w:type="dxa"/>
            <w:tcBorders>
              <w:left w:val="nil"/>
              <w:bottom w:val="nil"/>
              <w:right w:val="nil"/>
            </w:tcBorders>
            <w:shd w:val="clear" w:color="auto" w:fill="auto"/>
            <w:vAlign w:val="center"/>
            <w:hideMark/>
          </w:tcPr>
          <w:p w14:paraId="30D489D9" w14:textId="1BA71B38" w:rsidR="005774C5" w:rsidRPr="009276A2" w:rsidRDefault="005774C5" w:rsidP="005774C5">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Príjmy/</w:t>
            </w:r>
            <w:r>
              <w:rPr>
                <w:rFonts w:ascii="Arial Narrow" w:eastAsia="Times New Roman" w:hAnsi="Arial Narrow" w:cs="Calibri"/>
                <w:b/>
                <w:bCs/>
                <w:sz w:val="18"/>
                <w:szCs w:val="18"/>
                <w:lang w:eastAsia="sk-SK"/>
              </w:rPr>
              <w:br/>
            </w:r>
            <w:r w:rsidRPr="009276A2">
              <w:rPr>
                <w:rFonts w:ascii="Arial Narrow" w:eastAsia="Times New Roman" w:hAnsi="Arial Narrow" w:cs="Calibri"/>
                <w:b/>
                <w:bCs/>
                <w:sz w:val="18"/>
                <w:szCs w:val="18"/>
                <w:lang w:eastAsia="sk-SK"/>
              </w:rPr>
              <w:t>Výdavky</w:t>
            </w:r>
          </w:p>
        </w:tc>
        <w:tc>
          <w:tcPr>
            <w:tcW w:w="534" w:type="dxa"/>
            <w:tcBorders>
              <w:left w:val="nil"/>
              <w:bottom w:val="single" w:sz="8" w:space="0" w:color="auto"/>
              <w:right w:val="nil"/>
            </w:tcBorders>
            <w:shd w:val="clear" w:color="auto" w:fill="auto"/>
            <w:vAlign w:val="center"/>
            <w:hideMark/>
          </w:tcPr>
          <w:p w14:paraId="2A80F2DA" w14:textId="77777777" w:rsidR="005774C5" w:rsidRPr="009276A2" w:rsidRDefault="005774C5" w:rsidP="005774C5">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ESA kód</w:t>
            </w:r>
          </w:p>
        </w:tc>
        <w:tc>
          <w:tcPr>
            <w:tcW w:w="490" w:type="dxa"/>
            <w:gridSpan w:val="2"/>
            <w:tcBorders>
              <w:left w:val="nil"/>
              <w:bottom w:val="single" w:sz="8" w:space="0" w:color="auto"/>
              <w:right w:val="nil"/>
            </w:tcBorders>
            <w:shd w:val="clear" w:color="auto" w:fill="auto"/>
            <w:vAlign w:val="center"/>
            <w:hideMark/>
          </w:tcPr>
          <w:p w14:paraId="2FF16119" w14:textId="77777777" w:rsidR="005774C5" w:rsidRPr="009276A2" w:rsidRDefault="005774C5" w:rsidP="005774C5">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xml:space="preserve"> v % HDP</w:t>
            </w:r>
          </w:p>
        </w:tc>
        <w:tc>
          <w:tcPr>
            <w:tcW w:w="490" w:type="dxa"/>
            <w:tcBorders>
              <w:left w:val="nil"/>
              <w:bottom w:val="single" w:sz="8" w:space="0" w:color="auto"/>
              <w:right w:val="nil"/>
            </w:tcBorders>
            <w:shd w:val="clear" w:color="auto" w:fill="auto"/>
            <w:vAlign w:val="center"/>
            <w:hideMark/>
          </w:tcPr>
          <w:p w14:paraId="5A26D5FF" w14:textId="77777777" w:rsidR="005774C5" w:rsidRPr="009276A2" w:rsidRDefault="005774C5" w:rsidP="005774C5">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xml:space="preserve"> v % HDP</w:t>
            </w:r>
          </w:p>
        </w:tc>
        <w:tc>
          <w:tcPr>
            <w:tcW w:w="490" w:type="dxa"/>
            <w:tcBorders>
              <w:left w:val="nil"/>
              <w:bottom w:val="single" w:sz="8" w:space="0" w:color="auto"/>
              <w:right w:val="nil"/>
            </w:tcBorders>
            <w:shd w:val="clear" w:color="auto" w:fill="auto"/>
            <w:vAlign w:val="center"/>
            <w:hideMark/>
          </w:tcPr>
          <w:p w14:paraId="1EEC7047" w14:textId="77777777" w:rsidR="005774C5" w:rsidRPr="009276A2" w:rsidRDefault="005774C5" w:rsidP="005774C5">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xml:space="preserve"> v % HDP</w:t>
            </w:r>
          </w:p>
        </w:tc>
        <w:tc>
          <w:tcPr>
            <w:tcW w:w="490" w:type="dxa"/>
            <w:tcBorders>
              <w:left w:val="nil"/>
              <w:bottom w:val="single" w:sz="8" w:space="0" w:color="auto"/>
              <w:right w:val="nil"/>
            </w:tcBorders>
            <w:shd w:val="clear" w:color="auto" w:fill="auto"/>
            <w:vAlign w:val="center"/>
            <w:hideMark/>
          </w:tcPr>
          <w:p w14:paraId="6F9C290F" w14:textId="77777777" w:rsidR="005774C5" w:rsidRPr="009276A2" w:rsidRDefault="005774C5" w:rsidP="005774C5">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xml:space="preserve"> v % HDP</w:t>
            </w:r>
          </w:p>
        </w:tc>
        <w:tc>
          <w:tcPr>
            <w:tcW w:w="490" w:type="dxa"/>
            <w:tcBorders>
              <w:left w:val="nil"/>
              <w:bottom w:val="single" w:sz="8" w:space="0" w:color="auto"/>
              <w:right w:val="nil"/>
            </w:tcBorders>
            <w:shd w:val="clear" w:color="auto" w:fill="auto"/>
            <w:vAlign w:val="center"/>
            <w:hideMark/>
          </w:tcPr>
          <w:p w14:paraId="54E01969" w14:textId="77777777" w:rsidR="005774C5" w:rsidRPr="009276A2" w:rsidRDefault="005774C5" w:rsidP="005774C5">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xml:space="preserve"> v % HDP</w:t>
            </w:r>
          </w:p>
        </w:tc>
        <w:tc>
          <w:tcPr>
            <w:tcW w:w="490" w:type="dxa"/>
            <w:tcBorders>
              <w:left w:val="nil"/>
              <w:bottom w:val="single" w:sz="8" w:space="0" w:color="auto"/>
              <w:right w:val="nil"/>
            </w:tcBorders>
            <w:shd w:val="clear" w:color="auto" w:fill="auto"/>
            <w:vAlign w:val="center"/>
            <w:hideMark/>
          </w:tcPr>
          <w:p w14:paraId="343BBFD1" w14:textId="77777777" w:rsidR="005774C5" w:rsidRPr="009276A2" w:rsidRDefault="005774C5" w:rsidP="005774C5">
            <w:pPr>
              <w:spacing w:after="0" w:line="240" w:lineRule="auto"/>
              <w:jc w:val="center"/>
              <w:rPr>
                <w:rFonts w:ascii="Arial Narrow" w:eastAsia="Times New Roman" w:hAnsi="Arial Narrow" w:cs="Calibri"/>
                <w:sz w:val="16"/>
                <w:szCs w:val="16"/>
                <w:lang w:eastAsia="sk-SK"/>
              </w:rPr>
            </w:pPr>
            <w:r w:rsidRPr="009276A2">
              <w:rPr>
                <w:rFonts w:ascii="Arial Narrow" w:eastAsia="Times New Roman" w:hAnsi="Arial Narrow" w:cs="Calibri"/>
                <w:sz w:val="16"/>
                <w:szCs w:val="16"/>
                <w:lang w:eastAsia="sk-SK"/>
              </w:rPr>
              <w:t xml:space="preserve"> v % HDP</w:t>
            </w:r>
          </w:p>
        </w:tc>
        <w:tc>
          <w:tcPr>
            <w:tcW w:w="783" w:type="dxa"/>
            <w:tcBorders>
              <w:top w:val="nil"/>
              <w:left w:val="nil"/>
              <w:bottom w:val="nil"/>
              <w:right w:val="nil"/>
            </w:tcBorders>
            <w:shd w:val="clear" w:color="auto" w:fill="auto"/>
            <w:noWrap/>
            <w:vAlign w:val="bottom"/>
            <w:hideMark/>
          </w:tcPr>
          <w:p w14:paraId="733A7343" w14:textId="77777777" w:rsidR="005774C5" w:rsidRPr="009276A2" w:rsidRDefault="005774C5" w:rsidP="005774C5">
            <w:pPr>
              <w:spacing w:after="0" w:line="240" w:lineRule="auto"/>
              <w:jc w:val="center"/>
              <w:rPr>
                <w:rFonts w:ascii="Arial Narrow" w:eastAsia="Times New Roman" w:hAnsi="Arial Narrow" w:cs="Calibri"/>
                <w:color w:val="2F5496"/>
                <w:sz w:val="16"/>
                <w:szCs w:val="16"/>
                <w:lang w:eastAsia="sk-SK"/>
              </w:rPr>
            </w:pPr>
          </w:p>
        </w:tc>
      </w:tr>
      <w:tr w:rsidR="005774C5" w:rsidRPr="009276A2" w14:paraId="0DB8F462" w14:textId="77777777" w:rsidTr="005774C5">
        <w:trPr>
          <w:trHeight w:val="254"/>
        </w:trPr>
        <w:tc>
          <w:tcPr>
            <w:tcW w:w="334" w:type="dxa"/>
            <w:tcBorders>
              <w:top w:val="nil"/>
              <w:left w:val="nil"/>
              <w:bottom w:val="nil"/>
              <w:right w:val="nil"/>
            </w:tcBorders>
            <w:shd w:val="clear" w:color="auto" w:fill="DEEAF6" w:themeFill="accent5" w:themeFillTint="33"/>
            <w:vAlign w:val="center"/>
            <w:hideMark/>
          </w:tcPr>
          <w:p w14:paraId="4B7F8AF7" w14:textId="3236AD43" w:rsidR="005774C5" w:rsidRPr="00B31878" w:rsidRDefault="005774C5" w:rsidP="005774C5">
            <w:pPr>
              <w:spacing w:after="0" w:line="240" w:lineRule="auto"/>
              <w:jc w:val="center"/>
              <w:rPr>
                <w:rFonts w:ascii="Arial Narrow" w:eastAsia="Times New Roman" w:hAnsi="Arial Narrow" w:cs="Calibri"/>
                <w:sz w:val="16"/>
                <w:szCs w:val="16"/>
                <w:lang w:eastAsia="sk-SK"/>
              </w:rPr>
            </w:pPr>
            <w:r w:rsidRPr="00B31878">
              <w:rPr>
                <w:rFonts w:ascii="Arial Narrow" w:hAnsi="Arial Narrow" w:cs="Calibri"/>
                <w:color w:val="000000"/>
                <w:sz w:val="16"/>
                <w:szCs w:val="16"/>
              </w:rPr>
              <w:t>1</w:t>
            </w:r>
          </w:p>
        </w:tc>
        <w:tc>
          <w:tcPr>
            <w:tcW w:w="3635" w:type="dxa"/>
            <w:tcBorders>
              <w:top w:val="nil"/>
              <w:left w:val="nil"/>
              <w:bottom w:val="nil"/>
              <w:right w:val="nil"/>
            </w:tcBorders>
            <w:shd w:val="clear" w:color="auto" w:fill="DEEAF6" w:themeFill="accent5" w:themeFillTint="33"/>
            <w:vAlign w:val="center"/>
            <w:hideMark/>
          </w:tcPr>
          <w:p w14:paraId="77030AE1" w14:textId="368CF7C1" w:rsidR="005774C5" w:rsidRPr="00797DC1" w:rsidRDefault="005774C5" w:rsidP="005774C5">
            <w:pPr>
              <w:spacing w:after="0" w:line="240" w:lineRule="auto"/>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Zmena v registračnom poplatku motorového vozidla</w:t>
            </w:r>
          </w:p>
        </w:tc>
        <w:tc>
          <w:tcPr>
            <w:tcW w:w="767" w:type="dxa"/>
            <w:tcBorders>
              <w:top w:val="single" w:sz="8" w:space="0" w:color="auto"/>
              <w:left w:val="nil"/>
              <w:bottom w:val="nil"/>
              <w:right w:val="nil"/>
            </w:tcBorders>
            <w:shd w:val="clear" w:color="auto" w:fill="DEEAF6" w:themeFill="accent5" w:themeFillTint="33"/>
            <w:vAlign w:val="center"/>
            <w:hideMark/>
          </w:tcPr>
          <w:p w14:paraId="4AC5622F" w14:textId="5AA53955" w:rsidR="005774C5" w:rsidRPr="00797DC1" w:rsidRDefault="005774C5" w:rsidP="005774C5">
            <w:pPr>
              <w:spacing w:after="0" w:line="240" w:lineRule="auto"/>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Nie</w:t>
            </w:r>
          </w:p>
        </w:tc>
        <w:tc>
          <w:tcPr>
            <w:tcW w:w="740" w:type="dxa"/>
            <w:tcBorders>
              <w:top w:val="single" w:sz="8" w:space="0" w:color="auto"/>
              <w:left w:val="nil"/>
              <w:bottom w:val="nil"/>
              <w:right w:val="nil"/>
            </w:tcBorders>
            <w:shd w:val="clear" w:color="auto" w:fill="DEEAF6" w:themeFill="accent5" w:themeFillTint="33"/>
            <w:vAlign w:val="center"/>
            <w:hideMark/>
          </w:tcPr>
          <w:p w14:paraId="11547613" w14:textId="6E279C45" w:rsidR="005774C5" w:rsidRPr="00797DC1" w:rsidRDefault="005774C5" w:rsidP="005774C5">
            <w:pPr>
              <w:spacing w:after="0" w:line="240" w:lineRule="auto"/>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DEEAF6" w:themeFill="accent5" w:themeFillTint="33"/>
            <w:vAlign w:val="center"/>
            <w:hideMark/>
          </w:tcPr>
          <w:p w14:paraId="41002581" w14:textId="61E34680" w:rsidR="005774C5" w:rsidRPr="00797DC1" w:rsidRDefault="005774C5" w:rsidP="005774C5">
            <w:pPr>
              <w:spacing w:after="0" w:line="240" w:lineRule="auto"/>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DEEAF6" w:themeFill="accent5" w:themeFillTint="33"/>
            <w:vAlign w:val="center"/>
            <w:hideMark/>
          </w:tcPr>
          <w:p w14:paraId="3DAB8E52" w14:textId="18D8A496" w:rsidR="005774C5" w:rsidRPr="00797DC1" w:rsidRDefault="005774C5" w:rsidP="005774C5">
            <w:pPr>
              <w:spacing w:after="0" w:line="240" w:lineRule="auto"/>
              <w:jc w:val="center"/>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-0,01</w:t>
            </w:r>
          </w:p>
        </w:tc>
        <w:tc>
          <w:tcPr>
            <w:tcW w:w="490" w:type="dxa"/>
            <w:tcBorders>
              <w:top w:val="nil"/>
              <w:left w:val="nil"/>
              <w:bottom w:val="nil"/>
              <w:right w:val="nil"/>
            </w:tcBorders>
            <w:shd w:val="clear" w:color="auto" w:fill="DEEAF6" w:themeFill="accent5" w:themeFillTint="33"/>
            <w:vAlign w:val="center"/>
            <w:hideMark/>
          </w:tcPr>
          <w:p w14:paraId="797FAC10" w14:textId="036EA3BF" w:rsidR="005774C5" w:rsidRPr="00797DC1" w:rsidRDefault="005774C5" w:rsidP="005774C5">
            <w:pPr>
              <w:spacing w:after="0" w:line="240" w:lineRule="auto"/>
              <w:jc w:val="center"/>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-0,01</w:t>
            </w:r>
          </w:p>
        </w:tc>
        <w:tc>
          <w:tcPr>
            <w:tcW w:w="490" w:type="dxa"/>
            <w:tcBorders>
              <w:top w:val="nil"/>
              <w:left w:val="nil"/>
              <w:bottom w:val="nil"/>
              <w:right w:val="nil"/>
            </w:tcBorders>
            <w:shd w:val="clear" w:color="auto" w:fill="DEEAF6" w:themeFill="accent5" w:themeFillTint="33"/>
            <w:vAlign w:val="center"/>
            <w:hideMark/>
          </w:tcPr>
          <w:p w14:paraId="31F8DE92" w14:textId="18413895" w:rsidR="005774C5" w:rsidRPr="00797DC1" w:rsidRDefault="005774C5" w:rsidP="005774C5">
            <w:pPr>
              <w:spacing w:after="0" w:line="240" w:lineRule="auto"/>
              <w:jc w:val="center"/>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hideMark/>
          </w:tcPr>
          <w:p w14:paraId="337F4B26" w14:textId="236ECF3E" w:rsidR="005774C5" w:rsidRPr="00797DC1" w:rsidRDefault="005774C5" w:rsidP="005774C5">
            <w:pPr>
              <w:spacing w:after="0" w:line="240" w:lineRule="auto"/>
              <w:jc w:val="center"/>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hideMark/>
          </w:tcPr>
          <w:p w14:paraId="3572CEEA" w14:textId="48BC9139" w:rsidR="005774C5" w:rsidRPr="00797DC1" w:rsidRDefault="005774C5" w:rsidP="005774C5">
            <w:pPr>
              <w:spacing w:after="0" w:line="240" w:lineRule="auto"/>
              <w:jc w:val="center"/>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hideMark/>
          </w:tcPr>
          <w:p w14:paraId="1078C63F" w14:textId="1FD1856E" w:rsidR="005774C5" w:rsidRPr="00797DC1" w:rsidRDefault="005774C5" w:rsidP="005774C5">
            <w:pPr>
              <w:spacing w:after="0" w:line="240" w:lineRule="auto"/>
              <w:jc w:val="center"/>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hideMark/>
          </w:tcPr>
          <w:p w14:paraId="045A0D32" w14:textId="77777777" w:rsidR="005774C5" w:rsidRPr="009276A2" w:rsidRDefault="005774C5" w:rsidP="005774C5">
            <w:pPr>
              <w:spacing w:after="0" w:line="240" w:lineRule="auto"/>
              <w:rPr>
                <w:rFonts w:ascii="Calibri" w:eastAsia="Times New Roman" w:hAnsi="Calibri" w:cs="Calibri"/>
                <w:color w:val="000000"/>
                <w:lang w:eastAsia="sk-SK"/>
              </w:rPr>
            </w:pPr>
            <w:r w:rsidRPr="009276A2">
              <w:rPr>
                <w:rFonts w:ascii="Calibri" w:eastAsia="Times New Roman" w:hAnsi="Calibri" w:cs="Calibri"/>
                <w:color w:val="000000"/>
                <w:lang w:eastAsia="sk-SK"/>
              </w:rPr>
              <w:t> </w:t>
            </w:r>
          </w:p>
        </w:tc>
      </w:tr>
      <w:tr w:rsidR="005774C5" w:rsidRPr="009276A2" w14:paraId="05332364" w14:textId="77777777" w:rsidTr="005774C5">
        <w:trPr>
          <w:trHeight w:val="254"/>
        </w:trPr>
        <w:tc>
          <w:tcPr>
            <w:tcW w:w="334" w:type="dxa"/>
            <w:tcBorders>
              <w:top w:val="nil"/>
              <w:left w:val="nil"/>
              <w:bottom w:val="nil"/>
              <w:right w:val="nil"/>
            </w:tcBorders>
            <w:shd w:val="clear" w:color="auto" w:fill="auto"/>
            <w:vAlign w:val="center"/>
            <w:hideMark/>
          </w:tcPr>
          <w:p w14:paraId="0B841671" w14:textId="5FB4E185" w:rsidR="005774C5" w:rsidRPr="00B31878" w:rsidRDefault="005774C5" w:rsidP="005774C5">
            <w:pPr>
              <w:spacing w:after="0" w:line="240" w:lineRule="auto"/>
              <w:jc w:val="center"/>
              <w:rPr>
                <w:rFonts w:ascii="Arial Narrow" w:eastAsia="Times New Roman" w:hAnsi="Arial Narrow" w:cs="Calibri"/>
                <w:sz w:val="16"/>
                <w:szCs w:val="16"/>
                <w:lang w:eastAsia="sk-SK"/>
              </w:rPr>
            </w:pPr>
            <w:r w:rsidRPr="00B31878">
              <w:rPr>
                <w:rFonts w:ascii="Arial Narrow" w:hAnsi="Arial Narrow" w:cs="Calibri"/>
                <w:color w:val="000000"/>
                <w:sz w:val="16"/>
                <w:szCs w:val="16"/>
              </w:rPr>
              <w:t>2</w:t>
            </w:r>
          </w:p>
        </w:tc>
        <w:tc>
          <w:tcPr>
            <w:tcW w:w="3635" w:type="dxa"/>
            <w:tcBorders>
              <w:top w:val="nil"/>
              <w:left w:val="nil"/>
              <w:bottom w:val="nil"/>
              <w:right w:val="nil"/>
            </w:tcBorders>
            <w:shd w:val="clear" w:color="auto" w:fill="auto"/>
            <w:vAlign w:val="center"/>
            <w:hideMark/>
          </w:tcPr>
          <w:p w14:paraId="655DA16C" w14:textId="6479426C" w:rsidR="005774C5" w:rsidRPr="00797DC1" w:rsidRDefault="005774C5" w:rsidP="005774C5">
            <w:pPr>
              <w:spacing w:after="0" w:line="240" w:lineRule="auto"/>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Úpravy v superodpočte (veda a výskum a priemysel 4.0)</w:t>
            </w:r>
          </w:p>
        </w:tc>
        <w:tc>
          <w:tcPr>
            <w:tcW w:w="767" w:type="dxa"/>
            <w:tcBorders>
              <w:top w:val="nil"/>
              <w:left w:val="nil"/>
              <w:bottom w:val="nil"/>
              <w:right w:val="nil"/>
            </w:tcBorders>
            <w:shd w:val="clear" w:color="auto" w:fill="auto"/>
            <w:vAlign w:val="center"/>
            <w:hideMark/>
          </w:tcPr>
          <w:p w14:paraId="5406AB29" w14:textId="6D4DA5A3" w:rsidR="005774C5" w:rsidRPr="00797DC1" w:rsidRDefault="005774C5" w:rsidP="005774C5">
            <w:pPr>
              <w:spacing w:after="0" w:line="240" w:lineRule="auto"/>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auto"/>
            <w:vAlign w:val="center"/>
            <w:hideMark/>
          </w:tcPr>
          <w:p w14:paraId="1EE1388F" w14:textId="446ECED8" w:rsidR="005774C5" w:rsidRPr="00797DC1" w:rsidRDefault="005774C5" w:rsidP="005774C5">
            <w:pPr>
              <w:spacing w:after="0" w:line="240" w:lineRule="auto"/>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auto"/>
            <w:vAlign w:val="center"/>
            <w:hideMark/>
          </w:tcPr>
          <w:p w14:paraId="5944C657" w14:textId="6B6C09DF" w:rsidR="005774C5" w:rsidRPr="00797DC1" w:rsidRDefault="005774C5" w:rsidP="005774C5">
            <w:pPr>
              <w:spacing w:after="0" w:line="240" w:lineRule="auto"/>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auto"/>
            <w:vAlign w:val="center"/>
            <w:hideMark/>
          </w:tcPr>
          <w:p w14:paraId="3E79D8DD" w14:textId="2E3837BB" w:rsidR="005774C5" w:rsidRPr="00797DC1" w:rsidRDefault="005774C5" w:rsidP="005774C5">
            <w:pPr>
              <w:spacing w:after="0" w:line="240" w:lineRule="auto"/>
              <w:jc w:val="center"/>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-0,01</w:t>
            </w:r>
          </w:p>
        </w:tc>
        <w:tc>
          <w:tcPr>
            <w:tcW w:w="490" w:type="dxa"/>
            <w:tcBorders>
              <w:top w:val="nil"/>
              <w:left w:val="nil"/>
              <w:bottom w:val="nil"/>
              <w:right w:val="nil"/>
            </w:tcBorders>
            <w:shd w:val="clear" w:color="auto" w:fill="auto"/>
            <w:vAlign w:val="center"/>
            <w:hideMark/>
          </w:tcPr>
          <w:p w14:paraId="63816748" w14:textId="596682F1" w:rsidR="005774C5" w:rsidRPr="00797DC1" w:rsidRDefault="005774C5" w:rsidP="005774C5">
            <w:pPr>
              <w:spacing w:after="0" w:line="240" w:lineRule="auto"/>
              <w:jc w:val="center"/>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hideMark/>
          </w:tcPr>
          <w:p w14:paraId="76641C8E" w14:textId="21ABD0F9" w:rsidR="005774C5" w:rsidRPr="00797DC1" w:rsidRDefault="005774C5" w:rsidP="005774C5">
            <w:pPr>
              <w:spacing w:after="0" w:line="240" w:lineRule="auto"/>
              <w:jc w:val="center"/>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hideMark/>
          </w:tcPr>
          <w:p w14:paraId="79A866E6" w14:textId="61B42473" w:rsidR="005774C5" w:rsidRPr="00797DC1" w:rsidRDefault="005774C5" w:rsidP="005774C5">
            <w:pPr>
              <w:spacing w:after="0" w:line="240" w:lineRule="auto"/>
              <w:jc w:val="center"/>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hideMark/>
          </w:tcPr>
          <w:p w14:paraId="4C807460" w14:textId="01CC0F2E" w:rsidR="005774C5" w:rsidRPr="00797DC1" w:rsidRDefault="005774C5" w:rsidP="005774C5">
            <w:pPr>
              <w:spacing w:after="0" w:line="240" w:lineRule="auto"/>
              <w:jc w:val="center"/>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hideMark/>
          </w:tcPr>
          <w:p w14:paraId="76FD5339" w14:textId="1B5A9E9F" w:rsidR="005774C5" w:rsidRPr="00797DC1" w:rsidRDefault="005774C5" w:rsidP="005774C5">
            <w:pPr>
              <w:spacing w:after="0" w:line="240" w:lineRule="auto"/>
              <w:jc w:val="center"/>
              <w:rPr>
                <w:rFonts w:ascii="Arial Narrow" w:eastAsia="Times New Roman" w:hAnsi="Arial Narrow" w:cs="Calibri"/>
                <w:color w:val="000000" w:themeColor="text1"/>
                <w:sz w:val="16"/>
                <w:szCs w:val="16"/>
                <w:lang w:eastAsia="sk-SK"/>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hideMark/>
          </w:tcPr>
          <w:p w14:paraId="6F6EB56E" w14:textId="77777777" w:rsidR="005774C5" w:rsidRPr="009276A2" w:rsidRDefault="005774C5" w:rsidP="005774C5">
            <w:pPr>
              <w:spacing w:after="0" w:line="240" w:lineRule="auto"/>
              <w:rPr>
                <w:rFonts w:ascii="Calibri" w:eastAsia="Times New Roman" w:hAnsi="Calibri" w:cs="Calibri"/>
                <w:color w:val="000000"/>
                <w:lang w:eastAsia="sk-SK"/>
              </w:rPr>
            </w:pPr>
            <w:r w:rsidRPr="009276A2">
              <w:rPr>
                <w:rFonts w:ascii="Calibri" w:eastAsia="Times New Roman" w:hAnsi="Calibri" w:cs="Calibri"/>
                <w:color w:val="000000"/>
                <w:lang w:eastAsia="sk-SK"/>
              </w:rPr>
              <w:t> </w:t>
            </w:r>
          </w:p>
        </w:tc>
      </w:tr>
      <w:tr w:rsidR="005774C5" w:rsidRPr="009276A2" w14:paraId="3CE25A0B" w14:textId="77777777" w:rsidTr="005774C5">
        <w:trPr>
          <w:trHeight w:val="254"/>
        </w:trPr>
        <w:tc>
          <w:tcPr>
            <w:tcW w:w="334" w:type="dxa"/>
            <w:tcBorders>
              <w:top w:val="nil"/>
              <w:left w:val="nil"/>
              <w:bottom w:val="nil"/>
              <w:right w:val="nil"/>
            </w:tcBorders>
            <w:shd w:val="clear" w:color="auto" w:fill="DEEAF6" w:themeFill="accent5" w:themeFillTint="33"/>
            <w:vAlign w:val="center"/>
          </w:tcPr>
          <w:p w14:paraId="065262F7" w14:textId="781DE869" w:rsidR="005774C5" w:rsidRPr="00B31878" w:rsidRDefault="005774C5" w:rsidP="005774C5">
            <w:pPr>
              <w:spacing w:after="0" w:line="240" w:lineRule="auto"/>
              <w:jc w:val="center"/>
              <w:rPr>
                <w:rFonts w:ascii="Arial Narrow" w:hAnsi="Arial Narrow" w:cs="Calibri"/>
                <w:color w:val="000000"/>
                <w:sz w:val="16"/>
                <w:szCs w:val="16"/>
              </w:rPr>
            </w:pPr>
            <w:r w:rsidRPr="00B31878">
              <w:rPr>
                <w:rFonts w:ascii="Arial Narrow" w:hAnsi="Arial Narrow" w:cs="Calibri"/>
                <w:color w:val="000000"/>
                <w:sz w:val="16"/>
                <w:szCs w:val="16"/>
              </w:rPr>
              <w:t>3</w:t>
            </w:r>
          </w:p>
        </w:tc>
        <w:tc>
          <w:tcPr>
            <w:tcW w:w="3635" w:type="dxa"/>
            <w:tcBorders>
              <w:top w:val="nil"/>
              <w:left w:val="nil"/>
              <w:bottom w:val="nil"/>
              <w:right w:val="nil"/>
            </w:tcBorders>
            <w:shd w:val="clear" w:color="auto" w:fill="DEEAF6" w:themeFill="accent5" w:themeFillTint="33"/>
            <w:vAlign w:val="center"/>
          </w:tcPr>
          <w:p w14:paraId="21AB618B" w14:textId="2E6A034D"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Zavedenie sezónnej odvodovo-odpočítateľnej položky na sociálne odvody</w:t>
            </w:r>
          </w:p>
        </w:tc>
        <w:tc>
          <w:tcPr>
            <w:tcW w:w="767" w:type="dxa"/>
            <w:tcBorders>
              <w:top w:val="nil"/>
              <w:left w:val="nil"/>
              <w:bottom w:val="nil"/>
              <w:right w:val="nil"/>
            </w:tcBorders>
            <w:shd w:val="clear" w:color="auto" w:fill="DEEAF6" w:themeFill="accent5" w:themeFillTint="33"/>
            <w:vAlign w:val="center"/>
          </w:tcPr>
          <w:p w14:paraId="46C9D3BC" w14:textId="340D5DE4"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DEEAF6" w:themeFill="accent5" w:themeFillTint="33"/>
            <w:vAlign w:val="center"/>
          </w:tcPr>
          <w:p w14:paraId="47CC9CA7" w14:textId="7FD7C127"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DEEAF6" w:themeFill="accent5" w:themeFillTint="33"/>
            <w:vAlign w:val="center"/>
          </w:tcPr>
          <w:p w14:paraId="68F55468" w14:textId="62C23378"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DEEAF6" w:themeFill="accent5" w:themeFillTint="33"/>
            <w:vAlign w:val="center"/>
          </w:tcPr>
          <w:p w14:paraId="26B408AD" w14:textId="4F3D65F3"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-0,01</w:t>
            </w:r>
          </w:p>
        </w:tc>
        <w:tc>
          <w:tcPr>
            <w:tcW w:w="490" w:type="dxa"/>
            <w:tcBorders>
              <w:top w:val="nil"/>
              <w:left w:val="nil"/>
              <w:bottom w:val="nil"/>
              <w:right w:val="nil"/>
            </w:tcBorders>
            <w:shd w:val="clear" w:color="auto" w:fill="DEEAF6" w:themeFill="accent5" w:themeFillTint="33"/>
            <w:vAlign w:val="center"/>
          </w:tcPr>
          <w:p w14:paraId="63BDA817" w14:textId="017CEF93"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7DE672FD" w14:textId="30FF9B24"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0CD63EB0" w14:textId="58EF8B85"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122F9346" w14:textId="78C851AE"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463193C9" w14:textId="37F278FF"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76FF5810"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3E993BA3" w14:textId="77777777" w:rsidTr="005774C5">
        <w:trPr>
          <w:trHeight w:val="254"/>
        </w:trPr>
        <w:tc>
          <w:tcPr>
            <w:tcW w:w="334" w:type="dxa"/>
            <w:tcBorders>
              <w:top w:val="nil"/>
              <w:left w:val="nil"/>
              <w:bottom w:val="nil"/>
              <w:right w:val="nil"/>
            </w:tcBorders>
            <w:shd w:val="clear" w:color="auto" w:fill="auto"/>
            <w:vAlign w:val="center"/>
          </w:tcPr>
          <w:p w14:paraId="6B929B2A" w14:textId="68A98BEF"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4</w:t>
            </w:r>
          </w:p>
        </w:tc>
        <w:tc>
          <w:tcPr>
            <w:tcW w:w="3635" w:type="dxa"/>
            <w:tcBorders>
              <w:top w:val="nil"/>
              <w:left w:val="nil"/>
              <w:bottom w:val="nil"/>
              <w:right w:val="nil"/>
            </w:tcBorders>
            <w:shd w:val="clear" w:color="auto" w:fill="auto"/>
            <w:vAlign w:val="center"/>
          </w:tcPr>
          <w:p w14:paraId="72579656" w14:textId="4B6A4995"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Prvotná implementácia účtovného štandardu IFRS 17 na poisťovne</w:t>
            </w:r>
          </w:p>
        </w:tc>
        <w:tc>
          <w:tcPr>
            <w:tcW w:w="767" w:type="dxa"/>
            <w:tcBorders>
              <w:top w:val="nil"/>
              <w:left w:val="nil"/>
              <w:bottom w:val="nil"/>
              <w:right w:val="nil"/>
            </w:tcBorders>
            <w:shd w:val="clear" w:color="auto" w:fill="auto"/>
            <w:vAlign w:val="center"/>
          </w:tcPr>
          <w:p w14:paraId="252F59A7" w14:textId="4795B956"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auto"/>
            <w:vAlign w:val="center"/>
          </w:tcPr>
          <w:p w14:paraId="248F319D" w14:textId="55F3FAC6"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auto"/>
            <w:vAlign w:val="center"/>
          </w:tcPr>
          <w:p w14:paraId="547707A1" w14:textId="6AAA1BAD"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auto"/>
            <w:vAlign w:val="center"/>
          </w:tcPr>
          <w:p w14:paraId="756C8C98" w14:textId="1AF4B589"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0,02</w:t>
            </w:r>
          </w:p>
        </w:tc>
        <w:tc>
          <w:tcPr>
            <w:tcW w:w="490" w:type="dxa"/>
            <w:tcBorders>
              <w:top w:val="nil"/>
              <w:left w:val="nil"/>
              <w:bottom w:val="nil"/>
              <w:right w:val="nil"/>
            </w:tcBorders>
            <w:shd w:val="clear" w:color="auto" w:fill="auto"/>
            <w:vAlign w:val="center"/>
          </w:tcPr>
          <w:p w14:paraId="605A8CA4" w14:textId="38E4FBA6"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0,00</w:t>
            </w:r>
          </w:p>
        </w:tc>
        <w:tc>
          <w:tcPr>
            <w:tcW w:w="490" w:type="dxa"/>
            <w:tcBorders>
              <w:top w:val="nil"/>
              <w:left w:val="nil"/>
              <w:bottom w:val="nil"/>
              <w:right w:val="nil"/>
            </w:tcBorders>
            <w:shd w:val="clear" w:color="auto" w:fill="auto"/>
            <w:vAlign w:val="center"/>
          </w:tcPr>
          <w:p w14:paraId="0CD25F4D" w14:textId="4396CF9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-0,01</w:t>
            </w:r>
          </w:p>
        </w:tc>
        <w:tc>
          <w:tcPr>
            <w:tcW w:w="490" w:type="dxa"/>
            <w:tcBorders>
              <w:top w:val="nil"/>
              <w:left w:val="nil"/>
              <w:bottom w:val="nil"/>
              <w:right w:val="nil"/>
            </w:tcBorders>
            <w:shd w:val="clear" w:color="auto" w:fill="auto"/>
            <w:vAlign w:val="center"/>
          </w:tcPr>
          <w:p w14:paraId="7D9EB9C7" w14:textId="0BA6CE3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-0,01</w:t>
            </w:r>
          </w:p>
        </w:tc>
        <w:tc>
          <w:tcPr>
            <w:tcW w:w="490" w:type="dxa"/>
            <w:tcBorders>
              <w:top w:val="nil"/>
              <w:left w:val="nil"/>
              <w:bottom w:val="nil"/>
              <w:right w:val="nil"/>
            </w:tcBorders>
            <w:shd w:val="clear" w:color="auto" w:fill="auto"/>
            <w:vAlign w:val="center"/>
          </w:tcPr>
          <w:p w14:paraId="4D49F8F5" w14:textId="1941DF36"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29E0BDF9" w14:textId="0F1CDC2F"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2DE4D3AC"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6D5C96EC" w14:textId="77777777" w:rsidTr="005774C5">
        <w:trPr>
          <w:trHeight w:val="254"/>
        </w:trPr>
        <w:tc>
          <w:tcPr>
            <w:tcW w:w="334" w:type="dxa"/>
            <w:tcBorders>
              <w:top w:val="nil"/>
              <w:left w:val="nil"/>
              <w:bottom w:val="nil"/>
              <w:right w:val="nil"/>
            </w:tcBorders>
            <w:shd w:val="clear" w:color="auto" w:fill="DEEAF6" w:themeFill="accent5" w:themeFillTint="33"/>
            <w:vAlign w:val="center"/>
          </w:tcPr>
          <w:p w14:paraId="7155A093" w14:textId="5EFC3266"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5</w:t>
            </w:r>
          </w:p>
        </w:tc>
        <w:tc>
          <w:tcPr>
            <w:tcW w:w="3635" w:type="dxa"/>
            <w:tcBorders>
              <w:top w:val="nil"/>
              <w:left w:val="nil"/>
              <w:bottom w:val="nil"/>
              <w:right w:val="nil"/>
            </w:tcBorders>
            <w:shd w:val="clear" w:color="auto" w:fill="DEEAF6" w:themeFill="accent5" w:themeFillTint="33"/>
            <w:vAlign w:val="center"/>
          </w:tcPr>
          <w:p w14:paraId="7CFE2534" w14:textId="0C265297"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Reforma II. piliera (automatický vstup, sporenie aj počas dôchodku, zníženie poplatkov)</w:t>
            </w:r>
          </w:p>
        </w:tc>
        <w:tc>
          <w:tcPr>
            <w:tcW w:w="767" w:type="dxa"/>
            <w:tcBorders>
              <w:top w:val="nil"/>
              <w:left w:val="nil"/>
              <w:bottom w:val="nil"/>
              <w:right w:val="nil"/>
            </w:tcBorders>
            <w:shd w:val="clear" w:color="auto" w:fill="DEEAF6" w:themeFill="accent5" w:themeFillTint="33"/>
            <w:vAlign w:val="center"/>
          </w:tcPr>
          <w:p w14:paraId="3CE63B32" w14:textId="353B3509"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DEEAF6" w:themeFill="accent5" w:themeFillTint="33"/>
            <w:vAlign w:val="center"/>
          </w:tcPr>
          <w:p w14:paraId="6779B804" w14:textId="3B6E6D5E"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DEEAF6" w:themeFill="accent5" w:themeFillTint="33"/>
            <w:vAlign w:val="center"/>
          </w:tcPr>
          <w:p w14:paraId="5419CF87" w14:textId="736928B2"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DEEAF6" w:themeFill="accent5" w:themeFillTint="33"/>
            <w:vAlign w:val="center"/>
          </w:tcPr>
          <w:p w14:paraId="7D3B3E10" w14:textId="244B2DE6"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-0,01</w:t>
            </w:r>
          </w:p>
        </w:tc>
        <w:tc>
          <w:tcPr>
            <w:tcW w:w="490" w:type="dxa"/>
            <w:tcBorders>
              <w:top w:val="nil"/>
              <w:left w:val="nil"/>
              <w:bottom w:val="nil"/>
              <w:right w:val="nil"/>
            </w:tcBorders>
            <w:shd w:val="clear" w:color="auto" w:fill="DEEAF6" w:themeFill="accent5" w:themeFillTint="33"/>
            <w:vAlign w:val="center"/>
          </w:tcPr>
          <w:p w14:paraId="64C8EBB7" w14:textId="732CA67F"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-0,02</w:t>
            </w:r>
          </w:p>
        </w:tc>
        <w:tc>
          <w:tcPr>
            <w:tcW w:w="490" w:type="dxa"/>
            <w:tcBorders>
              <w:top w:val="nil"/>
              <w:left w:val="nil"/>
              <w:bottom w:val="nil"/>
              <w:right w:val="nil"/>
            </w:tcBorders>
            <w:shd w:val="clear" w:color="auto" w:fill="DEEAF6" w:themeFill="accent5" w:themeFillTint="33"/>
            <w:vAlign w:val="center"/>
          </w:tcPr>
          <w:p w14:paraId="0B07A7B9" w14:textId="12FC3D17"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3FBA0853" w14:textId="71C06502"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5EDE20C2" w14:textId="7CEFECC4"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0A9B8CB2" w14:textId="1B5B22E7"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0C713074"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23319F9F" w14:textId="77777777" w:rsidTr="005774C5">
        <w:trPr>
          <w:trHeight w:val="254"/>
        </w:trPr>
        <w:tc>
          <w:tcPr>
            <w:tcW w:w="334" w:type="dxa"/>
            <w:tcBorders>
              <w:top w:val="nil"/>
              <w:left w:val="nil"/>
              <w:bottom w:val="nil"/>
              <w:right w:val="nil"/>
            </w:tcBorders>
            <w:shd w:val="clear" w:color="auto" w:fill="auto"/>
            <w:vAlign w:val="center"/>
          </w:tcPr>
          <w:p w14:paraId="4516E09F" w14:textId="3107FAFF"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6</w:t>
            </w:r>
          </w:p>
        </w:tc>
        <w:tc>
          <w:tcPr>
            <w:tcW w:w="3635" w:type="dxa"/>
            <w:tcBorders>
              <w:top w:val="nil"/>
              <w:left w:val="nil"/>
              <w:bottom w:val="nil"/>
              <w:right w:val="nil"/>
            </w:tcBorders>
            <w:shd w:val="clear" w:color="auto" w:fill="auto"/>
            <w:vAlign w:val="center"/>
          </w:tcPr>
          <w:p w14:paraId="19B416D2" w14:textId="1A34DD02"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Zvýšenie sadzby odvodu z internetových hazardných hier</w:t>
            </w:r>
            <w:r w:rsidRPr="00797DC1">
              <w:rPr>
                <w:rFonts w:ascii="Arial" w:hAnsi="Arial" w:cs="Arial"/>
                <w:color w:val="000000" w:themeColor="text1"/>
                <w:sz w:val="16"/>
                <w:szCs w:val="16"/>
              </w:rPr>
              <w:t>​</w:t>
            </w:r>
          </w:p>
        </w:tc>
        <w:tc>
          <w:tcPr>
            <w:tcW w:w="767" w:type="dxa"/>
            <w:tcBorders>
              <w:top w:val="nil"/>
              <w:left w:val="nil"/>
              <w:bottom w:val="nil"/>
              <w:right w:val="nil"/>
            </w:tcBorders>
            <w:shd w:val="clear" w:color="auto" w:fill="auto"/>
            <w:vAlign w:val="center"/>
          </w:tcPr>
          <w:p w14:paraId="2CDC2EB6" w14:textId="790F5D6E"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auto"/>
            <w:vAlign w:val="center"/>
          </w:tcPr>
          <w:p w14:paraId="15F8CD58" w14:textId="5D803EA5"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auto"/>
            <w:vAlign w:val="center"/>
          </w:tcPr>
          <w:p w14:paraId="2D53D9D0" w14:textId="6502E05C"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auto"/>
            <w:vAlign w:val="center"/>
          </w:tcPr>
          <w:p w14:paraId="04D7CA12" w14:textId="3A6623C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0,02</w:t>
            </w:r>
          </w:p>
        </w:tc>
        <w:tc>
          <w:tcPr>
            <w:tcW w:w="490" w:type="dxa"/>
            <w:tcBorders>
              <w:top w:val="nil"/>
              <w:left w:val="nil"/>
              <w:bottom w:val="nil"/>
              <w:right w:val="nil"/>
            </w:tcBorders>
            <w:shd w:val="clear" w:color="auto" w:fill="auto"/>
            <w:vAlign w:val="center"/>
          </w:tcPr>
          <w:p w14:paraId="656FCF48" w14:textId="7B777AE2"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0,00</w:t>
            </w:r>
          </w:p>
        </w:tc>
        <w:tc>
          <w:tcPr>
            <w:tcW w:w="490" w:type="dxa"/>
            <w:tcBorders>
              <w:top w:val="nil"/>
              <w:left w:val="nil"/>
              <w:bottom w:val="nil"/>
              <w:right w:val="nil"/>
            </w:tcBorders>
            <w:shd w:val="clear" w:color="auto" w:fill="auto"/>
            <w:vAlign w:val="center"/>
          </w:tcPr>
          <w:p w14:paraId="0D6FE695" w14:textId="31B21807"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18EDAB69" w14:textId="18509BFD"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70D5A758" w14:textId="677CEB69"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4F81D0C1" w14:textId="3E600551"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42326AA2"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6236C2DA" w14:textId="77777777" w:rsidTr="005774C5">
        <w:trPr>
          <w:trHeight w:val="254"/>
        </w:trPr>
        <w:tc>
          <w:tcPr>
            <w:tcW w:w="334" w:type="dxa"/>
            <w:tcBorders>
              <w:top w:val="nil"/>
              <w:left w:val="nil"/>
              <w:bottom w:val="nil"/>
              <w:right w:val="nil"/>
            </w:tcBorders>
            <w:shd w:val="clear" w:color="auto" w:fill="DEEAF6" w:themeFill="accent5" w:themeFillTint="33"/>
            <w:vAlign w:val="center"/>
          </w:tcPr>
          <w:p w14:paraId="38F5B708" w14:textId="6AC9A84F"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7</w:t>
            </w:r>
          </w:p>
        </w:tc>
        <w:tc>
          <w:tcPr>
            <w:tcW w:w="3635" w:type="dxa"/>
            <w:tcBorders>
              <w:top w:val="nil"/>
              <w:left w:val="nil"/>
              <w:bottom w:val="nil"/>
              <w:right w:val="nil"/>
            </w:tcBorders>
            <w:shd w:val="clear" w:color="auto" w:fill="DEEAF6" w:themeFill="accent5" w:themeFillTint="33"/>
            <w:vAlign w:val="center"/>
          </w:tcPr>
          <w:p w14:paraId="457B8FD6" w14:textId="554AE066"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Minimálne poistné zo zdravotných odvodov</w:t>
            </w:r>
          </w:p>
        </w:tc>
        <w:tc>
          <w:tcPr>
            <w:tcW w:w="767" w:type="dxa"/>
            <w:tcBorders>
              <w:top w:val="nil"/>
              <w:left w:val="nil"/>
              <w:bottom w:val="nil"/>
              <w:right w:val="nil"/>
            </w:tcBorders>
            <w:shd w:val="clear" w:color="auto" w:fill="DEEAF6" w:themeFill="accent5" w:themeFillTint="33"/>
            <w:vAlign w:val="center"/>
          </w:tcPr>
          <w:p w14:paraId="3049EE18" w14:textId="348F9314"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DEEAF6" w:themeFill="accent5" w:themeFillTint="33"/>
            <w:vAlign w:val="center"/>
          </w:tcPr>
          <w:p w14:paraId="1F3FD108" w14:textId="030A40EF"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DEEAF6" w:themeFill="accent5" w:themeFillTint="33"/>
            <w:vAlign w:val="center"/>
          </w:tcPr>
          <w:p w14:paraId="1906D67C" w14:textId="62605DDF"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DEEAF6" w:themeFill="accent5" w:themeFillTint="33"/>
            <w:vAlign w:val="center"/>
          </w:tcPr>
          <w:p w14:paraId="365F1ECD" w14:textId="25FE1D5D"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0,02</w:t>
            </w:r>
          </w:p>
        </w:tc>
        <w:tc>
          <w:tcPr>
            <w:tcW w:w="490" w:type="dxa"/>
            <w:tcBorders>
              <w:top w:val="nil"/>
              <w:left w:val="nil"/>
              <w:bottom w:val="nil"/>
              <w:right w:val="nil"/>
            </w:tcBorders>
            <w:shd w:val="clear" w:color="auto" w:fill="DEEAF6" w:themeFill="accent5" w:themeFillTint="33"/>
            <w:vAlign w:val="center"/>
          </w:tcPr>
          <w:p w14:paraId="7A2D6A72" w14:textId="20B93B19"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0,00</w:t>
            </w:r>
          </w:p>
        </w:tc>
        <w:tc>
          <w:tcPr>
            <w:tcW w:w="490" w:type="dxa"/>
            <w:tcBorders>
              <w:top w:val="nil"/>
              <w:left w:val="nil"/>
              <w:bottom w:val="nil"/>
              <w:right w:val="nil"/>
            </w:tcBorders>
            <w:shd w:val="clear" w:color="auto" w:fill="DEEAF6" w:themeFill="accent5" w:themeFillTint="33"/>
            <w:vAlign w:val="center"/>
          </w:tcPr>
          <w:p w14:paraId="3B599EA9" w14:textId="7D1CFE67"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78288DFC" w14:textId="5C58AAD4"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46DBFF85" w14:textId="509E7921"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00E67EA4" w14:textId="6A99D954"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25950D95"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23133916" w14:textId="77777777" w:rsidTr="005774C5">
        <w:trPr>
          <w:trHeight w:val="254"/>
        </w:trPr>
        <w:tc>
          <w:tcPr>
            <w:tcW w:w="334" w:type="dxa"/>
            <w:tcBorders>
              <w:top w:val="nil"/>
              <w:left w:val="nil"/>
              <w:bottom w:val="nil"/>
              <w:right w:val="nil"/>
            </w:tcBorders>
            <w:shd w:val="clear" w:color="auto" w:fill="auto"/>
            <w:vAlign w:val="center"/>
          </w:tcPr>
          <w:p w14:paraId="26A8CFBC" w14:textId="2A81C43A"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8</w:t>
            </w:r>
          </w:p>
        </w:tc>
        <w:tc>
          <w:tcPr>
            <w:tcW w:w="3635" w:type="dxa"/>
            <w:tcBorders>
              <w:top w:val="nil"/>
              <w:left w:val="nil"/>
              <w:bottom w:val="nil"/>
              <w:right w:val="nil"/>
            </w:tcBorders>
            <w:shd w:val="clear" w:color="auto" w:fill="auto"/>
            <w:vAlign w:val="center"/>
          </w:tcPr>
          <w:p w14:paraId="35361AF1" w14:textId="4F51B325"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Zrušenie koncesionárskych poplatkov RTVS</w:t>
            </w:r>
          </w:p>
        </w:tc>
        <w:tc>
          <w:tcPr>
            <w:tcW w:w="767" w:type="dxa"/>
            <w:tcBorders>
              <w:top w:val="nil"/>
              <w:left w:val="nil"/>
              <w:bottom w:val="nil"/>
              <w:right w:val="nil"/>
            </w:tcBorders>
            <w:shd w:val="clear" w:color="auto" w:fill="auto"/>
            <w:vAlign w:val="center"/>
          </w:tcPr>
          <w:p w14:paraId="77B45980" w14:textId="0C5276A0"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auto"/>
            <w:vAlign w:val="center"/>
          </w:tcPr>
          <w:p w14:paraId="5CDA8E6A" w14:textId="529D85FB"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auto"/>
            <w:vAlign w:val="center"/>
          </w:tcPr>
          <w:p w14:paraId="7148BF4E" w14:textId="5EDCD4FD"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auto"/>
            <w:vAlign w:val="center"/>
          </w:tcPr>
          <w:p w14:paraId="0EE00EE5" w14:textId="58E3C667"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-0,03</w:t>
            </w:r>
          </w:p>
        </w:tc>
        <w:tc>
          <w:tcPr>
            <w:tcW w:w="490" w:type="dxa"/>
            <w:tcBorders>
              <w:top w:val="nil"/>
              <w:left w:val="nil"/>
              <w:bottom w:val="nil"/>
              <w:right w:val="nil"/>
            </w:tcBorders>
            <w:shd w:val="clear" w:color="auto" w:fill="auto"/>
            <w:vAlign w:val="center"/>
          </w:tcPr>
          <w:p w14:paraId="44A82EE6" w14:textId="353F3323"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-0,03</w:t>
            </w:r>
          </w:p>
        </w:tc>
        <w:tc>
          <w:tcPr>
            <w:tcW w:w="490" w:type="dxa"/>
            <w:tcBorders>
              <w:top w:val="nil"/>
              <w:left w:val="nil"/>
              <w:bottom w:val="nil"/>
              <w:right w:val="nil"/>
            </w:tcBorders>
            <w:shd w:val="clear" w:color="auto" w:fill="auto"/>
            <w:vAlign w:val="center"/>
          </w:tcPr>
          <w:p w14:paraId="031C00E1" w14:textId="549997C3"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645A6A9D" w14:textId="235FE9B6"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7BB8EFB0" w14:textId="3195A4BD"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00D01DF0" w14:textId="54DDB449"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4B194259"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4C46A7F6" w14:textId="77777777" w:rsidTr="005774C5">
        <w:trPr>
          <w:trHeight w:val="254"/>
        </w:trPr>
        <w:tc>
          <w:tcPr>
            <w:tcW w:w="334" w:type="dxa"/>
            <w:tcBorders>
              <w:top w:val="nil"/>
              <w:left w:val="nil"/>
              <w:bottom w:val="nil"/>
              <w:right w:val="nil"/>
            </w:tcBorders>
            <w:shd w:val="clear" w:color="auto" w:fill="DEEAF6" w:themeFill="accent5" w:themeFillTint="33"/>
            <w:vAlign w:val="center"/>
          </w:tcPr>
          <w:p w14:paraId="1C9AC6E8" w14:textId="0B1FBCB8"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9</w:t>
            </w:r>
          </w:p>
        </w:tc>
        <w:tc>
          <w:tcPr>
            <w:tcW w:w="3635" w:type="dxa"/>
            <w:tcBorders>
              <w:top w:val="nil"/>
              <w:left w:val="nil"/>
              <w:bottom w:val="nil"/>
              <w:right w:val="nil"/>
            </w:tcBorders>
            <w:shd w:val="clear" w:color="auto" w:fill="DEEAF6" w:themeFill="accent5" w:themeFillTint="33"/>
            <w:vAlign w:val="center"/>
          </w:tcPr>
          <w:p w14:paraId="78CD81A1" w14:textId="5B979F81"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Príjem z odvodu z nadmerných príjmov - elektrárne</w:t>
            </w:r>
          </w:p>
        </w:tc>
        <w:tc>
          <w:tcPr>
            <w:tcW w:w="767" w:type="dxa"/>
            <w:tcBorders>
              <w:top w:val="nil"/>
              <w:left w:val="nil"/>
              <w:bottom w:val="nil"/>
              <w:right w:val="nil"/>
            </w:tcBorders>
            <w:shd w:val="clear" w:color="auto" w:fill="DEEAF6" w:themeFill="accent5" w:themeFillTint="33"/>
            <w:vAlign w:val="center"/>
          </w:tcPr>
          <w:p w14:paraId="7EF2E509" w14:textId="62CF0EB3"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DEEAF6" w:themeFill="accent5" w:themeFillTint="33"/>
            <w:vAlign w:val="center"/>
          </w:tcPr>
          <w:p w14:paraId="47498BAC" w14:textId="3C73C604"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DEEAF6" w:themeFill="accent5" w:themeFillTint="33"/>
            <w:vAlign w:val="center"/>
          </w:tcPr>
          <w:p w14:paraId="2B7E1900" w14:textId="14C5D297"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DEEAF6" w:themeFill="accent5" w:themeFillTint="33"/>
            <w:vAlign w:val="center"/>
          </w:tcPr>
          <w:p w14:paraId="1F91E540" w14:textId="042CA275"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0,02</w:t>
            </w:r>
          </w:p>
        </w:tc>
        <w:tc>
          <w:tcPr>
            <w:tcW w:w="490" w:type="dxa"/>
            <w:tcBorders>
              <w:top w:val="nil"/>
              <w:left w:val="nil"/>
              <w:bottom w:val="nil"/>
              <w:right w:val="nil"/>
            </w:tcBorders>
            <w:shd w:val="clear" w:color="auto" w:fill="DEEAF6" w:themeFill="accent5" w:themeFillTint="33"/>
            <w:vAlign w:val="center"/>
          </w:tcPr>
          <w:p w14:paraId="3B149055" w14:textId="3F610D70"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-0,02</w:t>
            </w:r>
          </w:p>
        </w:tc>
        <w:tc>
          <w:tcPr>
            <w:tcW w:w="490" w:type="dxa"/>
            <w:tcBorders>
              <w:top w:val="nil"/>
              <w:left w:val="nil"/>
              <w:bottom w:val="nil"/>
              <w:right w:val="nil"/>
            </w:tcBorders>
            <w:shd w:val="clear" w:color="auto" w:fill="DEEAF6" w:themeFill="accent5" w:themeFillTint="33"/>
            <w:vAlign w:val="center"/>
          </w:tcPr>
          <w:p w14:paraId="1EF1DCAE" w14:textId="094D5E9A"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0,00</w:t>
            </w:r>
          </w:p>
        </w:tc>
        <w:tc>
          <w:tcPr>
            <w:tcW w:w="490" w:type="dxa"/>
            <w:tcBorders>
              <w:top w:val="nil"/>
              <w:left w:val="nil"/>
              <w:bottom w:val="nil"/>
              <w:right w:val="nil"/>
            </w:tcBorders>
            <w:shd w:val="clear" w:color="auto" w:fill="DEEAF6" w:themeFill="accent5" w:themeFillTint="33"/>
            <w:vAlign w:val="center"/>
          </w:tcPr>
          <w:p w14:paraId="3FABC3D8" w14:textId="7832F669"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3B851DFF" w14:textId="56240A63"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7CDC8205" w14:textId="3FAF55B3"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3274F779"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6041B040" w14:textId="77777777" w:rsidTr="005774C5">
        <w:trPr>
          <w:trHeight w:val="254"/>
        </w:trPr>
        <w:tc>
          <w:tcPr>
            <w:tcW w:w="334" w:type="dxa"/>
            <w:tcBorders>
              <w:top w:val="nil"/>
              <w:left w:val="nil"/>
              <w:bottom w:val="nil"/>
              <w:right w:val="nil"/>
            </w:tcBorders>
            <w:shd w:val="clear" w:color="auto" w:fill="auto"/>
            <w:vAlign w:val="center"/>
          </w:tcPr>
          <w:p w14:paraId="16FD5E4C" w14:textId="527D524A"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10</w:t>
            </w:r>
          </w:p>
        </w:tc>
        <w:tc>
          <w:tcPr>
            <w:tcW w:w="3635" w:type="dxa"/>
            <w:tcBorders>
              <w:top w:val="nil"/>
              <w:left w:val="nil"/>
              <w:bottom w:val="nil"/>
              <w:right w:val="nil"/>
            </w:tcBorders>
            <w:shd w:val="clear" w:color="auto" w:fill="auto"/>
            <w:vAlign w:val="center"/>
          </w:tcPr>
          <w:p w14:paraId="111754FE" w14:textId="2CCAB807"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Valorizácia správnych a súdnych poplatkov - od 1Q 2024</w:t>
            </w:r>
          </w:p>
        </w:tc>
        <w:tc>
          <w:tcPr>
            <w:tcW w:w="767" w:type="dxa"/>
            <w:tcBorders>
              <w:top w:val="nil"/>
              <w:left w:val="nil"/>
              <w:bottom w:val="nil"/>
              <w:right w:val="nil"/>
            </w:tcBorders>
            <w:shd w:val="clear" w:color="auto" w:fill="auto"/>
            <w:vAlign w:val="center"/>
          </w:tcPr>
          <w:p w14:paraId="47243D69" w14:textId="7802A188"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auto"/>
            <w:vAlign w:val="center"/>
          </w:tcPr>
          <w:p w14:paraId="5454B445" w14:textId="17FBD911"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auto"/>
            <w:vAlign w:val="center"/>
          </w:tcPr>
          <w:p w14:paraId="6E0D665E" w14:textId="5FFBC551"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auto"/>
            <w:vAlign w:val="center"/>
          </w:tcPr>
          <w:p w14:paraId="131D0988" w14:textId="58CDAF8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5C0350BD" w14:textId="65D3DEF4"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0,03</w:t>
            </w:r>
          </w:p>
        </w:tc>
        <w:tc>
          <w:tcPr>
            <w:tcW w:w="490" w:type="dxa"/>
            <w:tcBorders>
              <w:top w:val="nil"/>
              <w:left w:val="nil"/>
              <w:bottom w:val="nil"/>
              <w:right w:val="nil"/>
            </w:tcBorders>
            <w:shd w:val="clear" w:color="auto" w:fill="auto"/>
            <w:vAlign w:val="center"/>
          </w:tcPr>
          <w:p w14:paraId="063D548E" w14:textId="0C1D1BB9"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0,01</w:t>
            </w:r>
          </w:p>
        </w:tc>
        <w:tc>
          <w:tcPr>
            <w:tcW w:w="490" w:type="dxa"/>
            <w:tcBorders>
              <w:top w:val="nil"/>
              <w:left w:val="nil"/>
              <w:bottom w:val="nil"/>
              <w:right w:val="nil"/>
            </w:tcBorders>
            <w:shd w:val="clear" w:color="auto" w:fill="auto"/>
            <w:vAlign w:val="center"/>
          </w:tcPr>
          <w:p w14:paraId="79E182A8" w14:textId="53BD3CF5"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5B5E5446" w14:textId="1DD8580D"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4CD3FB56" w14:textId="0FB6A46C"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7B5E0062"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08272105" w14:textId="77777777" w:rsidTr="005774C5">
        <w:trPr>
          <w:trHeight w:val="254"/>
        </w:trPr>
        <w:tc>
          <w:tcPr>
            <w:tcW w:w="334" w:type="dxa"/>
            <w:tcBorders>
              <w:top w:val="nil"/>
              <w:left w:val="nil"/>
              <w:bottom w:val="nil"/>
              <w:right w:val="nil"/>
            </w:tcBorders>
            <w:shd w:val="clear" w:color="auto" w:fill="DEEAF6" w:themeFill="accent5" w:themeFillTint="33"/>
            <w:vAlign w:val="center"/>
          </w:tcPr>
          <w:p w14:paraId="69425B22" w14:textId="27FE52A8"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11</w:t>
            </w:r>
          </w:p>
        </w:tc>
        <w:tc>
          <w:tcPr>
            <w:tcW w:w="3635" w:type="dxa"/>
            <w:tcBorders>
              <w:top w:val="nil"/>
              <w:left w:val="nil"/>
              <w:bottom w:val="nil"/>
              <w:right w:val="nil"/>
            </w:tcBorders>
            <w:shd w:val="clear" w:color="auto" w:fill="DEEAF6" w:themeFill="accent5" w:themeFillTint="33"/>
            <w:vAlign w:val="center"/>
          </w:tcPr>
          <w:p w14:paraId="31AF0C6E" w14:textId="62B5BF8F"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Zvýšenie poplatku za udržiavanie núdzových zásob ropy o 1 cent</w:t>
            </w:r>
          </w:p>
        </w:tc>
        <w:tc>
          <w:tcPr>
            <w:tcW w:w="767" w:type="dxa"/>
            <w:tcBorders>
              <w:top w:val="nil"/>
              <w:left w:val="nil"/>
              <w:bottom w:val="nil"/>
              <w:right w:val="nil"/>
            </w:tcBorders>
            <w:shd w:val="clear" w:color="auto" w:fill="DEEAF6" w:themeFill="accent5" w:themeFillTint="33"/>
            <w:vAlign w:val="center"/>
          </w:tcPr>
          <w:p w14:paraId="237CB313" w14:textId="7182CA8E"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DEEAF6" w:themeFill="accent5" w:themeFillTint="33"/>
            <w:vAlign w:val="center"/>
          </w:tcPr>
          <w:p w14:paraId="01EEB4F3" w14:textId="41A1A239"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DEEAF6" w:themeFill="accent5" w:themeFillTint="33"/>
            <w:vAlign w:val="center"/>
          </w:tcPr>
          <w:p w14:paraId="528D300D" w14:textId="5610F742"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DEEAF6" w:themeFill="accent5" w:themeFillTint="33"/>
            <w:vAlign w:val="center"/>
          </w:tcPr>
          <w:p w14:paraId="0D795657" w14:textId="63EA8BFF"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02F20580" w14:textId="38099A7E"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0,03</w:t>
            </w:r>
          </w:p>
        </w:tc>
        <w:tc>
          <w:tcPr>
            <w:tcW w:w="490" w:type="dxa"/>
            <w:tcBorders>
              <w:top w:val="nil"/>
              <w:left w:val="nil"/>
              <w:bottom w:val="nil"/>
              <w:right w:val="nil"/>
            </w:tcBorders>
            <w:shd w:val="clear" w:color="auto" w:fill="DEEAF6" w:themeFill="accent5" w:themeFillTint="33"/>
            <w:vAlign w:val="center"/>
          </w:tcPr>
          <w:p w14:paraId="19C9B454" w14:textId="637899FB"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6A17B02A" w14:textId="24B8139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29CE2E33" w14:textId="44D466CA"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65CF266D" w14:textId="2378328B"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570223E0"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41BA2885" w14:textId="77777777" w:rsidTr="005774C5">
        <w:trPr>
          <w:trHeight w:val="254"/>
        </w:trPr>
        <w:tc>
          <w:tcPr>
            <w:tcW w:w="334" w:type="dxa"/>
            <w:tcBorders>
              <w:top w:val="nil"/>
              <w:left w:val="nil"/>
              <w:bottom w:val="nil"/>
              <w:right w:val="nil"/>
            </w:tcBorders>
            <w:shd w:val="clear" w:color="auto" w:fill="auto"/>
            <w:vAlign w:val="center"/>
          </w:tcPr>
          <w:p w14:paraId="7D7ACE3C" w14:textId="5461F8D7"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12</w:t>
            </w:r>
          </w:p>
        </w:tc>
        <w:tc>
          <w:tcPr>
            <w:tcW w:w="3635" w:type="dxa"/>
            <w:tcBorders>
              <w:top w:val="nil"/>
              <w:left w:val="nil"/>
              <w:bottom w:val="nil"/>
              <w:right w:val="nil"/>
            </w:tcBorders>
            <w:shd w:val="clear" w:color="auto" w:fill="auto"/>
            <w:vAlign w:val="center"/>
          </w:tcPr>
          <w:p w14:paraId="6B46D07A" w14:textId="4D942C31"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Osobitný odvod pre Vodohospodársku výstavbu</w:t>
            </w:r>
          </w:p>
        </w:tc>
        <w:tc>
          <w:tcPr>
            <w:tcW w:w="767" w:type="dxa"/>
            <w:tcBorders>
              <w:top w:val="nil"/>
              <w:left w:val="nil"/>
              <w:bottom w:val="nil"/>
              <w:right w:val="nil"/>
            </w:tcBorders>
            <w:shd w:val="clear" w:color="auto" w:fill="auto"/>
            <w:vAlign w:val="center"/>
          </w:tcPr>
          <w:p w14:paraId="16B8D2D5" w14:textId="487036B5"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auto"/>
            <w:vAlign w:val="center"/>
          </w:tcPr>
          <w:p w14:paraId="4B7CE841" w14:textId="13EF8E9B"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auto"/>
            <w:vAlign w:val="center"/>
          </w:tcPr>
          <w:p w14:paraId="6302C0B2" w14:textId="41442857"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auto"/>
            <w:vAlign w:val="center"/>
          </w:tcPr>
          <w:p w14:paraId="7BA75E41" w14:textId="6ECC593C"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0,12</w:t>
            </w:r>
          </w:p>
        </w:tc>
        <w:tc>
          <w:tcPr>
            <w:tcW w:w="490" w:type="dxa"/>
            <w:tcBorders>
              <w:top w:val="nil"/>
              <w:left w:val="nil"/>
              <w:bottom w:val="nil"/>
              <w:right w:val="nil"/>
            </w:tcBorders>
            <w:shd w:val="clear" w:color="auto" w:fill="auto"/>
            <w:vAlign w:val="center"/>
          </w:tcPr>
          <w:p w14:paraId="5ED7CB8A" w14:textId="30884583"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-0,05</w:t>
            </w:r>
          </w:p>
        </w:tc>
        <w:tc>
          <w:tcPr>
            <w:tcW w:w="490" w:type="dxa"/>
            <w:tcBorders>
              <w:top w:val="nil"/>
              <w:left w:val="nil"/>
              <w:bottom w:val="nil"/>
              <w:right w:val="nil"/>
            </w:tcBorders>
            <w:shd w:val="clear" w:color="auto" w:fill="auto"/>
            <w:vAlign w:val="center"/>
          </w:tcPr>
          <w:p w14:paraId="17A84494" w14:textId="76DF9006"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-0,03</w:t>
            </w:r>
          </w:p>
        </w:tc>
        <w:tc>
          <w:tcPr>
            <w:tcW w:w="490" w:type="dxa"/>
            <w:tcBorders>
              <w:top w:val="nil"/>
              <w:left w:val="nil"/>
              <w:bottom w:val="nil"/>
              <w:right w:val="nil"/>
            </w:tcBorders>
            <w:shd w:val="clear" w:color="auto" w:fill="auto"/>
            <w:vAlign w:val="center"/>
          </w:tcPr>
          <w:p w14:paraId="2D5B9445" w14:textId="79A5236C"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-0,01</w:t>
            </w:r>
          </w:p>
        </w:tc>
        <w:tc>
          <w:tcPr>
            <w:tcW w:w="490" w:type="dxa"/>
            <w:tcBorders>
              <w:top w:val="nil"/>
              <w:left w:val="nil"/>
              <w:bottom w:val="nil"/>
              <w:right w:val="nil"/>
            </w:tcBorders>
            <w:shd w:val="clear" w:color="auto" w:fill="auto"/>
            <w:vAlign w:val="center"/>
          </w:tcPr>
          <w:p w14:paraId="2D53DEE1" w14:textId="4F4CE024"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-0,01</w:t>
            </w:r>
          </w:p>
        </w:tc>
        <w:tc>
          <w:tcPr>
            <w:tcW w:w="490" w:type="dxa"/>
            <w:tcBorders>
              <w:top w:val="nil"/>
              <w:left w:val="nil"/>
              <w:bottom w:val="nil"/>
              <w:right w:val="nil"/>
            </w:tcBorders>
            <w:shd w:val="clear" w:color="auto" w:fill="auto"/>
            <w:vAlign w:val="center"/>
          </w:tcPr>
          <w:p w14:paraId="059A1FFB" w14:textId="533FB34C"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04C9832E"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632C65F2" w14:textId="77777777" w:rsidTr="005774C5">
        <w:trPr>
          <w:trHeight w:val="254"/>
        </w:trPr>
        <w:tc>
          <w:tcPr>
            <w:tcW w:w="334" w:type="dxa"/>
            <w:tcBorders>
              <w:top w:val="nil"/>
              <w:left w:val="nil"/>
              <w:bottom w:val="nil"/>
              <w:right w:val="nil"/>
            </w:tcBorders>
            <w:shd w:val="clear" w:color="auto" w:fill="DEEAF6" w:themeFill="accent5" w:themeFillTint="33"/>
            <w:vAlign w:val="center"/>
          </w:tcPr>
          <w:p w14:paraId="305A59D5" w14:textId="04780A75"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13</w:t>
            </w:r>
          </w:p>
        </w:tc>
        <w:tc>
          <w:tcPr>
            <w:tcW w:w="3635" w:type="dxa"/>
            <w:tcBorders>
              <w:top w:val="nil"/>
              <w:left w:val="nil"/>
              <w:bottom w:val="nil"/>
              <w:right w:val="nil"/>
            </w:tcBorders>
            <w:shd w:val="clear" w:color="auto" w:fill="DEEAF6" w:themeFill="accent5" w:themeFillTint="33"/>
            <w:vAlign w:val="center"/>
          </w:tcPr>
          <w:p w14:paraId="15351D71" w14:textId="0C35E0FB"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Zákaz skládkovania komunálneho odpadu bez predúpravy</w:t>
            </w:r>
          </w:p>
        </w:tc>
        <w:tc>
          <w:tcPr>
            <w:tcW w:w="767" w:type="dxa"/>
            <w:tcBorders>
              <w:top w:val="nil"/>
              <w:left w:val="nil"/>
              <w:bottom w:val="nil"/>
              <w:right w:val="nil"/>
            </w:tcBorders>
            <w:shd w:val="clear" w:color="auto" w:fill="DEEAF6" w:themeFill="accent5" w:themeFillTint="33"/>
            <w:vAlign w:val="center"/>
          </w:tcPr>
          <w:p w14:paraId="31B74275" w14:textId="0A04B2B0"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DEEAF6" w:themeFill="accent5" w:themeFillTint="33"/>
            <w:vAlign w:val="center"/>
          </w:tcPr>
          <w:p w14:paraId="5E7D4424" w14:textId="7147B192"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DEEAF6" w:themeFill="accent5" w:themeFillTint="33"/>
            <w:vAlign w:val="center"/>
          </w:tcPr>
          <w:p w14:paraId="0E3F6B49" w14:textId="12A02C61"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DEEAF6" w:themeFill="accent5" w:themeFillTint="33"/>
            <w:vAlign w:val="center"/>
          </w:tcPr>
          <w:p w14:paraId="320397D4" w14:textId="25D33EA3"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4EE45E5B" w14:textId="3416ABF0"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2A04A7B2" w14:textId="64CEDCEB"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-0,01</w:t>
            </w:r>
          </w:p>
        </w:tc>
        <w:tc>
          <w:tcPr>
            <w:tcW w:w="490" w:type="dxa"/>
            <w:tcBorders>
              <w:top w:val="nil"/>
              <w:left w:val="nil"/>
              <w:bottom w:val="nil"/>
              <w:right w:val="nil"/>
            </w:tcBorders>
            <w:shd w:val="clear" w:color="auto" w:fill="DEEAF6" w:themeFill="accent5" w:themeFillTint="33"/>
            <w:vAlign w:val="center"/>
          </w:tcPr>
          <w:p w14:paraId="0FA21AF4" w14:textId="6EFE0F31"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58F0BA76" w14:textId="2399B341"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262E2712" w14:textId="5A7E802E"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539DAE16"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1479EF60" w14:textId="77777777" w:rsidTr="005774C5">
        <w:trPr>
          <w:trHeight w:val="254"/>
        </w:trPr>
        <w:tc>
          <w:tcPr>
            <w:tcW w:w="334" w:type="dxa"/>
            <w:tcBorders>
              <w:top w:val="nil"/>
              <w:left w:val="nil"/>
              <w:bottom w:val="nil"/>
              <w:right w:val="nil"/>
            </w:tcBorders>
            <w:shd w:val="clear" w:color="auto" w:fill="auto"/>
            <w:vAlign w:val="center"/>
          </w:tcPr>
          <w:p w14:paraId="6A9EC9B0" w14:textId="3A7B433E"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14</w:t>
            </w:r>
          </w:p>
        </w:tc>
        <w:tc>
          <w:tcPr>
            <w:tcW w:w="3635" w:type="dxa"/>
            <w:tcBorders>
              <w:top w:val="nil"/>
              <w:left w:val="nil"/>
              <w:bottom w:val="nil"/>
              <w:right w:val="nil"/>
            </w:tcBorders>
            <w:shd w:val="clear" w:color="auto" w:fill="auto"/>
            <w:vAlign w:val="center"/>
          </w:tcPr>
          <w:p w14:paraId="68AC5374" w14:textId="25CF816F"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Rozšírenie osobitného odvodu z podnikania v regulovaných odvetviach (banková daň)</w:t>
            </w:r>
          </w:p>
        </w:tc>
        <w:tc>
          <w:tcPr>
            <w:tcW w:w="767" w:type="dxa"/>
            <w:tcBorders>
              <w:top w:val="nil"/>
              <w:left w:val="nil"/>
              <w:bottom w:val="nil"/>
              <w:right w:val="nil"/>
            </w:tcBorders>
            <w:shd w:val="clear" w:color="auto" w:fill="auto"/>
            <w:vAlign w:val="center"/>
          </w:tcPr>
          <w:p w14:paraId="360A8646" w14:textId="24A545FC"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auto"/>
            <w:vAlign w:val="center"/>
          </w:tcPr>
          <w:p w14:paraId="4CCDEBF1" w14:textId="737A9309"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auto"/>
            <w:vAlign w:val="center"/>
          </w:tcPr>
          <w:p w14:paraId="6BFDD201" w14:textId="645E9596"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auto"/>
            <w:vAlign w:val="center"/>
          </w:tcPr>
          <w:p w14:paraId="036E596B" w14:textId="1B9D8166"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3B690476" w14:textId="0479DABC"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0,25</w:t>
            </w:r>
          </w:p>
        </w:tc>
        <w:tc>
          <w:tcPr>
            <w:tcW w:w="490" w:type="dxa"/>
            <w:tcBorders>
              <w:top w:val="nil"/>
              <w:left w:val="nil"/>
              <w:bottom w:val="nil"/>
              <w:right w:val="nil"/>
            </w:tcBorders>
            <w:shd w:val="clear" w:color="auto" w:fill="auto"/>
            <w:vAlign w:val="center"/>
          </w:tcPr>
          <w:p w14:paraId="46DCEB3F" w14:textId="51C90602"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-0,03</w:t>
            </w:r>
          </w:p>
        </w:tc>
        <w:tc>
          <w:tcPr>
            <w:tcW w:w="490" w:type="dxa"/>
            <w:tcBorders>
              <w:top w:val="nil"/>
              <w:left w:val="nil"/>
              <w:bottom w:val="nil"/>
              <w:right w:val="nil"/>
            </w:tcBorders>
            <w:shd w:val="clear" w:color="auto" w:fill="auto"/>
            <w:vAlign w:val="center"/>
          </w:tcPr>
          <w:p w14:paraId="2439BB90" w14:textId="27F85EE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-0,02</w:t>
            </w:r>
          </w:p>
        </w:tc>
        <w:tc>
          <w:tcPr>
            <w:tcW w:w="490" w:type="dxa"/>
            <w:tcBorders>
              <w:top w:val="nil"/>
              <w:left w:val="nil"/>
              <w:bottom w:val="nil"/>
              <w:right w:val="nil"/>
            </w:tcBorders>
            <w:shd w:val="clear" w:color="auto" w:fill="auto"/>
            <w:vAlign w:val="center"/>
          </w:tcPr>
          <w:p w14:paraId="55DD3776" w14:textId="7E5DBE7F"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-0,03</w:t>
            </w:r>
          </w:p>
        </w:tc>
        <w:tc>
          <w:tcPr>
            <w:tcW w:w="490" w:type="dxa"/>
            <w:tcBorders>
              <w:top w:val="nil"/>
              <w:left w:val="nil"/>
              <w:bottom w:val="nil"/>
              <w:right w:val="nil"/>
            </w:tcBorders>
            <w:shd w:val="clear" w:color="auto" w:fill="auto"/>
            <w:vAlign w:val="center"/>
          </w:tcPr>
          <w:p w14:paraId="22A593E5" w14:textId="6D6214A1"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45276C7E"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7B51212F" w14:textId="77777777" w:rsidTr="005774C5">
        <w:trPr>
          <w:trHeight w:val="254"/>
        </w:trPr>
        <w:tc>
          <w:tcPr>
            <w:tcW w:w="334" w:type="dxa"/>
            <w:tcBorders>
              <w:top w:val="nil"/>
              <w:left w:val="nil"/>
              <w:bottom w:val="nil"/>
              <w:right w:val="nil"/>
            </w:tcBorders>
            <w:shd w:val="clear" w:color="auto" w:fill="DEEAF6" w:themeFill="accent5" w:themeFillTint="33"/>
            <w:vAlign w:val="center"/>
          </w:tcPr>
          <w:p w14:paraId="7F53A893" w14:textId="71FC3E1F"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15</w:t>
            </w:r>
          </w:p>
        </w:tc>
        <w:tc>
          <w:tcPr>
            <w:tcW w:w="3635" w:type="dxa"/>
            <w:tcBorders>
              <w:top w:val="nil"/>
              <w:left w:val="nil"/>
              <w:bottom w:val="nil"/>
              <w:right w:val="nil"/>
            </w:tcBorders>
            <w:shd w:val="clear" w:color="auto" w:fill="DEEAF6" w:themeFill="accent5" w:themeFillTint="33"/>
            <w:vAlign w:val="center"/>
          </w:tcPr>
          <w:p w14:paraId="47770A6F" w14:textId="74E813C9"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Solidárny príspevok z činností v odvetviach ropy a iných</w:t>
            </w:r>
          </w:p>
        </w:tc>
        <w:tc>
          <w:tcPr>
            <w:tcW w:w="767" w:type="dxa"/>
            <w:tcBorders>
              <w:top w:val="nil"/>
              <w:left w:val="nil"/>
              <w:bottom w:val="nil"/>
              <w:right w:val="nil"/>
            </w:tcBorders>
            <w:shd w:val="clear" w:color="auto" w:fill="DEEAF6" w:themeFill="accent5" w:themeFillTint="33"/>
            <w:vAlign w:val="center"/>
          </w:tcPr>
          <w:p w14:paraId="3CD8280E" w14:textId="064BEED9"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DEEAF6" w:themeFill="accent5" w:themeFillTint="33"/>
            <w:vAlign w:val="center"/>
          </w:tcPr>
          <w:p w14:paraId="4B8571DC" w14:textId="2A16B2CE"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DEEAF6" w:themeFill="accent5" w:themeFillTint="33"/>
            <w:vAlign w:val="center"/>
          </w:tcPr>
          <w:p w14:paraId="65EDFD2F" w14:textId="10C58D58"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DEEAF6" w:themeFill="accent5" w:themeFillTint="33"/>
            <w:vAlign w:val="center"/>
          </w:tcPr>
          <w:p w14:paraId="7616E1B1" w14:textId="05CC2750"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-0,33</w:t>
            </w:r>
          </w:p>
        </w:tc>
        <w:tc>
          <w:tcPr>
            <w:tcW w:w="490" w:type="dxa"/>
            <w:tcBorders>
              <w:top w:val="nil"/>
              <w:left w:val="nil"/>
              <w:bottom w:val="nil"/>
              <w:right w:val="nil"/>
            </w:tcBorders>
            <w:shd w:val="clear" w:color="auto" w:fill="DEEAF6" w:themeFill="accent5" w:themeFillTint="33"/>
            <w:vAlign w:val="center"/>
          </w:tcPr>
          <w:p w14:paraId="66DD3989" w14:textId="040CE056"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0,15</w:t>
            </w:r>
          </w:p>
        </w:tc>
        <w:tc>
          <w:tcPr>
            <w:tcW w:w="490" w:type="dxa"/>
            <w:tcBorders>
              <w:top w:val="nil"/>
              <w:left w:val="nil"/>
              <w:bottom w:val="nil"/>
              <w:right w:val="nil"/>
            </w:tcBorders>
            <w:shd w:val="clear" w:color="auto" w:fill="DEEAF6" w:themeFill="accent5" w:themeFillTint="33"/>
            <w:vAlign w:val="center"/>
          </w:tcPr>
          <w:p w14:paraId="4FF52EE2" w14:textId="7D070686"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-0,14</w:t>
            </w:r>
          </w:p>
        </w:tc>
        <w:tc>
          <w:tcPr>
            <w:tcW w:w="490" w:type="dxa"/>
            <w:tcBorders>
              <w:top w:val="nil"/>
              <w:left w:val="nil"/>
              <w:bottom w:val="nil"/>
              <w:right w:val="nil"/>
            </w:tcBorders>
            <w:shd w:val="clear" w:color="auto" w:fill="DEEAF6" w:themeFill="accent5" w:themeFillTint="33"/>
            <w:vAlign w:val="center"/>
          </w:tcPr>
          <w:p w14:paraId="0C148672" w14:textId="1192473B"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0A767DF0" w14:textId="33C36259"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7ECA0E57" w14:textId="69A0C7D9"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28951B9D"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64BC17DD" w14:textId="77777777" w:rsidTr="005774C5">
        <w:trPr>
          <w:trHeight w:val="254"/>
        </w:trPr>
        <w:tc>
          <w:tcPr>
            <w:tcW w:w="334" w:type="dxa"/>
            <w:tcBorders>
              <w:top w:val="nil"/>
              <w:left w:val="nil"/>
              <w:bottom w:val="nil"/>
              <w:right w:val="nil"/>
            </w:tcBorders>
            <w:shd w:val="clear" w:color="auto" w:fill="auto"/>
            <w:vAlign w:val="center"/>
          </w:tcPr>
          <w:p w14:paraId="2A08AC6E" w14:textId="67FC96EE"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16</w:t>
            </w:r>
          </w:p>
        </w:tc>
        <w:tc>
          <w:tcPr>
            <w:tcW w:w="3635" w:type="dxa"/>
            <w:tcBorders>
              <w:top w:val="nil"/>
              <w:left w:val="nil"/>
              <w:bottom w:val="nil"/>
              <w:right w:val="nil"/>
            </w:tcBorders>
            <w:shd w:val="clear" w:color="auto" w:fill="auto"/>
            <w:vAlign w:val="center"/>
          </w:tcPr>
          <w:p w14:paraId="29CBC42A" w14:textId="603717E1"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Zavedenie minimálnej dane pre nadnárodné spoločnosti (dorovnávacia daň)</w:t>
            </w:r>
          </w:p>
        </w:tc>
        <w:tc>
          <w:tcPr>
            <w:tcW w:w="767" w:type="dxa"/>
            <w:tcBorders>
              <w:top w:val="nil"/>
              <w:left w:val="nil"/>
              <w:bottom w:val="nil"/>
              <w:right w:val="nil"/>
            </w:tcBorders>
            <w:shd w:val="clear" w:color="auto" w:fill="auto"/>
            <w:vAlign w:val="center"/>
          </w:tcPr>
          <w:p w14:paraId="09314EAF" w14:textId="3C9BF066"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auto"/>
            <w:vAlign w:val="center"/>
          </w:tcPr>
          <w:p w14:paraId="43A457BB" w14:textId="456254D8"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auto"/>
            <w:vAlign w:val="center"/>
          </w:tcPr>
          <w:p w14:paraId="62EAF4E7" w14:textId="6C3C74D4"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auto"/>
            <w:vAlign w:val="center"/>
          </w:tcPr>
          <w:p w14:paraId="6AC22AD1" w14:textId="665AE75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35F17928" w14:textId="4869FE66"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0,04</w:t>
            </w:r>
          </w:p>
        </w:tc>
        <w:tc>
          <w:tcPr>
            <w:tcW w:w="490" w:type="dxa"/>
            <w:tcBorders>
              <w:top w:val="nil"/>
              <w:left w:val="nil"/>
              <w:bottom w:val="nil"/>
              <w:right w:val="nil"/>
            </w:tcBorders>
            <w:shd w:val="clear" w:color="auto" w:fill="auto"/>
            <w:vAlign w:val="center"/>
          </w:tcPr>
          <w:p w14:paraId="0BC1B639" w14:textId="25516A52"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21784F26" w14:textId="3F68886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1F811F40" w14:textId="2845D599"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3798A7CD" w14:textId="1A2023EE"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766A3D3C"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0DEB9FEF" w14:textId="77777777" w:rsidTr="005774C5">
        <w:trPr>
          <w:trHeight w:val="254"/>
        </w:trPr>
        <w:tc>
          <w:tcPr>
            <w:tcW w:w="334" w:type="dxa"/>
            <w:tcBorders>
              <w:top w:val="nil"/>
              <w:left w:val="nil"/>
              <w:bottom w:val="nil"/>
              <w:right w:val="nil"/>
            </w:tcBorders>
            <w:shd w:val="clear" w:color="auto" w:fill="DEEAF6" w:themeFill="accent5" w:themeFillTint="33"/>
            <w:vAlign w:val="center"/>
          </w:tcPr>
          <w:p w14:paraId="72F7832B" w14:textId="2350132B"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17</w:t>
            </w:r>
          </w:p>
        </w:tc>
        <w:tc>
          <w:tcPr>
            <w:tcW w:w="3635" w:type="dxa"/>
            <w:tcBorders>
              <w:top w:val="nil"/>
              <w:left w:val="nil"/>
              <w:bottom w:val="nil"/>
              <w:right w:val="nil"/>
            </w:tcBorders>
            <w:shd w:val="clear" w:color="auto" w:fill="DEEAF6" w:themeFill="accent5" w:themeFillTint="33"/>
            <w:vAlign w:val="center"/>
          </w:tcPr>
          <w:p w14:paraId="1C700E12" w14:textId="51FC1F21"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Zvýšenie sadzby spotrebnej dane z liehu</w:t>
            </w:r>
          </w:p>
        </w:tc>
        <w:tc>
          <w:tcPr>
            <w:tcW w:w="767" w:type="dxa"/>
            <w:tcBorders>
              <w:top w:val="nil"/>
              <w:left w:val="nil"/>
              <w:bottom w:val="nil"/>
              <w:right w:val="nil"/>
            </w:tcBorders>
            <w:shd w:val="clear" w:color="auto" w:fill="DEEAF6" w:themeFill="accent5" w:themeFillTint="33"/>
            <w:vAlign w:val="center"/>
          </w:tcPr>
          <w:p w14:paraId="11D88F59" w14:textId="50430BE8"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DEEAF6" w:themeFill="accent5" w:themeFillTint="33"/>
            <w:vAlign w:val="center"/>
          </w:tcPr>
          <w:p w14:paraId="3C0015C2" w14:textId="372C91BB"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DEEAF6" w:themeFill="accent5" w:themeFillTint="33"/>
            <w:vAlign w:val="center"/>
          </w:tcPr>
          <w:p w14:paraId="0A7F9BFF" w14:textId="732DEDD4"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DEEAF6" w:themeFill="accent5" w:themeFillTint="33"/>
            <w:vAlign w:val="center"/>
          </w:tcPr>
          <w:p w14:paraId="5C90372A" w14:textId="4409E663"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0,03</w:t>
            </w:r>
          </w:p>
        </w:tc>
        <w:tc>
          <w:tcPr>
            <w:tcW w:w="490" w:type="dxa"/>
            <w:tcBorders>
              <w:top w:val="nil"/>
              <w:left w:val="nil"/>
              <w:bottom w:val="nil"/>
              <w:right w:val="nil"/>
            </w:tcBorders>
            <w:shd w:val="clear" w:color="auto" w:fill="DEEAF6" w:themeFill="accent5" w:themeFillTint="33"/>
            <w:vAlign w:val="center"/>
          </w:tcPr>
          <w:p w14:paraId="23A12292" w14:textId="4AD82DEB"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0,03</w:t>
            </w:r>
          </w:p>
        </w:tc>
        <w:tc>
          <w:tcPr>
            <w:tcW w:w="490" w:type="dxa"/>
            <w:tcBorders>
              <w:top w:val="nil"/>
              <w:left w:val="nil"/>
              <w:bottom w:val="nil"/>
              <w:right w:val="nil"/>
            </w:tcBorders>
            <w:shd w:val="clear" w:color="auto" w:fill="DEEAF6" w:themeFill="accent5" w:themeFillTint="33"/>
            <w:vAlign w:val="center"/>
          </w:tcPr>
          <w:p w14:paraId="77B80C7C" w14:textId="626674EC"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6AC3DBE4" w14:textId="0FA078CC"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76D7BAED" w14:textId="1A46F5A4"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4D2B1507" w14:textId="2F4A4BA7"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08D27BFF"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4AFB3C0E" w14:textId="77777777" w:rsidTr="005774C5">
        <w:trPr>
          <w:trHeight w:val="254"/>
        </w:trPr>
        <w:tc>
          <w:tcPr>
            <w:tcW w:w="334" w:type="dxa"/>
            <w:tcBorders>
              <w:top w:val="nil"/>
              <w:left w:val="nil"/>
              <w:bottom w:val="nil"/>
              <w:right w:val="nil"/>
            </w:tcBorders>
            <w:shd w:val="clear" w:color="auto" w:fill="auto"/>
            <w:vAlign w:val="center"/>
          </w:tcPr>
          <w:p w14:paraId="63DCB0BC" w14:textId="0BE74626"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18</w:t>
            </w:r>
          </w:p>
        </w:tc>
        <w:tc>
          <w:tcPr>
            <w:tcW w:w="3635" w:type="dxa"/>
            <w:tcBorders>
              <w:top w:val="nil"/>
              <w:left w:val="nil"/>
              <w:bottom w:val="nil"/>
              <w:right w:val="nil"/>
            </w:tcBorders>
            <w:shd w:val="clear" w:color="auto" w:fill="auto"/>
            <w:vAlign w:val="center"/>
          </w:tcPr>
          <w:p w14:paraId="2474F58A" w14:textId="427AE2A4"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Zvýšenie sadzby zdravotného poistného zamestnávateľa o 1 p. b.</w:t>
            </w:r>
          </w:p>
        </w:tc>
        <w:tc>
          <w:tcPr>
            <w:tcW w:w="767" w:type="dxa"/>
            <w:tcBorders>
              <w:top w:val="nil"/>
              <w:left w:val="nil"/>
              <w:bottom w:val="nil"/>
              <w:right w:val="nil"/>
            </w:tcBorders>
            <w:shd w:val="clear" w:color="auto" w:fill="auto"/>
            <w:vAlign w:val="center"/>
          </w:tcPr>
          <w:p w14:paraId="35FC6F6C" w14:textId="7F558850"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auto"/>
            <w:vAlign w:val="center"/>
          </w:tcPr>
          <w:p w14:paraId="304B563B" w14:textId="0F5B63FF"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auto"/>
            <w:vAlign w:val="center"/>
          </w:tcPr>
          <w:p w14:paraId="5BB29B52" w14:textId="6D6EFADD"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auto"/>
            <w:vAlign w:val="center"/>
          </w:tcPr>
          <w:p w14:paraId="6DFD7027" w14:textId="559AD643"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2EC4806E" w14:textId="301AAA6C"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0,25</w:t>
            </w:r>
          </w:p>
        </w:tc>
        <w:tc>
          <w:tcPr>
            <w:tcW w:w="490" w:type="dxa"/>
            <w:tcBorders>
              <w:top w:val="nil"/>
              <w:left w:val="nil"/>
              <w:bottom w:val="nil"/>
              <w:right w:val="nil"/>
            </w:tcBorders>
            <w:shd w:val="clear" w:color="auto" w:fill="auto"/>
            <w:vAlign w:val="center"/>
          </w:tcPr>
          <w:p w14:paraId="437FC3F8" w14:textId="0A08C229"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178DC9ED" w14:textId="0D0D58F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358851DB" w14:textId="541ACCCD"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49B90058" w14:textId="232FC2D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-0,21</w:t>
            </w:r>
          </w:p>
        </w:tc>
        <w:tc>
          <w:tcPr>
            <w:tcW w:w="783" w:type="dxa"/>
            <w:tcBorders>
              <w:top w:val="nil"/>
              <w:left w:val="nil"/>
              <w:bottom w:val="nil"/>
              <w:right w:val="nil"/>
            </w:tcBorders>
            <w:shd w:val="clear" w:color="auto" w:fill="auto"/>
            <w:noWrap/>
            <w:vAlign w:val="bottom"/>
          </w:tcPr>
          <w:p w14:paraId="594F1C3D"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0B3388FC" w14:textId="77777777" w:rsidTr="005774C5">
        <w:trPr>
          <w:trHeight w:val="254"/>
        </w:trPr>
        <w:tc>
          <w:tcPr>
            <w:tcW w:w="334" w:type="dxa"/>
            <w:tcBorders>
              <w:top w:val="nil"/>
              <w:left w:val="nil"/>
              <w:bottom w:val="nil"/>
              <w:right w:val="nil"/>
            </w:tcBorders>
            <w:shd w:val="clear" w:color="auto" w:fill="DEEAF6" w:themeFill="accent5" w:themeFillTint="33"/>
            <w:vAlign w:val="center"/>
          </w:tcPr>
          <w:p w14:paraId="7D808D69" w14:textId="3F60C96F"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19</w:t>
            </w:r>
          </w:p>
        </w:tc>
        <w:tc>
          <w:tcPr>
            <w:tcW w:w="3635" w:type="dxa"/>
            <w:tcBorders>
              <w:top w:val="nil"/>
              <w:left w:val="nil"/>
              <w:bottom w:val="nil"/>
              <w:right w:val="nil"/>
            </w:tcBorders>
            <w:shd w:val="clear" w:color="auto" w:fill="DEEAF6" w:themeFill="accent5" w:themeFillTint="33"/>
            <w:vAlign w:val="center"/>
          </w:tcPr>
          <w:p w14:paraId="47BDE321" w14:textId="7F1C825C"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Zmena sadzieb daní z nehnuteľností podľa VZN</w:t>
            </w:r>
          </w:p>
        </w:tc>
        <w:tc>
          <w:tcPr>
            <w:tcW w:w="767" w:type="dxa"/>
            <w:tcBorders>
              <w:top w:val="nil"/>
              <w:left w:val="nil"/>
              <w:bottom w:val="nil"/>
              <w:right w:val="nil"/>
            </w:tcBorders>
            <w:shd w:val="clear" w:color="auto" w:fill="DEEAF6" w:themeFill="accent5" w:themeFillTint="33"/>
            <w:vAlign w:val="center"/>
          </w:tcPr>
          <w:p w14:paraId="5ABF4C91" w14:textId="03C1F7DD"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DEEAF6" w:themeFill="accent5" w:themeFillTint="33"/>
            <w:vAlign w:val="center"/>
          </w:tcPr>
          <w:p w14:paraId="77E93FDF" w14:textId="434E9740"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DEEAF6" w:themeFill="accent5" w:themeFillTint="33"/>
            <w:vAlign w:val="center"/>
          </w:tcPr>
          <w:p w14:paraId="399BE42D" w14:textId="4F6BF1AC"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DEEAF6" w:themeFill="accent5" w:themeFillTint="33"/>
            <w:vAlign w:val="center"/>
          </w:tcPr>
          <w:p w14:paraId="2C8D679E" w14:textId="7B232FCB"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0,03</w:t>
            </w:r>
          </w:p>
        </w:tc>
        <w:tc>
          <w:tcPr>
            <w:tcW w:w="490" w:type="dxa"/>
            <w:tcBorders>
              <w:top w:val="nil"/>
              <w:left w:val="nil"/>
              <w:bottom w:val="nil"/>
              <w:right w:val="nil"/>
            </w:tcBorders>
            <w:shd w:val="clear" w:color="auto" w:fill="DEEAF6" w:themeFill="accent5" w:themeFillTint="33"/>
            <w:vAlign w:val="center"/>
          </w:tcPr>
          <w:p w14:paraId="47CCE700" w14:textId="0FED768F"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0,09</w:t>
            </w:r>
          </w:p>
        </w:tc>
        <w:tc>
          <w:tcPr>
            <w:tcW w:w="490" w:type="dxa"/>
            <w:tcBorders>
              <w:top w:val="nil"/>
              <w:left w:val="nil"/>
              <w:bottom w:val="nil"/>
              <w:right w:val="nil"/>
            </w:tcBorders>
            <w:shd w:val="clear" w:color="auto" w:fill="DEEAF6" w:themeFill="accent5" w:themeFillTint="33"/>
            <w:vAlign w:val="center"/>
          </w:tcPr>
          <w:p w14:paraId="1AC6B33C" w14:textId="23EA1083"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53D6BC2B" w14:textId="65882CC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6FFDA060" w14:textId="342AE187"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6FFE6C26" w14:textId="6C1ACEF5"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0E87CF97"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0C3BD83D" w14:textId="77777777" w:rsidTr="005774C5">
        <w:trPr>
          <w:trHeight w:val="254"/>
        </w:trPr>
        <w:tc>
          <w:tcPr>
            <w:tcW w:w="334" w:type="dxa"/>
            <w:tcBorders>
              <w:top w:val="nil"/>
              <w:left w:val="nil"/>
              <w:bottom w:val="nil"/>
              <w:right w:val="nil"/>
            </w:tcBorders>
            <w:shd w:val="clear" w:color="auto" w:fill="auto"/>
            <w:vAlign w:val="center"/>
          </w:tcPr>
          <w:p w14:paraId="5152838B" w14:textId="187B31D7"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20</w:t>
            </w:r>
          </w:p>
        </w:tc>
        <w:tc>
          <w:tcPr>
            <w:tcW w:w="3635" w:type="dxa"/>
            <w:tcBorders>
              <w:top w:val="nil"/>
              <w:left w:val="nil"/>
              <w:bottom w:val="nil"/>
              <w:right w:val="nil"/>
            </w:tcBorders>
            <w:shd w:val="clear" w:color="auto" w:fill="auto"/>
            <w:vAlign w:val="center"/>
          </w:tcPr>
          <w:p w14:paraId="658D3F57" w14:textId="4933BCC7"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Zvýšenie sadzieb poplatku za komunálny odpad podľa VZN</w:t>
            </w:r>
          </w:p>
        </w:tc>
        <w:tc>
          <w:tcPr>
            <w:tcW w:w="767" w:type="dxa"/>
            <w:tcBorders>
              <w:top w:val="nil"/>
              <w:left w:val="nil"/>
              <w:bottom w:val="nil"/>
              <w:right w:val="nil"/>
            </w:tcBorders>
            <w:shd w:val="clear" w:color="auto" w:fill="auto"/>
            <w:vAlign w:val="center"/>
          </w:tcPr>
          <w:p w14:paraId="76C3D042" w14:textId="60DDF68F"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auto"/>
            <w:vAlign w:val="center"/>
          </w:tcPr>
          <w:p w14:paraId="51196425" w14:textId="3E48A4BD"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auto"/>
            <w:vAlign w:val="center"/>
          </w:tcPr>
          <w:p w14:paraId="330F1643" w14:textId="7B211001"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auto"/>
            <w:vAlign w:val="center"/>
          </w:tcPr>
          <w:p w14:paraId="64D5CEFF" w14:textId="3E6FE5B5"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0,03</w:t>
            </w:r>
          </w:p>
        </w:tc>
        <w:tc>
          <w:tcPr>
            <w:tcW w:w="490" w:type="dxa"/>
            <w:tcBorders>
              <w:top w:val="nil"/>
              <w:left w:val="nil"/>
              <w:bottom w:val="nil"/>
              <w:right w:val="nil"/>
            </w:tcBorders>
            <w:shd w:val="clear" w:color="auto" w:fill="auto"/>
            <w:vAlign w:val="center"/>
          </w:tcPr>
          <w:p w14:paraId="7972F17D" w14:textId="65CC279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0,03</w:t>
            </w:r>
          </w:p>
        </w:tc>
        <w:tc>
          <w:tcPr>
            <w:tcW w:w="490" w:type="dxa"/>
            <w:tcBorders>
              <w:top w:val="nil"/>
              <w:left w:val="nil"/>
              <w:bottom w:val="nil"/>
              <w:right w:val="nil"/>
            </w:tcBorders>
            <w:shd w:val="clear" w:color="auto" w:fill="auto"/>
            <w:vAlign w:val="center"/>
          </w:tcPr>
          <w:p w14:paraId="49A734FB" w14:textId="6417E010"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2EA862AB" w14:textId="02FBAA9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0CDDF9AA" w14:textId="0BCC4876"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3ABFA36F" w14:textId="37049609"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64EDA766"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0C36501F" w14:textId="77777777" w:rsidTr="005774C5">
        <w:trPr>
          <w:trHeight w:val="254"/>
        </w:trPr>
        <w:tc>
          <w:tcPr>
            <w:tcW w:w="334" w:type="dxa"/>
            <w:tcBorders>
              <w:top w:val="nil"/>
              <w:left w:val="nil"/>
              <w:bottom w:val="nil"/>
              <w:right w:val="nil"/>
            </w:tcBorders>
            <w:shd w:val="clear" w:color="auto" w:fill="DEEAF6" w:themeFill="accent5" w:themeFillTint="33"/>
            <w:vAlign w:val="center"/>
          </w:tcPr>
          <w:p w14:paraId="43B00DFB" w14:textId="41F046B2"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21</w:t>
            </w:r>
          </w:p>
        </w:tc>
        <w:tc>
          <w:tcPr>
            <w:tcW w:w="3635" w:type="dxa"/>
            <w:tcBorders>
              <w:top w:val="nil"/>
              <w:left w:val="nil"/>
              <w:bottom w:val="nil"/>
              <w:right w:val="nil"/>
            </w:tcBorders>
            <w:shd w:val="clear" w:color="auto" w:fill="DEEAF6" w:themeFill="accent5" w:themeFillTint="33"/>
            <w:vAlign w:val="center"/>
          </w:tcPr>
          <w:p w14:paraId="54153318" w14:textId="39D4E61E"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Odpustenie soc. odvodov zamestnávateľa za zamestnancov v potravinárskom priemysle</w:t>
            </w:r>
          </w:p>
        </w:tc>
        <w:tc>
          <w:tcPr>
            <w:tcW w:w="767" w:type="dxa"/>
            <w:tcBorders>
              <w:top w:val="nil"/>
              <w:left w:val="nil"/>
              <w:bottom w:val="nil"/>
              <w:right w:val="nil"/>
            </w:tcBorders>
            <w:shd w:val="clear" w:color="auto" w:fill="DEEAF6" w:themeFill="accent5" w:themeFillTint="33"/>
            <w:vAlign w:val="center"/>
          </w:tcPr>
          <w:p w14:paraId="4C56028C" w14:textId="378CE35E"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DEEAF6" w:themeFill="accent5" w:themeFillTint="33"/>
            <w:vAlign w:val="center"/>
          </w:tcPr>
          <w:p w14:paraId="1AACA51B" w14:textId="32FB5827"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DEEAF6" w:themeFill="accent5" w:themeFillTint="33"/>
            <w:vAlign w:val="center"/>
          </w:tcPr>
          <w:p w14:paraId="6F756BB9" w14:textId="758E4C2A"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DEEAF6" w:themeFill="accent5" w:themeFillTint="33"/>
            <w:vAlign w:val="center"/>
          </w:tcPr>
          <w:p w14:paraId="06B289BA" w14:textId="6F0CDE77"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-0,02</w:t>
            </w:r>
          </w:p>
        </w:tc>
        <w:tc>
          <w:tcPr>
            <w:tcW w:w="490" w:type="dxa"/>
            <w:tcBorders>
              <w:top w:val="nil"/>
              <w:left w:val="nil"/>
              <w:bottom w:val="nil"/>
              <w:right w:val="nil"/>
            </w:tcBorders>
            <w:shd w:val="clear" w:color="auto" w:fill="DEEAF6" w:themeFill="accent5" w:themeFillTint="33"/>
            <w:vAlign w:val="center"/>
          </w:tcPr>
          <w:p w14:paraId="0A5A5F3E" w14:textId="5BBF7B22"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-0,01</w:t>
            </w:r>
          </w:p>
        </w:tc>
        <w:tc>
          <w:tcPr>
            <w:tcW w:w="490" w:type="dxa"/>
            <w:tcBorders>
              <w:top w:val="nil"/>
              <w:left w:val="nil"/>
              <w:bottom w:val="nil"/>
              <w:right w:val="nil"/>
            </w:tcBorders>
            <w:shd w:val="clear" w:color="auto" w:fill="DEEAF6" w:themeFill="accent5" w:themeFillTint="33"/>
            <w:vAlign w:val="center"/>
          </w:tcPr>
          <w:p w14:paraId="4804899E" w14:textId="5BE3A396"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0,03</w:t>
            </w:r>
          </w:p>
        </w:tc>
        <w:tc>
          <w:tcPr>
            <w:tcW w:w="490" w:type="dxa"/>
            <w:tcBorders>
              <w:top w:val="nil"/>
              <w:left w:val="nil"/>
              <w:bottom w:val="nil"/>
              <w:right w:val="nil"/>
            </w:tcBorders>
            <w:shd w:val="clear" w:color="auto" w:fill="DEEAF6" w:themeFill="accent5" w:themeFillTint="33"/>
            <w:vAlign w:val="center"/>
          </w:tcPr>
          <w:p w14:paraId="71203FCC" w14:textId="4707A256"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7D3C674C" w14:textId="0AEB85DA"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1153C7EC" w14:textId="087AB00D"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56295F35"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7D0E80BC" w14:textId="77777777" w:rsidTr="005774C5">
        <w:trPr>
          <w:trHeight w:val="254"/>
        </w:trPr>
        <w:tc>
          <w:tcPr>
            <w:tcW w:w="334" w:type="dxa"/>
            <w:tcBorders>
              <w:top w:val="nil"/>
              <w:left w:val="nil"/>
              <w:bottom w:val="nil"/>
              <w:right w:val="nil"/>
            </w:tcBorders>
            <w:shd w:val="clear" w:color="auto" w:fill="auto"/>
            <w:vAlign w:val="center"/>
          </w:tcPr>
          <w:p w14:paraId="330A7E8E" w14:textId="174318BB"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22</w:t>
            </w:r>
          </w:p>
        </w:tc>
        <w:tc>
          <w:tcPr>
            <w:tcW w:w="3635" w:type="dxa"/>
            <w:tcBorders>
              <w:top w:val="nil"/>
              <w:left w:val="nil"/>
              <w:bottom w:val="nil"/>
              <w:right w:val="nil"/>
            </w:tcBorders>
            <w:shd w:val="clear" w:color="auto" w:fill="auto"/>
            <w:vAlign w:val="center"/>
          </w:tcPr>
          <w:p w14:paraId="34A5E9AC" w14:textId="04187396"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Zavedenie spotrebnej dane zo sladených nápojov</w:t>
            </w:r>
          </w:p>
        </w:tc>
        <w:tc>
          <w:tcPr>
            <w:tcW w:w="767" w:type="dxa"/>
            <w:tcBorders>
              <w:top w:val="nil"/>
              <w:left w:val="nil"/>
              <w:bottom w:val="nil"/>
              <w:right w:val="nil"/>
            </w:tcBorders>
            <w:shd w:val="clear" w:color="auto" w:fill="auto"/>
            <w:vAlign w:val="center"/>
          </w:tcPr>
          <w:p w14:paraId="5C024E63" w14:textId="3916F711"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auto"/>
            <w:vAlign w:val="center"/>
          </w:tcPr>
          <w:p w14:paraId="5F86232D" w14:textId="41111C25"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auto"/>
            <w:vAlign w:val="center"/>
          </w:tcPr>
          <w:p w14:paraId="7EDC56C1" w14:textId="47C28A1F"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auto"/>
            <w:vAlign w:val="center"/>
          </w:tcPr>
          <w:p w14:paraId="65F9181B" w14:textId="0D39A380"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201EB687" w14:textId="77422FFA"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554D100A" w14:textId="413778CA"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0,06</w:t>
            </w:r>
          </w:p>
        </w:tc>
        <w:tc>
          <w:tcPr>
            <w:tcW w:w="490" w:type="dxa"/>
            <w:tcBorders>
              <w:top w:val="nil"/>
              <w:left w:val="nil"/>
              <w:bottom w:val="nil"/>
              <w:right w:val="nil"/>
            </w:tcBorders>
            <w:shd w:val="clear" w:color="auto" w:fill="auto"/>
            <w:vAlign w:val="center"/>
          </w:tcPr>
          <w:p w14:paraId="086D35EA" w14:textId="0821B7AD"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60BA0329" w14:textId="1090169B"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5B181BBA" w14:textId="02BFF8FA"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46EC949F"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3EB5D374" w14:textId="77777777" w:rsidTr="005774C5">
        <w:trPr>
          <w:trHeight w:val="254"/>
        </w:trPr>
        <w:tc>
          <w:tcPr>
            <w:tcW w:w="334" w:type="dxa"/>
            <w:tcBorders>
              <w:top w:val="nil"/>
              <w:left w:val="nil"/>
              <w:bottom w:val="nil"/>
              <w:right w:val="nil"/>
            </w:tcBorders>
            <w:shd w:val="clear" w:color="auto" w:fill="DEEAF6" w:themeFill="accent5" w:themeFillTint="33"/>
            <w:vAlign w:val="center"/>
          </w:tcPr>
          <w:p w14:paraId="3F1BCD25" w14:textId="5013A222"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23</w:t>
            </w:r>
          </w:p>
        </w:tc>
        <w:tc>
          <w:tcPr>
            <w:tcW w:w="3635" w:type="dxa"/>
            <w:tcBorders>
              <w:top w:val="nil"/>
              <w:left w:val="nil"/>
              <w:bottom w:val="nil"/>
              <w:right w:val="nil"/>
            </w:tcBorders>
            <w:shd w:val="clear" w:color="auto" w:fill="DEEAF6" w:themeFill="accent5" w:themeFillTint="33"/>
            <w:vAlign w:val="center"/>
          </w:tcPr>
          <w:p w14:paraId="2899CB8D" w14:textId="1C3FC5F9"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Zvýšenie spotrebnej dane z tabakových výrobkov a výrobkov súvisiacich s tabakovými výrobkami</w:t>
            </w:r>
          </w:p>
        </w:tc>
        <w:tc>
          <w:tcPr>
            <w:tcW w:w="767" w:type="dxa"/>
            <w:tcBorders>
              <w:top w:val="nil"/>
              <w:left w:val="nil"/>
              <w:bottom w:val="nil"/>
              <w:right w:val="nil"/>
            </w:tcBorders>
            <w:shd w:val="clear" w:color="auto" w:fill="DEEAF6" w:themeFill="accent5" w:themeFillTint="33"/>
            <w:vAlign w:val="center"/>
          </w:tcPr>
          <w:p w14:paraId="2F22A229" w14:textId="559AB035"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DEEAF6" w:themeFill="accent5" w:themeFillTint="33"/>
            <w:vAlign w:val="center"/>
          </w:tcPr>
          <w:p w14:paraId="5EB3D2BD" w14:textId="2A66B76C"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DEEAF6" w:themeFill="accent5" w:themeFillTint="33"/>
            <w:vAlign w:val="center"/>
          </w:tcPr>
          <w:p w14:paraId="624F6D3A" w14:textId="6C0BE613"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DEEAF6" w:themeFill="accent5" w:themeFillTint="33"/>
            <w:vAlign w:val="center"/>
          </w:tcPr>
          <w:p w14:paraId="1C1E470E" w14:textId="1F864923"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509896A9" w14:textId="7DB07C4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0,06</w:t>
            </w:r>
          </w:p>
        </w:tc>
        <w:tc>
          <w:tcPr>
            <w:tcW w:w="490" w:type="dxa"/>
            <w:tcBorders>
              <w:top w:val="nil"/>
              <w:left w:val="nil"/>
              <w:bottom w:val="nil"/>
              <w:right w:val="nil"/>
            </w:tcBorders>
            <w:shd w:val="clear" w:color="auto" w:fill="DEEAF6" w:themeFill="accent5" w:themeFillTint="33"/>
            <w:vAlign w:val="center"/>
          </w:tcPr>
          <w:p w14:paraId="08D8C28A" w14:textId="769CDBAD"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0,06</w:t>
            </w:r>
          </w:p>
        </w:tc>
        <w:tc>
          <w:tcPr>
            <w:tcW w:w="490" w:type="dxa"/>
            <w:tcBorders>
              <w:top w:val="nil"/>
              <w:left w:val="nil"/>
              <w:bottom w:val="nil"/>
              <w:right w:val="nil"/>
            </w:tcBorders>
            <w:shd w:val="clear" w:color="auto" w:fill="DEEAF6" w:themeFill="accent5" w:themeFillTint="33"/>
            <w:vAlign w:val="center"/>
          </w:tcPr>
          <w:p w14:paraId="7EABE63F" w14:textId="7AA4700F"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0,08</w:t>
            </w:r>
          </w:p>
        </w:tc>
        <w:tc>
          <w:tcPr>
            <w:tcW w:w="490" w:type="dxa"/>
            <w:tcBorders>
              <w:top w:val="nil"/>
              <w:left w:val="nil"/>
              <w:bottom w:val="nil"/>
              <w:right w:val="nil"/>
            </w:tcBorders>
            <w:shd w:val="clear" w:color="auto" w:fill="DEEAF6" w:themeFill="accent5" w:themeFillTint="33"/>
            <w:vAlign w:val="center"/>
          </w:tcPr>
          <w:p w14:paraId="23ACEEFB" w14:textId="116BE52A"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0,03</w:t>
            </w:r>
          </w:p>
        </w:tc>
        <w:tc>
          <w:tcPr>
            <w:tcW w:w="490" w:type="dxa"/>
            <w:tcBorders>
              <w:top w:val="nil"/>
              <w:left w:val="nil"/>
              <w:bottom w:val="nil"/>
              <w:right w:val="nil"/>
            </w:tcBorders>
            <w:shd w:val="clear" w:color="auto" w:fill="DEEAF6" w:themeFill="accent5" w:themeFillTint="33"/>
            <w:vAlign w:val="center"/>
          </w:tcPr>
          <w:p w14:paraId="3C58E2D5" w14:textId="73433D84"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0,08</w:t>
            </w:r>
          </w:p>
        </w:tc>
        <w:tc>
          <w:tcPr>
            <w:tcW w:w="783" w:type="dxa"/>
            <w:tcBorders>
              <w:top w:val="nil"/>
              <w:left w:val="nil"/>
              <w:bottom w:val="nil"/>
              <w:right w:val="nil"/>
            </w:tcBorders>
            <w:shd w:val="clear" w:color="auto" w:fill="auto"/>
            <w:noWrap/>
            <w:vAlign w:val="bottom"/>
          </w:tcPr>
          <w:p w14:paraId="3902E271"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179F258D" w14:textId="77777777" w:rsidTr="005774C5">
        <w:trPr>
          <w:trHeight w:val="254"/>
        </w:trPr>
        <w:tc>
          <w:tcPr>
            <w:tcW w:w="334" w:type="dxa"/>
            <w:tcBorders>
              <w:top w:val="nil"/>
              <w:left w:val="nil"/>
              <w:bottom w:val="nil"/>
              <w:right w:val="nil"/>
            </w:tcBorders>
            <w:shd w:val="clear" w:color="auto" w:fill="auto"/>
            <w:vAlign w:val="center"/>
          </w:tcPr>
          <w:p w14:paraId="16748323" w14:textId="2F1C06C8"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24</w:t>
            </w:r>
          </w:p>
        </w:tc>
        <w:tc>
          <w:tcPr>
            <w:tcW w:w="3635" w:type="dxa"/>
            <w:tcBorders>
              <w:top w:val="nil"/>
              <w:left w:val="nil"/>
              <w:bottom w:val="nil"/>
              <w:right w:val="nil"/>
            </w:tcBorders>
            <w:shd w:val="clear" w:color="auto" w:fill="auto"/>
            <w:vAlign w:val="center"/>
          </w:tcPr>
          <w:p w14:paraId="0ED79269" w14:textId="613D0584"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Predĺženie odpustenia soc. odvodov zamestnávateľov pre poľnohospodárov</w:t>
            </w:r>
          </w:p>
        </w:tc>
        <w:tc>
          <w:tcPr>
            <w:tcW w:w="767" w:type="dxa"/>
            <w:tcBorders>
              <w:top w:val="nil"/>
              <w:left w:val="nil"/>
              <w:bottom w:val="nil"/>
              <w:right w:val="nil"/>
            </w:tcBorders>
            <w:shd w:val="clear" w:color="auto" w:fill="auto"/>
            <w:vAlign w:val="center"/>
          </w:tcPr>
          <w:p w14:paraId="7F187E90" w14:textId="7D097124"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auto"/>
            <w:vAlign w:val="center"/>
          </w:tcPr>
          <w:p w14:paraId="69BC51E5" w14:textId="6E466A43"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auto"/>
            <w:vAlign w:val="center"/>
          </w:tcPr>
          <w:p w14:paraId="7C658116" w14:textId="01CD2D2F"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auto"/>
            <w:vAlign w:val="center"/>
          </w:tcPr>
          <w:p w14:paraId="5D161902" w14:textId="374B112F"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33CA50D9" w14:textId="55DEF8E3"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-0,01</w:t>
            </w:r>
          </w:p>
        </w:tc>
        <w:tc>
          <w:tcPr>
            <w:tcW w:w="490" w:type="dxa"/>
            <w:tcBorders>
              <w:top w:val="nil"/>
              <w:left w:val="nil"/>
              <w:bottom w:val="nil"/>
              <w:right w:val="nil"/>
            </w:tcBorders>
            <w:shd w:val="clear" w:color="auto" w:fill="auto"/>
            <w:vAlign w:val="center"/>
          </w:tcPr>
          <w:p w14:paraId="738C569E" w14:textId="65FF11E0"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0,01</w:t>
            </w:r>
          </w:p>
        </w:tc>
        <w:tc>
          <w:tcPr>
            <w:tcW w:w="490" w:type="dxa"/>
            <w:tcBorders>
              <w:top w:val="nil"/>
              <w:left w:val="nil"/>
              <w:bottom w:val="nil"/>
              <w:right w:val="nil"/>
            </w:tcBorders>
            <w:shd w:val="clear" w:color="auto" w:fill="auto"/>
            <w:vAlign w:val="center"/>
          </w:tcPr>
          <w:p w14:paraId="69E3D7AB" w14:textId="055DB06B"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64D5A717" w14:textId="7645BDE1"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737813BD" w14:textId="6C9245BD"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609A3990"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57D0C0D6" w14:textId="77777777" w:rsidTr="005774C5">
        <w:trPr>
          <w:trHeight w:val="254"/>
        </w:trPr>
        <w:tc>
          <w:tcPr>
            <w:tcW w:w="334" w:type="dxa"/>
            <w:tcBorders>
              <w:top w:val="nil"/>
              <w:left w:val="nil"/>
              <w:bottom w:val="nil"/>
              <w:right w:val="nil"/>
            </w:tcBorders>
            <w:shd w:val="clear" w:color="auto" w:fill="DEEAF6" w:themeFill="accent5" w:themeFillTint="33"/>
            <w:vAlign w:val="center"/>
          </w:tcPr>
          <w:p w14:paraId="775856A6" w14:textId="1C8A48C7"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lastRenderedPageBreak/>
              <w:t>25</w:t>
            </w:r>
          </w:p>
        </w:tc>
        <w:tc>
          <w:tcPr>
            <w:tcW w:w="3635" w:type="dxa"/>
            <w:tcBorders>
              <w:top w:val="nil"/>
              <w:left w:val="nil"/>
              <w:bottom w:val="nil"/>
              <w:right w:val="nil"/>
            </w:tcBorders>
            <w:shd w:val="clear" w:color="auto" w:fill="DEEAF6" w:themeFill="accent5" w:themeFillTint="33"/>
            <w:vAlign w:val="center"/>
          </w:tcPr>
          <w:p w14:paraId="130119A4" w14:textId="0016BA5C"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Zníženie zdanenia nákladných vozidiel</w:t>
            </w:r>
          </w:p>
        </w:tc>
        <w:tc>
          <w:tcPr>
            <w:tcW w:w="767" w:type="dxa"/>
            <w:tcBorders>
              <w:top w:val="nil"/>
              <w:left w:val="nil"/>
              <w:bottom w:val="nil"/>
              <w:right w:val="nil"/>
            </w:tcBorders>
            <w:shd w:val="clear" w:color="auto" w:fill="DEEAF6" w:themeFill="accent5" w:themeFillTint="33"/>
            <w:vAlign w:val="center"/>
          </w:tcPr>
          <w:p w14:paraId="2C415B75" w14:textId="02F81A84"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DEEAF6" w:themeFill="accent5" w:themeFillTint="33"/>
            <w:vAlign w:val="center"/>
          </w:tcPr>
          <w:p w14:paraId="625E57CA" w14:textId="031DEB30"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DEEAF6" w:themeFill="accent5" w:themeFillTint="33"/>
            <w:vAlign w:val="center"/>
          </w:tcPr>
          <w:p w14:paraId="30867641" w14:textId="417BA5F4"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DEEAF6" w:themeFill="accent5" w:themeFillTint="33"/>
            <w:vAlign w:val="center"/>
          </w:tcPr>
          <w:p w14:paraId="31735D2D" w14:textId="3F9A6239"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31CA5EB7" w14:textId="20B703B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3BA06461" w14:textId="2816699C"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0,00</w:t>
            </w:r>
          </w:p>
        </w:tc>
        <w:tc>
          <w:tcPr>
            <w:tcW w:w="490" w:type="dxa"/>
            <w:tcBorders>
              <w:top w:val="nil"/>
              <w:left w:val="nil"/>
              <w:bottom w:val="nil"/>
              <w:right w:val="nil"/>
            </w:tcBorders>
            <w:shd w:val="clear" w:color="auto" w:fill="DEEAF6" w:themeFill="accent5" w:themeFillTint="33"/>
            <w:vAlign w:val="center"/>
          </w:tcPr>
          <w:p w14:paraId="1337A52C" w14:textId="7EDE4F3F"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58C84AD8" w14:textId="31933254"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16EC33B6" w14:textId="76FE7F87"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7E888E87"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0B15B400" w14:textId="77777777" w:rsidTr="005774C5">
        <w:trPr>
          <w:trHeight w:val="254"/>
        </w:trPr>
        <w:tc>
          <w:tcPr>
            <w:tcW w:w="334" w:type="dxa"/>
            <w:tcBorders>
              <w:top w:val="nil"/>
              <w:left w:val="nil"/>
              <w:bottom w:val="nil"/>
              <w:right w:val="nil"/>
            </w:tcBorders>
            <w:shd w:val="clear" w:color="auto" w:fill="auto"/>
            <w:vAlign w:val="center"/>
          </w:tcPr>
          <w:p w14:paraId="2DBE8B53" w14:textId="57AFF80C"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26</w:t>
            </w:r>
          </w:p>
        </w:tc>
        <w:tc>
          <w:tcPr>
            <w:tcW w:w="3635" w:type="dxa"/>
            <w:tcBorders>
              <w:top w:val="nil"/>
              <w:left w:val="nil"/>
              <w:bottom w:val="nil"/>
              <w:right w:val="nil"/>
            </w:tcBorders>
            <w:shd w:val="clear" w:color="auto" w:fill="auto"/>
            <w:vAlign w:val="center"/>
          </w:tcPr>
          <w:p w14:paraId="01F3C2A0" w14:textId="14CBD547"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Zavedenie dane z finančných transakcií</w:t>
            </w:r>
          </w:p>
        </w:tc>
        <w:tc>
          <w:tcPr>
            <w:tcW w:w="767" w:type="dxa"/>
            <w:tcBorders>
              <w:top w:val="nil"/>
              <w:left w:val="nil"/>
              <w:bottom w:val="nil"/>
              <w:right w:val="nil"/>
            </w:tcBorders>
            <w:shd w:val="clear" w:color="auto" w:fill="auto"/>
            <w:vAlign w:val="center"/>
          </w:tcPr>
          <w:p w14:paraId="7F7E34EF" w14:textId="6AC1D45D"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auto"/>
            <w:vAlign w:val="center"/>
          </w:tcPr>
          <w:p w14:paraId="27C1B99A" w14:textId="28FCF03E"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auto"/>
            <w:vAlign w:val="center"/>
          </w:tcPr>
          <w:p w14:paraId="0D076DDF" w14:textId="359438FC"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auto"/>
            <w:vAlign w:val="center"/>
          </w:tcPr>
          <w:p w14:paraId="710EBF6D" w14:textId="125AFD6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5DD2BA5F" w14:textId="47B83ACC"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7844BF6D" w14:textId="01B490E9"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0,37</w:t>
            </w:r>
          </w:p>
        </w:tc>
        <w:tc>
          <w:tcPr>
            <w:tcW w:w="490" w:type="dxa"/>
            <w:tcBorders>
              <w:top w:val="nil"/>
              <w:left w:val="nil"/>
              <w:bottom w:val="nil"/>
              <w:right w:val="nil"/>
            </w:tcBorders>
            <w:shd w:val="clear" w:color="auto" w:fill="auto"/>
            <w:vAlign w:val="center"/>
          </w:tcPr>
          <w:p w14:paraId="0070AE8A" w14:textId="0727E43C"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0,12</w:t>
            </w:r>
          </w:p>
        </w:tc>
        <w:tc>
          <w:tcPr>
            <w:tcW w:w="490" w:type="dxa"/>
            <w:tcBorders>
              <w:top w:val="nil"/>
              <w:left w:val="nil"/>
              <w:bottom w:val="nil"/>
              <w:right w:val="nil"/>
            </w:tcBorders>
            <w:shd w:val="clear" w:color="auto" w:fill="auto"/>
            <w:vAlign w:val="center"/>
          </w:tcPr>
          <w:p w14:paraId="7DE49402" w14:textId="206B7E02"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450F138D" w14:textId="56CDE3A4"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6E6DF325"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6A06CFA8" w14:textId="77777777" w:rsidTr="005774C5">
        <w:trPr>
          <w:trHeight w:val="254"/>
        </w:trPr>
        <w:tc>
          <w:tcPr>
            <w:tcW w:w="334" w:type="dxa"/>
            <w:tcBorders>
              <w:top w:val="nil"/>
              <w:left w:val="nil"/>
              <w:bottom w:val="nil"/>
              <w:right w:val="nil"/>
            </w:tcBorders>
            <w:shd w:val="clear" w:color="auto" w:fill="DEEAF6" w:themeFill="accent5" w:themeFillTint="33"/>
            <w:vAlign w:val="center"/>
          </w:tcPr>
          <w:p w14:paraId="1447A09D" w14:textId="66BFBDFF"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27</w:t>
            </w:r>
          </w:p>
        </w:tc>
        <w:tc>
          <w:tcPr>
            <w:tcW w:w="3635" w:type="dxa"/>
            <w:tcBorders>
              <w:top w:val="nil"/>
              <w:left w:val="nil"/>
              <w:bottom w:val="nil"/>
              <w:right w:val="nil"/>
            </w:tcBorders>
            <w:shd w:val="clear" w:color="auto" w:fill="DEEAF6" w:themeFill="accent5" w:themeFillTint="33"/>
            <w:vAlign w:val="center"/>
          </w:tcPr>
          <w:p w14:paraId="1AE96800" w14:textId="64E8CC48"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Nepeňažný príjem oslobodený pri vozidlách s alternatívnym pohonom</w:t>
            </w:r>
          </w:p>
        </w:tc>
        <w:tc>
          <w:tcPr>
            <w:tcW w:w="767" w:type="dxa"/>
            <w:tcBorders>
              <w:top w:val="nil"/>
              <w:left w:val="nil"/>
              <w:bottom w:val="nil"/>
              <w:right w:val="nil"/>
            </w:tcBorders>
            <w:shd w:val="clear" w:color="auto" w:fill="DEEAF6" w:themeFill="accent5" w:themeFillTint="33"/>
            <w:vAlign w:val="center"/>
          </w:tcPr>
          <w:p w14:paraId="07478DFD" w14:textId="51F1CE88"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DEEAF6" w:themeFill="accent5" w:themeFillTint="33"/>
            <w:vAlign w:val="center"/>
          </w:tcPr>
          <w:p w14:paraId="5F1EC90C" w14:textId="448D1238"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DEEAF6" w:themeFill="accent5" w:themeFillTint="33"/>
            <w:vAlign w:val="center"/>
          </w:tcPr>
          <w:p w14:paraId="7F395710" w14:textId="00E6FAEC"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DEEAF6" w:themeFill="accent5" w:themeFillTint="33"/>
            <w:vAlign w:val="center"/>
          </w:tcPr>
          <w:p w14:paraId="55CDFF71" w14:textId="3834DC9E"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5ACD6AFD" w14:textId="5F006BAB"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158E5D0E" w14:textId="2E2F755C"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-0,01</w:t>
            </w:r>
          </w:p>
        </w:tc>
        <w:tc>
          <w:tcPr>
            <w:tcW w:w="490" w:type="dxa"/>
            <w:tcBorders>
              <w:top w:val="nil"/>
              <w:left w:val="nil"/>
              <w:bottom w:val="nil"/>
              <w:right w:val="nil"/>
            </w:tcBorders>
            <w:shd w:val="clear" w:color="auto" w:fill="DEEAF6" w:themeFill="accent5" w:themeFillTint="33"/>
            <w:vAlign w:val="center"/>
          </w:tcPr>
          <w:p w14:paraId="1194A034" w14:textId="6DB61606"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0DD2B4A0" w14:textId="7D77C895"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67680769" w14:textId="7756E540"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1CF12435"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466C9418" w14:textId="77777777" w:rsidTr="005774C5">
        <w:trPr>
          <w:trHeight w:val="254"/>
        </w:trPr>
        <w:tc>
          <w:tcPr>
            <w:tcW w:w="334" w:type="dxa"/>
            <w:tcBorders>
              <w:top w:val="nil"/>
              <w:left w:val="nil"/>
              <w:bottom w:val="nil"/>
              <w:right w:val="nil"/>
            </w:tcBorders>
            <w:shd w:val="clear" w:color="auto" w:fill="auto"/>
            <w:vAlign w:val="center"/>
          </w:tcPr>
          <w:p w14:paraId="4707AACE" w14:textId="67801620"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28</w:t>
            </w:r>
          </w:p>
        </w:tc>
        <w:tc>
          <w:tcPr>
            <w:tcW w:w="3635" w:type="dxa"/>
            <w:tcBorders>
              <w:top w:val="nil"/>
              <w:left w:val="nil"/>
              <w:bottom w:val="nil"/>
              <w:right w:val="nil"/>
            </w:tcBorders>
            <w:shd w:val="clear" w:color="auto" w:fill="auto"/>
            <w:vAlign w:val="center"/>
          </w:tcPr>
          <w:p w14:paraId="0C3080D3" w14:textId="37DDB5E6"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Oslobodenie úrokových výnosov zo štátnych dlhopisov zo základu osobitného odvodu</w:t>
            </w:r>
          </w:p>
        </w:tc>
        <w:tc>
          <w:tcPr>
            <w:tcW w:w="767" w:type="dxa"/>
            <w:tcBorders>
              <w:top w:val="nil"/>
              <w:left w:val="nil"/>
              <w:bottom w:val="nil"/>
              <w:right w:val="nil"/>
            </w:tcBorders>
            <w:shd w:val="clear" w:color="auto" w:fill="auto"/>
            <w:vAlign w:val="center"/>
          </w:tcPr>
          <w:p w14:paraId="3BCAC5EA" w14:textId="4F97FE16"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auto"/>
            <w:vAlign w:val="center"/>
          </w:tcPr>
          <w:p w14:paraId="6D1782BD" w14:textId="14FB816A"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auto"/>
            <w:vAlign w:val="center"/>
          </w:tcPr>
          <w:p w14:paraId="18E90D59" w14:textId="19FA98A0"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auto"/>
            <w:vAlign w:val="center"/>
          </w:tcPr>
          <w:p w14:paraId="3FB1C13C" w14:textId="3DBDF92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214EF397" w14:textId="3C0C54DD"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6CE3A4B2" w14:textId="40207A40"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-0,02</w:t>
            </w:r>
          </w:p>
        </w:tc>
        <w:tc>
          <w:tcPr>
            <w:tcW w:w="490" w:type="dxa"/>
            <w:tcBorders>
              <w:top w:val="nil"/>
              <w:left w:val="nil"/>
              <w:bottom w:val="nil"/>
              <w:right w:val="nil"/>
            </w:tcBorders>
            <w:shd w:val="clear" w:color="auto" w:fill="auto"/>
            <w:vAlign w:val="center"/>
          </w:tcPr>
          <w:p w14:paraId="74322D62" w14:textId="38FECC8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4403F805" w14:textId="21F94ABC"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674EB58D" w14:textId="73B4D327"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5197C4FA"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5FBDDC8A" w14:textId="77777777" w:rsidTr="005774C5">
        <w:trPr>
          <w:trHeight w:val="254"/>
        </w:trPr>
        <w:tc>
          <w:tcPr>
            <w:tcW w:w="334" w:type="dxa"/>
            <w:tcBorders>
              <w:top w:val="nil"/>
              <w:left w:val="nil"/>
              <w:bottom w:val="nil"/>
              <w:right w:val="nil"/>
            </w:tcBorders>
            <w:shd w:val="clear" w:color="auto" w:fill="DEEAF6" w:themeFill="accent5" w:themeFillTint="33"/>
            <w:vAlign w:val="center"/>
          </w:tcPr>
          <w:p w14:paraId="033FEB03" w14:textId="1C498D27"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29</w:t>
            </w:r>
          </w:p>
        </w:tc>
        <w:tc>
          <w:tcPr>
            <w:tcW w:w="3635" w:type="dxa"/>
            <w:tcBorders>
              <w:top w:val="nil"/>
              <w:left w:val="nil"/>
              <w:bottom w:val="nil"/>
              <w:right w:val="nil"/>
            </w:tcBorders>
            <w:shd w:val="clear" w:color="auto" w:fill="DEEAF6" w:themeFill="accent5" w:themeFillTint="33"/>
            <w:vAlign w:val="center"/>
          </w:tcPr>
          <w:p w14:paraId="4627815F" w14:textId="4CB8C372"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Pokles odvodu do II. piliera</w:t>
            </w:r>
          </w:p>
        </w:tc>
        <w:tc>
          <w:tcPr>
            <w:tcW w:w="767" w:type="dxa"/>
            <w:tcBorders>
              <w:top w:val="nil"/>
              <w:left w:val="nil"/>
              <w:bottom w:val="nil"/>
              <w:right w:val="nil"/>
            </w:tcBorders>
            <w:shd w:val="clear" w:color="auto" w:fill="DEEAF6" w:themeFill="accent5" w:themeFillTint="33"/>
            <w:vAlign w:val="center"/>
          </w:tcPr>
          <w:p w14:paraId="749AE497" w14:textId="672EC1AE"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DEEAF6" w:themeFill="accent5" w:themeFillTint="33"/>
            <w:vAlign w:val="center"/>
          </w:tcPr>
          <w:p w14:paraId="754065D8" w14:textId="07C9252E"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DEEAF6" w:themeFill="accent5" w:themeFillTint="33"/>
            <w:vAlign w:val="center"/>
          </w:tcPr>
          <w:p w14:paraId="2B3790EC" w14:textId="0F5DC681"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DEEAF6" w:themeFill="accent5" w:themeFillTint="33"/>
            <w:vAlign w:val="center"/>
          </w:tcPr>
          <w:p w14:paraId="0DBF839B" w14:textId="1B94FF42"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07288AEF" w14:textId="3E1149E3"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0,28</w:t>
            </w:r>
          </w:p>
        </w:tc>
        <w:tc>
          <w:tcPr>
            <w:tcW w:w="490" w:type="dxa"/>
            <w:tcBorders>
              <w:top w:val="nil"/>
              <w:left w:val="nil"/>
              <w:bottom w:val="nil"/>
              <w:right w:val="nil"/>
            </w:tcBorders>
            <w:shd w:val="clear" w:color="auto" w:fill="DEEAF6" w:themeFill="accent5" w:themeFillTint="33"/>
            <w:vAlign w:val="center"/>
          </w:tcPr>
          <w:p w14:paraId="39669A16" w14:textId="384C6B2C"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30321EBA" w14:textId="66B84B6D"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0DD18C28" w14:textId="473289A3"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3AFA920E" w14:textId="67B2D207" w:rsidR="005774C5" w:rsidRPr="00797DC1" w:rsidRDefault="005774C5" w:rsidP="005774C5">
            <w:pPr>
              <w:spacing w:after="0" w:line="240" w:lineRule="auto"/>
              <w:jc w:val="center"/>
              <w:rPr>
                <w:rFonts w:ascii="Arial Narrow" w:hAnsi="Arial Narrow" w:cs="Calibri"/>
                <w:color w:val="000000" w:themeColor="text1"/>
                <w:sz w:val="16"/>
                <w:szCs w:val="16"/>
              </w:rPr>
            </w:pPr>
          </w:p>
        </w:tc>
        <w:tc>
          <w:tcPr>
            <w:tcW w:w="783" w:type="dxa"/>
            <w:tcBorders>
              <w:top w:val="nil"/>
              <w:left w:val="nil"/>
              <w:bottom w:val="nil"/>
              <w:right w:val="nil"/>
            </w:tcBorders>
            <w:shd w:val="clear" w:color="auto" w:fill="auto"/>
            <w:noWrap/>
            <w:vAlign w:val="bottom"/>
          </w:tcPr>
          <w:p w14:paraId="39C1ED6A"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141EEF98" w14:textId="77777777" w:rsidTr="005774C5">
        <w:trPr>
          <w:trHeight w:val="254"/>
        </w:trPr>
        <w:tc>
          <w:tcPr>
            <w:tcW w:w="334" w:type="dxa"/>
            <w:tcBorders>
              <w:top w:val="nil"/>
              <w:left w:val="nil"/>
              <w:bottom w:val="nil"/>
              <w:right w:val="nil"/>
            </w:tcBorders>
            <w:shd w:val="clear" w:color="auto" w:fill="auto"/>
            <w:vAlign w:val="center"/>
          </w:tcPr>
          <w:p w14:paraId="71F2693A" w14:textId="78D70169"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30</w:t>
            </w:r>
          </w:p>
        </w:tc>
        <w:tc>
          <w:tcPr>
            <w:tcW w:w="3635" w:type="dxa"/>
            <w:tcBorders>
              <w:top w:val="nil"/>
              <w:left w:val="nil"/>
              <w:bottom w:val="nil"/>
              <w:right w:val="nil"/>
            </w:tcBorders>
            <w:shd w:val="clear" w:color="auto" w:fill="auto"/>
            <w:vAlign w:val="center"/>
          </w:tcPr>
          <w:p w14:paraId="7BBBC32A" w14:textId="6B5E191F"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Úprava minimálnej DPPO a zmena hranice príjmu mikrodaňovníkov</w:t>
            </w:r>
          </w:p>
        </w:tc>
        <w:tc>
          <w:tcPr>
            <w:tcW w:w="767" w:type="dxa"/>
            <w:tcBorders>
              <w:top w:val="nil"/>
              <w:left w:val="nil"/>
              <w:bottom w:val="nil"/>
              <w:right w:val="nil"/>
            </w:tcBorders>
            <w:shd w:val="clear" w:color="auto" w:fill="auto"/>
            <w:vAlign w:val="center"/>
          </w:tcPr>
          <w:p w14:paraId="6D3B0E14" w14:textId="13F69D65"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auto"/>
            <w:vAlign w:val="center"/>
          </w:tcPr>
          <w:p w14:paraId="0D97FDCB" w14:textId="7700EB27"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auto"/>
            <w:vAlign w:val="center"/>
          </w:tcPr>
          <w:p w14:paraId="07B72A84" w14:textId="2E5DB34B"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auto"/>
            <w:vAlign w:val="center"/>
          </w:tcPr>
          <w:p w14:paraId="18E6D0C3" w14:textId="5BB40FB3"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69E39544" w14:textId="25CB1C7F"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0,09</w:t>
            </w:r>
          </w:p>
        </w:tc>
        <w:tc>
          <w:tcPr>
            <w:tcW w:w="490" w:type="dxa"/>
            <w:tcBorders>
              <w:top w:val="nil"/>
              <w:left w:val="nil"/>
              <w:bottom w:val="nil"/>
              <w:right w:val="nil"/>
            </w:tcBorders>
            <w:shd w:val="clear" w:color="auto" w:fill="auto"/>
            <w:vAlign w:val="center"/>
          </w:tcPr>
          <w:p w14:paraId="5AE23608" w14:textId="7C10FF23"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-0,04</w:t>
            </w:r>
          </w:p>
        </w:tc>
        <w:tc>
          <w:tcPr>
            <w:tcW w:w="490" w:type="dxa"/>
            <w:tcBorders>
              <w:top w:val="nil"/>
              <w:left w:val="nil"/>
              <w:bottom w:val="nil"/>
              <w:right w:val="nil"/>
            </w:tcBorders>
            <w:shd w:val="clear" w:color="auto" w:fill="auto"/>
            <w:vAlign w:val="center"/>
          </w:tcPr>
          <w:p w14:paraId="333FB310" w14:textId="3318DB1A"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2DC544B4" w14:textId="5B9A31CF"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03E989B5" w14:textId="73381B92" w:rsidR="005774C5" w:rsidRPr="00797DC1" w:rsidRDefault="005774C5" w:rsidP="005774C5">
            <w:pPr>
              <w:spacing w:after="0" w:line="240" w:lineRule="auto"/>
              <w:jc w:val="center"/>
              <w:rPr>
                <w:rFonts w:ascii="Arial Narrow" w:hAnsi="Arial Narrow" w:cs="Calibri"/>
                <w:color w:val="000000" w:themeColor="text1"/>
                <w:sz w:val="16"/>
                <w:szCs w:val="16"/>
              </w:rPr>
            </w:pPr>
          </w:p>
        </w:tc>
        <w:tc>
          <w:tcPr>
            <w:tcW w:w="783" w:type="dxa"/>
            <w:tcBorders>
              <w:top w:val="nil"/>
              <w:left w:val="nil"/>
              <w:bottom w:val="nil"/>
              <w:right w:val="nil"/>
            </w:tcBorders>
            <w:shd w:val="clear" w:color="auto" w:fill="auto"/>
            <w:noWrap/>
            <w:vAlign w:val="bottom"/>
          </w:tcPr>
          <w:p w14:paraId="31548FD7"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66809A19" w14:textId="77777777" w:rsidTr="005774C5">
        <w:trPr>
          <w:trHeight w:val="254"/>
        </w:trPr>
        <w:tc>
          <w:tcPr>
            <w:tcW w:w="334" w:type="dxa"/>
            <w:tcBorders>
              <w:top w:val="nil"/>
              <w:left w:val="nil"/>
              <w:bottom w:val="nil"/>
              <w:right w:val="nil"/>
            </w:tcBorders>
            <w:shd w:val="clear" w:color="auto" w:fill="DEEAF6" w:themeFill="accent5" w:themeFillTint="33"/>
            <w:vAlign w:val="center"/>
          </w:tcPr>
          <w:p w14:paraId="1AC5D570" w14:textId="4575C956"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31</w:t>
            </w:r>
          </w:p>
        </w:tc>
        <w:tc>
          <w:tcPr>
            <w:tcW w:w="3635" w:type="dxa"/>
            <w:tcBorders>
              <w:top w:val="nil"/>
              <w:left w:val="nil"/>
              <w:bottom w:val="nil"/>
              <w:right w:val="nil"/>
            </w:tcBorders>
            <w:shd w:val="clear" w:color="auto" w:fill="DEEAF6" w:themeFill="accent5" w:themeFillTint="33"/>
            <w:vAlign w:val="center"/>
          </w:tcPr>
          <w:p w14:paraId="3299DBF7" w14:textId="52B9BABD"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Osobitný odvod z podnikania v regulovaných odvetviach (energie, fosílne palivá)</w:t>
            </w:r>
          </w:p>
        </w:tc>
        <w:tc>
          <w:tcPr>
            <w:tcW w:w="767" w:type="dxa"/>
            <w:tcBorders>
              <w:top w:val="nil"/>
              <w:left w:val="nil"/>
              <w:bottom w:val="nil"/>
              <w:right w:val="nil"/>
            </w:tcBorders>
            <w:shd w:val="clear" w:color="auto" w:fill="DEEAF6" w:themeFill="accent5" w:themeFillTint="33"/>
            <w:vAlign w:val="center"/>
          </w:tcPr>
          <w:p w14:paraId="539867FF" w14:textId="3A3DBDFA"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DEEAF6" w:themeFill="accent5" w:themeFillTint="33"/>
            <w:vAlign w:val="center"/>
          </w:tcPr>
          <w:p w14:paraId="18DA969A" w14:textId="6DADE713"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DEEAF6" w:themeFill="accent5" w:themeFillTint="33"/>
            <w:vAlign w:val="center"/>
          </w:tcPr>
          <w:p w14:paraId="18204E16" w14:textId="229FC2D5"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DEEAF6" w:themeFill="accent5" w:themeFillTint="33"/>
            <w:vAlign w:val="center"/>
          </w:tcPr>
          <w:p w14:paraId="2A605E63" w14:textId="6602315B"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4E11BEE0" w14:textId="7D2C50F0"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19D47916" w14:textId="282A0212"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0,04</w:t>
            </w:r>
          </w:p>
        </w:tc>
        <w:tc>
          <w:tcPr>
            <w:tcW w:w="490" w:type="dxa"/>
            <w:tcBorders>
              <w:top w:val="nil"/>
              <w:left w:val="nil"/>
              <w:bottom w:val="nil"/>
              <w:right w:val="nil"/>
            </w:tcBorders>
            <w:shd w:val="clear" w:color="auto" w:fill="DEEAF6" w:themeFill="accent5" w:themeFillTint="33"/>
            <w:vAlign w:val="center"/>
          </w:tcPr>
          <w:p w14:paraId="0735EF14" w14:textId="6E9E422E"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3B217A94" w14:textId="485DD027"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0E684EF8" w14:textId="0BA2BD8B" w:rsidR="005774C5" w:rsidRPr="00797DC1" w:rsidRDefault="005774C5" w:rsidP="005774C5">
            <w:pPr>
              <w:spacing w:after="0" w:line="240" w:lineRule="auto"/>
              <w:jc w:val="center"/>
              <w:rPr>
                <w:rFonts w:ascii="Arial Narrow" w:hAnsi="Arial Narrow" w:cs="Calibri"/>
                <w:color w:val="000000" w:themeColor="text1"/>
                <w:sz w:val="16"/>
                <w:szCs w:val="16"/>
              </w:rPr>
            </w:pPr>
          </w:p>
        </w:tc>
        <w:tc>
          <w:tcPr>
            <w:tcW w:w="783" w:type="dxa"/>
            <w:tcBorders>
              <w:top w:val="nil"/>
              <w:left w:val="nil"/>
              <w:bottom w:val="nil"/>
              <w:right w:val="nil"/>
            </w:tcBorders>
            <w:shd w:val="clear" w:color="auto" w:fill="auto"/>
            <w:noWrap/>
            <w:vAlign w:val="bottom"/>
          </w:tcPr>
          <w:p w14:paraId="52AA3358"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2E56B467" w14:textId="77777777" w:rsidTr="005774C5">
        <w:trPr>
          <w:trHeight w:val="254"/>
        </w:trPr>
        <w:tc>
          <w:tcPr>
            <w:tcW w:w="334" w:type="dxa"/>
            <w:tcBorders>
              <w:top w:val="nil"/>
              <w:left w:val="nil"/>
              <w:bottom w:val="nil"/>
              <w:right w:val="nil"/>
            </w:tcBorders>
            <w:shd w:val="clear" w:color="auto" w:fill="auto"/>
            <w:vAlign w:val="center"/>
          </w:tcPr>
          <w:p w14:paraId="4E4B2354" w14:textId="5207424E"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32</w:t>
            </w:r>
          </w:p>
        </w:tc>
        <w:tc>
          <w:tcPr>
            <w:tcW w:w="3635" w:type="dxa"/>
            <w:tcBorders>
              <w:top w:val="nil"/>
              <w:left w:val="nil"/>
              <w:bottom w:val="nil"/>
              <w:right w:val="nil"/>
            </w:tcBorders>
            <w:shd w:val="clear" w:color="auto" w:fill="auto"/>
            <w:vAlign w:val="center"/>
          </w:tcPr>
          <w:p w14:paraId="33972D93" w14:textId="7B8797E1"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Úprava sadzby zrážkovej dane z dividend</w:t>
            </w:r>
          </w:p>
        </w:tc>
        <w:tc>
          <w:tcPr>
            <w:tcW w:w="767" w:type="dxa"/>
            <w:tcBorders>
              <w:top w:val="nil"/>
              <w:left w:val="nil"/>
              <w:bottom w:val="nil"/>
              <w:right w:val="nil"/>
            </w:tcBorders>
            <w:shd w:val="clear" w:color="auto" w:fill="auto"/>
            <w:vAlign w:val="center"/>
          </w:tcPr>
          <w:p w14:paraId="49BC34FF" w14:textId="1BDA8202"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auto"/>
            <w:vAlign w:val="center"/>
          </w:tcPr>
          <w:p w14:paraId="5449F73F" w14:textId="28BA5687"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auto"/>
            <w:vAlign w:val="center"/>
          </w:tcPr>
          <w:p w14:paraId="5696E09E" w14:textId="11C8FE60"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auto"/>
            <w:vAlign w:val="center"/>
          </w:tcPr>
          <w:p w14:paraId="7533E97B" w14:textId="66D36B42"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63911CF3" w14:textId="57C6C0A1"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51108D7D" w14:textId="7ED8D1C7"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0,00</w:t>
            </w:r>
          </w:p>
        </w:tc>
        <w:tc>
          <w:tcPr>
            <w:tcW w:w="490" w:type="dxa"/>
            <w:tcBorders>
              <w:top w:val="nil"/>
              <w:left w:val="nil"/>
              <w:bottom w:val="nil"/>
              <w:right w:val="nil"/>
            </w:tcBorders>
            <w:shd w:val="clear" w:color="auto" w:fill="auto"/>
            <w:vAlign w:val="center"/>
          </w:tcPr>
          <w:p w14:paraId="0310CDE1" w14:textId="5EF4B1B5"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0,00</w:t>
            </w:r>
          </w:p>
        </w:tc>
        <w:tc>
          <w:tcPr>
            <w:tcW w:w="490" w:type="dxa"/>
            <w:tcBorders>
              <w:top w:val="nil"/>
              <w:left w:val="nil"/>
              <w:bottom w:val="nil"/>
              <w:right w:val="nil"/>
            </w:tcBorders>
            <w:shd w:val="clear" w:color="auto" w:fill="auto"/>
            <w:vAlign w:val="center"/>
          </w:tcPr>
          <w:p w14:paraId="36B6DF92" w14:textId="6C5254AD"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20ABABAD" w14:textId="785572FB" w:rsidR="005774C5" w:rsidRPr="00797DC1" w:rsidRDefault="005774C5" w:rsidP="005774C5">
            <w:pPr>
              <w:spacing w:after="0" w:line="240" w:lineRule="auto"/>
              <w:jc w:val="center"/>
              <w:rPr>
                <w:rFonts w:ascii="Arial Narrow" w:hAnsi="Arial Narrow" w:cs="Calibri"/>
                <w:color w:val="000000" w:themeColor="text1"/>
                <w:sz w:val="16"/>
                <w:szCs w:val="16"/>
              </w:rPr>
            </w:pPr>
          </w:p>
        </w:tc>
        <w:tc>
          <w:tcPr>
            <w:tcW w:w="783" w:type="dxa"/>
            <w:tcBorders>
              <w:top w:val="nil"/>
              <w:left w:val="nil"/>
              <w:bottom w:val="nil"/>
              <w:right w:val="nil"/>
            </w:tcBorders>
            <w:shd w:val="clear" w:color="auto" w:fill="auto"/>
            <w:noWrap/>
            <w:vAlign w:val="bottom"/>
          </w:tcPr>
          <w:p w14:paraId="74E5C8D6"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37C2F145" w14:textId="77777777" w:rsidTr="005774C5">
        <w:trPr>
          <w:trHeight w:val="254"/>
        </w:trPr>
        <w:tc>
          <w:tcPr>
            <w:tcW w:w="334" w:type="dxa"/>
            <w:tcBorders>
              <w:top w:val="nil"/>
              <w:left w:val="nil"/>
              <w:bottom w:val="nil"/>
              <w:right w:val="nil"/>
            </w:tcBorders>
            <w:shd w:val="clear" w:color="auto" w:fill="DEEAF6" w:themeFill="accent5" w:themeFillTint="33"/>
            <w:vAlign w:val="center"/>
          </w:tcPr>
          <w:p w14:paraId="37BF1061" w14:textId="2D876E94"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33</w:t>
            </w:r>
          </w:p>
        </w:tc>
        <w:tc>
          <w:tcPr>
            <w:tcW w:w="3635" w:type="dxa"/>
            <w:tcBorders>
              <w:top w:val="nil"/>
              <w:left w:val="nil"/>
              <w:bottom w:val="nil"/>
              <w:right w:val="nil"/>
            </w:tcBorders>
            <w:shd w:val="clear" w:color="auto" w:fill="DEEAF6" w:themeFill="accent5" w:themeFillTint="33"/>
            <w:vAlign w:val="center"/>
          </w:tcPr>
          <w:p w14:paraId="37E424BB" w14:textId="3FA9F5D0"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Úprava cien diaľničných známok a mýta (Eurovignette)</w:t>
            </w:r>
          </w:p>
        </w:tc>
        <w:tc>
          <w:tcPr>
            <w:tcW w:w="767" w:type="dxa"/>
            <w:tcBorders>
              <w:top w:val="nil"/>
              <w:left w:val="nil"/>
              <w:bottom w:val="nil"/>
              <w:right w:val="nil"/>
            </w:tcBorders>
            <w:shd w:val="clear" w:color="auto" w:fill="DEEAF6" w:themeFill="accent5" w:themeFillTint="33"/>
            <w:vAlign w:val="center"/>
          </w:tcPr>
          <w:p w14:paraId="4661E0AA" w14:textId="7648026D"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DEEAF6" w:themeFill="accent5" w:themeFillTint="33"/>
            <w:vAlign w:val="center"/>
          </w:tcPr>
          <w:p w14:paraId="33F4C595" w14:textId="439215F2"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DEEAF6" w:themeFill="accent5" w:themeFillTint="33"/>
            <w:vAlign w:val="center"/>
          </w:tcPr>
          <w:p w14:paraId="27B7CAC4" w14:textId="56B118BC"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DEEAF6" w:themeFill="accent5" w:themeFillTint="33"/>
            <w:vAlign w:val="center"/>
          </w:tcPr>
          <w:p w14:paraId="50EA7640" w14:textId="630ECD1F"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0,02</w:t>
            </w:r>
          </w:p>
        </w:tc>
        <w:tc>
          <w:tcPr>
            <w:tcW w:w="490" w:type="dxa"/>
            <w:tcBorders>
              <w:top w:val="nil"/>
              <w:left w:val="nil"/>
              <w:bottom w:val="nil"/>
              <w:right w:val="nil"/>
            </w:tcBorders>
            <w:shd w:val="clear" w:color="auto" w:fill="DEEAF6" w:themeFill="accent5" w:themeFillTint="33"/>
            <w:vAlign w:val="center"/>
          </w:tcPr>
          <w:p w14:paraId="4DC7662B" w14:textId="49DFFC85"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0,00</w:t>
            </w:r>
          </w:p>
        </w:tc>
        <w:tc>
          <w:tcPr>
            <w:tcW w:w="490" w:type="dxa"/>
            <w:tcBorders>
              <w:top w:val="nil"/>
              <w:left w:val="nil"/>
              <w:bottom w:val="nil"/>
              <w:right w:val="nil"/>
            </w:tcBorders>
            <w:shd w:val="clear" w:color="auto" w:fill="DEEAF6" w:themeFill="accent5" w:themeFillTint="33"/>
            <w:vAlign w:val="center"/>
          </w:tcPr>
          <w:p w14:paraId="75A74F31" w14:textId="30E7677D"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0,06</w:t>
            </w:r>
          </w:p>
        </w:tc>
        <w:tc>
          <w:tcPr>
            <w:tcW w:w="490" w:type="dxa"/>
            <w:tcBorders>
              <w:top w:val="nil"/>
              <w:left w:val="nil"/>
              <w:bottom w:val="nil"/>
              <w:right w:val="nil"/>
            </w:tcBorders>
            <w:shd w:val="clear" w:color="auto" w:fill="DEEAF6" w:themeFill="accent5" w:themeFillTint="33"/>
            <w:vAlign w:val="center"/>
          </w:tcPr>
          <w:p w14:paraId="2E960742" w14:textId="3879F2D6"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0,03</w:t>
            </w:r>
          </w:p>
        </w:tc>
        <w:tc>
          <w:tcPr>
            <w:tcW w:w="490" w:type="dxa"/>
            <w:tcBorders>
              <w:top w:val="nil"/>
              <w:left w:val="nil"/>
              <w:bottom w:val="nil"/>
              <w:right w:val="nil"/>
            </w:tcBorders>
            <w:shd w:val="clear" w:color="auto" w:fill="DEEAF6" w:themeFill="accent5" w:themeFillTint="33"/>
            <w:vAlign w:val="center"/>
          </w:tcPr>
          <w:p w14:paraId="4CA13D93" w14:textId="3965E012"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60C41EFF" w14:textId="3A165EFF" w:rsidR="005774C5" w:rsidRPr="00797DC1" w:rsidRDefault="005774C5" w:rsidP="005774C5">
            <w:pPr>
              <w:spacing w:after="0" w:line="240" w:lineRule="auto"/>
              <w:jc w:val="center"/>
              <w:rPr>
                <w:rFonts w:ascii="Arial Narrow" w:hAnsi="Arial Narrow" w:cs="Calibri"/>
                <w:color w:val="000000" w:themeColor="text1"/>
                <w:sz w:val="16"/>
                <w:szCs w:val="16"/>
              </w:rPr>
            </w:pPr>
          </w:p>
        </w:tc>
        <w:tc>
          <w:tcPr>
            <w:tcW w:w="783" w:type="dxa"/>
            <w:tcBorders>
              <w:top w:val="nil"/>
              <w:left w:val="nil"/>
              <w:bottom w:val="nil"/>
              <w:right w:val="nil"/>
            </w:tcBorders>
            <w:shd w:val="clear" w:color="auto" w:fill="auto"/>
            <w:noWrap/>
            <w:vAlign w:val="bottom"/>
          </w:tcPr>
          <w:p w14:paraId="5EE5FA5F"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33775669" w14:textId="77777777" w:rsidTr="005774C5">
        <w:trPr>
          <w:trHeight w:val="254"/>
        </w:trPr>
        <w:tc>
          <w:tcPr>
            <w:tcW w:w="334" w:type="dxa"/>
            <w:tcBorders>
              <w:top w:val="nil"/>
              <w:left w:val="nil"/>
              <w:bottom w:val="nil"/>
              <w:right w:val="nil"/>
            </w:tcBorders>
            <w:shd w:val="clear" w:color="auto" w:fill="auto"/>
            <w:vAlign w:val="center"/>
          </w:tcPr>
          <w:p w14:paraId="67CA557D" w14:textId="1451F4B3"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34</w:t>
            </w:r>
          </w:p>
        </w:tc>
        <w:tc>
          <w:tcPr>
            <w:tcW w:w="3635" w:type="dxa"/>
            <w:tcBorders>
              <w:top w:val="nil"/>
              <w:left w:val="nil"/>
              <w:bottom w:val="nil"/>
              <w:right w:val="nil"/>
            </w:tcBorders>
            <w:shd w:val="clear" w:color="auto" w:fill="auto"/>
            <w:vAlign w:val="center"/>
          </w:tcPr>
          <w:p w14:paraId="583E933F" w14:textId="2725288F"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Navýšenie platby za poistencov štátu</w:t>
            </w:r>
          </w:p>
        </w:tc>
        <w:tc>
          <w:tcPr>
            <w:tcW w:w="767" w:type="dxa"/>
            <w:tcBorders>
              <w:top w:val="nil"/>
              <w:left w:val="nil"/>
              <w:bottom w:val="nil"/>
              <w:right w:val="nil"/>
            </w:tcBorders>
            <w:shd w:val="clear" w:color="auto" w:fill="auto"/>
            <w:vAlign w:val="center"/>
          </w:tcPr>
          <w:p w14:paraId="73A3B4DF" w14:textId="5791ABE5"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auto"/>
            <w:vAlign w:val="center"/>
          </w:tcPr>
          <w:p w14:paraId="6A5EB8CF" w14:textId="0A7C6801"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auto"/>
            <w:vAlign w:val="center"/>
          </w:tcPr>
          <w:p w14:paraId="3A0C2CC0" w14:textId="0610096D"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auto"/>
            <w:vAlign w:val="center"/>
          </w:tcPr>
          <w:p w14:paraId="001D930D" w14:textId="30463EDD"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099F1046" w14:textId="11E67AD5"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-0,10</w:t>
            </w:r>
          </w:p>
        </w:tc>
        <w:tc>
          <w:tcPr>
            <w:tcW w:w="490" w:type="dxa"/>
            <w:tcBorders>
              <w:top w:val="nil"/>
              <w:left w:val="nil"/>
              <w:bottom w:val="nil"/>
              <w:right w:val="nil"/>
            </w:tcBorders>
            <w:shd w:val="clear" w:color="auto" w:fill="auto"/>
            <w:vAlign w:val="center"/>
          </w:tcPr>
          <w:p w14:paraId="364009E6" w14:textId="5202E8FD"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51C894CF" w14:textId="54B100CF"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0,19</w:t>
            </w:r>
          </w:p>
        </w:tc>
        <w:tc>
          <w:tcPr>
            <w:tcW w:w="490" w:type="dxa"/>
            <w:tcBorders>
              <w:top w:val="nil"/>
              <w:left w:val="nil"/>
              <w:bottom w:val="nil"/>
              <w:right w:val="nil"/>
            </w:tcBorders>
            <w:shd w:val="clear" w:color="auto" w:fill="auto"/>
            <w:vAlign w:val="center"/>
          </w:tcPr>
          <w:p w14:paraId="1701B912" w14:textId="25D12731" w:rsidR="005774C5" w:rsidRPr="00797DC1" w:rsidRDefault="005774C5" w:rsidP="005774C5">
            <w:pPr>
              <w:spacing w:after="0" w:line="240" w:lineRule="auto"/>
              <w:jc w:val="center"/>
              <w:rPr>
                <w:rFonts w:ascii="Arial Narrow" w:hAnsi="Arial Narrow" w:cs="Calibri"/>
                <w:color w:val="000000" w:themeColor="text1"/>
                <w:sz w:val="16"/>
                <w:szCs w:val="16"/>
              </w:rPr>
            </w:pPr>
          </w:p>
        </w:tc>
        <w:tc>
          <w:tcPr>
            <w:tcW w:w="490" w:type="dxa"/>
            <w:tcBorders>
              <w:top w:val="nil"/>
              <w:left w:val="nil"/>
              <w:bottom w:val="nil"/>
              <w:right w:val="nil"/>
            </w:tcBorders>
            <w:shd w:val="clear" w:color="auto" w:fill="auto"/>
            <w:vAlign w:val="center"/>
          </w:tcPr>
          <w:p w14:paraId="3825A249" w14:textId="77777777" w:rsidR="005774C5" w:rsidRPr="00797DC1" w:rsidRDefault="005774C5" w:rsidP="005774C5">
            <w:pPr>
              <w:spacing w:after="0" w:line="240" w:lineRule="auto"/>
              <w:jc w:val="center"/>
              <w:rPr>
                <w:rFonts w:ascii="Arial Narrow" w:hAnsi="Arial Narrow" w:cs="Calibri"/>
                <w:color w:val="000000" w:themeColor="text1"/>
                <w:sz w:val="16"/>
                <w:szCs w:val="16"/>
              </w:rPr>
            </w:pPr>
          </w:p>
        </w:tc>
        <w:tc>
          <w:tcPr>
            <w:tcW w:w="783" w:type="dxa"/>
            <w:tcBorders>
              <w:top w:val="nil"/>
              <w:left w:val="nil"/>
              <w:bottom w:val="nil"/>
              <w:right w:val="nil"/>
            </w:tcBorders>
            <w:shd w:val="clear" w:color="auto" w:fill="auto"/>
            <w:noWrap/>
            <w:vAlign w:val="bottom"/>
          </w:tcPr>
          <w:p w14:paraId="16CF8D95"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1A7C2247" w14:textId="77777777" w:rsidTr="005774C5">
        <w:trPr>
          <w:trHeight w:val="254"/>
        </w:trPr>
        <w:tc>
          <w:tcPr>
            <w:tcW w:w="334" w:type="dxa"/>
            <w:tcBorders>
              <w:top w:val="nil"/>
              <w:left w:val="nil"/>
              <w:bottom w:val="nil"/>
              <w:right w:val="nil"/>
            </w:tcBorders>
            <w:shd w:val="clear" w:color="auto" w:fill="DEEAF6" w:themeFill="accent5" w:themeFillTint="33"/>
            <w:vAlign w:val="center"/>
          </w:tcPr>
          <w:p w14:paraId="7187551A" w14:textId="36312933"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35</w:t>
            </w:r>
          </w:p>
        </w:tc>
        <w:tc>
          <w:tcPr>
            <w:tcW w:w="3635" w:type="dxa"/>
            <w:tcBorders>
              <w:top w:val="nil"/>
              <w:left w:val="nil"/>
              <w:bottom w:val="nil"/>
              <w:right w:val="nil"/>
            </w:tcBorders>
            <w:shd w:val="clear" w:color="auto" w:fill="DEEAF6" w:themeFill="accent5" w:themeFillTint="33"/>
            <w:vAlign w:val="center"/>
          </w:tcPr>
          <w:p w14:paraId="6FD8CB24" w14:textId="539F49A6" w:rsidR="005774C5" w:rsidRPr="00797DC1" w:rsidRDefault="00B5719A" w:rsidP="005774C5">
            <w:pPr>
              <w:spacing w:after="0" w:line="240" w:lineRule="auto"/>
              <w:rPr>
                <w:rFonts w:ascii="Arial Narrow" w:hAnsi="Arial Narrow" w:cs="Calibri"/>
                <w:color w:val="000000" w:themeColor="text1"/>
                <w:sz w:val="16"/>
                <w:szCs w:val="16"/>
              </w:rPr>
            </w:pPr>
            <w:r>
              <w:rPr>
                <w:rFonts w:ascii="Arial Narrow" w:hAnsi="Arial Narrow" w:cs="Calibri"/>
                <w:color w:val="000000" w:themeColor="text1"/>
                <w:sz w:val="16"/>
                <w:szCs w:val="16"/>
              </w:rPr>
              <w:t>Reforma</w:t>
            </w:r>
            <w:r w:rsidRPr="00797DC1">
              <w:rPr>
                <w:rFonts w:ascii="Arial Narrow" w:hAnsi="Arial Narrow" w:cs="Calibri"/>
                <w:color w:val="000000" w:themeColor="text1"/>
                <w:sz w:val="16"/>
                <w:szCs w:val="16"/>
              </w:rPr>
              <w:t xml:space="preserve"> </w:t>
            </w:r>
            <w:r w:rsidR="005774C5" w:rsidRPr="00797DC1">
              <w:rPr>
                <w:rFonts w:ascii="Arial Narrow" w:hAnsi="Arial Narrow" w:cs="Calibri"/>
                <w:color w:val="000000" w:themeColor="text1"/>
                <w:sz w:val="16"/>
                <w:szCs w:val="16"/>
              </w:rPr>
              <w:t xml:space="preserve">DPH (základná </w:t>
            </w:r>
            <w:r>
              <w:rPr>
                <w:rFonts w:ascii="Arial Narrow" w:hAnsi="Arial Narrow" w:cs="Calibri"/>
                <w:color w:val="000000" w:themeColor="text1"/>
                <w:sz w:val="16"/>
                <w:szCs w:val="16"/>
              </w:rPr>
              <w:t xml:space="preserve">sadzba </w:t>
            </w:r>
            <w:r w:rsidR="005774C5" w:rsidRPr="00797DC1">
              <w:rPr>
                <w:rFonts w:ascii="Arial Narrow" w:hAnsi="Arial Narrow" w:cs="Calibri"/>
                <w:color w:val="000000" w:themeColor="text1"/>
                <w:sz w:val="16"/>
                <w:szCs w:val="16"/>
              </w:rPr>
              <w:t xml:space="preserve">23 % a dve znížené </w:t>
            </w:r>
            <w:r>
              <w:rPr>
                <w:rFonts w:ascii="Arial Narrow" w:hAnsi="Arial Narrow" w:cs="Calibri"/>
                <w:color w:val="000000" w:themeColor="text1"/>
                <w:sz w:val="16"/>
                <w:szCs w:val="16"/>
              </w:rPr>
              <w:t xml:space="preserve">sadzby </w:t>
            </w:r>
            <w:r w:rsidR="005774C5" w:rsidRPr="00797DC1">
              <w:rPr>
                <w:rFonts w:ascii="Arial Narrow" w:hAnsi="Arial Narrow" w:cs="Calibri"/>
                <w:color w:val="000000" w:themeColor="text1"/>
                <w:sz w:val="16"/>
                <w:szCs w:val="16"/>
              </w:rPr>
              <w:t>– 19 % a 5 %)</w:t>
            </w:r>
          </w:p>
        </w:tc>
        <w:tc>
          <w:tcPr>
            <w:tcW w:w="767" w:type="dxa"/>
            <w:tcBorders>
              <w:top w:val="nil"/>
              <w:left w:val="nil"/>
              <w:bottom w:val="nil"/>
              <w:right w:val="nil"/>
            </w:tcBorders>
            <w:shd w:val="clear" w:color="auto" w:fill="DEEAF6" w:themeFill="accent5" w:themeFillTint="33"/>
            <w:vAlign w:val="center"/>
          </w:tcPr>
          <w:p w14:paraId="6AF6184A" w14:textId="6BCE36EE"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DEEAF6" w:themeFill="accent5" w:themeFillTint="33"/>
            <w:vAlign w:val="center"/>
          </w:tcPr>
          <w:p w14:paraId="7E0EC497" w14:textId="611E3302"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DEEAF6" w:themeFill="accent5" w:themeFillTint="33"/>
            <w:vAlign w:val="center"/>
          </w:tcPr>
          <w:p w14:paraId="5F435A66" w14:textId="7D9F51B0"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DEEAF6" w:themeFill="accent5" w:themeFillTint="33"/>
            <w:vAlign w:val="center"/>
          </w:tcPr>
          <w:p w14:paraId="35EFE468" w14:textId="640DC01A"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-0,12</w:t>
            </w:r>
          </w:p>
        </w:tc>
        <w:tc>
          <w:tcPr>
            <w:tcW w:w="490" w:type="dxa"/>
            <w:tcBorders>
              <w:top w:val="nil"/>
              <w:left w:val="nil"/>
              <w:bottom w:val="nil"/>
              <w:right w:val="nil"/>
            </w:tcBorders>
            <w:shd w:val="clear" w:color="auto" w:fill="DEEAF6" w:themeFill="accent5" w:themeFillTint="33"/>
            <w:vAlign w:val="center"/>
          </w:tcPr>
          <w:p w14:paraId="4F1A2C18" w14:textId="7E8F8653"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0,02</w:t>
            </w:r>
          </w:p>
        </w:tc>
        <w:tc>
          <w:tcPr>
            <w:tcW w:w="490" w:type="dxa"/>
            <w:tcBorders>
              <w:top w:val="nil"/>
              <w:left w:val="nil"/>
              <w:bottom w:val="nil"/>
              <w:right w:val="nil"/>
            </w:tcBorders>
            <w:shd w:val="clear" w:color="auto" w:fill="DEEAF6" w:themeFill="accent5" w:themeFillTint="33"/>
            <w:vAlign w:val="center"/>
          </w:tcPr>
          <w:p w14:paraId="3A1A650B" w14:textId="6321190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0,54</w:t>
            </w:r>
          </w:p>
        </w:tc>
        <w:tc>
          <w:tcPr>
            <w:tcW w:w="490" w:type="dxa"/>
            <w:tcBorders>
              <w:top w:val="nil"/>
              <w:left w:val="nil"/>
              <w:bottom w:val="nil"/>
              <w:right w:val="nil"/>
            </w:tcBorders>
            <w:shd w:val="clear" w:color="auto" w:fill="DEEAF6" w:themeFill="accent5" w:themeFillTint="33"/>
            <w:vAlign w:val="center"/>
          </w:tcPr>
          <w:p w14:paraId="21A3260C" w14:textId="07CA43EB"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0AF7660A" w14:textId="759C3315"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DEEAF6" w:themeFill="accent5" w:themeFillTint="33"/>
            <w:vAlign w:val="center"/>
          </w:tcPr>
          <w:p w14:paraId="501252A4" w14:textId="0460ACFC"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69F94294"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064C3121" w14:textId="77777777" w:rsidTr="005774C5">
        <w:trPr>
          <w:trHeight w:val="254"/>
        </w:trPr>
        <w:tc>
          <w:tcPr>
            <w:tcW w:w="334" w:type="dxa"/>
            <w:tcBorders>
              <w:top w:val="nil"/>
              <w:left w:val="nil"/>
              <w:bottom w:val="nil"/>
              <w:right w:val="nil"/>
            </w:tcBorders>
            <w:shd w:val="clear" w:color="auto" w:fill="auto"/>
            <w:vAlign w:val="center"/>
          </w:tcPr>
          <w:p w14:paraId="155E716A" w14:textId="591642CF"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36</w:t>
            </w:r>
          </w:p>
        </w:tc>
        <w:tc>
          <w:tcPr>
            <w:tcW w:w="3635" w:type="dxa"/>
            <w:tcBorders>
              <w:top w:val="nil"/>
              <w:left w:val="nil"/>
              <w:bottom w:val="nil"/>
              <w:right w:val="nil"/>
            </w:tcBorders>
            <w:shd w:val="clear" w:color="auto" w:fill="auto"/>
            <w:vAlign w:val="center"/>
          </w:tcPr>
          <w:p w14:paraId="6331BC15" w14:textId="460DE075"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Zvýšenie stropov pre platenie sociálnych odvodov</w:t>
            </w:r>
          </w:p>
        </w:tc>
        <w:tc>
          <w:tcPr>
            <w:tcW w:w="767" w:type="dxa"/>
            <w:tcBorders>
              <w:top w:val="nil"/>
              <w:left w:val="nil"/>
              <w:bottom w:val="nil"/>
              <w:right w:val="nil"/>
            </w:tcBorders>
            <w:shd w:val="clear" w:color="auto" w:fill="auto"/>
            <w:vAlign w:val="center"/>
          </w:tcPr>
          <w:p w14:paraId="060963E6" w14:textId="1D68B981"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nil"/>
              <w:right w:val="nil"/>
            </w:tcBorders>
            <w:shd w:val="clear" w:color="auto" w:fill="auto"/>
            <w:vAlign w:val="center"/>
          </w:tcPr>
          <w:p w14:paraId="314A221B" w14:textId="55A14AE6"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nil"/>
              <w:right w:val="nil"/>
            </w:tcBorders>
            <w:shd w:val="clear" w:color="auto" w:fill="auto"/>
            <w:vAlign w:val="center"/>
          </w:tcPr>
          <w:p w14:paraId="3E67970C" w14:textId="0A68CF65"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nil"/>
              <w:right w:val="nil"/>
            </w:tcBorders>
            <w:shd w:val="clear" w:color="auto" w:fill="auto"/>
            <w:vAlign w:val="center"/>
          </w:tcPr>
          <w:p w14:paraId="271A75F6" w14:textId="71E91AFF"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3D2C2699" w14:textId="16BDA984"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61D19951" w14:textId="051CF09E"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0,06</w:t>
            </w:r>
          </w:p>
        </w:tc>
        <w:tc>
          <w:tcPr>
            <w:tcW w:w="490" w:type="dxa"/>
            <w:tcBorders>
              <w:top w:val="nil"/>
              <w:left w:val="nil"/>
              <w:bottom w:val="nil"/>
              <w:right w:val="nil"/>
            </w:tcBorders>
            <w:shd w:val="clear" w:color="auto" w:fill="auto"/>
            <w:vAlign w:val="center"/>
          </w:tcPr>
          <w:p w14:paraId="40F39B2E" w14:textId="424791B3"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5C951CFC" w14:textId="4EAD51A0"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nil"/>
              <w:right w:val="nil"/>
            </w:tcBorders>
            <w:shd w:val="clear" w:color="auto" w:fill="auto"/>
            <w:vAlign w:val="center"/>
          </w:tcPr>
          <w:p w14:paraId="5F85D140" w14:textId="6A21398B"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2BB97F0F"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19D3CBC7" w14:textId="77777777" w:rsidTr="005774C5">
        <w:trPr>
          <w:trHeight w:val="254"/>
        </w:trPr>
        <w:tc>
          <w:tcPr>
            <w:tcW w:w="334" w:type="dxa"/>
            <w:tcBorders>
              <w:top w:val="nil"/>
              <w:left w:val="nil"/>
              <w:bottom w:val="single" w:sz="4" w:space="0" w:color="auto"/>
              <w:right w:val="nil"/>
            </w:tcBorders>
            <w:shd w:val="clear" w:color="auto" w:fill="DEEAF6" w:themeFill="accent5" w:themeFillTint="33"/>
            <w:vAlign w:val="center"/>
          </w:tcPr>
          <w:p w14:paraId="168AB85C" w14:textId="55012BC2" w:rsidR="005774C5" w:rsidRDefault="005774C5" w:rsidP="005774C5">
            <w:pPr>
              <w:spacing w:after="0" w:line="240" w:lineRule="auto"/>
              <w:jc w:val="center"/>
              <w:rPr>
                <w:rFonts w:ascii="Arial Narrow" w:hAnsi="Arial Narrow" w:cs="Calibri"/>
                <w:color w:val="000000"/>
                <w:sz w:val="16"/>
                <w:szCs w:val="16"/>
              </w:rPr>
            </w:pPr>
            <w:r>
              <w:rPr>
                <w:rFonts w:ascii="Arial Narrow" w:hAnsi="Arial Narrow" w:cs="Calibri"/>
                <w:color w:val="000000"/>
                <w:sz w:val="16"/>
                <w:szCs w:val="16"/>
              </w:rPr>
              <w:t>37</w:t>
            </w:r>
          </w:p>
        </w:tc>
        <w:tc>
          <w:tcPr>
            <w:tcW w:w="3635" w:type="dxa"/>
            <w:tcBorders>
              <w:top w:val="nil"/>
              <w:left w:val="nil"/>
              <w:bottom w:val="single" w:sz="4" w:space="0" w:color="auto"/>
              <w:right w:val="nil"/>
            </w:tcBorders>
            <w:shd w:val="clear" w:color="auto" w:fill="DEEAF6" w:themeFill="accent5" w:themeFillTint="33"/>
            <w:vAlign w:val="center"/>
          </w:tcPr>
          <w:p w14:paraId="62CF4DA1" w14:textId="28F89A27"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Zvýšenie dane z príjmov právnických osôb na 24 %</w:t>
            </w:r>
          </w:p>
        </w:tc>
        <w:tc>
          <w:tcPr>
            <w:tcW w:w="767" w:type="dxa"/>
            <w:tcBorders>
              <w:top w:val="nil"/>
              <w:left w:val="nil"/>
              <w:bottom w:val="single" w:sz="4" w:space="0" w:color="auto"/>
              <w:right w:val="nil"/>
            </w:tcBorders>
            <w:shd w:val="clear" w:color="auto" w:fill="DEEAF6" w:themeFill="accent5" w:themeFillTint="33"/>
            <w:vAlign w:val="center"/>
          </w:tcPr>
          <w:p w14:paraId="45E1F9C5" w14:textId="643E9A7D"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Nie</w:t>
            </w:r>
          </w:p>
        </w:tc>
        <w:tc>
          <w:tcPr>
            <w:tcW w:w="740" w:type="dxa"/>
            <w:tcBorders>
              <w:top w:val="nil"/>
              <w:left w:val="nil"/>
              <w:bottom w:val="single" w:sz="4" w:space="0" w:color="auto"/>
              <w:right w:val="nil"/>
            </w:tcBorders>
            <w:shd w:val="clear" w:color="auto" w:fill="DEEAF6" w:themeFill="accent5" w:themeFillTint="33"/>
            <w:vAlign w:val="center"/>
          </w:tcPr>
          <w:p w14:paraId="0937E412" w14:textId="50B9A2D2"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xml:space="preserve">Príjmy </w:t>
            </w:r>
          </w:p>
        </w:tc>
        <w:tc>
          <w:tcPr>
            <w:tcW w:w="534" w:type="dxa"/>
            <w:tcBorders>
              <w:top w:val="nil"/>
              <w:left w:val="nil"/>
              <w:bottom w:val="single" w:sz="4" w:space="0" w:color="auto"/>
              <w:right w:val="nil"/>
            </w:tcBorders>
            <w:shd w:val="clear" w:color="auto" w:fill="DEEAF6" w:themeFill="accent5" w:themeFillTint="33"/>
            <w:vAlign w:val="center"/>
          </w:tcPr>
          <w:p w14:paraId="538F8DAE" w14:textId="5E5235E3" w:rsidR="005774C5" w:rsidRPr="00797DC1" w:rsidRDefault="005774C5" w:rsidP="005774C5">
            <w:pPr>
              <w:spacing w:after="0" w:line="240" w:lineRule="auto"/>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gridSpan w:val="2"/>
            <w:tcBorders>
              <w:top w:val="nil"/>
              <w:left w:val="nil"/>
              <w:bottom w:val="single" w:sz="4" w:space="0" w:color="auto"/>
              <w:right w:val="nil"/>
            </w:tcBorders>
            <w:shd w:val="clear" w:color="auto" w:fill="DEEAF6" w:themeFill="accent5" w:themeFillTint="33"/>
            <w:vAlign w:val="center"/>
          </w:tcPr>
          <w:p w14:paraId="453B1C02" w14:textId="12EA2A8C"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single" w:sz="4" w:space="0" w:color="auto"/>
              <w:right w:val="nil"/>
            </w:tcBorders>
            <w:shd w:val="clear" w:color="auto" w:fill="DEEAF6" w:themeFill="accent5" w:themeFillTint="33"/>
            <w:vAlign w:val="center"/>
          </w:tcPr>
          <w:p w14:paraId="07AE63BA" w14:textId="3C6EF19C"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single" w:sz="4" w:space="0" w:color="auto"/>
              <w:right w:val="nil"/>
            </w:tcBorders>
            <w:shd w:val="clear" w:color="auto" w:fill="DEEAF6" w:themeFill="accent5" w:themeFillTint="33"/>
            <w:vAlign w:val="center"/>
          </w:tcPr>
          <w:p w14:paraId="483498BB" w14:textId="0737C2B8"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0,35</w:t>
            </w:r>
          </w:p>
        </w:tc>
        <w:tc>
          <w:tcPr>
            <w:tcW w:w="490" w:type="dxa"/>
            <w:tcBorders>
              <w:top w:val="nil"/>
              <w:left w:val="nil"/>
              <w:bottom w:val="single" w:sz="4" w:space="0" w:color="auto"/>
              <w:right w:val="nil"/>
            </w:tcBorders>
            <w:shd w:val="clear" w:color="auto" w:fill="DEEAF6" w:themeFill="accent5" w:themeFillTint="33"/>
            <w:vAlign w:val="center"/>
          </w:tcPr>
          <w:p w14:paraId="24D426AF" w14:textId="0135C68B"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single" w:sz="4" w:space="0" w:color="auto"/>
              <w:right w:val="nil"/>
            </w:tcBorders>
            <w:shd w:val="clear" w:color="auto" w:fill="DEEAF6" w:themeFill="accent5" w:themeFillTint="33"/>
            <w:vAlign w:val="center"/>
          </w:tcPr>
          <w:p w14:paraId="79DCDEDD" w14:textId="070E70BB"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490" w:type="dxa"/>
            <w:tcBorders>
              <w:top w:val="nil"/>
              <w:left w:val="nil"/>
              <w:bottom w:val="single" w:sz="4" w:space="0" w:color="auto"/>
              <w:right w:val="nil"/>
            </w:tcBorders>
            <w:shd w:val="clear" w:color="auto" w:fill="DEEAF6" w:themeFill="accent5" w:themeFillTint="33"/>
            <w:vAlign w:val="center"/>
          </w:tcPr>
          <w:p w14:paraId="295EB594" w14:textId="50076C2F" w:rsidR="005774C5" w:rsidRPr="00797DC1" w:rsidRDefault="005774C5" w:rsidP="005774C5">
            <w:pPr>
              <w:spacing w:after="0" w:line="240" w:lineRule="auto"/>
              <w:jc w:val="center"/>
              <w:rPr>
                <w:rFonts w:ascii="Arial Narrow" w:hAnsi="Arial Narrow" w:cs="Calibri"/>
                <w:color w:val="000000" w:themeColor="text1"/>
                <w:sz w:val="16"/>
                <w:szCs w:val="16"/>
              </w:rPr>
            </w:pPr>
            <w:r w:rsidRPr="00797DC1">
              <w:rPr>
                <w:rFonts w:ascii="Arial Narrow" w:hAnsi="Arial Narrow" w:cs="Calibri"/>
                <w:color w:val="000000" w:themeColor="text1"/>
                <w:sz w:val="16"/>
                <w:szCs w:val="16"/>
              </w:rPr>
              <w:t> </w:t>
            </w:r>
          </w:p>
        </w:tc>
        <w:tc>
          <w:tcPr>
            <w:tcW w:w="783" w:type="dxa"/>
            <w:tcBorders>
              <w:top w:val="nil"/>
              <w:left w:val="nil"/>
              <w:bottom w:val="nil"/>
              <w:right w:val="nil"/>
            </w:tcBorders>
            <w:shd w:val="clear" w:color="auto" w:fill="auto"/>
            <w:noWrap/>
            <w:vAlign w:val="bottom"/>
          </w:tcPr>
          <w:p w14:paraId="3168BAD2" w14:textId="77777777" w:rsidR="005774C5" w:rsidRPr="009276A2" w:rsidRDefault="005774C5" w:rsidP="005774C5">
            <w:pPr>
              <w:spacing w:after="0" w:line="240" w:lineRule="auto"/>
              <w:rPr>
                <w:rFonts w:ascii="Calibri" w:eastAsia="Times New Roman" w:hAnsi="Calibri" w:cs="Calibri"/>
                <w:color w:val="000000"/>
                <w:lang w:eastAsia="sk-SK"/>
              </w:rPr>
            </w:pPr>
          </w:p>
        </w:tc>
      </w:tr>
      <w:tr w:rsidR="005774C5" w:rsidRPr="009276A2" w14:paraId="1D92E97C" w14:textId="77777777" w:rsidTr="005774C5">
        <w:trPr>
          <w:trHeight w:val="254"/>
        </w:trPr>
        <w:tc>
          <w:tcPr>
            <w:tcW w:w="334" w:type="dxa"/>
            <w:tcBorders>
              <w:top w:val="single" w:sz="4" w:space="0" w:color="auto"/>
              <w:left w:val="nil"/>
              <w:bottom w:val="single" w:sz="4" w:space="0" w:color="auto"/>
              <w:right w:val="nil"/>
            </w:tcBorders>
            <w:shd w:val="clear" w:color="auto" w:fill="auto"/>
            <w:vAlign w:val="center"/>
            <w:hideMark/>
          </w:tcPr>
          <w:p w14:paraId="15E1727F" w14:textId="77777777" w:rsidR="005774C5" w:rsidRPr="00D6384D" w:rsidRDefault="005774C5" w:rsidP="005774C5">
            <w:pPr>
              <w:spacing w:after="0" w:line="240" w:lineRule="auto"/>
              <w:jc w:val="center"/>
              <w:rPr>
                <w:rFonts w:ascii="Arial Narrow" w:eastAsia="Times New Roman" w:hAnsi="Arial Narrow" w:cs="Calibri"/>
                <w:b/>
                <w:bCs/>
                <w:sz w:val="16"/>
                <w:szCs w:val="16"/>
                <w:lang w:eastAsia="sk-SK"/>
              </w:rPr>
            </w:pPr>
            <w:r w:rsidRPr="00D6384D">
              <w:rPr>
                <w:rFonts w:ascii="Arial Narrow" w:eastAsia="Times New Roman" w:hAnsi="Arial Narrow" w:cs="Calibri"/>
                <w:b/>
                <w:bCs/>
                <w:sz w:val="16"/>
                <w:szCs w:val="16"/>
                <w:lang w:eastAsia="sk-SK"/>
              </w:rPr>
              <w:t> </w:t>
            </w:r>
          </w:p>
        </w:tc>
        <w:tc>
          <w:tcPr>
            <w:tcW w:w="3635" w:type="dxa"/>
            <w:tcBorders>
              <w:top w:val="single" w:sz="4" w:space="0" w:color="auto"/>
              <w:left w:val="nil"/>
              <w:bottom w:val="single" w:sz="4" w:space="0" w:color="auto"/>
              <w:right w:val="nil"/>
            </w:tcBorders>
            <w:shd w:val="clear" w:color="auto" w:fill="auto"/>
            <w:vAlign w:val="center"/>
            <w:hideMark/>
          </w:tcPr>
          <w:p w14:paraId="04F22A56" w14:textId="77777777" w:rsidR="005774C5" w:rsidRPr="00D6384D" w:rsidRDefault="005774C5" w:rsidP="005774C5">
            <w:pPr>
              <w:spacing w:after="0" w:line="240" w:lineRule="auto"/>
              <w:rPr>
                <w:rFonts w:ascii="Arial Narrow" w:eastAsia="Times New Roman" w:hAnsi="Arial Narrow" w:cs="Calibri"/>
                <w:b/>
                <w:bCs/>
                <w:color w:val="000000" w:themeColor="text1"/>
                <w:sz w:val="16"/>
                <w:szCs w:val="16"/>
                <w:lang w:eastAsia="sk-SK"/>
              </w:rPr>
            </w:pPr>
            <w:r w:rsidRPr="00D6384D">
              <w:rPr>
                <w:rFonts w:ascii="Arial Narrow" w:eastAsia="Times New Roman" w:hAnsi="Arial Narrow" w:cs="Calibri"/>
                <w:b/>
                <w:bCs/>
                <w:color w:val="000000" w:themeColor="text1"/>
                <w:sz w:val="16"/>
                <w:szCs w:val="16"/>
                <w:lang w:eastAsia="sk-SK"/>
              </w:rPr>
              <w:t>Spolu</w:t>
            </w:r>
          </w:p>
        </w:tc>
        <w:tc>
          <w:tcPr>
            <w:tcW w:w="767" w:type="dxa"/>
            <w:tcBorders>
              <w:top w:val="single" w:sz="4" w:space="0" w:color="auto"/>
              <w:left w:val="nil"/>
              <w:bottom w:val="single" w:sz="4" w:space="0" w:color="auto"/>
              <w:right w:val="nil"/>
            </w:tcBorders>
            <w:shd w:val="clear" w:color="auto" w:fill="auto"/>
            <w:vAlign w:val="center"/>
            <w:hideMark/>
          </w:tcPr>
          <w:p w14:paraId="594EE18F" w14:textId="77777777" w:rsidR="005774C5" w:rsidRPr="00D6384D" w:rsidRDefault="005774C5" w:rsidP="005774C5">
            <w:pPr>
              <w:spacing w:after="0" w:line="240" w:lineRule="auto"/>
              <w:rPr>
                <w:rFonts w:ascii="Arial Narrow" w:eastAsia="Times New Roman" w:hAnsi="Arial Narrow" w:cs="Calibri"/>
                <w:b/>
                <w:bCs/>
                <w:color w:val="000000" w:themeColor="text1"/>
                <w:sz w:val="16"/>
                <w:szCs w:val="16"/>
                <w:lang w:eastAsia="sk-SK"/>
              </w:rPr>
            </w:pPr>
            <w:r w:rsidRPr="00D6384D">
              <w:rPr>
                <w:rFonts w:ascii="Arial Narrow" w:eastAsia="Times New Roman" w:hAnsi="Arial Narrow" w:cs="Calibri"/>
                <w:b/>
                <w:bCs/>
                <w:color w:val="000000" w:themeColor="text1"/>
                <w:sz w:val="16"/>
                <w:szCs w:val="16"/>
                <w:lang w:eastAsia="sk-SK"/>
              </w:rPr>
              <w:t> </w:t>
            </w:r>
          </w:p>
        </w:tc>
        <w:tc>
          <w:tcPr>
            <w:tcW w:w="740" w:type="dxa"/>
            <w:tcBorders>
              <w:top w:val="single" w:sz="4" w:space="0" w:color="auto"/>
              <w:left w:val="nil"/>
              <w:bottom w:val="single" w:sz="4" w:space="0" w:color="auto"/>
              <w:right w:val="nil"/>
            </w:tcBorders>
            <w:shd w:val="clear" w:color="auto" w:fill="auto"/>
            <w:vAlign w:val="center"/>
            <w:hideMark/>
          </w:tcPr>
          <w:p w14:paraId="42300D41" w14:textId="77777777" w:rsidR="005774C5" w:rsidRPr="00D6384D" w:rsidRDefault="005774C5" w:rsidP="005774C5">
            <w:pPr>
              <w:spacing w:after="0" w:line="240" w:lineRule="auto"/>
              <w:rPr>
                <w:rFonts w:ascii="Arial Narrow" w:eastAsia="Times New Roman" w:hAnsi="Arial Narrow" w:cs="Calibri"/>
                <w:b/>
                <w:bCs/>
                <w:color w:val="000000" w:themeColor="text1"/>
                <w:sz w:val="16"/>
                <w:szCs w:val="16"/>
                <w:lang w:eastAsia="sk-SK"/>
              </w:rPr>
            </w:pPr>
            <w:r w:rsidRPr="00D6384D">
              <w:rPr>
                <w:rFonts w:ascii="Arial Narrow" w:eastAsia="Times New Roman" w:hAnsi="Arial Narrow" w:cs="Calibri"/>
                <w:b/>
                <w:bCs/>
                <w:color w:val="000000" w:themeColor="text1"/>
                <w:sz w:val="16"/>
                <w:szCs w:val="16"/>
                <w:lang w:eastAsia="sk-SK"/>
              </w:rPr>
              <w:t> </w:t>
            </w:r>
          </w:p>
        </w:tc>
        <w:tc>
          <w:tcPr>
            <w:tcW w:w="534" w:type="dxa"/>
            <w:tcBorders>
              <w:top w:val="single" w:sz="4" w:space="0" w:color="auto"/>
              <w:left w:val="nil"/>
              <w:bottom w:val="single" w:sz="4" w:space="0" w:color="auto"/>
              <w:right w:val="nil"/>
            </w:tcBorders>
            <w:shd w:val="clear" w:color="auto" w:fill="auto"/>
            <w:vAlign w:val="center"/>
            <w:hideMark/>
          </w:tcPr>
          <w:p w14:paraId="72DC2F1E" w14:textId="77777777" w:rsidR="005774C5" w:rsidRPr="00D6384D" w:rsidRDefault="005774C5" w:rsidP="005774C5">
            <w:pPr>
              <w:spacing w:after="0" w:line="240" w:lineRule="auto"/>
              <w:rPr>
                <w:rFonts w:ascii="Arial Narrow" w:eastAsia="Times New Roman" w:hAnsi="Arial Narrow" w:cs="Calibri"/>
                <w:b/>
                <w:bCs/>
                <w:color w:val="000000" w:themeColor="text1"/>
                <w:sz w:val="16"/>
                <w:szCs w:val="16"/>
                <w:lang w:eastAsia="sk-SK"/>
              </w:rPr>
            </w:pPr>
            <w:r w:rsidRPr="00D6384D">
              <w:rPr>
                <w:rFonts w:ascii="Arial Narrow" w:eastAsia="Times New Roman" w:hAnsi="Arial Narrow" w:cs="Calibri"/>
                <w:b/>
                <w:bCs/>
                <w:color w:val="000000" w:themeColor="text1"/>
                <w:sz w:val="16"/>
                <w:szCs w:val="16"/>
                <w:lang w:eastAsia="sk-SK"/>
              </w:rPr>
              <w:t> </w:t>
            </w:r>
          </w:p>
        </w:tc>
        <w:tc>
          <w:tcPr>
            <w:tcW w:w="490" w:type="dxa"/>
            <w:gridSpan w:val="2"/>
            <w:tcBorders>
              <w:top w:val="single" w:sz="4" w:space="0" w:color="auto"/>
              <w:left w:val="nil"/>
              <w:bottom w:val="single" w:sz="4" w:space="0" w:color="auto"/>
              <w:right w:val="nil"/>
            </w:tcBorders>
            <w:shd w:val="clear" w:color="auto" w:fill="auto"/>
            <w:vAlign w:val="center"/>
            <w:hideMark/>
          </w:tcPr>
          <w:p w14:paraId="04088A76" w14:textId="7D8ED3F1" w:rsidR="005774C5" w:rsidRPr="00D6384D" w:rsidRDefault="005774C5" w:rsidP="005774C5">
            <w:pPr>
              <w:spacing w:after="0" w:line="240" w:lineRule="auto"/>
              <w:jc w:val="center"/>
              <w:rPr>
                <w:rFonts w:ascii="Arial Narrow" w:eastAsia="Times New Roman" w:hAnsi="Arial Narrow" w:cs="Calibri"/>
                <w:b/>
                <w:bCs/>
                <w:color w:val="000000" w:themeColor="text1"/>
                <w:sz w:val="16"/>
                <w:szCs w:val="16"/>
                <w:lang w:eastAsia="sk-SK"/>
              </w:rPr>
            </w:pPr>
            <w:r w:rsidRPr="00D6384D">
              <w:rPr>
                <w:rFonts w:ascii="Arial Narrow" w:hAnsi="Arial Narrow" w:cs="Calibri"/>
                <w:b/>
                <w:bCs/>
                <w:color w:val="000000" w:themeColor="text1"/>
                <w:sz w:val="16"/>
                <w:szCs w:val="16"/>
              </w:rPr>
              <w:t>-0,24</w:t>
            </w:r>
          </w:p>
        </w:tc>
        <w:tc>
          <w:tcPr>
            <w:tcW w:w="490" w:type="dxa"/>
            <w:tcBorders>
              <w:top w:val="single" w:sz="4" w:space="0" w:color="auto"/>
              <w:left w:val="nil"/>
              <w:bottom w:val="single" w:sz="4" w:space="0" w:color="auto"/>
              <w:right w:val="nil"/>
            </w:tcBorders>
            <w:shd w:val="clear" w:color="auto" w:fill="auto"/>
            <w:vAlign w:val="center"/>
            <w:hideMark/>
          </w:tcPr>
          <w:p w14:paraId="56B48E62" w14:textId="3AB86C2C" w:rsidR="005774C5" w:rsidRPr="00D6384D" w:rsidRDefault="005774C5" w:rsidP="005774C5">
            <w:pPr>
              <w:spacing w:after="0" w:line="240" w:lineRule="auto"/>
              <w:jc w:val="center"/>
              <w:rPr>
                <w:rFonts w:ascii="Arial Narrow" w:eastAsia="Times New Roman" w:hAnsi="Arial Narrow" w:cs="Calibri"/>
                <w:b/>
                <w:bCs/>
                <w:color w:val="000000" w:themeColor="text1"/>
                <w:sz w:val="16"/>
                <w:szCs w:val="16"/>
                <w:lang w:eastAsia="sk-SK"/>
              </w:rPr>
            </w:pPr>
            <w:r w:rsidRPr="00D6384D">
              <w:rPr>
                <w:rFonts w:ascii="Arial Narrow" w:hAnsi="Arial Narrow" w:cs="Calibri"/>
                <w:b/>
                <w:bCs/>
                <w:color w:val="000000" w:themeColor="text1"/>
                <w:sz w:val="16"/>
                <w:szCs w:val="16"/>
              </w:rPr>
              <w:t>1,10</w:t>
            </w:r>
          </w:p>
        </w:tc>
        <w:tc>
          <w:tcPr>
            <w:tcW w:w="490" w:type="dxa"/>
            <w:tcBorders>
              <w:top w:val="single" w:sz="4" w:space="0" w:color="auto"/>
              <w:left w:val="nil"/>
              <w:bottom w:val="single" w:sz="4" w:space="0" w:color="auto"/>
              <w:right w:val="nil"/>
            </w:tcBorders>
            <w:shd w:val="clear" w:color="auto" w:fill="auto"/>
            <w:vAlign w:val="center"/>
            <w:hideMark/>
          </w:tcPr>
          <w:p w14:paraId="67C7244F" w14:textId="275AEE0E" w:rsidR="005774C5" w:rsidRPr="00D6384D" w:rsidRDefault="005774C5" w:rsidP="005774C5">
            <w:pPr>
              <w:spacing w:after="0" w:line="240" w:lineRule="auto"/>
              <w:jc w:val="center"/>
              <w:rPr>
                <w:rFonts w:ascii="Arial Narrow" w:eastAsia="Times New Roman" w:hAnsi="Arial Narrow" w:cs="Calibri"/>
                <w:b/>
                <w:bCs/>
                <w:color w:val="000000" w:themeColor="text1"/>
                <w:sz w:val="16"/>
                <w:szCs w:val="16"/>
                <w:lang w:eastAsia="sk-SK"/>
              </w:rPr>
            </w:pPr>
            <w:r w:rsidRPr="00D6384D">
              <w:rPr>
                <w:rFonts w:ascii="Arial Narrow" w:hAnsi="Arial Narrow" w:cs="Calibri"/>
                <w:b/>
                <w:bCs/>
                <w:color w:val="000000" w:themeColor="text1"/>
                <w:sz w:val="16"/>
                <w:szCs w:val="16"/>
              </w:rPr>
              <w:t>1,30</w:t>
            </w:r>
          </w:p>
        </w:tc>
        <w:tc>
          <w:tcPr>
            <w:tcW w:w="490" w:type="dxa"/>
            <w:tcBorders>
              <w:top w:val="single" w:sz="4" w:space="0" w:color="auto"/>
              <w:left w:val="nil"/>
              <w:bottom w:val="single" w:sz="4" w:space="0" w:color="auto"/>
              <w:right w:val="nil"/>
            </w:tcBorders>
            <w:shd w:val="clear" w:color="auto" w:fill="auto"/>
            <w:vAlign w:val="center"/>
            <w:hideMark/>
          </w:tcPr>
          <w:p w14:paraId="5DC8DB51" w14:textId="3EBF7F23" w:rsidR="005774C5" w:rsidRPr="00D6384D" w:rsidRDefault="005774C5" w:rsidP="005774C5">
            <w:pPr>
              <w:spacing w:after="0" w:line="240" w:lineRule="auto"/>
              <w:jc w:val="center"/>
              <w:rPr>
                <w:rFonts w:ascii="Arial Narrow" w:eastAsia="Times New Roman" w:hAnsi="Arial Narrow" w:cs="Calibri"/>
                <w:b/>
                <w:bCs/>
                <w:color w:val="000000" w:themeColor="text1"/>
                <w:sz w:val="16"/>
                <w:szCs w:val="16"/>
                <w:lang w:eastAsia="sk-SK"/>
              </w:rPr>
            </w:pPr>
            <w:r w:rsidRPr="00D6384D">
              <w:rPr>
                <w:rFonts w:ascii="Arial Narrow" w:hAnsi="Arial Narrow" w:cs="Calibri"/>
                <w:b/>
                <w:bCs/>
                <w:color w:val="000000" w:themeColor="text1"/>
                <w:sz w:val="16"/>
                <w:szCs w:val="16"/>
              </w:rPr>
              <w:t>0,36</w:t>
            </w:r>
          </w:p>
        </w:tc>
        <w:tc>
          <w:tcPr>
            <w:tcW w:w="490" w:type="dxa"/>
            <w:tcBorders>
              <w:top w:val="single" w:sz="4" w:space="0" w:color="auto"/>
              <w:left w:val="nil"/>
              <w:bottom w:val="single" w:sz="4" w:space="0" w:color="auto"/>
              <w:right w:val="nil"/>
            </w:tcBorders>
            <w:shd w:val="clear" w:color="auto" w:fill="auto"/>
            <w:vAlign w:val="center"/>
            <w:hideMark/>
          </w:tcPr>
          <w:p w14:paraId="7D928C7C" w14:textId="04AD9BEB" w:rsidR="005774C5" w:rsidRPr="00D6384D" w:rsidRDefault="005774C5" w:rsidP="005774C5">
            <w:pPr>
              <w:spacing w:after="0" w:line="240" w:lineRule="auto"/>
              <w:jc w:val="center"/>
              <w:rPr>
                <w:rFonts w:ascii="Arial Narrow" w:eastAsia="Times New Roman" w:hAnsi="Arial Narrow" w:cs="Calibri"/>
                <w:b/>
                <w:bCs/>
                <w:color w:val="000000" w:themeColor="text1"/>
                <w:sz w:val="16"/>
                <w:szCs w:val="16"/>
                <w:lang w:eastAsia="sk-SK"/>
              </w:rPr>
            </w:pPr>
            <w:r w:rsidRPr="00D6384D">
              <w:rPr>
                <w:rFonts w:ascii="Arial Narrow" w:hAnsi="Arial Narrow" w:cs="Calibri"/>
                <w:b/>
                <w:bCs/>
                <w:color w:val="000000" w:themeColor="text1"/>
                <w:sz w:val="16"/>
                <w:szCs w:val="16"/>
              </w:rPr>
              <w:t>-0,01</w:t>
            </w:r>
          </w:p>
        </w:tc>
        <w:tc>
          <w:tcPr>
            <w:tcW w:w="490" w:type="dxa"/>
            <w:tcBorders>
              <w:top w:val="single" w:sz="4" w:space="0" w:color="auto"/>
              <w:left w:val="nil"/>
              <w:bottom w:val="single" w:sz="4" w:space="0" w:color="auto"/>
              <w:right w:val="nil"/>
            </w:tcBorders>
            <w:shd w:val="clear" w:color="auto" w:fill="auto"/>
            <w:vAlign w:val="center"/>
            <w:hideMark/>
          </w:tcPr>
          <w:p w14:paraId="7A247DFC" w14:textId="16E0B68E" w:rsidR="005774C5" w:rsidRPr="00D6384D" w:rsidRDefault="005774C5" w:rsidP="005774C5">
            <w:pPr>
              <w:spacing w:after="0" w:line="240" w:lineRule="auto"/>
              <w:jc w:val="center"/>
              <w:rPr>
                <w:rFonts w:ascii="Arial Narrow" w:eastAsia="Times New Roman" w:hAnsi="Arial Narrow" w:cs="Calibri"/>
                <w:b/>
                <w:bCs/>
                <w:color w:val="000000" w:themeColor="text1"/>
                <w:sz w:val="16"/>
                <w:szCs w:val="16"/>
                <w:lang w:eastAsia="sk-SK"/>
              </w:rPr>
            </w:pPr>
            <w:r w:rsidRPr="00D6384D">
              <w:rPr>
                <w:rFonts w:ascii="Arial Narrow" w:hAnsi="Arial Narrow" w:cs="Calibri"/>
                <w:b/>
                <w:bCs/>
                <w:color w:val="000000" w:themeColor="text1"/>
                <w:sz w:val="16"/>
                <w:szCs w:val="16"/>
              </w:rPr>
              <w:t>-0,13</w:t>
            </w:r>
          </w:p>
        </w:tc>
        <w:tc>
          <w:tcPr>
            <w:tcW w:w="783" w:type="dxa"/>
            <w:tcBorders>
              <w:top w:val="nil"/>
              <w:left w:val="nil"/>
              <w:bottom w:val="nil"/>
              <w:right w:val="nil"/>
            </w:tcBorders>
            <w:shd w:val="clear" w:color="auto" w:fill="auto"/>
            <w:noWrap/>
            <w:vAlign w:val="bottom"/>
            <w:hideMark/>
          </w:tcPr>
          <w:p w14:paraId="65022002" w14:textId="77777777" w:rsidR="005774C5" w:rsidRPr="009276A2" w:rsidRDefault="005774C5" w:rsidP="005774C5">
            <w:pPr>
              <w:spacing w:after="0" w:line="240" w:lineRule="auto"/>
              <w:rPr>
                <w:rFonts w:ascii="Calibri" w:eastAsia="Times New Roman" w:hAnsi="Calibri" w:cs="Calibri"/>
                <w:color w:val="000000"/>
                <w:lang w:eastAsia="sk-SK"/>
              </w:rPr>
            </w:pPr>
            <w:r w:rsidRPr="009276A2">
              <w:rPr>
                <w:rFonts w:ascii="Calibri" w:eastAsia="Times New Roman" w:hAnsi="Calibri" w:cs="Calibri"/>
                <w:color w:val="000000"/>
                <w:lang w:eastAsia="sk-SK"/>
              </w:rPr>
              <w:t> </w:t>
            </w:r>
          </w:p>
        </w:tc>
      </w:tr>
    </w:tbl>
    <w:p w14:paraId="0A51B5AC" w14:textId="52EC32D8" w:rsidR="00B218F9" w:rsidRPr="00135823" w:rsidRDefault="00B218F9" w:rsidP="00B218F9">
      <w:pPr>
        <w:widowControl w:val="0"/>
        <w:spacing w:before="40" w:after="40"/>
        <w:jc w:val="right"/>
        <w:rPr>
          <w:rFonts w:ascii="Arial Narrow" w:eastAsia="NeueHaasGroteskText W02" w:hAnsi="Arial Narrow" w:cs="Arial"/>
          <w:i/>
          <w:iCs/>
          <w:color w:val="000000" w:themeColor="text1"/>
          <w:sz w:val="16"/>
          <w:szCs w:val="16"/>
          <w:u w:color="2C9ADC"/>
        </w:rPr>
      </w:pPr>
      <w:r w:rsidRPr="00135823">
        <w:rPr>
          <w:rFonts w:ascii="Arial Narrow" w:eastAsia="NeueHaasGroteskText W02" w:hAnsi="Arial Narrow" w:cs="Arial"/>
          <w:i/>
          <w:iCs/>
          <w:color w:val="000000" w:themeColor="text1"/>
          <w:sz w:val="16"/>
          <w:szCs w:val="16"/>
          <w:u w:color="2C9ADC"/>
        </w:rPr>
        <w:t xml:space="preserve">Zdroj: </w:t>
      </w:r>
      <w:r>
        <w:rPr>
          <w:rFonts w:ascii="Arial Narrow" w:eastAsia="NeueHaasGroteskText W02" w:hAnsi="Arial Narrow" w:cs="Arial"/>
          <w:i/>
          <w:iCs/>
          <w:color w:val="000000" w:themeColor="text1"/>
          <w:sz w:val="16"/>
          <w:szCs w:val="16"/>
          <w:u w:color="2C9ADC"/>
        </w:rPr>
        <w:t>MF SR</w:t>
      </w:r>
    </w:p>
    <w:p w14:paraId="2813FE15" w14:textId="77777777" w:rsidR="00C1228B" w:rsidRDefault="00C1228B" w:rsidP="00C1228B">
      <w:pPr>
        <w:spacing w:after="0" w:line="276" w:lineRule="auto"/>
        <w:jc w:val="both"/>
        <w:rPr>
          <w:rFonts w:ascii="Arial Narrow" w:eastAsia="Times New Roman" w:hAnsi="Arial Narrow"/>
          <w:b/>
          <w:bCs/>
        </w:rPr>
      </w:pPr>
    </w:p>
    <w:p w14:paraId="220742C6" w14:textId="77777777" w:rsidR="00C1228B" w:rsidRDefault="00C1228B" w:rsidP="00C1228B">
      <w:pPr>
        <w:spacing w:after="0" w:line="276" w:lineRule="auto"/>
        <w:jc w:val="both"/>
        <w:rPr>
          <w:rFonts w:ascii="Arial Narrow" w:eastAsia="Times New Roman" w:hAnsi="Arial Narrow"/>
          <w:b/>
          <w:bCs/>
        </w:rPr>
      </w:pPr>
    </w:p>
    <w:p w14:paraId="0B9962ED" w14:textId="77777777" w:rsidR="00C1228B" w:rsidRDefault="00C1228B" w:rsidP="00C1228B">
      <w:pPr>
        <w:spacing w:after="0" w:line="276" w:lineRule="auto"/>
        <w:jc w:val="both"/>
        <w:rPr>
          <w:rFonts w:ascii="Arial Narrow" w:eastAsia="Times New Roman" w:hAnsi="Arial Narrow"/>
          <w:b/>
          <w:bCs/>
        </w:rPr>
      </w:pPr>
    </w:p>
    <w:p w14:paraId="1674CC08" w14:textId="77777777" w:rsidR="00C1228B" w:rsidRDefault="00C1228B" w:rsidP="00C1228B">
      <w:pPr>
        <w:spacing w:after="0" w:line="276" w:lineRule="auto"/>
        <w:jc w:val="both"/>
        <w:rPr>
          <w:rFonts w:ascii="Arial Narrow" w:eastAsia="Times New Roman" w:hAnsi="Arial Narrow"/>
          <w:b/>
          <w:bCs/>
        </w:rPr>
      </w:pPr>
    </w:p>
    <w:p w14:paraId="14DB7482" w14:textId="77777777" w:rsidR="00C1228B" w:rsidRDefault="00C1228B" w:rsidP="00C1228B">
      <w:pPr>
        <w:spacing w:after="0" w:line="276" w:lineRule="auto"/>
        <w:jc w:val="both"/>
        <w:rPr>
          <w:rFonts w:ascii="Arial Narrow" w:eastAsia="Times New Roman" w:hAnsi="Arial Narrow"/>
          <w:b/>
          <w:bCs/>
        </w:rPr>
      </w:pPr>
    </w:p>
    <w:p w14:paraId="42116EA7" w14:textId="77777777" w:rsidR="00C1228B" w:rsidRDefault="00C1228B" w:rsidP="00C1228B">
      <w:pPr>
        <w:spacing w:after="0" w:line="276" w:lineRule="auto"/>
        <w:jc w:val="both"/>
        <w:rPr>
          <w:rFonts w:ascii="Arial Narrow" w:eastAsia="Times New Roman" w:hAnsi="Arial Narrow"/>
          <w:b/>
          <w:bCs/>
        </w:rPr>
      </w:pPr>
    </w:p>
    <w:p w14:paraId="31CEC4D3" w14:textId="77777777" w:rsidR="00C1228B" w:rsidRDefault="00C1228B" w:rsidP="00C1228B">
      <w:pPr>
        <w:spacing w:after="0" w:line="276" w:lineRule="auto"/>
        <w:jc w:val="both"/>
        <w:rPr>
          <w:rFonts w:ascii="Arial Narrow" w:eastAsia="Times New Roman" w:hAnsi="Arial Narrow"/>
          <w:b/>
          <w:bCs/>
        </w:rPr>
      </w:pPr>
    </w:p>
    <w:p w14:paraId="6461A96B" w14:textId="77777777" w:rsidR="00C1228B" w:rsidRDefault="00C1228B" w:rsidP="00C1228B">
      <w:pPr>
        <w:spacing w:after="0" w:line="276" w:lineRule="auto"/>
        <w:jc w:val="both"/>
        <w:rPr>
          <w:rFonts w:ascii="Arial Narrow" w:eastAsia="Times New Roman" w:hAnsi="Arial Narrow"/>
          <w:b/>
          <w:bCs/>
        </w:rPr>
      </w:pPr>
    </w:p>
    <w:p w14:paraId="11AD54C0" w14:textId="77777777" w:rsidR="00C1228B" w:rsidRDefault="00C1228B" w:rsidP="00C1228B">
      <w:pPr>
        <w:spacing w:after="0" w:line="276" w:lineRule="auto"/>
        <w:jc w:val="both"/>
        <w:rPr>
          <w:rFonts w:ascii="Arial Narrow" w:eastAsia="Times New Roman" w:hAnsi="Arial Narrow"/>
          <w:b/>
          <w:bCs/>
        </w:rPr>
      </w:pPr>
    </w:p>
    <w:p w14:paraId="41990C49" w14:textId="77777777" w:rsidR="00C1228B" w:rsidRDefault="00C1228B" w:rsidP="00C1228B">
      <w:pPr>
        <w:spacing w:after="0" w:line="276" w:lineRule="auto"/>
        <w:jc w:val="both"/>
        <w:rPr>
          <w:rFonts w:ascii="Arial Narrow" w:eastAsia="Times New Roman" w:hAnsi="Arial Narrow"/>
          <w:b/>
          <w:bCs/>
        </w:rPr>
      </w:pPr>
    </w:p>
    <w:p w14:paraId="277931C0" w14:textId="77777777" w:rsidR="00C1228B" w:rsidRDefault="00C1228B" w:rsidP="00C1228B">
      <w:pPr>
        <w:spacing w:after="0" w:line="276" w:lineRule="auto"/>
        <w:jc w:val="both"/>
        <w:rPr>
          <w:rFonts w:ascii="Arial Narrow" w:eastAsia="Times New Roman" w:hAnsi="Arial Narrow"/>
          <w:b/>
          <w:bCs/>
        </w:rPr>
      </w:pPr>
    </w:p>
    <w:p w14:paraId="6F76556F" w14:textId="77777777" w:rsidR="00C1228B" w:rsidRDefault="00C1228B" w:rsidP="00C1228B">
      <w:pPr>
        <w:spacing w:after="0" w:line="276" w:lineRule="auto"/>
        <w:jc w:val="both"/>
        <w:rPr>
          <w:rFonts w:ascii="Arial Narrow" w:eastAsia="Times New Roman" w:hAnsi="Arial Narrow"/>
          <w:b/>
          <w:bCs/>
        </w:rPr>
      </w:pPr>
    </w:p>
    <w:p w14:paraId="29B8767E" w14:textId="77777777" w:rsidR="00C1228B" w:rsidRDefault="00C1228B" w:rsidP="00C1228B">
      <w:pPr>
        <w:spacing w:after="0" w:line="276" w:lineRule="auto"/>
        <w:jc w:val="both"/>
        <w:rPr>
          <w:rFonts w:ascii="Arial Narrow" w:eastAsia="Times New Roman" w:hAnsi="Arial Narrow"/>
          <w:b/>
          <w:bCs/>
        </w:rPr>
      </w:pPr>
    </w:p>
    <w:p w14:paraId="24A67A4B" w14:textId="77777777" w:rsidR="00C1228B" w:rsidRDefault="00C1228B" w:rsidP="00C1228B">
      <w:pPr>
        <w:spacing w:after="0" w:line="276" w:lineRule="auto"/>
        <w:jc w:val="both"/>
        <w:rPr>
          <w:rFonts w:ascii="Arial Narrow" w:eastAsia="Times New Roman" w:hAnsi="Arial Narrow"/>
          <w:b/>
          <w:bCs/>
        </w:rPr>
        <w:sectPr w:rsidR="00C1228B" w:rsidSect="00C1228B">
          <w:footerReference w:type="default" r:id="rId55"/>
          <w:pgSz w:w="11906" w:h="16838"/>
          <w:pgMar w:top="1417" w:right="1417" w:bottom="1417" w:left="1417" w:header="708" w:footer="708" w:gutter="0"/>
          <w:cols w:space="708"/>
          <w:docGrid w:linePitch="360"/>
        </w:sectPr>
      </w:pPr>
    </w:p>
    <w:p w14:paraId="21AE63C4" w14:textId="77777777" w:rsidR="00C1228B" w:rsidRDefault="00C1228B" w:rsidP="00C1228B">
      <w:pPr>
        <w:spacing w:after="0" w:line="276" w:lineRule="auto"/>
        <w:jc w:val="both"/>
        <w:rPr>
          <w:rFonts w:ascii="Arial Narrow" w:eastAsia="Times New Roman" w:hAnsi="Arial Narrow"/>
          <w:b/>
          <w:bCs/>
        </w:rPr>
      </w:pPr>
      <w:r w:rsidRPr="00B3111E">
        <w:rPr>
          <w:rFonts w:ascii="Arial Narrow" w:eastAsia="NeueHaasGroteskText W02" w:hAnsi="Arial Narrow" w:cs="Arial"/>
          <w:b/>
          <w:bCs/>
          <w:color w:val="2C9ADC"/>
          <w:sz w:val="20"/>
          <w:szCs w:val="20"/>
          <w:u w:color="2C9ADC"/>
        </w:rPr>
        <w:lastRenderedPageBreak/>
        <w:t>TABUĽKA 7a – Prognóza hrubého dlhu a nominálneho deficitu a hlavné predpoklady (podľa plánovanej fiškálnej trajektórie)</w:t>
      </w:r>
    </w:p>
    <w:tbl>
      <w:tblPr>
        <w:tblW w:w="13576" w:type="dxa"/>
        <w:tblCellMar>
          <w:left w:w="70" w:type="dxa"/>
          <w:right w:w="70" w:type="dxa"/>
        </w:tblCellMar>
        <w:tblLook w:val="04A0" w:firstRow="1" w:lastRow="0" w:firstColumn="1" w:lastColumn="0" w:noHBand="0" w:noVBand="1"/>
      </w:tblPr>
      <w:tblGrid>
        <w:gridCol w:w="385"/>
        <w:gridCol w:w="2702"/>
        <w:gridCol w:w="724"/>
        <w:gridCol w:w="651"/>
        <w:gridCol w:w="651"/>
        <w:gridCol w:w="651"/>
        <w:gridCol w:w="651"/>
        <w:gridCol w:w="651"/>
        <w:gridCol w:w="651"/>
        <w:gridCol w:w="651"/>
        <w:gridCol w:w="651"/>
        <w:gridCol w:w="651"/>
        <w:gridCol w:w="651"/>
        <w:gridCol w:w="651"/>
        <w:gridCol w:w="651"/>
        <w:gridCol w:w="651"/>
        <w:gridCol w:w="651"/>
        <w:gridCol w:w="651"/>
      </w:tblGrid>
      <w:tr w:rsidR="00C1228B" w:rsidRPr="00B3111E" w14:paraId="7ABE976C" w14:textId="77777777" w:rsidTr="00B218F9">
        <w:trPr>
          <w:trHeight w:val="309"/>
        </w:trPr>
        <w:tc>
          <w:tcPr>
            <w:tcW w:w="8368" w:type="dxa"/>
            <w:gridSpan w:val="10"/>
            <w:tcBorders>
              <w:top w:val="nil"/>
              <w:left w:val="nil"/>
              <w:bottom w:val="nil"/>
              <w:right w:val="nil"/>
            </w:tcBorders>
            <w:shd w:val="clear" w:color="000000" w:fill="FFFFFF"/>
            <w:vAlign w:val="center"/>
            <w:hideMark/>
          </w:tcPr>
          <w:p w14:paraId="3A362BD9" w14:textId="77777777" w:rsidR="00C1228B" w:rsidRPr="00B3111E" w:rsidRDefault="00C1228B" w:rsidP="00616580">
            <w:pPr>
              <w:spacing w:after="0" w:line="240" w:lineRule="auto"/>
              <w:rPr>
                <w:rFonts w:ascii="Arial Narrow" w:eastAsia="Times New Roman" w:hAnsi="Arial Narrow" w:cs="Calibri"/>
                <w:b/>
                <w:bCs/>
                <w:color w:val="2C9ADC"/>
                <w:sz w:val="18"/>
                <w:szCs w:val="18"/>
                <w:lang w:eastAsia="sk-SK"/>
              </w:rPr>
            </w:pPr>
          </w:p>
        </w:tc>
        <w:tc>
          <w:tcPr>
            <w:tcW w:w="651" w:type="dxa"/>
            <w:tcBorders>
              <w:top w:val="nil"/>
              <w:left w:val="nil"/>
              <w:bottom w:val="nil"/>
              <w:right w:val="nil"/>
            </w:tcBorders>
            <w:shd w:val="clear" w:color="auto" w:fill="auto"/>
            <w:noWrap/>
            <w:vAlign w:val="bottom"/>
            <w:hideMark/>
          </w:tcPr>
          <w:p w14:paraId="4B3CEEE9" w14:textId="77777777" w:rsidR="00C1228B" w:rsidRPr="00B3111E" w:rsidRDefault="00C1228B" w:rsidP="00616580">
            <w:pPr>
              <w:spacing w:after="0" w:line="240" w:lineRule="auto"/>
              <w:rPr>
                <w:rFonts w:ascii="Arial Narrow" w:eastAsia="Times New Roman" w:hAnsi="Arial Narrow" w:cs="Calibri"/>
                <w:b/>
                <w:bCs/>
                <w:color w:val="2C9ADC"/>
                <w:sz w:val="18"/>
                <w:szCs w:val="18"/>
                <w:lang w:eastAsia="sk-SK"/>
              </w:rPr>
            </w:pPr>
          </w:p>
        </w:tc>
        <w:tc>
          <w:tcPr>
            <w:tcW w:w="651" w:type="dxa"/>
            <w:tcBorders>
              <w:top w:val="nil"/>
              <w:left w:val="nil"/>
              <w:bottom w:val="nil"/>
              <w:right w:val="nil"/>
            </w:tcBorders>
            <w:shd w:val="clear" w:color="auto" w:fill="auto"/>
            <w:noWrap/>
            <w:vAlign w:val="bottom"/>
            <w:hideMark/>
          </w:tcPr>
          <w:p w14:paraId="7BA63AA1" w14:textId="77777777" w:rsidR="00C1228B" w:rsidRPr="00B3111E"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33243876" w14:textId="77777777" w:rsidR="00C1228B" w:rsidRPr="00B3111E"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0F96D805" w14:textId="77777777" w:rsidR="00C1228B" w:rsidRPr="00B3111E"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28E9E06E" w14:textId="77777777" w:rsidR="00C1228B" w:rsidRPr="00B3111E"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2F53A0AC" w14:textId="77777777" w:rsidR="00C1228B" w:rsidRPr="00B3111E"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3647AF9E" w14:textId="77777777" w:rsidR="00C1228B" w:rsidRPr="00B3111E"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7728FEA9" w14:textId="77777777" w:rsidR="00C1228B" w:rsidRPr="00B3111E" w:rsidRDefault="00C1228B" w:rsidP="00616580">
            <w:pPr>
              <w:spacing w:after="0" w:line="240" w:lineRule="auto"/>
              <w:rPr>
                <w:rFonts w:ascii="Times New Roman" w:eastAsia="Times New Roman" w:hAnsi="Times New Roman" w:cs="Times New Roman"/>
                <w:sz w:val="20"/>
                <w:szCs w:val="20"/>
                <w:lang w:eastAsia="sk-SK"/>
              </w:rPr>
            </w:pPr>
          </w:p>
        </w:tc>
      </w:tr>
      <w:tr w:rsidR="00C1228B" w:rsidRPr="00196FA8" w14:paraId="006CB11E" w14:textId="77777777" w:rsidTr="00B218F9">
        <w:trPr>
          <w:trHeight w:val="324"/>
        </w:trPr>
        <w:tc>
          <w:tcPr>
            <w:tcW w:w="385" w:type="dxa"/>
            <w:tcBorders>
              <w:top w:val="nil"/>
              <w:left w:val="nil"/>
              <w:bottom w:val="single" w:sz="8" w:space="0" w:color="auto"/>
              <w:right w:val="nil"/>
            </w:tcBorders>
            <w:shd w:val="clear" w:color="auto" w:fill="auto"/>
            <w:noWrap/>
            <w:vAlign w:val="bottom"/>
            <w:hideMark/>
          </w:tcPr>
          <w:p w14:paraId="7CC3F827" w14:textId="77777777" w:rsidR="00C1228B" w:rsidRPr="00B3111E" w:rsidRDefault="00C1228B" w:rsidP="00616580">
            <w:pPr>
              <w:spacing w:after="0" w:line="240" w:lineRule="auto"/>
              <w:rPr>
                <w:rFonts w:ascii="Calibri" w:eastAsia="Times New Roman" w:hAnsi="Calibri" w:cs="Calibri"/>
                <w:lang w:eastAsia="sk-SK"/>
              </w:rPr>
            </w:pPr>
            <w:r w:rsidRPr="00B3111E">
              <w:rPr>
                <w:rFonts w:ascii="Calibri" w:eastAsia="Times New Roman" w:hAnsi="Calibri" w:cs="Calibri"/>
                <w:lang w:eastAsia="sk-SK"/>
              </w:rPr>
              <w:t> </w:t>
            </w:r>
          </w:p>
        </w:tc>
        <w:tc>
          <w:tcPr>
            <w:tcW w:w="2702" w:type="dxa"/>
            <w:tcBorders>
              <w:top w:val="nil"/>
              <w:left w:val="nil"/>
              <w:bottom w:val="nil"/>
              <w:right w:val="nil"/>
            </w:tcBorders>
            <w:shd w:val="clear" w:color="auto" w:fill="auto"/>
            <w:vAlign w:val="center"/>
            <w:hideMark/>
          </w:tcPr>
          <w:p w14:paraId="0513DBFE" w14:textId="77777777" w:rsidR="00C1228B" w:rsidRPr="00B3111E" w:rsidRDefault="00C1228B" w:rsidP="00616580">
            <w:pPr>
              <w:spacing w:after="0" w:line="240" w:lineRule="auto"/>
              <w:rPr>
                <w:rFonts w:ascii="Arial Narrow" w:eastAsia="Times New Roman" w:hAnsi="Arial Narrow" w:cs="Calibri"/>
                <w:b/>
                <w:bCs/>
                <w:sz w:val="18"/>
                <w:szCs w:val="18"/>
                <w:lang w:eastAsia="sk-SK"/>
              </w:rPr>
            </w:pPr>
            <w:r w:rsidRPr="00B3111E">
              <w:rPr>
                <w:rFonts w:ascii="Arial Narrow" w:eastAsia="Times New Roman" w:hAnsi="Arial Narrow" w:cs="Calibri"/>
                <w:b/>
                <w:bCs/>
                <w:sz w:val="18"/>
                <w:szCs w:val="18"/>
                <w:lang w:eastAsia="sk-SK"/>
              </w:rPr>
              <w:t> </w:t>
            </w:r>
          </w:p>
        </w:tc>
        <w:tc>
          <w:tcPr>
            <w:tcW w:w="724" w:type="dxa"/>
            <w:tcBorders>
              <w:top w:val="nil"/>
              <w:left w:val="nil"/>
              <w:bottom w:val="single" w:sz="8" w:space="0" w:color="auto"/>
              <w:right w:val="nil"/>
            </w:tcBorders>
            <w:shd w:val="clear" w:color="auto" w:fill="auto"/>
            <w:vAlign w:val="center"/>
            <w:hideMark/>
          </w:tcPr>
          <w:p w14:paraId="65EB616F" w14:textId="77777777" w:rsidR="00C1228B" w:rsidRPr="00B3111E" w:rsidRDefault="00C1228B" w:rsidP="00616580">
            <w:pPr>
              <w:spacing w:after="0" w:line="240" w:lineRule="auto"/>
              <w:jc w:val="center"/>
              <w:rPr>
                <w:rFonts w:ascii="Arial Narrow" w:eastAsia="Times New Roman" w:hAnsi="Arial Narrow" w:cs="Calibri"/>
                <w:b/>
                <w:bCs/>
                <w:sz w:val="18"/>
                <w:szCs w:val="18"/>
                <w:lang w:eastAsia="sk-SK"/>
              </w:rPr>
            </w:pPr>
            <w:r w:rsidRPr="00B3111E">
              <w:rPr>
                <w:rFonts w:ascii="Arial Narrow" w:eastAsia="Times New Roman" w:hAnsi="Arial Narrow" w:cs="Calibri"/>
                <w:b/>
                <w:bCs/>
                <w:sz w:val="18"/>
                <w:szCs w:val="18"/>
                <w:lang w:eastAsia="sk-SK"/>
              </w:rPr>
              <w:t>2023</w:t>
            </w:r>
          </w:p>
        </w:tc>
        <w:tc>
          <w:tcPr>
            <w:tcW w:w="651" w:type="dxa"/>
            <w:tcBorders>
              <w:top w:val="nil"/>
              <w:left w:val="nil"/>
              <w:bottom w:val="single" w:sz="8" w:space="0" w:color="auto"/>
              <w:right w:val="nil"/>
            </w:tcBorders>
            <w:shd w:val="clear" w:color="auto" w:fill="auto"/>
            <w:vAlign w:val="center"/>
            <w:hideMark/>
          </w:tcPr>
          <w:p w14:paraId="1205C814" w14:textId="77777777" w:rsidR="00C1228B" w:rsidRPr="00B3111E" w:rsidRDefault="00C1228B" w:rsidP="00616580">
            <w:pPr>
              <w:spacing w:after="0" w:line="240" w:lineRule="auto"/>
              <w:jc w:val="center"/>
              <w:rPr>
                <w:rFonts w:ascii="Arial Narrow" w:eastAsia="Times New Roman" w:hAnsi="Arial Narrow" w:cs="Calibri"/>
                <w:b/>
                <w:bCs/>
                <w:sz w:val="18"/>
                <w:szCs w:val="18"/>
                <w:lang w:eastAsia="sk-SK"/>
              </w:rPr>
            </w:pPr>
            <w:r w:rsidRPr="00B3111E">
              <w:rPr>
                <w:rFonts w:ascii="Arial Narrow" w:eastAsia="Times New Roman" w:hAnsi="Arial Narrow" w:cs="Calibri"/>
                <w:b/>
                <w:bCs/>
                <w:sz w:val="18"/>
                <w:szCs w:val="18"/>
                <w:lang w:eastAsia="sk-SK"/>
              </w:rPr>
              <w:t>2024</w:t>
            </w:r>
          </w:p>
        </w:tc>
        <w:tc>
          <w:tcPr>
            <w:tcW w:w="651" w:type="dxa"/>
            <w:tcBorders>
              <w:top w:val="nil"/>
              <w:left w:val="nil"/>
              <w:bottom w:val="single" w:sz="8" w:space="0" w:color="auto"/>
              <w:right w:val="nil"/>
            </w:tcBorders>
            <w:shd w:val="clear" w:color="auto" w:fill="auto"/>
            <w:vAlign w:val="center"/>
            <w:hideMark/>
          </w:tcPr>
          <w:p w14:paraId="02D95833" w14:textId="77777777" w:rsidR="00C1228B" w:rsidRPr="00B3111E" w:rsidRDefault="00C1228B" w:rsidP="00616580">
            <w:pPr>
              <w:spacing w:after="0" w:line="240" w:lineRule="auto"/>
              <w:jc w:val="center"/>
              <w:rPr>
                <w:rFonts w:ascii="Arial Narrow" w:eastAsia="Times New Roman" w:hAnsi="Arial Narrow" w:cs="Calibri"/>
                <w:b/>
                <w:bCs/>
                <w:sz w:val="18"/>
                <w:szCs w:val="18"/>
                <w:lang w:eastAsia="sk-SK"/>
              </w:rPr>
            </w:pPr>
            <w:r w:rsidRPr="00B3111E">
              <w:rPr>
                <w:rFonts w:ascii="Arial Narrow" w:eastAsia="Times New Roman" w:hAnsi="Arial Narrow" w:cs="Calibri"/>
                <w:b/>
                <w:bCs/>
                <w:sz w:val="18"/>
                <w:szCs w:val="18"/>
                <w:lang w:eastAsia="sk-SK"/>
              </w:rPr>
              <w:t>2025</w:t>
            </w:r>
          </w:p>
        </w:tc>
        <w:tc>
          <w:tcPr>
            <w:tcW w:w="651" w:type="dxa"/>
            <w:tcBorders>
              <w:top w:val="nil"/>
              <w:left w:val="nil"/>
              <w:bottom w:val="single" w:sz="8" w:space="0" w:color="auto"/>
              <w:right w:val="nil"/>
            </w:tcBorders>
            <w:shd w:val="clear" w:color="auto" w:fill="auto"/>
            <w:vAlign w:val="center"/>
            <w:hideMark/>
          </w:tcPr>
          <w:p w14:paraId="67194117" w14:textId="77777777" w:rsidR="00C1228B" w:rsidRPr="00B3111E" w:rsidRDefault="00C1228B" w:rsidP="00616580">
            <w:pPr>
              <w:spacing w:after="0" w:line="240" w:lineRule="auto"/>
              <w:jc w:val="center"/>
              <w:rPr>
                <w:rFonts w:ascii="Arial Narrow" w:eastAsia="Times New Roman" w:hAnsi="Arial Narrow" w:cs="Calibri"/>
                <w:b/>
                <w:bCs/>
                <w:sz w:val="18"/>
                <w:szCs w:val="18"/>
                <w:lang w:eastAsia="sk-SK"/>
              </w:rPr>
            </w:pPr>
            <w:r w:rsidRPr="00B3111E">
              <w:rPr>
                <w:rFonts w:ascii="Arial Narrow" w:eastAsia="Times New Roman" w:hAnsi="Arial Narrow" w:cs="Calibri"/>
                <w:b/>
                <w:bCs/>
                <w:sz w:val="18"/>
                <w:szCs w:val="18"/>
                <w:lang w:eastAsia="sk-SK"/>
              </w:rPr>
              <w:t>2026</w:t>
            </w:r>
          </w:p>
        </w:tc>
        <w:tc>
          <w:tcPr>
            <w:tcW w:w="651" w:type="dxa"/>
            <w:tcBorders>
              <w:top w:val="nil"/>
              <w:left w:val="nil"/>
              <w:bottom w:val="single" w:sz="8" w:space="0" w:color="auto"/>
              <w:right w:val="nil"/>
            </w:tcBorders>
            <w:shd w:val="clear" w:color="auto" w:fill="auto"/>
            <w:vAlign w:val="center"/>
            <w:hideMark/>
          </w:tcPr>
          <w:p w14:paraId="4EE301C6" w14:textId="77777777" w:rsidR="00C1228B" w:rsidRPr="00B3111E" w:rsidRDefault="00C1228B" w:rsidP="00616580">
            <w:pPr>
              <w:spacing w:after="0" w:line="240" w:lineRule="auto"/>
              <w:jc w:val="center"/>
              <w:rPr>
                <w:rFonts w:ascii="Arial Narrow" w:eastAsia="Times New Roman" w:hAnsi="Arial Narrow" w:cs="Calibri"/>
                <w:b/>
                <w:bCs/>
                <w:sz w:val="18"/>
                <w:szCs w:val="18"/>
                <w:lang w:eastAsia="sk-SK"/>
              </w:rPr>
            </w:pPr>
            <w:r w:rsidRPr="00B3111E">
              <w:rPr>
                <w:rFonts w:ascii="Arial Narrow" w:eastAsia="Times New Roman" w:hAnsi="Arial Narrow" w:cs="Calibri"/>
                <w:b/>
                <w:bCs/>
                <w:sz w:val="18"/>
                <w:szCs w:val="18"/>
                <w:lang w:eastAsia="sk-SK"/>
              </w:rPr>
              <w:t>2027</w:t>
            </w:r>
          </w:p>
        </w:tc>
        <w:tc>
          <w:tcPr>
            <w:tcW w:w="651" w:type="dxa"/>
            <w:tcBorders>
              <w:top w:val="nil"/>
              <w:left w:val="nil"/>
              <w:bottom w:val="single" w:sz="8" w:space="0" w:color="auto"/>
              <w:right w:val="nil"/>
            </w:tcBorders>
            <w:shd w:val="clear" w:color="auto" w:fill="auto"/>
            <w:vAlign w:val="center"/>
            <w:hideMark/>
          </w:tcPr>
          <w:p w14:paraId="75C7E16B" w14:textId="77777777" w:rsidR="00C1228B" w:rsidRPr="00B3111E" w:rsidRDefault="00C1228B" w:rsidP="00616580">
            <w:pPr>
              <w:spacing w:after="0" w:line="240" w:lineRule="auto"/>
              <w:jc w:val="center"/>
              <w:rPr>
                <w:rFonts w:ascii="Arial Narrow" w:eastAsia="Times New Roman" w:hAnsi="Arial Narrow" w:cs="Calibri"/>
                <w:b/>
                <w:bCs/>
                <w:sz w:val="18"/>
                <w:szCs w:val="18"/>
                <w:lang w:eastAsia="sk-SK"/>
              </w:rPr>
            </w:pPr>
            <w:r w:rsidRPr="00B3111E">
              <w:rPr>
                <w:rFonts w:ascii="Arial Narrow" w:eastAsia="Times New Roman" w:hAnsi="Arial Narrow" w:cs="Calibri"/>
                <w:b/>
                <w:bCs/>
                <w:sz w:val="18"/>
                <w:szCs w:val="18"/>
                <w:lang w:eastAsia="sk-SK"/>
              </w:rPr>
              <w:t>2028</w:t>
            </w:r>
          </w:p>
        </w:tc>
        <w:tc>
          <w:tcPr>
            <w:tcW w:w="651" w:type="dxa"/>
            <w:tcBorders>
              <w:top w:val="nil"/>
              <w:left w:val="nil"/>
              <w:bottom w:val="single" w:sz="8" w:space="0" w:color="auto"/>
              <w:right w:val="nil"/>
            </w:tcBorders>
            <w:shd w:val="clear" w:color="auto" w:fill="auto"/>
            <w:vAlign w:val="center"/>
            <w:hideMark/>
          </w:tcPr>
          <w:p w14:paraId="101FB392" w14:textId="77777777" w:rsidR="00C1228B" w:rsidRPr="00B3111E" w:rsidRDefault="00C1228B" w:rsidP="00616580">
            <w:pPr>
              <w:spacing w:after="0" w:line="240" w:lineRule="auto"/>
              <w:jc w:val="center"/>
              <w:rPr>
                <w:rFonts w:ascii="Arial Narrow" w:eastAsia="Times New Roman" w:hAnsi="Arial Narrow" w:cs="Calibri"/>
                <w:b/>
                <w:bCs/>
                <w:sz w:val="18"/>
                <w:szCs w:val="18"/>
                <w:lang w:eastAsia="sk-SK"/>
              </w:rPr>
            </w:pPr>
            <w:r w:rsidRPr="00B3111E">
              <w:rPr>
                <w:rFonts w:ascii="Arial Narrow" w:eastAsia="Times New Roman" w:hAnsi="Arial Narrow" w:cs="Calibri"/>
                <w:b/>
                <w:bCs/>
                <w:sz w:val="18"/>
                <w:szCs w:val="18"/>
                <w:lang w:eastAsia="sk-SK"/>
              </w:rPr>
              <w:t>2029</w:t>
            </w:r>
          </w:p>
        </w:tc>
        <w:tc>
          <w:tcPr>
            <w:tcW w:w="651" w:type="dxa"/>
            <w:tcBorders>
              <w:top w:val="nil"/>
              <w:left w:val="nil"/>
              <w:bottom w:val="single" w:sz="8" w:space="0" w:color="auto"/>
              <w:right w:val="nil"/>
            </w:tcBorders>
            <w:shd w:val="clear" w:color="auto" w:fill="auto"/>
            <w:vAlign w:val="center"/>
            <w:hideMark/>
          </w:tcPr>
          <w:p w14:paraId="2B389885" w14:textId="77777777" w:rsidR="00C1228B" w:rsidRPr="00B3111E" w:rsidRDefault="00C1228B" w:rsidP="00616580">
            <w:pPr>
              <w:spacing w:after="0" w:line="240" w:lineRule="auto"/>
              <w:jc w:val="center"/>
              <w:rPr>
                <w:rFonts w:ascii="Arial Narrow" w:eastAsia="Times New Roman" w:hAnsi="Arial Narrow" w:cs="Calibri"/>
                <w:b/>
                <w:bCs/>
                <w:sz w:val="18"/>
                <w:szCs w:val="18"/>
                <w:lang w:eastAsia="sk-SK"/>
              </w:rPr>
            </w:pPr>
            <w:r w:rsidRPr="00B3111E">
              <w:rPr>
                <w:rFonts w:ascii="Arial Narrow" w:eastAsia="Times New Roman" w:hAnsi="Arial Narrow" w:cs="Calibri"/>
                <w:b/>
                <w:bCs/>
                <w:sz w:val="18"/>
                <w:szCs w:val="18"/>
                <w:lang w:eastAsia="sk-SK"/>
              </w:rPr>
              <w:t>2030</w:t>
            </w:r>
          </w:p>
        </w:tc>
        <w:tc>
          <w:tcPr>
            <w:tcW w:w="651" w:type="dxa"/>
            <w:tcBorders>
              <w:top w:val="nil"/>
              <w:left w:val="nil"/>
              <w:bottom w:val="single" w:sz="8" w:space="0" w:color="auto"/>
              <w:right w:val="nil"/>
            </w:tcBorders>
            <w:shd w:val="clear" w:color="auto" w:fill="auto"/>
            <w:vAlign w:val="center"/>
            <w:hideMark/>
          </w:tcPr>
          <w:p w14:paraId="353FEDCD" w14:textId="77777777" w:rsidR="00C1228B" w:rsidRPr="00B3111E" w:rsidRDefault="00C1228B" w:rsidP="00616580">
            <w:pPr>
              <w:spacing w:after="0" w:line="240" w:lineRule="auto"/>
              <w:jc w:val="center"/>
              <w:rPr>
                <w:rFonts w:ascii="Arial Narrow" w:eastAsia="Times New Roman" w:hAnsi="Arial Narrow" w:cs="Calibri"/>
                <w:b/>
                <w:bCs/>
                <w:sz w:val="18"/>
                <w:szCs w:val="18"/>
                <w:lang w:eastAsia="sk-SK"/>
              </w:rPr>
            </w:pPr>
            <w:r w:rsidRPr="00B3111E">
              <w:rPr>
                <w:rFonts w:ascii="Arial Narrow" w:eastAsia="Times New Roman" w:hAnsi="Arial Narrow" w:cs="Calibri"/>
                <w:b/>
                <w:bCs/>
                <w:sz w:val="18"/>
                <w:szCs w:val="18"/>
                <w:lang w:eastAsia="sk-SK"/>
              </w:rPr>
              <w:t>2031</w:t>
            </w:r>
          </w:p>
        </w:tc>
        <w:tc>
          <w:tcPr>
            <w:tcW w:w="651" w:type="dxa"/>
            <w:tcBorders>
              <w:top w:val="nil"/>
              <w:left w:val="nil"/>
              <w:bottom w:val="single" w:sz="8" w:space="0" w:color="auto"/>
              <w:right w:val="nil"/>
            </w:tcBorders>
            <w:shd w:val="clear" w:color="auto" w:fill="auto"/>
            <w:vAlign w:val="center"/>
            <w:hideMark/>
          </w:tcPr>
          <w:p w14:paraId="70928FE3" w14:textId="77777777" w:rsidR="00C1228B" w:rsidRPr="00B3111E" w:rsidRDefault="00C1228B" w:rsidP="00616580">
            <w:pPr>
              <w:spacing w:after="0" w:line="240" w:lineRule="auto"/>
              <w:jc w:val="center"/>
              <w:rPr>
                <w:rFonts w:ascii="Arial Narrow" w:eastAsia="Times New Roman" w:hAnsi="Arial Narrow" w:cs="Calibri"/>
                <w:b/>
                <w:bCs/>
                <w:sz w:val="18"/>
                <w:szCs w:val="18"/>
                <w:lang w:eastAsia="sk-SK"/>
              </w:rPr>
            </w:pPr>
            <w:r w:rsidRPr="00B3111E">
              <w:rPr>
                <w:rFonts w:ascii="Arial Narrow" w:eastAsia="Times New Roman" w:hAnsi="Arial Narrow" w:cs="Calibri"/>
                <w:b/>
                <w:bCs/>
                <w:sz w:val="18"/>
                <w:szCs w:val="18"/>
                <w:lang w:eastAsia="sk-SK"/>
              </w:rPr>
              <w:t>2032</w:t>
            </w:r>
          </w:p>
        </w:tc>
        <w:tc>
          <w:tcPr>
            <w:tcW w:w="651" w:type="dxa"/>
            <w:tcBorders>
              <w:top w:val="nil"/>
              <w:left w:val="nil"/>
              <w:bottom w:val="single" w:sz="8" w:space="0" w:color="auto"/>
              <w:right w:val="nil"/>
            </w:tcBorders>
            <w:shd w:val="clear" w:color="auto" w:fill="auto"/>
            <w:vAlign w:val="center"/>
            <w:hideMark/>
          </w:tcPr>
          <w:p w14:paraId="41A6DD11" w14:textId="77777777" w:rsidR="00C1228B" w:rsidRPr="00B3111E" w:rsidRDefault="00C1228B" w:rsidP="00616580">
            <w:pPr>
              <w:spacing w:after="0" w:line="240" w:lineRule="auto"/>
              <w:jc w:val="center"/>
              <w:rPr>
                <w:rFonts w:ascii="Arial Narrow" w:eastAsia="Times New Roman" w:hAnsi="Arial Narrow" w:cs="Calibri"/>
                <w:b/>
                <w:bCs/>
                <w:sz w:val="18"/>
                <w:szCs w:val="18"/>
                <w:lang w:eastAsia="sk-SK"/>
              </w:rPr>
            </w:pPr>
            <w:r w:rsidRPr="00B3111E">
              <w:rPr>
                <w:rFonts w:ascii="Arial Narrow" w:eastAsia="Times New Roman" w:hAnsi="Arial Narrow" w:cs="Calibri"/>
                <w:b/>
                <w:bCs/>
                <w:sz w:val="18"/>
                <w:szCs w:val="18"/>
                <w:lang w:eastAsia="sk-SK"/>
              </w:rPr>
              <w:t>2033</w:t>
            </w:r>
          </w:p>
        </w:tc>
        <w:tc>
          <w:tcPr>
            <w:tcW w:w="651" w:type="dxa"/>
            <w:tcBorders>
              <w:top w:val="nil"/>
              <w:left w:val="nil"/>
              <w:bottom w:val="single" w:sz="8" w:space="0" w:color="auto"/>
              <w:right w:val="nil"/>
            </w:tcBorders>
            <w:shd w:val="clear" w:color="auto" w:fill="auto"/>
            <w:vAlign w:val="center"/>
            <w:hideMark/>
          </w:tcPr>
          <w:p w14:paraId="397BBAB4" w14:textId="77777777" w:rsidR="00C1228B" w:rsidRPr="00B3111E" w:rsidRDefault="00C1228B" w:rsidP="00616580">
            <w:pPr>
              <w:spacing w:after="0" w:line="240" w:lineRule="auto"/>
              <w:jc w:val="center"/>
              <w:rPr>
                <w:rFonts w:ascii="Arial Narrow" w:eastAsia="Times New Roman" w:hAnsi="Arial Narrow" w:cs="Calibri"/>
                <w:b/>
                <w:bCs/>
                <w:sz w:val="18"/>
                <w:szCs w:val="18"/>
                <w:lang w:eastAsia="sk-SK"/>
              </w:rPr>
            </w:pPr>
            <w:r w:rsidRPr="00B3111E">
              <w:rPr>
                <w:rFonts w:ascii="Arial Narrow" w:eastAsia="Times New Roman" w:hAnsi="Arial Narrow" w:cs="Calibri"/>
                <w:b/>
                <w:bCs/>
                <w:sz w:val="18"/>
                <w:szCs w:val="18"/>
                <w:lang w:eastAsia="sk-SK"/>
              </w:rPr>
              <w:t>2034</w:t>
            </w:r>
          </w:p>
        </w:tc>
        <w:tc>
          <w:tcPr>
            <w:tcW w:w="651" w:type="dxa"/>
            <w:tcBorders>
              <w:top w:val="nil"/>
              <w:left w:val="nil"/>
              <w:bottom w:val="single" w:sz="8" w:space="0" w:color="auto"/>
              <w:right w:val="nil"/>
            </w:tcBorders>
            <w:shd w:val="clear" w:color="auto" w:fill="auto"/>
            <w:vAlign w:val="center"/>
            <w:hideMark/>
          </w:tcPr>
          <w:p w14:paraId="5AB669F3" w14:textId="77777777" w:rsidR="00C1228B" w:rsidRPr="00B3111E" w:rsidRDefault="00C1228B" w:rsidP="00616580">
            <w:pPr>
              <w:spacing w:after="0" w:line="240" w:lineRule="auto"/>
              <w:jc w:val="center"/>
              <w:rPr>
                <w:rFonts w:ascii="Arial Narrow" w:eastAsia="Times New Roman" w:hAnsi="Arial Narrow" w:cs="Calibri"/>
                <w:b/>
                <w:bCs/>
                <w:sz w:val="18"/>
                <w:szCs w:val="18"/>
                <w:lang w:eastAsia="sk-SK"/>
              </w:rPr>
            </w:pPr>
            <w:r w:rsidRPr="00B3111E">
              <w:rPr>
                <w:rFonts w:ascii="Arial Narrow" w:eastAsia="Times New Roman" w:hAnsi="Arial Narrow" w:cs="Calibri"/>
                <w:b/>
                <w:bCs/>
                <w:sz w:val="18"/>
                <w:szCs w:val="18"/>
                <w:lang w:eastAsia="sk-SK"/>
              </w:rPr>
              <w:t>2035</w:t>
            </w:r>
          </w:p>
        </w:tc>
        <w:tc>
          <w:tcPr>
            <w:tcW w:w="651" w:type="dxa"/>
            <w:tcBorders>
              <w:top w:val="nil"/>
              <w:left w:val="nil"/>
              <w:bottom w:val="single" w:sz="8" w:space="0" w:color="auto"/>
              <w:right w:val="nil"/>
            </w:tcBorders>
            <w:shd w:val="clear" w:color="auto" w:fill="auto"/>
            <w:vAlign w:val="center"/>
            <w:hideMark/>
          </w:tcPr>
          <w:p w14:paraId="230B71F6" w14:textId="77777777" w:rsidR="00C1228B" w:rsidRPr="00B3111E" w:rsidRDefault="00C1228B" w:rsidP="00616580">
            <w:pPr>
              <w:spacing w:after="0" w:line="240" w:lineRule="auto"/>
              <w:jc w:val="center"/>
              <w:rPr>
                <w:rFonts w:ascii="Arial Narrow" w:eastAsia="Times New Roman" w:hAnsi="Arial Narrow" w:cs="Calibri"/>
                <w:b/>
                <w:bCs/>
                <w:sz w:val="18"/>
                <w:szCs w:val="18"/>
                <w:lang w:eastAsia="sk-SK"/>
              </w:rPr>
            </w:pPr>
            <w:r w:rsidRPr="00B3111E">
              <w:rPr>
                <w:rFonts w:ascii="Arial Narrow" w:eastAsia="Times New Roman" w:hAnsi="Arial Narrow" w:cs="Calibri"/>
                <w:b/>
                <w:bCs/>
                <w:sz w:val="18"/>
                <w:szCs w:val="18"/>
                <w:lang w:eastAsia="sk-SK"/>
              </w:rPr>
              <w:t>2036</w:t>
            </w:r>
          </w:p>
        </w:tc>
        <w:tc>
          <w:tcPr>
            <w:tcW w:w="651" w:type="dxa"/>
            <w:tcBorders>
              <w:top w:val="nil"/>
              <w:left w:val="nil"/>
              <w:bottom w:val="single" w:sz="8" w:space="0" w:color="auto"/>
              <w:right w:val="nil"/>
            </w:tcBorders>
            <w:shd w:val="clear" w:color="auto" w:fill="auto"/>
            <w:vAlign w:val="center"/>
            <w:hideMark/>
          </w:tcPr>
          <w:p w14:paraId="091FA650" w14:textId="77777777" w:rsidR="00C1228B" w:rsidRPr="00B3111E" w:rsidRDefault="00C1228B" w:rsidP="00616580">
            <w:pPr>
              <w:spacing w:after="0" w:line="240" w:lineRule="auto"/>
              <w:jc w:val="center"/>
              <w:rPr>
                <w:rFonts w:ascii="Arial Narrow" w:eastAsia="Times New Roman" w:hAnsi="Arial Narrow" w:cs="Calibri"/>
                <w:b/>
                <w:bCs/>
                <w:sz w:val="18"/>
                <w:szCs w:val="18"/>
                <w:lang w:eastAsia="sk-SK"/>
              </w:rPr>
            </w:pPr>
            <w:r w:rsidRPr="00B3111E">
              <w:rPr>
                <w:rFonts w:ascii="Arial Narrow" w:eastAsia="Times New Roman" w:hAnsi="Arial Narrow" w:cs="Calibri"/>
                <w:b/>
                <w:bCs/>
                <w:sz w:val="18"/>
                <w:szCs w:val="18"/>
                <w:lang w:eastAsia="sk-SK"/>
              </w:rPr>
              <w:t>2037</w:t>
            </w:r>
          </w:p>
        </w:tc>
        <w:tc>
          <w:tcPr>
            <w:tcW w:w="651" w:type="dxa"/>
            <w:tcBorders>
              <w:top w:val="nil"/>
              <w:left w:val="nil"/>
              <w:bottom w:val="single" w:sz="8" w:space="0" w:color="auto"/>
              <w:right w:val="nil"/>
            </w:tcBorders>
            <w:shd w:val="clear" w:color="auto" w:fill="auto"/>
            <w:vAlign w:val="center"/>
            <w:hideMark/>
          </w:tcPr>
          <w:p w14:paraId="1E3C0A87" w14:textId="77777777" w:rsidR="00C1228B" w:rsidRPr="00B3111E" w:rsidRDefault="00C1228B" w:rsidP="00616580">
            <w:pPr>
              <w:spacing w:after="0" w:line="240" w:lineRule="auto"/>
              <w:jc w:val="center"/>
              <w:rPr>
                <w:rFonts w:ascii="Arial Narrow" w:eastAsia="Times New Roman" w:hAnsi="Arial Narrow" w:cs="Calibri"/>
                <w:b/>
                <w:bCs/>
                <w:sz w:val="18"/>
                <w:szCs w:val="18"/>
                <w:lang w:eastAsia="sk-SK"/>
              </w:rPr>
            </w:pPr>
            <w:r w:rsidRPr="00B3111E">
              <w:rPr>
                <w:rFonts w:ascii="Arial Narrow" w:eastAsia="Times New Roman" w:hAnsi="Arial Narrow" w:cs="Calibri"/>
                <w:b/>
                <w:bCs/>
                <w:sz w:val="18"/>
                <w:szCs w:val="18"/>
                <w:lang w:eastAsia="sk-SK"/>
              </w:rPr>
              <w:t>2038</w:t>
            </w:r>
          </w:p>
        </w:tc>
      </w:tr>
      <w:tr w:rsidR="00406023" w:rsidRPr="00196FA8" w14:paraId="0248D3D9" w14:textId="77777777" w:rsidTr="00B218F9">
        <w:trPr>
          <w:trHeight w:val="309"/>
        </w:trPr>
        <w:tc>
          <w:tcPr>
            <w:tcW w:w="385" w:type="dxa"/>
            <w:tcBorders>
              <w:top w:val="nil"/>
              <w:left w:val="nil"/>
              <w:bottom w:val="nil"/>
              <w:right w:val="nil"/>
            </w:tcBorders>
            <w:shd w:val="clear" w:color="auto" w:fill="DEEAF6" w:themeFill="accent5" w:themeFillTint="33"/>
            <w:vAlign w:val="center"/>
            <w:hideMark/>
          </w:tcPr>
          <w:p w14:paraId="64D377BB" w14:textId="77777777" w:rsidR="00406023" w:rsidRPr="00406023" w:rsidRDefault="00406023" w:rsidP="00406023">
            <w:pPr>
              <w:spacing w:after="0" w:line="240" w:lineRule="auto"/>
              <w:jc w:val="center"/>
              <w:rPr>
                <w:rFonts w:ascii="Arial Narrow" w:eastAsia="Times New Roman" w:hAnsi="Arial Narrow" w:cs="Calibri"/>
                <w:sz w:val="16"/>
                <w:szCs w:val="16"/>
                <w:lang w:eastAsia="sk-SK"/>
              </w:rPr>
            </w:pPr>
            <w:r w:rsidRPr="00406023">
              <w:rPr>
                <w:rFonts w:ascii="Arial Narrow" w:eastAsia="Times New Roman" w:hAnsi="Arial Narrow" w:cs="Calibri"/>
                <w:sz w:val="16"/>
                <w:szCs w:val="16"/>
                <w:lang w:eastAsia="sk-SK"/>
              </w:rPr>
              <w:t>1</w:t>
            </w:r>
          </w:p>
        </w:tc>
        <w:tc>
          <w:tcPr>
            <w:tcW w:w="2702" w:type="dxa"/>
            <w:tcBorders>
              <w:top w:val="single" w:sz="8" w:space="0" w:color="auto"/>
              <w:left w:val="nil"/>
              <w:bottom w:val="nil"/>
              <w:right w:val="nil"/>
            </w:tcBorders>
            <w:shd w:val="clear" w:color="auto" w:fill="DEEAF6" w:themeFill="accent5" w:themeFillTint="33"/>
            <w:vAlign w:val="center"/>
            <w:hideMark/>
          </w:tcPr>
          <w:p w14:paraId="1FA524BE" w14:textId="77777777" w:rsidR="00406023" w:rsidRPr="00406023" w:rsidRDefault="00406023" w:rsidP="00406023">
            <w:pPr>
              <w:spacing w:after="0" w:line="240" w:lineRule="auto"/>
              <w:rPr>
                <w:rFonts w:ascii="Arial Narrow" w:eastAsia="Times New Roman" w:hAnsi="Arial Narrow" w:cs="Calibri"/>
                <w:b/>
                <w:bCs/>
                <w:sz w:val="16"/>
                <w:szCs w:val="16"/>
                <w:lang w:eastAsia="sk-SK"/>
              </w:rPr>
            </w:pPr>
            <w:r w:rsidRPr="00406023">
              <w:rPr>
                <w:rFonts w:ascii="Arial Narrow" w:eastAsia="Times New Roman" w:hAnsi="Arial Narrow" w:cs="Calibri"/>
                <w:b/>
                <w:bCs/>
                <w:sz w:val="16"/>
                <w:szCs w:val="16"/>
                <w:lang w:eastAsia="sk-SK"/>
              </w:rPr>
              <w:t>Hrubý dlh (% HDP)</w:t>
            </w:r>
          </w:p>
        </w:tc>
        <w:tc>
          <w:tcPr>
            <w:tcW w:w="724" w:type="dxa"/>
            <w:tcBorders>
              <w:top w:val="nil"/>
              <w:left w:val="nil"/>
              <w:bottom w:val="nil"/>
              <w:right w:val="nil"/>
            </w:tcBorders>
            <w:shd w:val="clear" w:color="auto" w:fill="DEEAF6" w:themeFill="accent5" w:themeFillTint="33"/>
            <w:vAlign w:val="center"/>
            <w:hideMark/>
          </w:tcPr>
          <w:p w14:paraId="1D7F49DE" w14:textId="75714172"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56,0</w:t>
            </w:r>
          </w:p>
        </w:tc>
        <w:tc>
          <w:tcPr>
            <w:tcW w:w="651" w:type="dxa"/>
            <w:tcBorders>
              <w:top w:val="nil"/>
              <w:left w:val="nil"/>
              <w:bottom w:val="nil"/>
              <w:right w:val="nil"/>
            </w:tcBorders>
            <w:shd w:val="clear" w:color="auto" w:fill="DEEAF6" w:themeFill="accent5" w:themeFillTint="33"/>
            <w:vAlign w:val="center"/>
            <w:hideMark/>
          </w:tcPr>
          <w:p w14:paraId="37419002" w14:textId="14E89818"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58,5</w:t>
            </w:r>
          </w:p>
        </w:tc>
        <w:tc>
          <w:tcPr>
            <w:tcW w:w="651" w:type="dxa"/>
            <w:tcBorders>
              <w:top w:val="nil"/>
              <w:left w:val="nil"/>
              <w:bottom w:val="nil"/>
              <w:right w:val="nil"/>
            </w:tcBorders>
            <w:shd w:val="clear" w:color="auto" w:fill="DEEAF6" w:themeFill="accent5" w:themeFillTint="33"/>
            <w:vAlign w:val="center"/>
            <w:hideMark/>
          </w:tcPr>
          <w:p w14:paraId="693E65B4" w14:textId="3A1F96ED"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59,8</w:t>
            </w:r>
          </w:p>
        </w:tc>
        <w:tc>
          <w:tcPr>
            <w:tcW w:w="651" w:type="dxa"/>
            <w:tcBorders>
              <w:top w:val="nil"/>
              <w:left w:val="nil"/>
              <w:bottom w:val="nil"/>
              <w:right w:val="nil"/>
            </w:tcBorders>
            <w:shd w:val="clear" w:color="auto" w:fill="DEEAF6" w:themeFill="accent5" w:themeFillTint="33"/>
            <w:vAlign w:val="center"/>
            <w:hideMark/>
          </w:tcPr>
          <w:p w14:paraId="19D0A773" w14:textId="68EDE381"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61,6</w:t>
            </w:r>
          </w:p>
        </w:tc>
        <w:tc>
          <w:tcPr>
            <w:tcW w:w="651" w:type="dxa"/>
            <w:tcBorders>
              <w:top w:val="nil"/>
              <w:left w:val="nil"/>
              <w:bottom w:val="nil"/>
              <w:right w:val="nil"/>
            </w:tcBorders>
            <w:shd w:val="clear" w:color="auto" w:fill="DEEAF6" w:themeFill="accent5" w:themeFillTint="33"/>
            <w:vAlign w:val="center"/>
            <w:hideMark/>
          </w:tcPr>
          <w:p w14:paraId="74B4A052" w14:textId="093DAACD"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62,1</w:t>
            </w:r>
          </w:p>
        </w:tc>
        <w:tc>
          <w:tcPr>
            <w:tcW w:w="651" w:type="dxa"/>
            <w:tcBorders>
              <w:top w:val="nil"/>
              <w:left w:val="nil"/>
              <w:bottom w:val="nil"/>
              <w:right w:val="nil"/>
            </w:tcBorders>
            <w:shd w:val="clear" w:color="auto" w:fill="DEEAF6" w:themeFill="accent5" w:themeFillTint="33"/>
            <w:vAlign w:val="center"/>
            <w:hideMark/>
          </w:tcPr>
          <w:p w14:paraId="507756CF" w14:textId="1DCE3345"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61,4</w:t>
            </w:r>
          </w:p>
        </w:tc>
        <w:tc>
          <w:tcPr>
            <w:tcW w:w="651" w:type="dxa"/>
            <w:tcBorders>
              <w:top w:val="nil"/>
              <w:left w:val="nil"/>
              <w:bottom w:val="nil"/>
              <w:right w:val="nil"/>
            </w:tcBorders>
            <w:shd w:val="clear" w:color="auto" w:fill="DEEAF6" w:themeFill="accent5" w:themeFillTint="33"/>
            <w:vAlign w:val="center"/>
            <w:hideMark/>
          </w:tcPr>
          <w:p w14:paraId="0D4A2822" w14:textId="0A91ABC5"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60,0</w:t>
            </w:r>
          </w:p>
        </w:tc>
        <w:tc>
          <w:tcPr>
            <w:tcW w:w="651" w:type="dxa"/>
            <w:tcBorders>
              <w:top w:val="nil"/>
              <w:left w:val="nil"/>
              <w:bottom w:val="nil"/>
              <w:right w:val="nil"/>
            </w:tcBorders>
            <w:shd w:val="clear" w:color="auto" w:fill="DEEAF6" w:themeFill="accent5" w:themeFillTint="33"/>
            <w:vAlign w:val="center"/>
            <w:hideMark/>
          </w:tcPr>
          <w:p w14:paraId="70F24729" w14:textId="117765E8"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58,6</w:t>
            </w:r>
          </w:p>
        </w:tc>
        <w:tc>
          <w:tcPr>
            <w:tcW w:w="651" w:type="dxa"/>
            <w:tcBorders>
              <w:top w:val="nil"/>
              <w:left w:val="nil"/>
              <w:bottom w:val="nil"/>
              <w:right w:val="nil"/>
            </w:tcBorders>
            <w:shd w:val="clear" w:color="auto" w:fill="DEEAF6" w:themeFill="accent5" w:themeFillTint="33"/>
            <w:vAlign w:val="center"/>
            <w:hideMark/>
          </w:tcPr>
          <w:p w14:paraId="19A0F38C" w14:textId="2C8D37BF"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57,1</w:t>
            </w:r>
          </w:p>
        </w:tc>
        <w:tc>
          <w:tcPr>
            <w:tcW w:w="651" w:type="dxa"/>
            <w:tcBorders>
              <w:top w:val="nil"/>
              <w:left w:val="nil"/>
              <w:bottom w:val="nil"/>
              <w:right w:val="nil"/>
            </w:tcBorders>
            <w:shd w:val="clear" w:color="auto" w:fill="DEEAF6" w:themeFill="accent5" w:themeFillTint="33"/>
            <w:vAlign w:val="center"/>
            <w:hideMark/>
          </w:tcPr>
          <w:p w14:paraId="4EABFAE1" w14:textId="40A05249"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56,2</w:t>
            </w:r>
          </w:p>
        </w:tc>
        <w:tc>
          <w:tcPr>
            <w:tcW w:w="651" w:type="dxa"/>
            <w:tcBorders>
              <w:top w:val="nil"/>
              <w:left w:val="nil"/>
              <w:bottom w:val="nil"/>
              <w:right w:val="nil"/>
            </w:tcBorders>
            <w:shd w:val="clear" w:color="auto" w:fill="DEEAF6" w:themeFill="accent5" w:themeFillTint="33"/>
            <w:vAlign w:val="center"/>
            <w:hideMark/>
          </w:tcPr>
          <w:p w14:paraId="36C46C58" w14:textId="61818153"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55,6</w:t>
            </w:r>
          </w:p>
        </w:tc>
        <w:tc>
          <w:tcPr>
            <w:tcW w:w="651" w:type="dxa"/>
            <w:tcBorders>
              <w:top w:val="nil"/>
              <w:left w:val="nil"/>
              <w:bottom w:val="nil"/>
              <w:right w:val="nil"/>
            </w:tcBorders>
            <w:shd w:val="clear" w:color="auto" w:fill="DEEAF6" w:themeFill="accent5" w:themeFillTint="33"/>
            <w:vAlign w:val="center"/>
            <w:hideMark/>
          </w:tcPr>
          <w:p w14:paraId="287D474F" w14:textId="404B3FF1"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55,1</w:t>
            </w:r>
          </w:p>
        </w:tc>
        <w:tc>
          <w:tcPr>
            <w:tcW w:w="651" w:type="dxa"/>
            <w:tcBorders>
              <w:top w:val="nil"/>
              <w:left w:val="nil"/>
              <w:bottom w:val="nil"/>
              <w:right w:val="nil"/>
            </w:tcBorders>
            <w:shd w:val="clear" w:color="auto" w:fill="DEEAF6" w:themeFill="accent5" w:themeFillTint="33"/>
            <w:vAlign w:val="center"/>
            <w:hideMark/>
          </w:tcPr>
          <w:p w14:paraId="69256548" w14:textId="21E0E4E2"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54,8</w:t>
            </w:r>
          </w:p>
        </w:tc>
        <w:tc>
          <w:tcPr>
            <w:tcW w:w="651" w:type="dxa"/>
            <w:tcBorders>
              <w:top w:val="nil"/>
              <w:left w:val="nil"/>
              <w:bottom w:val="nil"/>
              <w:right w:val="nil"/>
            </w:tcBorders>
            <w:shd w:val="clear" w:color="auto" w:fill="DEEAF6" w:themeFill="accent5" w:themeFillTint="33"/>
            <w:vAlign w:val="center"/>
            <w:hideMark/>
          </w:tcPr>
          <w:p w14:paraId="5AAB7537" w14:textId="4BB96DE5"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54,6</w:t>
            </w:r>
          </w:p>
        </w:tc>
        <w:tc>
          <w:tcPr>
            <w:tcW w:w="651" w:type="dxa"/>
            <w:tcBorders>
              <w:top w:val="nil"/>
              <w:left w:val="nil"/>
              <w:bottom w:val="nil"/>
              <w:right w:val="nil"/>
            </w:tcBorders>
            <w:shd w:val="clear" w:color="auto" w:fill="DEEAF6" w:themeFill="accent5" w:themeFillTint="33"/>
            <w:vAlign w:val="center"/>
            <w:hideMark/>
          </w:tcPr>
          <w:p w14:paraId="7EBC94B2" w14:textId="23B9C216"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54,6</w:t>
            </w:r>
          </w:p>
        </w:tc>
        <w:tc>
          <w:tcPr>
            <w:tcW w:w="651" w:type="dxa"/>
            <w:tcBorders>
              <w:top w:val="nil"/>
              <w:left w:val="nil"/>
              <w:bottom w:val="nil"/>
              <w:right w:val="nil"/>
            </w:tcBorders>
            <w:shd w:val="clear" w:color="auto" w:fill="DEEAF6" w:themeFill="accent5" w:themeFillTint="33"/>
            <w:vAlign w:val="center"/>
            <w:hideMark/>
          </w:tcPr>
          <w:p w14:paraId="23A16913" w14:textId="28577BF1"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54,8</w:t>
            </w:r>
          </w:p>
        </w:tc>
      </w:tr>
      <w:tr w:rsidR="00406023" w:rsidRPr="00196FA8" w14:paraId="17FCA8E7" w14:textId="77777777" w:rsidTr="00B218F9">
        <w:trPr>
          <w:trHeight w:val="309"/>
        </w:trPr>
        <w:tc>
          <w:tcPr>
            <w:tcW w:w="385" w:type="dxa"/>
            <w:tcBorders>
              <w:top w:val="nil"/>
              <w:left w:val="nil"/>
              <w:bottom w:val="nil"/>
              <w:right w:val="nil"/>
            </w:tcBorders>
            <w:shd w:val="clear" w:color="auto" w:fill="DEEAF6" w:themeFill="accent5" w:themeFillTint="33"/>
            <w:vAlign w:val="center"/>
            <w:hideMark/>
          </w:tcPr>
          <w:p w14:paraId="3EF3EC6C" w14:textId="77777777" w:rsidR="00406023" w:rsidRPr="00406023" w:rsidRDefault="00406023" w:rsidP="00406023">
            <w:pPr>
              <w:spacing w:after="0" w:line="240" w:lineRule="auto"/>
              <w:jc w:val="center"/>
              <w:rPr>
                <w:rFonts w:ascii="Arial Narrow" w:eastAsia="Times New Roman" w:hAnsi="Arial Narrow" w:cs="Calibri"/>
                <w:sz w:val="16"/>
                <w:szCs w:val="16"/>
                <w:lang w:eastAsia="sk-SK"/>
              </w:rPr>
            </w:pPr>
            <w:r w:rsidRPr="00406023">
              <w:rPr>
                <w:rFonts w:ascii="Arial Narrow" w:eastAsia="Times New Roman" w:hAnsi="Arial Narrow" w:cs="Calibri"/>
                <w:sz w:val="16"/>
                <w:szCs w:val="16"/>
                <w:lang w:eastAsia="sk-SK"/>
              </w:rPr>
              <w:t>2</w:t>
            </w:r>
          </w:p>
        </w:tc>
        <w:tc>
          <w:tcPr>
            <w:tcW w:w="2702" w:type="dxa"/>
            <w:tcBorders>
              <w:top w:val="nil"/>
              <w:left w:val="nil"/>
              <w:bottom w:val="nil"/>
              <w:right w:val="nil"/>
            </w:tcBorders>
            <w:shd w:val="clear" w:color="auto" w:fill="DEEAF6" w:themeFill="accent5" w:themeFillTint="33"/>
            <w:vAlign w:val="center"/>
            <w:hideMark/>
          </w:tcPr>
          <w:p w14:paraId="2EC1B4BE" w14:textId="77777777" w:rsidR="00406023" w:rsidRPr="00406023" w:rsidRDefault="00406023" w:rsidP="00406023">
            <w:pPr>
              <w:spacing w:after="0" w:line="240" w:lineRule="auto"/>
              <w:rPr>
                <w:rFonts w:ascii="Arial Narrow" w:eastAsia="Times New Roman" w:hAnsi="Arial Narrow" w:cs="Calibri"/>
                <w:b/>
                <w:bCs/>
                <w:sz w:val="16"/>
                <w:szCs w:val="16"/>
                <w:lang w:eastAsia="sk-SK"/>
              </w:rPr>
            </w:pPr>
            <w:r w:rsidRPr="00406023">
              <w:rPr>
                <w:rFonts w:ascii="Arial Narrow" w:eastAsia="Times New Roman" w:hAnsi="Arial Narrow" w:cs="Calibri"/>
                <w:b/>
                <w:bCs/>
                <w:sz w:val="16"/>
                <w:szCs w:val="16"/>
                <w:lang w:eastAsia="sk-SK"/>
              </w:rPr>
              <w:t>Saldo verejnej správy (% HDP)</w:t>
            </w:r>
          </w:p>
        </w:tc>
        <w:tc>
          <w:tcPr>
            <w:tcW w:w="724" w:type="dxa"/>
            <w:tcBorders>
              <w:top w:val="nil"/>
              <w:left w:val="nil"/>
              <w:bottom w:val="nil"/>
              <w:right w:val="nil"/>
            </w:tcBorders>
            <w:shd w:val="clear" w:color="auto" w:fill="DEEAF6" w:themeFill="accent5" w:themeFillTint="33"/>
            <w:vAlign w:val="center"/>
            <w:hideMark/>
          </w:tcPr>
          <w:p w14:paraId="583FAEC5" w14:textId="3F3A9E0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-4,9</w:t>
            </w:r>
          </w:p>
        </w:tc>
        <w:tc>
          <w:tcPr>
            <w:tcW w:w="651" w:type="dxa"/>
            <w:tcBorders>
              <w:top w:val="nil"/>
              <w:left w:val="nil"/>
              <w:bottom w:val="nil"/>
              <w:right w:val="nil"/>
            </w:tcBorders>
            <w:shd w:val="clear" w:color="auto" w:fill="DEEAF6" w:themeFill="accent5" w:themeFillTint="33"/>
            <w:vAlign w:val="center"/>
            <w:hideMark/>
          </w:tcPr>
          <w:p w14:paraId="1E209BED" w14:textId="46CC2A7C"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-5,9</w:t>
            </w:r>
          </w:p>
        </w:tc>
        <w:tc>
          <w:tcPr>
            <w:tcW w:w="651" w:type="dxa"/>
            <w:tcBorders>
              <w:top w:val="nil"/>
              <w:left w:val="nil"/>
              <w:bottom w:val="nil"/>
              <w:right w:val="nil"/>
            </w:tcBorders>
            <w:shd w:val="clear" w:color="auto" w:fill="DEEAF6" w:themeFill="accent5" w:themeFillTint="33"/>
            <w:vAlign w:val="center"/>
            <w:hideMark/>
          </w:tcPr>
          <w:p w14:paraId="640A9D33" w14:textId="2186B1A3"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-5,1</w:t>
            </w:r>
          </w:p>
        </w:tc>
        <w:tc>
          <w:tcPr>
            <w:tcW w:w="651" w:type="dxa"/>
            <w:tcBorders>
              <w:top w:val="nil"/>
              <w:left w:val="nil"/>
              <w:bottom w:val="nil"/>
              <w:right w:val="nil"/>
            </w:tcBorders>
            <w:shd w:val="clear" w:color="auto" w:fill="DEEAF6" w:themeFill="accent5" w:themeFillTint="33"/>
            <w:vAlign w:val="center"/>
            <w:hideMark/>
          </w:tcPr>
          <w:p w14:paraId="063DA006" w14:textId="475984D8"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-3,9</w:t>
            </w:r>
          </w:p>
        </w:tc>
        <w:tc>
          <w:tcPr>
            <w:tcW w:w="651" w:type="dxa"/>
            <w:tcBorders>
              <w:top w:val="nil"/>
              <w:left w:val="nil"/>
              <w:bottom w:val="nil"/>
              <w:right w:val="nil"/>
            </w:tcBorders>
            <w:shd w:val="clear" w:color="auto" w:fill="DEEAF6" w:themeFill="accent5" w:themeFillTint="33"/>
            <w:vAlign w:val="center"/>
            <w:hideMark/>
          </w:tcPr>
          <w:p w14:paraId="0530A847" w14:textId="504A2903"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-2,9</w:t>
            </w:r>
          </w:p>
        </w:tc>
        <w:tc>
          <w:tcPr>
            <w:tcW w:w="651" w:type="dxa"/>
            <w:tcBorders>
              <w:top w:val="nil"/>
              <w:left w:val="nil"/>
              <w:bottom w:val="nil"/>
              <w:right w:val="nil"/>
            </w:tcBorders>
            <w:shd w:val="clear" w:color="auto" w:fill="DEEAF6" w:themeFill="accent5" w:themeFillTint="33"/>
            <w:vAlign w:val="center"/>
            <w:hideMark/>
          </w:tcPr>
          <w:p w14:paraId="36B451B5" w14:textId="48142A1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-1,8</w:t>
            </w:r>
          </w:p>
        </w:tc>
        <w:tc>
          <w:tcPr>
            <w:tcW w:w="651" w:type="dxa"/>
            <w:tcBorders>
              <w:top w:val="nil"/>
              <w:left w:val="nil"/>
              <w:bottom w:val="nil"/>
              <w:right w:val="nil"/>
            </w:tcBorders>
            <w:shd w:val="clear" w:color="auto" w:fill="DEEAF6" w:themeFill="accent5" w:themeFillTint="33"/>
            <w:vAlign w:val="center"/>
            <w:hideMark/>
          </w:tcPr>
          <w:p w14:paraId="3EAF6326" w14:textId="489E76B6"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-1,6</w:t>
            </w:r>
          </w:p>
        </w:tc>
        <w:tc>
          <w:tcPr>
            <w:tcW w:w="651" w:type="dxa"/>
            <w:tcBorders>
              <w:top w:val="nil"/>
              <w:left w:val="nil"/>
              <w:bottom w:val="nil"/>
              <w:right w:val="nil"/>
            </w:tcBorders>
            <w:shd w:val="clear" w:color="auto" w:fill="DEEAF6" w:themeFill="accent5" w:themeFillTint="33"/>
            <w:vAlign w:val="center"/>
            <w:hideMark/>
          </w:tcPr>
          <w:p w14:paraId="697B6CD6" w14:textId="023D083A"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-1,5</w:t>
            </w:r>
          </w:p>
        </w:tc>
        <w:tc>
          <w:tcPr>
            <w:tcW w:w="651" w:type="dxa"/>
            <w:tcBorders>
              <w:top w:val="nil"/>
              <w:left w:val="nil"/>
              <w:bottom w:val="nil"/>
              <w:right w:val="nil"/>
            </w:tcBorders>
            <w:shd w:val="clear" w:color="auto" w:fill="DEEAF6" w:themeFill="accent5" w:themeFillTint="33"/>
            <w:vAlign w:val="center"/>
            <w:hideMark/>
          </w:tcPr>
          <w:p w14:paraId="3F0B4B3F" w14:textId="7A713FF4"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-1,3</w:t>
            </w:r>
          </w:p>
        </w:tc>
        <w:tc>
          <w:tcPr>
            <w:tcW w:w="651" w:type="dxa"/>
            <w:tcBorders>
              <w:top w:val="nil"/>
              <w:left w:val="nil"/>
              <w:bottom w:val="nil"/>
              <w:right w:val="nil"/>
            </w:tcBorders>
            <w:shd w:val="clear" w:color="auto" w:fill="DEEAF6" w:themeFill="accent5" w:themeFillTint="33"/>
            <w:vAlign w:val="center"/>
            <w:hideMark/>
          </w:tcPr>
          <w:p w14:paraId="2F52933E" w14:textId="65AF7E42"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-1,5</w:t>
            </w:r>
          </w:p>
        </w:tc>
        <w:tc>
          <w:tcPr>
            <w:tcW w:w="651" w:type="dxa"/>
            <w:tcBorders>
              <w:top w:val="nil"/>
              <w:left w:val="nil"/>
              <w:bottom w:val="nil"/>
              <w:right w:val="nil"/>
            </w:tcBorders>
            <w:shd w:val="clear" w:color="auto" w:fill="DEEAF6" w:themeFill="accent5" w:themeFillTint="33"/>
            <w:vAlign w:val="center"/>
            <w:hideMark/>
          </w:tcPr>
          <w:p w14:paraId="0DE785D2" w14:textId="188B9C3F"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-1,6</w:t>
            </w:r>
          </w:p>
        </w:tc>
        <w:tc>
          <w:tcPr>
            <w:tcW w:w="651" w:type="dxa"/>
            <w:tcBorders>
              <w:top w:val="nil"/>
              <w:left w:val="nil"/>
              <w:bottom w:val="nil"/>
              <w:right w:val="nil"/>
            </w:tcBorders>
            <w:shd w:val="clear" w:color="auto" w:fill="DEEAF6" w:themeFill="accent5" w:themeFillTint="33"/>
            <w:vAlign w:val="center"/>
            <w:hideMark/>
          </w:tcPr>
          <w:p w14:paraId="06058A08" w14:textId="3EF5D07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-1,8</w:t>
            </w:r>
          </w:p>
        </w:tc>
        <w:tc>
          <w:tcPr>
            <w:tcW w:w="651" w:type="dxa"/>
            <w:tcBorders>
              <w:top w:val="nil"/>
              <w:left w:val="nil"/>
              <w:bottom w:val="nil"/>
              <w:right w:val="nil"/>
            </w:tcBorders>
            <w:shd w:val="clear" w:color="auto" w:fill="DEEAF6" w:themeFill="accent5" w:themeFillTint="33"/>
            <w:vAlign w:val="center"/>
            <w:hideMark/>
          </w:tcPr>
          <w:p w14:paraId="1D8D05FD" w14:textId="774A3153"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-1,9</w:t>
            </w:r>
          </w:p>
        </w:tc>
        <w:tc>
          <w:tcPr>
            <w:tcW w:w="651" w:type="dxa"/>
            <w:tcBorders>
              <w:top w:val="nil"/>
              <w:left w:val="nil"/>
              <w:bottom w:val="nil"/>
              <w:right w:val="nil"/>
            </w:tcBorders>
            <w:shd w:val="clear" w:color="auto" w:fill="DEEAF6" w:themeFill="accent5" w:themeFillTint="33"/>
            <w:vAlign w:val="center"/>
            <w:hideMark/>
          </w:tcPr>
          <w:p w14:paraId="462B6D69" w14:textId="745338C8"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-2,0</w:t>
            </w:r>
          </w:p>
        </w:tc>
        <w:tc>
          <w:tcPr>
            <w:tcW w:w="651" w:type="dxa"/>
            <w:tcBorders>
              <w:top w:val="nil"/>
              <w:left w:val="nil"/>
              <w:bottom w:val="nil"/>
              <w:right w:val="nil"/>
            </w:tcBorders>
            <w:shd w:val="clear" w:color="auto" w:fill="DEEAF6" w:themeFill="accent5" w:themeFillTint="33"/>
            <w:vAlign w:val="center"/>
            <w:hideMark/>
          </w:tcPr>
          <w:p w14:paraId="0B113F52" w14:textId="37B645C5"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-2,1</w:t>
            </w:r>
          </w:p>
        </w:tc>
        <w:tc>
          <w:tcPr>
            <w:tcW w:w="651" w:type="dxa"/>
            <w:tcBorders>
              <w:top w:val="nil"/>
              <w:left w:val="nil"/>
              <w:bottom w:val="nil"/>
              <w:right w:val="nil"/>
            </w:tcBorders>
            <w:shd w:val="clear" w:color="auto" w:fill="DEEAF6" w:themeFill="accent5" w:themeFillTint="33"/>
            <w:vAlign w:val="center"/>
            <w:hideMark/>
          </w:tcPr>
          <w:p w14:paraId="2FB6EF07" w14:textId="669F6CCF"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-2,3</w:t>
            </w:r>
          </w:p>
        </w:tc>
      </w:tr>
      <w:tr w:rsidR="00406023" w:rsidRPr="00196FA8" w14:paraId="6F4FEF51" w14:textId="77777777" w:rsidTr="00B218F9">
        <w:trPr>
          <w:trHeight w:val="309"/>
        </w:trPr>
        <w:tc>
          <w:tcPr>
            <w:tcW w:w="385" w:type="dxa"/>
            <w:tcBorders>
              <w:top w:val="nil"/>
              <w:left w:val="nil"/>
              <w:bottom w:val="nil"/>
              <w:right w:val="nil"/>
            </w:tcBorders>
            <w:shd w:val="clear" w:color="auto" w:fill="DEEAF6" w:themeFill="accent5" w:themeFillTint="33"/>
            <w:vAlign w:val="center"/>
            <w:hideMark/>
          </w:tcPr>
          <w:p w14:paraId="52E852B9" w14:textId="77777777" w:rsidR="00406023" w:rsidRPr="00406023" w:rsidRDefault="00406023" w:rsidP="00406023">
            <w:pPr>
              <w:spacing w:after="0" w:line="240" w:lineRule="auto"/>
              <w:jc w:val="center"/>
              <w:rPr>
                <w:rFonts w:ascii="Arial Narrow" w:eastAsia="Times New Roman" w:hAnsi="Arial Narrow" w:cs="Calibri"/>
                <w:sz w:val="16"/>
                <w:szCs w:val="16"/>
                <w:lang w:eastAsia="sk-SK"/>
              </w:rPr>
            </w:pPr>
            <w:r w:rsidRPr="00406023">
              <w:rPr>
                <w:rFonts w:ascii="Arial Narrow" w:eastAsia="Times New Roman" w:hAnsi="Arial Narrow" w:cs="Calibri"/>
                <w:sz w:val="16"/>
                <w:szCs w:val="16"/>
                <w:lang w:eastAsia="sk-SK"/>
              </w:rPr>
              <w:t>3</w:t>
            </w:r>
          </w:p>
        </w:tc>
        <w:tc>
          <w:tcPr>
            <w:tcW w:w="2702" w:type="dxa"/>
            <w:tcBorders>
              <w:top w:val="nil"/>
              <w:left w:val="nil"/>
              <w:bottom w:val="nil"/>
              <w:right w:val="nil"/>
            </w:tcBorders>
            <w:shd w:val="clear" w:color="auto" w:fill="DEEAF6" w:themeFill="accent5" w:themeFillTint="33"/>
            <w:vAlign w:val="center"/>
            <w:hideMark/>
          </w:tcPr>
          <w:p w14:paraId="35BA74E0" w14:textId="77777777" w:rsidR="00406023" w:rsidRPr="00406023" w:rsidRDefault="00406023" w:rsidP="00406023">
            <w:pPr>
              <w:spacing w:after="0" w:line="240" w:lineRule="auto"/>
              <w:rPr>
                <w:rFonts w:ascii="Arial Narrow" w:eastAsia="Times New Roman" w:hAnsi="Arial Narrow" w:cs="Calibri"/>
                <w:b/>
                <w:bCs/>
                <w:sz w:val="16"/>
                <w:szCs w:val="16"/>
                <w:lang w:eastAsia="sk-SK"/>
              </w:rPr>
            </w:pPr>
            <w:r w:rsidRPr="00406023">
              <w:rPr>
                <w:rFonts w:ascii="Arial Narrow" w:eastAsia="Times New Roman" w:hAnsi="Arial Narrow" w:cs="Calibri"/>
                <w:b/>
                <w:bCs/>
                <w:sz w:val="16"/>
                <w:szCs w:val="16"/>
                <w:lang w:eastAsia="sk-SK"/>
              </w:rPr>
              <w:t>Štrukturálne primárne saldo (% z potenciálneho HDP)</w:t>
            </w:r>
          </w:p>
        </w:tc>
        <w:tc>
          <w:tcPr>
            <w:tcW w:w="724" w:type="dxa"/>
            <w:tcBorders>
              <w:top w:val="nil"/>
              <w:left w:val="nil"/>
              <w:bottom w:val="nil"/>
              <w:right w:val="nil"/>
            </w:tcBorders>
            <w:shd w:val="clear" w:color="auto" w:fill="DEEAF6" w:themeFill="accent5" w:themeFillTint="33"/>
            <w:vAlign w:val="center"/>
            <w:hideMark/>
          </w:tcPr>
          <w:p w14:paraId="4D227DE8" w14:textId="0D1E1DAA"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-3,5</w:t>
            </w:r>
          </w:p>
        </w:tc>
        <w:tc>
          <w:tcPr>
            <w:tcW w:w="651" w:type="dxa"/>
            <w:tcBorders>
              <w:top w:val="nil"/>
              <w:left w:val="nil"/>
              <w:bottom w:val="nil"/>
              <w:right w:val="nil"/>
            </w:tcBorders>
            <w:shd w:val="clear" w:color="auto" w:fill="DEEAF6" w:themeFill="accent5" w:themeFillTint="33"/>
            <w:vAlign w:val="center"/>
            <w:hideMark/>
          </w:tcPr>
          <w:p w14:paraId="3F450087" w14:textId="5764BBC7"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-4,3</w:t>
            </w:r>
          </w:p>
        </w:tc>
        <w:tc>
          <w:tcPr>
            <w:tcW w:w="651" w:type="dxa"/>
            <w:tcBorders>
              <w:top w:val="nil"/>
              <w:left w:val="nil"/>
              <w:bottom w:val="nil"/>
              <w:right w:val="nil"/>
            </w:tcBorders>
            <w:shd w:val="clear" w:color="auto" w:fill="DEEAF6" w:themeFill="accent5" w:themeFillTint="33"/>
            <w:vAlign w:val="center"/>
            <w:hideMark/>
          </w:tcPr>
          <w:p w14:paraId="55320D50" w14:textId="4E84A3E6"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-3,5</w:t>
            </w:r>
          </w:p>
        </w:tc>
        <w:tc>
          <w:tcPr>
            <w:tcW w:w="651" w:type="dxa"/>
            <w:tcBorders>
              <w:top w:val="nil"/>
              <w:left w:val="nil"/>
              <w:bottom w:val="nil"/>
              <w:right w:val="nil"/>
            </w:tcBorders>
            <w:shd w:val="clear" w:color="auto" w:fill="DEEAF6" w:themeFill="accent5" w:themeFillTint="33"/>
            <w:vAlign w:val="center"/>
            <w:hideMark/>
          </w:tcPr>
          <w:p w14:paraId="7C35A0D5" w14:textId="519089E4"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-1,7</w:t>
            </w:r>
          </w:p>
        </w:tc>
        <w:tc>
          <w:tcPr>
            <w:tcW w:w="651" w:type="dxa"/>
            <w:tcBorders>
              <w:top w:val="nil"/>
              <w:left w:val="nil"/>
              <w:bottom w:val="nil"/>
              <w:right w:val="nil"/>
            </w:tcBorders>
            <w:shd w:val="clear" w:color="auto" w:fill="DEEAF6" w:themeFill="accent5" w:themeFillTint="33"/>
            <w:vAlign w:val="center"/>
            <w:hideMark/>
          </w:tcPr>
          <w:p w14:paraId="3068055D" w14:textId="3106D9C7"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-0,3</w:t>
            </w:r>
          </w:p>
        </w:tc>
        <w:tc>
          <w:tcPr>
            <w:tcW w:w="651" w:type="dxa"/>
            <w:tcBorders>
              <w:top w:val="nil"/>
              <w:left w:val="nil"/>
              <w:bottom w:val="nil"/>
              <w:right w:val="nil"/>
            </w:tcBorders>
            <w:shd w:val="clear" w:color="auto" w:fill="DEEAF6" w:themeFill="accent5" w:themeFillTint="33"/>
            <w:vAlign w:val="center"/>
            <w:hideMark/>
          </w:tcPr>
          <w:p w14:paraId="21A28F89" w14:textId="6EDD7AFC"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1,0</w:t>
            </w:r>
          </w:p>
        </w:tc>
        <w:tc>
          <w:tcPr>
            <w:tcW w:w="651" w:type="dxa"/>
            <w:tcBorders>
              <w:top w:val="nil"/>
              <w:left w:val="nil"/>
              <w:bottom w:val="nil"/>
              <w:right w:val="nil"/>
            </w:tcBorders>
            <w:shd w:val="clear" w:color="auto" w:fill="DEEAF6" w:themeFill="accent5" w:themeFillTint="33"/>
            <w:vAlign w:val="center"/>
            <w:hideMark/>
          </w:tcPr>
          <w:p w14:paraId="746950EF" w14:textId="41C411A1"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1,0</w:t>
            </w:r>
          </w:p>
        </w:tc>
        <w:tc>
          <w:tcPr>
            <w:tcW w:w="651" w:type="dxa"/>
            <w:tcBorders>
              <w:top w:val="nil"/>
              <w:left w:val="nil"/>
              <w:bottom w:val="nil"/>
              <w:right w:val="nil"/>
            </w:tcBorders>
            <w:shd w:val="clear" w:color="auto" w:fill="DEEAF6" w:themeFill="accent5" w:themeFillTint="33"/>
            <w:vAlign w:val="center"/>
            <w:hideMark/>
          </w:tcPr>
          <w:p w14:paraId="0752DCAF" w14:textId="19E51F8A"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1,0</w:t>
            </w:r>
          </w:p>
        </w:tc>
        <w:tc>
          <w:tcPr>
            <w:tcW w:w="651" w:type="dxa"/>
            <w:tcBorders>
              <w:top w:val="nil"/>
              <w:left w:val="nil"/>
              <w:bottom w:val="nil"/>
              <w:right w:val="nil"/>
            </w:tcBorders>
            <w:shd w:val="clear" w:color="auto" w:fill="DEEAF6" w:themeFill="accent5" w:themeFillTint="33"/>
            <w:vAlign w:val="center"/>
            <w:hideMark/>
          </w:tcPr>
          <w:p w14:paraId="10E8E2CB" w14:textId="05F7A0A4"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1,0</w:t>
            </w:r>
          </w:p>
        </w:tc>
        <w:tc>
          <w:tcPr>
            <w:tcW w:w="651" w:type="dxa"/>
            <w:tcBorders>
              <w:top w:val="nil"/>
              <w:left w:val="nil"/>
              <w:bottom w:val="nil"/>
              <w:right w:val="nil"/>
            </w:tcBorders>
            <w:shd w:val="clear" w:color="auto" w:fill="DEEAF6" w:themeFill="accent5" w:themeFillTint="33"/>
            <w:vAlign w:val="center"/>
            <w:hideMark/>
          </w:tcPr>
          <w:p w14:paraId="51514895" w14:textId="07DA6D34"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1,0</w:t>
            </w:r>
          </w:p>
        </w:tc>
        <w:tc>
          <w:tcPr>
            <w:tcW w:w="651" w:type="dxa"/>
            <w:tcBorders>
              <w:top w:val="nil"/>
              <w:left w:val="nil"/>
              <w:bottom w:val="nil"/>
              <w:right w:val="nil"/>
            </w:tcBorders>
            <w:shd w:val="clear" w:color="auto" w:fill="DEEAF6" w:themeFill="accent5" w:themeFillTint="33"/>
            <w:vAlign w:val="center"/>
            <w:hideMark/>
          </w:tcPr>
          <w:p w14:paraId="365A56DE" w14:textId="619C0B27"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1,0</w:t>
            </w:r>
          </w:p>
        </w:tc>
        <w:tc>
          <w:tcPr>
            <w:tcW w:w="651" w:type="dxa"/>
            <w:tcBorders>
              <w:top w:val="nil"/>
              <w:left w:val="nil"/>
              <w:bottom w:val="nil"/>
              <w:right w:val="nil"/>
            </w:tcBorders>
            <w:shd w:val="clear" w:color="auto" w:fill="DEEAF6" w:themeFill="accent5" w:themeFillTint="33"/>
            <w:vAlign w:val="center"/>
            <w:hideMark/>
          </w:tcPr>
          <w:p w14:paraId="42C35B37" w14:textId="3A64B7E7"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1,0</w:t>
            </w:r>
          </w:p>
        </w:tc>
        <w:tc>
          <w:tcPr>
            <w:tcW w:w="651" w:type="dxa"/>
            <w:tcBorders>
              <w:top w:val="nil"/>
              <w:left w:val="nil"/>
              <w:bottom w:val="nil"/>
              <w:right w:val="nil"/>
            </w:tcBorders>
            <w:shd w:val="clear" w:color="auto" w:fill="DEEAF6" w:themeFill="accent5" w:themeFillTint="33"/>
            <w:vAlign w:val="center"/>
            <w:hideMark/>
          </w:tcPr>
          <w:p w14:paraId="5B8F1B47" w14:textId="44EFDF8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1,0</w:t>
            </w:r>
          </w:p>
        </w:tc>
        <w:tc>
          <w:tcPr>
            <w:tcW w:w="651" w:type="dxa"/>
            <w:tcBorders>
              <w:top w:val="nil"/>
              <w:left w:val="nil"/>
              <w:bottom w:val="nil"/>
              <w:right w:val="nil"/>
            </w:tcBorders>
            <w:shd w:val="clear" w:color="auto" w:fill="DEEAF6" w:themeFill="accent5" w:themeFillTint="33"/>
            <w:vAlign w:val="center"/>
            <w:hideMark/>
          </w:tcPr>
          <w:p w14:paraId="1C166BE1" w14:textId="415E0F63"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1,0</w:t>
            </w:r>
          </w:p>
        </w:tc>
        <w:tc>
          <w:tcPr>
            <w:tcW w:w="651" w:type="dxa"/>
            <w:tcBorders>
              <w:top w:val="nil"/>
              <w:left w:val="nil"/>
              <w:bottom w:val="nil"/>
              <w:right w:val="nil"/>
            </w:tcBorders>
            <w:shd w:val="clear" w:color="auto" w:fill="DEEAF6" w:themeFill="accent5" w:themeFillTint="33"/>
            <w:vAlign w:val="center"/>
            <w:hideMark/>
          </w:tcPr>
          <w:p w14:paraId="23355E99" w14:textId="5081134B"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1,0</w:t>
            </w:r>
          </w:p>
        </w:tc>
        <w:tc>
          <w:tcPr>
            <w:tcW w:w="651" w:type="dxa"/>
            <w:tcBorders>
              <w:top w:val="nil"/>
              <w:left w:val="nil"/>
              <w:bottom w:val="nil"/>
              <w:right w:val="nil"/>
            </w:tcBorders>
            <w:shd w:val="clear" w:color="auto" w:fill="DEEAF6" w:themeFill="accent5" w:themeFillTint="33"/>
            <w:vAlign w:val="center"/>
            <w:hideMark/>
          </w:tcPr>
          <w:p w14:paraId="517ACE7A" w14:textId="02CE0548"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1,0</w:t>
            </w:r>
          </w:p>
        </w:tc>
      </w:tr>
      <w:tr w:rsidR="00406023" w:rsidRPr="00196FA8" w14:paraId="1578BB3E" w14:textId="77777777" w:rsidTr="00B218F9">
        <w:trPr>
          <w:trHeight w:val="309"/>
        </w:trPr>
        <w:tc>
          <w:tcPr>
            <w:tcW w:w="385" w:type="dxa"/>
            <w:tcBorders>
              <w:top w:val="nil"/>
              <w:left w:val="nil"/>
              <w:bottom w:val="nil"/>
              <w:right w:val="nil"/>
            </w:tcBorders>
            <w:shd w:val="clear" w:color="auto" w:fill="DEEAF6" w:themeFill="accent5" w:themeFillTint="33"/>
            <w:vAlign w:val="center"/>
            <w:hideMark/>
          </w:tcPr>
          <w:p w14:paraId="689CDDD3" w14:textId="77777777" w:rsidR="00406023" w:rsidRPr="00406023" w:rsidRDefault="00406023" w:rsidP="00406023">
            <w:pPr>
              <w:spacing w:after="0" w:line="240" w:lineRule="auto"/>
              <w:jc w:val="center"/>
              <w:rPr>
                <w:rFonts w:ascii="Arial Narrow" w:eastAsia="Times New Roman" w:hAnsi="Arial Narrow" w:cs="Calibri"/>
                <w:sz w:val="16"/>
                <w:szCs w:val="16"/>
                <w:lang w:eastAsia="sk-SK"/>
              </w:rPr>
            </w:pPr>
            <w:r w:rsidRPr="00406023">
              <w:rPr>
                <w:rFonts w:ascii="Arial Narrow" w:eastAsia="Times New Roman" w:hAnsi="Arial Narrow" w:cs="Calibri"/>
                <w:sz w:val="16"/>
                <w:szCs w:val="16"/>
                <w:lang w:eastAsia="sk-SK"/>
              </w:rPr>
              <w:t>4</w:t>
            </w:r>
          </w:p>
        </w:tc>
        <w:tc>
          <w:tcPr>
            <w:tcW w:w="2702" w:type="dxa"/>
            <w:tcBorders>
              <w:top w:val="nil"/>
              <w:left w:val="nil"/>
              <w:bottom w:val="nil"/>
              <w:right w:val="nil"/>
            </w:tcBorders>
            <w:shd w:val="clear" w:color="auto" w:fill="DEEAF6" w:themeFill="accent5" w:themeFillTint="33"/>
            <w:vAlign w:val="center"/>
            <w:hideMark/>
          </w:tcPr>
          <w:p w14:paraId="64F6DAF7" w14:textId="77777777" w:rsidR="00406023" w:rsidRPr="00406023" w:rsidRDefault="00406023" w:rsidP="00406023">
            <w:pPr>
              <w:spacing w:after="0" w:line="240" w:lineRule="auto"/>
              <w:rPr>
                <w:rFonts w:ascii="Arial Narrow" w:eastAsia="Times New Roman" w:hAnsi="Arial Narrow" w:cs="Calibri"/>
                <w:b/>
                <w:bCs/>
                <w:sz w:val="16"/>
                <w:szCs w:val="16"/>
                <w:lang w:eastAsia="sk-SK"/>
              </w:rPr>
            </w:pPr>
            <w:r w:rsidRPr="00406023">
              <w:rPr>
                <w:rFonts w:ascii="Arial Narrow" w:eastAsia="Times New Roman" w:hAnsi="Arial Narrow" w:cs="Calibri"/>
                <w:b/>
                <w:bCs/>
                <w:sz w:val="16"/>
                <w:szCs w:val="16"/>
                <w:lang w:eastAsia="sk-SK"/>
              </w:rPr>
              <w:t>Cyklická zložka (% z potenciálneho HDP)</w:t>
            </w:r>
          </w:p>
        </w:tc>
        <w:tc>
          <w:tcPr>
            <w:tcW w:w="724" w:type="dxa"/>
            <w:tcBorders>
              <w:top w:val="nil"/>
              <w:left w:val="nil"/>
              <w:bottom w:val="nil"/>
              <w:right w:val="nil"/>
            </w:tcBorders>
            <w:shd w:val="clear" w:color="auto" w:fill="DEEAF6" w:themeFill="accent5" w:themeFillTint="33"/>
            <w:vAlign w:val="center"/>
            <w:hideMark/>
          </w:tcPr>
          <w:p w14:paraId="6D3B2479" w14:textId="34AD574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0,2</w:t>
            </w:r>
          </w:p>
        </w:tc>
        <w:tc>
          <w:tcPr>
            <w:tcW w:w="651" w:type="dxa"/>
            <w:tcBorders>
              <w:top w:val="nil"/>
              <w:left w:val="nil"/>
              <w:bottom w:val="nil"/>
              <w:right w:val="nil"/>
            </w:tcBorders>
            <w:shd w:val="clear" w:color="auto" w:fill="DEEAF6" w:themeFill="accent5" w:themeFillTint="33"/>
            <w:vAlign w:val="center"/>
            <w:hideMark/>
          </w:tcPr>
          <w:p w14:paraId="10F321A2" w14:textId="78F8FFA6"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0,3</w:t>
            </w:r>
          </w:p>
        </w:tc>
        <w:tc>
          <w:tcPr>
            <w:tcW w:w="651" w:type="dxa"/>
            <w:tcBorders>
              <w:top w:val="nil"/>
              <w:left w:val="nil"/>
              <w:bottom w:val="nil"/>
              <w:right w:val="nil"/>
            </w:tcBorders>
            <w:shd w:val="clear" w:color="auto" w:fill="DEEAF6" w:themeFill="accent5" w:themeFillTint="33"/>
            <w:vAlign w:val="center"/>
            <w:hideMark/>
          </w:tcPr>
          <w:p w14:paraId="5A5DF813" w14:textId="03748C81"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0,2</w:t>
            </w:r>
          </w:p>
        </w:tc>
        <w:tc>
          <w:tcPr>
            <w:tcW w:w="651" w:type="dxa"/>
            <w:tcBorders>
              <w:top w:val="nil"/>
              <w:left w:val="nil"/>
              <w:bottom w:val="nil"/>
              <w:right w:val="nil"/>
            </w:tcBorders>
            <w:shd w:val="clear" w:color="auto" w:fill="DEEAF6" w:themeFill="accent5" w:themeFillTint="33"/>
            <w:vAlign w:val="center"/>
            <w:hideMark/>
          </w:tcPr>
          <w:p w14:paraId="6202E1E4" w14:textId="293ED475"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0,6</w:t>
            </w:r>
          </w:p>
        </w:tc>
        <w:tc>
          <w:tcPr>
            <w:tcW w:w="651" w:type="dxa"/>
            <w:tcBorders>
              <w:top w:val="nil"/>
              <w:left w:val="nil"/>
              <w:bottom w:val="nil"/>
              <w:right w:val="nil"/>
            </w:tcBorders>
            <w:shd w:val="clear" w:color="auto" w:fill="DEEAF6" w:themeFill="accent5" w:themeFillTint="33"/>
            <w:vAlign w:val="center"/>
            <w:hideMark/>
          </w:tcPr>
          <w:p w14:paraId="23A0E4BC" w14:textId="6A694AB1"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0,8</w:t>
            </w:r>
          </w:p>
        </w:tc>
        <w:tc>
          <w:tcPr>
            <w:tcW w:w="651" w:type="dxa"/>
            <w:tcBorders>
              <w:top w:val="nil"/>
              <w:left w:val="nil"/>
              <w:bottom w:val="nil"/>
              <w:right w:val="nil"/>
            </w:tcBorders>
            <w:shd w:val="clear" w:color="auto" w:fill="DEEAF6" w:themeFill="accent5" w:themeFillTint="33"/>
            <w:vAlign w:val="center"/>
            <w:hideMark/>
          </w:tcPr>
          <w:p w14:paraId="6E73D244" w14:textId="64635F5C"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0,9</w:t>
            </w:r>
          </w:p>
        </w:tc>
        <w:tc>
          <w:tcPr>
            <w:tcW w:w="651" w:type="dxa"/>
            <w:tcBorders>
              <w:top w:val="nil"/>
              <w:left w:val="nil"/>
              <w:bottom w:val="nil"/>
              <w:right w:val="nil"/>
            </w:tcBorders>
            <w:shd w:val="clear" w:color="auto" w:fill="DEEAF6" w:themeFill="accent5" w:themeFillTint="33"/>
            <w:vAlign w:val="center"/>
            <w:hideMark/>
          </w:tcPr>
          <w:p w14:paraId="6C566FF7" w14:textId="534E3E5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0,6</w:t>
            </w:r>
          </w:p>
        </w:tc>
        <w:tc>
          <w:tcPr>
            <w:tcW w:w="651" w:type="dxa"/>
            <w:tcBorders>
              <w:top w:val="nil"/>
              <w:left w:val="nil"/>
              <w:bottom w:val="nil"/>
              <w:right w:val="nil"/>
            </w:tcBorders>
            <w:shd w:val="clear" w:color="auto" w:fill="DEEAF6" w:themeFill="accent5" w:themeFillTint="33"/>
            <w:vAlign w:val="center"/>
            <w:hideMark/>
          </w:tcPr>
          <w:p w14:paraId="4B123AE9" w14:textId="7BB9607F"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0,3</w:t>
            </w:r>
          </w:p>
        </w:tc>
        <w:tc>
          <w:tcPr>
            <w:tcW w:w="651" w:type="dxa"/>
            <w:tcBorders>
              <w:top w:val="nil"/>
              <w:left w:val="nil"/>
              <w:bottom w:val="nil"/>
              <w:right w:val="nil"/>
            </w:tcBorders>
            <w:shd w:val="clear" w:color="auto" w:fill="DEEAF6" w:themeFill="accent5" w:themeFillTint="33"/>
            <w:vAlign w:val="center"/>
            <w:hideMark/>
          </w:tcPr>
          <w:p w14:paraId="156AD0F1" w14:textId="11B7D563"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3DDE6E4A" w14:textId="5481E425"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1939E454" w14:textId="161A4D97"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5CF91D04" w14:textId="0A1F4DC9"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5BDB0CA0" w14:textId="6DF7C6C6"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7D803EB9" w14:textId="559180F5"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3BF32EED" w14:textId="4A0D078D"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7B5C0D57" w14:textId="70E7902D"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r>
      <w:tr w:rsidR="00406023" w:rsidRPr="00196FA8" w14:paraId="4B2F69C8" w14:textId="77777777" w:rsidTr="00B218F9">
        <w:trPr>
          <w:trHeight w:val="309"/>
        </w:trPr>
        <w:tc>
          <w:tcPr>
            <w:tcW w:w="385" w:type="dxa"/>
            <w:tcBorders>
              <w:top w:val="nil"/>
              <w:left w:val="nil"/>
              <w:bottom w:val="nil"/>
              <w:right w:val="nil"/>
            </w:tcBorders>
            <w:shd w:val="clear" w:color="auto" w:fill="DEEAF6" w:themeFill="accent5" w:themeFillTint="33"/>
            <w:vAlign w:val="center"/>
            <w:hideMark/>
          </w:tcPr>
          <w:p w14:paraId="53B3FE15" w14:textId="77777777" w:rsidR="00406023" w:rsidRPr="00406023" w:rsidRDefault="00406023" w:rsidP="00406023">
            <w:pPr>
              <w:spacing w:after="0" w:line="240" w:lineRule="auto"/>
              <w:jc w:val="center"/>
              <w:rPr>
                <w:rFonts w:ascii="Arial Narrow" w:eastAsia="Times New Roman" w:hAnsi="Arial Narrow" w:cs="Calibri"/>
                <w:sz w:val="16"/>
                <w:szCs w:val="16"/>
                <w:lang w:eastAsia="sk-SK"/>
              </w:rPr>
            </w:pPr>
            <w:r w:rsidRPr="00406023">
              <w:rPr>
                <w:rFonts w:ascii="Arial Narrow" w:eastAsia="Times New Roman" w:hAnsi="Arial Narrow" w:cs="Calibri"/>
                <w:sz w:val="16"/>
                <w:szCs w:val="16"/>
                <w:lang w:eastAsia="sk-SK"/>
              </w:rPr>
              <w:t>5</w:t>
            </w:r>
          </w:p>
        </w:tc>
        <w:tc>
          <w:tcPr>
            <w:tcW w:w="2702" w:type="dxa"/>
            <w:tcBorders>
              <w:top w:val="nil"/>
              <w:left w:val="nil"/>
              <w:bottom w:val="nil"/>
              <w:right w:val="nil"/>
            </w:tcBorders>
            <w:shd w:val="clear" w:color="auto" w:fill="DEEAF6" w:themeFill="accent5" w:themeFillTint="33"/>
            <w:vAlign w:val="center"/>
            <w:hideMark/>
          </w:tcPr>
          <w:p w14:paraId="3B274D30" w14:textId="77777777" w:rsidR="00406023" w:rsidRPr="00406023" w:rsidRDefault="00406023" w:rsidP="00406023">
            <w:pPr>
              <w:spacing w:after="0" w:line="240" w:lineRule="auto"/>
              <w:rPr>
                <w:rFonts w:ascii="Arial Narrow" w:eastAsia="Times New Roman" w:hAnsi="Arial Narrow" w:cs="Calibri"/>
                <w:b/>
                <w:bCs/>
                <w:sz w:val="16"/>
                <w:szCs w:val="16"/>
                <w:lang w:eastAsia="sk-SK"/>
              </w:rPr>
            </w:pPr>
            <w:r w:rsidRPr="00406023">
              <w:rPr>
                <w:rFonts w:ascii="Arial Narrow" w:eastAsia="Times New Roman" w:hAnsi="Arial Narrow" w:cs="Calibri"/>
                <w:b/>
                <w:bCs/>
                <w:sz w:val="16"/>
                <w:szCs w:val="16"/>
                <w:lang w:eastAsia="sk-SK"/>
              </w:rPr>
              <w:t>Jednorazové opatrenia (% HDP)</w:t>
            </w:r>
          </w:p>
        </w:tc>
        <w:tc>
          <w:tcPr>
            <w:tcW w:w="724" w:type="dxa"/>
            <w:tcBorders>
              <w:top w:val="nil"/>
              <w:left w:val="nil"/>
              <w:bottom w:val="nil"/>
              <w:right w:val="nil"/>
            </w:tcBorders>
            <w:shd w:val="clear" w:color="auto" w:fill="DEEAF6" w:themeFill="accent5" w:themeFillTint="33"/>
            <w:vAlign w:val="center"/>
            <w:hideMark/>
          </w:tcPr>
          <w:p w14:paraId="6DC8F0F1" w14:textId="7E92F406"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50D04AD5" w14:textId="66A876C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61D39BD4" w14:textId="67E0853B"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0E0DF4AD" w14:textId="2B640E56"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48705076" w14:textId="3886D448"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17CBA0E0" w14:textId="278A9C3C"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79E77B53" w14:textId="0B98679E"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40732A12" w14:textId="70CBC64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1D21C564" w14:textId="54818BBF"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339E406E" w14:textId="08DAFA07"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591A9127" w14:textId="53B697A3"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6B3F7329" w14:textId="1EE431CB"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7C31DE9B" w14:textId="3356E99A"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2035E41C" w14:textId="284C7CE8"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4E7CCD21" w14:textId="1960A075"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24D6455B" w14:textId="2AF8699E"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r>
      <w:tr w:rsidR="00406023" w:rsidRPr="00196FA8" w14:paraId="641CEF82" w14:textId="77777777" w:rsidTr="00B218F9">
        <w:trPr>
          <w:trHeight w:val="309"/>
        </w:trPr>
        <w:tc>
          <w:tcPr>
            <w:tcW w:w="385" w:type="dxa"/>
            <w:tcBorders>
              <w:top w:val="nil"/>
              <w:left w:val="nil"/>
              <w:bottom w:val="nil"/>
              <w:right w:val="nil"/>
            </w:tcBorders>
            <w:shd w:val="clear" w:color="auto" w:fill="DEEAF6" w:themeFill="accent5" w:themeFillTint="33"/>
            <w:vAlign w:val="center"/>
            <w:hideMark/>
          </w:tcPr>
          <w:p w14:paraId="74FA008F" w14:textId="77777777" w:rsidR="00406023" w:rsidRPr="00406023" w:rsidRDefault="00406023" w:rsidP="00406023">
            <w:pPr>
              <w:spacing w:after="0" w:line="240" w:lineRule="auto"/>
              <w:jc w:val="center"/>
              <w:rPr>
                <w:rFonts w:ascii="Arial Narrow" w:eastAsia="Times New Roman" w:hAnsi="Arial Narrow" w:cs="Calibri"/>
                <w:sz w:val="16"/>
                <w:szCs w:val="16"/>
                <w:lang w:eastAsia="sk-SK"/>
              </w:rPr>
            </w:pPr>
            <w:r w:rsidRPr="00406023">
              <w:rPr>
                <w:rFonts w:ascii="Arial Narrow" w:eastAsia="Times New Roman" w:hAnsi="Arial Narrow" w:cs="Calibri"/>
                <w:sz w:val="16"/>
                <w:szCs w:val="16"/>
                <w:lang w:eastAsia="sk-SK"/>
              </w:rPr>
              <w:t>6</w:t>
            </w:r>
          </w:p>
        </w:tc>
        <w:tc>
          <w:tcPr>
            <w:tcW w:w="2702" w:type="dxa"/>
            <w:tcBorders>
              <w:top w:val="nil"/>
              <w:left w:val="nil"/>
              <w:bottom w:val="nil"/>
              <w:right w:val="nil"/>
            </w:tcBorders>
            <w:shd w:val="clear" w:color="auto" w:fill="DEEAF6" w:themeFill="accent5" w:themeFillTint="33"/>
            <w:vAlign w:val="center"/>
            <w:hideMark/>
          </w:tcPr>
          <w:p w14:paraId="35F46529" w14:textId="77777777" w:rsidR="00406023" w:rsidRPr="00406023" w:rsidRDefault="00406023" w:rsidP="00406023">
            <w:pPr>
              <w:spacing w:after="0" w:line="240" w:lineRule="auto"/>
              <w:rPr>
                <w:rFonts w:ascii="Arial Narrow" w:eastAsia="Times New Roman" w:hAnsi="Arial Narrow" w:cs="Calibri"/>
                <w:b/>
                <w:bCs/>
                <w:sz w:val="16"/>
                <w:szCs w:val="16"/>
                <w:lang w:eastAsia="sk-SK"/>
              </w:rPr>
            </w:pPr>
            <w:r w:rsidRPr="00406023">
              <w:rPr>
                <w:rFonts w:ascii="Arial Narrow" w:eastAsia="Times New Roman" w:hAnsi="Arial Narrow" w:cs="Calibri"/>
                <w:b/>
                <w:bCs/>
                <w:sz w:val="16"/>
                <w:szCs w:val="16"/>
                <w:lang w:eastAsia="sk-SK"/>
              </w:rPr>
              <w:t>Úrokové náklady (% HDP)</w:t>
            </w:r>
          </w:p>
        </w:tc>
        <w:tc>
          <w:tcPr>
            <w:tcW w:w="724" w:type="dxa"/>
            <w:tcBorders>
              <w:top w:val="nil"/>
              <w:left w:val="nil"/>
              <w:bottom w:val="nil"/>
              <w:right w:val="nil"/>
            </w:tcBorders>
            <w:shd w:val="clear" w:color="auto" w:fill="DEEAF6" w:themeFill="accent5" w:themeFillTint="33"/>
            <w:vAlign w:val="center"/>
            <w:hideMark/>
          </w:tcPr>
          <w:p w14:paraId="7BD9AF6E" w14:textId="16F8A652"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1,2</w:t>
            </w:r>
          </w:p>
        </w:tc>
        <w:tc>
          <w:tcPr>
            <w:tcW w:w="651" w:type="dxa"/>
            <w:tcBorders>
              <w:top w:val="nil"/>
              <w:left w:val="nil"/>
              <w:bottom w:val="nil"/>
              <w:right w:val="nil"/>
            </w:tcBorders>
            <w:shd w:val="clear" w:color="auto" w:fill="DEEAF6" w:themeFill="accent5" w:themeFillTint="33"/>
            <w:vAlign w:val="center"/>
            <w:hideMark/>
          </w:tcPr>
          <w:p w14:paraId="692C117C" w14:textId="5C115C0C"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1,3</w:t>
            </w:r>
          </w:p>
        </w:tc>
        <w:tc>
          <w:tcPr>
            <w:tcW w:w="651" w:type="dxa"/>
            <w:tcBorders>
              <w:top w:val="nil"/>
              <w:left w:val="nil"/>
              <w:bottom w:val="nil"/>
              <w:right w:val="nil"/>
            </w:tcBorders>
            <w:shd w:val="clear" w:color="auto" w:fill="DEEAF6" w:themeFill="accent5" w:themeFillTint="33"/>
            <w:vAlign w:val="center"/>
            <w:hideMark/>
          </w:tcPr>
          <w:p w14:paraId="5AA7AC12" w14:textId="21052468"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1,5</w:t>
            </w:r>
          </w:p>
        </w:tc>
        <w:tc>
          <w:tcPr>
            <w:tcW w:w="651" w:type="dxa"/>
            <w:tcBorders>
              <w:top w:val="nil"/>
              <w:left w:val="nil"/>
              <w:bottom w:val="nil"/>
              <w:right w:val="nil"/>
            </w:tcBorders>
            <w:shd w:val="clear" w:color="auto" w:fill="DEEAF6" w:themeFill="accent5" w:themeFillTint="33"/>
            <w:vAlign w:val="center"/>
            <w:hideMark/>
          </w:tcPr>
          <w:p w14:paraId="6D810933" w14:textId="5D5280C6"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1,7</w:t>
            </w:r>
          </w:p>
        </w:tc>
        <w:tc>
          <w:tcPr>
            <w:tcW w:w="651" w:type="dxa"/>
            <w:tcBorders>
              <w:top w:val="nil"/>
              <w:left w:val="nil"/>
              <w:bottom w:val="nil"/>
              <w:right w:val="nil"/>
            </w:tcBorders>
            <w:shd w:val="clear" w:color="auto" w:fill="DEEAF6" w:themeFill="accent5" w:themeFillTint="33"/>
            <w:vAlign w:val="center"/>
            <w:hideMark/>
          </w:tcPr>
          <w:p w14:paraId="0A4AE17E" w14:textId="41230159"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1,8</w:t>
            </w:r>
          </w:p>
        </w:tc>
        <w:tc>
          <w:tcPr>
            <w:tcW w:w="651" w:type="dxa"/>
            <w:tcBorders>
              <w:top w:val="nil"/>
              <w:left w:val="nil"/>
              <w:bottom w:val="nil"/>
              <w:right w:val="nil"/>
            </w:tcBorders>
            <w:shd w:val="clear" w:color="auto" w:fill="DEEAF6" w:themeFill="accent5" w:themeFillTint="33"/>
            <w:vAlign w:val="center"/>
            <w:hideMark/>
          </w:tcPr>
          <w:p w14:paraId="75B94AE7" w14:textId="76F78FDE"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1,8</w:t>
            </w:r>
          </w:p>
        </w:tc>
        <w:tc>
          <w:tcPr>
            <w:tcW w:w="651" w:type="dxa"/>
            <w:tcBorders>
              <w:top w:val="nil"/>
              <w:left w:val="nil"/>
              <w:bottom w:val="nil"/>
              <w:right w:val="nil"/>
            </w:tcBorders>
            <w:shd w:val="clear" w:color="auto" w:fill="DEEAF6" w:themeFill="accent5" w:themeFillTint="33"/>
            <w:vAlign w:val="center"/>
            <w:hideMark/>
          </w:tcPr>
          <w:p w14:paraId="607B7F98" w14:textId="12571E01"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1,8</w:t>
            </w:r>
          </w:p>
        </w:tc>
        <w:tc>
          <w:tcPr>
            <w:tcW w:w="651" w:type="dxa"/>
            <w:tcBorders>
              <w:top w:val="nil"/>
              <w:left w:val="nil"/>
              <w:bottom w:val="nil"/>
              <w:right w:val="nil"/>
            </w:tcBorders>
            <w:shd w:val="clear" w:color="auto" w:fill="DEEAF6" w:themeFill="accent5" w:themeFillTint="33"/>
            <w:vAlign w:val="center"/>
            <w:hideMark/>
          </w:tcPr>
          <w:p w14:paraId="7CDAD7D6" w14:textId="3326C4A3"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1,8</w:t>
            </w:r>
          </w:p>
        </w:tc>
        <w:tc>
          <w:tcPr>
            <w:tcW w:w="651" w:type="dxa"/>
            <w:tcBorders>
              <w:top w:val="nil"/>
              <w:left w:val="nil"/>
              <w:bottom w:val="nil"/>
              <w:right w:val="nil"/>
            </w:tcBorders>
            <w:shd w:val="clear" w:color="auto" w:fill="DEEAF6" w:themeFill="accent5" w:themeFillTint="33"/>
            <w:vAlign w:val="center"/>
            <w:hideMark/>
          </w:tcPr>
          <w:p w14:paraId="729722FA" w14:textId="7152647F"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1,8</w:t>
            </w:r>
          </w:p>
        </w:tc>
        <w:tc>
          <w:tcPr>
            <w:tcW w:w="651" w:type="dxa"/>
            <w:tcBorders>
              <w:top w:val="nil"/>
              <w:left w:val="nil"/>
              <w:bottom w:val="nil"/>
              <w:right w:val="nil"/>
            </w:tcBorders>
            <w:shd w:val="clear" w:color="auto" w:fill="DEEAF6" w:themeFill="accent5" w:themeFillTint="33"/>
            <w:vAlign w:val="center"/>
            <w:hideMark/>
          </w:tcPr>
          <w:p w14:paraId="2B25C2F0" w14:textId="00E660B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1,8</w:t>
            </w:r>
          </w:p>
        </w:tc>
        <w:tc>
          <w:tcPr>
            <w:tcW w:w="651" w:type="dxa"/>
            <w:tcBorders>
              <w:top w:val="nil"/>
              <w:left w:val="nil"/>
              <w:bottom w:val="nil"/>
              <w:right w:val="nil"/>
            </w:tcBorders>
            <w:shd w:val="clear" w:color="auto" w:fill="DEEAF6" w:themeFill="accent5" w:themeFillTint="33"/>
            <w:vAlign w:val="center"/>
            <w:hideMark/>
          </w:tcPr>
          <w:p w14:paraId="62B43D3D" w14:textId="2117FFDB"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1,8</w:t>
            </w:r>
          </w:p>
        </w:tc>
        <w:tc>
          <w:tcPr>
            <w:tcW w:w="651" w:type="dxa"/>
            <w:tcBorders>
              <w:top w:val="nil"/>
              <w:left w:val="nil"/>
              <w:bottom w:val="nil"/>
              <w:right w:val="nil"/>
            </w:tcBorders>
            <w:shd w:val="clear" w:color="auto" w:fill="DEEAF6" w:themeFill="accent5" w:themeFillTint="33"/>
            <w:vAlign w:val="center"/>
            <w:hideMark/>
          </w:tcPr>
          <w:p w14:paraId="379E3503" w14:textId="30BF25B7"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1,9</w:t>
            </w:r>
          </w:p>
        </w:tc>
        <w:tc>
          <w:tcPr>
            <w:tcW w:w="651" w:type="dxa"/>
            <w:tcBorders>
              <w:top w:val="nil"/>
              <w:left w:val="nil"/>
              <w:bottom w:val="nil"/>
              <w:right w:val="nil"/>
            </w:tcBorders>
            <w:shd w:val="clear" w:color="auto" w:fill="DEEAF6" w:themeFill="accent5" w:themeFillTint="33"/>
            <w:vAlign w:val="center"/>
            <w:hideMark/>
          </w:tcPr>
          <w:p w14:paraId="4B64847D" w14:textId="3016A274"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1,9</w:t>
            </w:r>
          </w:p>
        </w:tc>
        <w:tc>
          <w:tcPr>
            <w:tcW w:w="651" w:type="dxa"/>
            <w:tcBorders>
              <w:top w:val="nil"/>
              <w:left w:val="nil"/>
              <w:bottom w:val="nil"/>
              <w:right w:val="nil"/>
            </w:tcBorders>
            <w:shd w:val="clear" w:color="auto" w:fill="DEEAF6" w:themeFill="accent5" w:themeFillTint="33"/>
            <w:vAlign w:val="center"/>
            <w:hideMark/>
          </w:tcPr>
          <w:p w14:paraId="6A3B856D" w14:textId="6F630A7A"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1,9</w:t>
            </w:r>
          </w:p>
        </w:tc>
        <w:tc>
          <w:tcPr>
            <w:tcW w:w="651" w:type="dxa"/>
            <w:tcBorders>
              <w:top w:val="nil"/>
              <w:left w:val="nil"/>
              <w:bottom w:val="nil"/>
              <w:right w:val="nil"/>
            </w:tcBorders>
            <w:shd w:val="clear" w:color="auto" w:fill="DEEAF6" w:themeFill="accent5" w:themeFillTint="33"/>
            <w:vAlign w:val="center"/>
            <w:hideMark/>
          </w:tcPr>
          <w:p w14:paraId="087A9485" w14:textId="4595D3B5"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1,9</w:t>
            </w:r>
          </w:p>
        </w:tc>
        <w:tc>
          <w:tcPr>
            <w:tcW w:w="651" w:type="dxa"/>
            <w:tcBorders>
              <w:top w:val="nil"/>
              <w:left w:val="nil"/>
              <w:bottom w:val="nil"/>
              <w:right w:val="nil"/>
            </w:tcBorders>
            <w:shd w:val="clear" w:color="auto" w:fill="DEEAF6" w:themeFill="accent5" w:themeFillTint="33"/>
            <w:vAlign w:val="center"/>
            <w:hideMark/>
          </w:tcPr>
          <w:p w14:paraId="61A077B3" w14:textId="1FE79FD9"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1,9</w:t>
            </w:r>
          </w:p>
        </w:tc>
      </w:tr>
      <w:tr w:rsidR="00406023" w:rsidRPr="00196FA8" w14:paraId="1DD32885" w14:textId="77777777" w:rsidTr="00B218F9">
        <w:trPr>
          <w:trHeight w:val="309"/>
        </w:trPr>
        <w:tc>
          <w:tcPr>
            <w:tcW w:w="385" w:type="dxa"/>
            <w:tcBorders>
              <w:top w:val="nil"/>
              <w:left w:val="nil"/>
              <w:bottom w:val="nil"/>
              <w:right w:val="nil"/>
            </w:tcBorders>
            <w:shd w:val="clear" w:color="auto" w:fill="DEEAF6" w:themeFill="accent5" w:themeFillTint="33"/>
            <w:vAlign w:val="center"/>
            <w:hideMark/>
          </w:tcPr>
          <w:p w14:paraId="451D3421" w14:textId="77777777" w:rsidR="00406023" w:rsidRPr="00406023" w:rsidRDefault="00406023" w:rsidP="00406023">
            <w:pPr>
              <w:spacing w:after="0" w:line="240" w:lineRule="auto"/>
              <w:jc w:val="center"/>
              <w:rPr>
                <w:rFonts w:ascii="Arial Narrow" w:eastAsia="Times New Roman" w:hAnsi="Arial Narrow" w:cs="Calibri"/>
                <w:sz w:val="16"/>
                <w:szCs w:val="16"/>
                <w:lang w:eastAsia="sk-SK"/>
              </w:rPr>
            </w:pPr>
            <w:r w:rsidRPr="00406023">
              <w:rPr>
                <w:rFonts w:ascii="Arial Narrow" w:eastAsia="Times New Roman" w:hAnsi="Arial Narrow" w:cs="Calibri"/>
                <w:sz w:val="16"/>
                <w:szCs w:val="16"/>
                <w:lang w:eastAsia="sk-SK"/>
              </w:rPr>
              <w:t>7</w:t>
            </w:r>
          </w:p>
        </w:tc>
        <w:tc>
          <w:tcPr>
            <w:tcW w:w="2702" w:type="dxa"/>
            <w:tcBorders>
              <w:top w:val="nil"/>
              <w:left w:val="nil"/>
              <w:bottom w:val="nil"/>
              <w:right w:val="nil"/>
            </w:tcBorders>
            <w:shd w:val="clear" w:color="auto" w:fill="DEEAF6" w:themeFill="accent5" w:themeFillTint="33"/>
            <w:vAlign w:val="center"/>
            <w:hideMark/>
          </w:tcPr>
          <w:p w14:paraId="0C65B108" w14:textId="77777777" w:rsidR="00406023" w:rsidRPr="00406023" w:rsidRDefault="00406023" w:rsidP="00406023">
            <w:pPr>
              <w:spacing w:after="0" w:line="240" w:lineRule="auto"/>
              <w:ind w:firstLineChars="200" w:firstLine="320"/>
              <w:rPr>
                <w:rFonts w:ascii="Arial Narrow" w:eastAsia="Times New Roman" w:hAnsi="Arial Narrow" w:cs="Calibri"/>
                <w:b/>
                <w:bCs/>
                <w:sz w:val="16"/>
                <w:szCs w:val="16"/>
                <w:lang w:eastAsia="sk-SK"/>
              </w:rPr>
            </w:pPr>
            <w:r w:rsidRPr="00406023">
              <w:rPr>
                <w:rFonts w:ascii="Arial Narrow" w:eastAsia="Times New Roman" w:hAnsi="Arial Narrow" w:cs="Calibri"/>
                <w:b/>
                <w:bCs/>
                <w:sz w:val="16"/>
                <w:szCs w:val="16"/>
                <w:lang w:eastAsia="sk-SK"/>
              </w:rPr>
              <w:t>Dlhodobá úroková miera (%)</w:t>
            </w:r>
          </w:p>
        </w:tc>
        <w:tc>
          <w:tcPr>
            <w:tcW w:w="724" w:type="dxa"/>
            <w:tcBorders>
              <w:top w:val="nil"/>
              <w:left w:val="nil"/>
              <w:bottom w:val="nil"/>
              <w:right w:val="nil"/>
            </w:tcBorders>
            <w:shd w:val="clear" w:color="auto" w:fill="DEEAF6" w:themeFill="accent5" w:themeFillTint="33"/>
            <w:vAlign w:val="center"/>
            <w:hideMark/>
          </w:tcPr>
          <w:p w14:paraId="3445279F" w14:textId="13EBFA3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3,7</w:t>
            </w:r>
          </w:p>
        </w:tc>
        <w:tc>
          <w:tcPr>
            <w:tcW w:w="651" w:type="dxa"/>
            <w:tcBorders>
              <w:top w:val="nil"/>
              <w:left w:val="nil"/>
              <w:bottom w:val="nil"/>
              <w:right w:val="nil"/>
            </w:tcBorders>
            <w:shd w:val="clear" w:color="auto" w:fill="DEEAF6" w:themeFill="accent5" w:themeFillTint="33"/>
            <w:vAlign w:val="center"/>
            <w:hideMark/>
          </w:tcPr>
          <w:p w14:paraId="5C0DBC94" w14:textId="5EE9B94F"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3,7</w:t>
            </w:r>
          </w:p>
        </w:tc>
        <w:tc>
          <w:tcPr>
            <w:tcW w:w="651" w:type="dxa"/>
            <w:tcBorders>
              <w:top w:val="nil"/>
              <w:left w:val="nil"/>
              <w:bottom w:val="nil"/>
              <w:right w:val="nil"/>
            </w:tcBorders>
            <w:shd w:val="clear" w:color="auto" w:fill="DEEAF6" w:themeFill="accent5" w:themeFillTint="33"/>
            <w:vAlign w:val="center"/>
            <w:hideMark/>
          </w:tcPr>
          <w:p w14:paraId="16084DFD" w14:textId="4776FC8B"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3,8</w:t>
            </w:r>
          </w:p>
        </w:tc>
        <w:tc>
          <w:tcPr>
            <w:tcW w:w="651" w:type="dxa"/>
            <w:tcBorders>
              <w:top w:val="nil"/>
              <w:left w:val="nil"/>
              <w:bottom w:val="nil"/>
              <w:right w:val="nil"/>
            </w:tcBorders>
            <w:shd w:val="clear" w:color="auto" w:fill="DEEAF6" w:themeFill="accent5" w:themeFillTint="33"/>
            <w:vAlign w:val="center"/>
            <w:hideMark/>
          </w:tcPr>
          <w:p w14:paraId="57A49CAE" w14:textId="3AC3291A"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3,8</w:t>
            </w:r>
          </w:p>
        </w:tc>
        <w:tc>
          <w:tcPr>
            <w:tcW w:w="651" w:type="dxa"/>
            <w:tcBorders>
              <w:top w:val="nil"/>
              <w:left w:val="nil"/>
              <w:bottom w:val="nil"/>
              <w:right w:val="nil"/>
            </w:tcBorders>
            <w:shd w:val="clear" w:color="auto" w:fill="DEEAF6" w:themeFill="accent5" w:themeFillTint="33"/>
            <w:vAlign w:val="center"/>
            <w:hideMark/>
          </w:tcPr>
          <w:p w14:paraId="611B9AC6" w14:textId="6C0CA4A8"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3,9</w:t>
            </w:r>
          </w:p>
        </w:tc>
        <w:tc>
          <w:tcPr>
            <w:tcW w:w="651" w:type="dxa"/>
            <w:tcBorders>
              <w:top w:val="nil"/>
              <w:left w:val="nil"/>
              <w:bottom w:val="nil"/>
              <w:right w:val="nil"/>
            </w:tcBorders>
            <w:shd w:val="clear" w:color="auto" w:fill="DEEAF6" w:themeFill="accent5" w:themeFillTint="33"/>
            <w:vAlign w:val="center"/>
            <w:hideMark/>
          </w:tcPr>
          <w:p w14:paraId="7B0D766B" w14:textId="3C15B58C"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3,9</w:t>
            </w:r>
          </w:p>
        </w:tc>
        <w:tc>
          <w:tcPr>
            <w:tcW w:w="651" w:type="dxa"/>
            <w:tcBorders>
              <w:top w:val="nil"/>
              <w:left w:val="nil"/>
              <w:bottom w:val="nil"/>
              <w:right w:val="nil"/>
            </w:tcBorders>
            <w:shd w:val="clear" w:color="auto" w:fill="DEEAF6" w:themeFill="accent5" w:themeFillTint="33"/>
            <w:vAlign w:val="center"/>
            <w:hideMark/>
          </w:tcPr>
          <w:p w14:paraId="4E84D491" w14:textId="27E280B8"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4,0</w:t>
            </w:r>
          </w:p>
        </w:tc>
        <w:tc>
          <w:tcPr>
            <w:tcW w:w="651" w:type="dxa"/>
            <w:tcBorders>
              <w:top w:val="nil"/>
              <w:left w:val="nil"/>
              <w:bottom w:val="nil"/>
              <w:right w:val="nil"/>
            </w:tcBorders>
            <w:shd w:val="clear" w:color="auto" w:fill="DEEAF6" w:themeFill="accent5" w:themeFillTint="33"/>
            <w:vAlign w:val="center"/>
            <w:hideMark/>
          </w:tcPr>
          <w:p w14:paraId="58DB9584" w14:textId="3770E9E9"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4,0</w:t>
            </w:r>
          </w:p>
        </w:tc>
        <w:tc>
          <w:tcPr>
            <w:tcW w:w="651" w:type="dxa"/>
            <w:tcBorders>
              <w:top w:val="nil"/>
              <w:left w:val="nil"/>
              <w:bottom w:val="nil"/>
              <w:right w:val="nil"/>
            </w:tcBorders>
            <w:shd w:val="clear" w:color="auto" w:fill="DEEAF6" w:themeFill="accent5" w:themeFillTint="33"/>
            <w:vAlign w:val="center"/>
            <w:hideMark/>
          </w:tcPr>
          <w:p w14:paraId="7B03D6CB" w14:textId="01CA6C09"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4,1</w:t>
            </w:r>
          </w:p>
        </w:tc>
        <w:tc>
          <w:tcPr>
            <w:tcW w:w="651" w:type="dxa"/>
            <w:tcBorders>
              <w:top w:val="nil"/>
              <w:left w:val="nil"/>
              <w:bottom w:val="nil"/>
              <w:right w:val="nil"/>
            </w:tcBorders>
            <w:shd w:val="clear" w:color="auto" w:fill="DEEAF6" w:themeFill="accent5" w:themeFillTint="33"/>
            <w:vAlign w:val="center"/>
            <w:hideMark/>
          </w:tcPr>
          <w:p w14:paraId="5D5434E3" w14:textId="4D9F4752"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4,1</w:t>
            </w:r>
          </w:p>
        </w:tc>
        <w:tc>
          <w:tcPr>
            <w:tcW w:w="651" w:type="dxa"/>
            <w:tcBorders>
              <w:top w:val="nil"/>
              <w:left w:val="nil"/>
              <w:bottom w:val="nil"/>
              <w:right w:val="nil"/>
            </w:tcBorders>
            <w:shd w:val="clear" w:color="auto" w:fill="DEEAF6" w:themeFill="accent5" w:themeFillTint="33"/>
            <w:vAlign w:val="center"/>
            <w:hideMark/>
          </w:tcPr>
          <w:p w14:paraId="027DCE26" w14:textId="727FFB84"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4,2</w:t>
            </w:r>
          </w:p>
        </w:tc>
        <w:tc>
          <w:tcPr>
            <w:tcW w:w="651" w:type="dxa"/>
            <w:tcBorders>
              <w:top w:val="nil"/>
              <w:left w:val="nil"/>
              <w:bottom w:val="nil"/>
              <w:right w:val="nil"/>
            </w:tcBorders>
            <w:shd w:val="clear" w:color="auto" w:fill="DEEAF6" w:themeFill="accent5" w:themeFillTint="33"/>
            <w:vAlign w:val="center"/>
            <w:hideMark/>
          </w:tcPr>
          <w:p w14:paraId="2F5A2793" w14:textId="32E0E8EC"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4,2</w:t>
            </w:r>
          </w:p>
        </w:tc>
        <w:tc>
          <w:tcPr>
            <w:tcW w:w="651" w:type="dxa"/>
            <w:tcBorders>
              <w:top w:val="nil"/>
              <w:left w:val="nil"/>
              <w:bottom w:val="nil"/>
              <w:right w:val="nil"/>
            </w:tcBorders>
            <w:shd w:val="clear" w:color="auto" w:fill="DEEAF6" w:themeFill="accent5" w:themeFillTint="33"/>
            <w:vAlign w:val="center"/>
            <w:hideMark/>
          </w:tcPr>
          <w:p w14:paraId="30AD0CD8" w14:textId="795463D9"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4,2</w:t>
            </w:r>
          </w:p>
        </w:tc>
        <w:tc>
          <w:tcPr>
            <w:tcW w:w="651" w:type="dxa"/>
            <w:tcBorders>
              <w:top w:val="nil"/>
              <w:left w:val="nil"/>
              <w:bottom w:val="nil"/>
              <w:right w:val="nil"/>
            </w:tcBorders>
            <w:shd w:val="clear" w:color="auto" w:fill="DEEAF6" w:themeFill="accent5" w:themeFillTint="33"/>
            <w:vAlign w:val="center"/>
            <w:hideMark/>
          </w:tcPr>
          <w:p w14:paraId="79D28E29" w14:textId="35876BED"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4,1</w:t>
            </w:r>
          </w:p>
        </w:tc>
        <w:tc>
          <w:tcPr>
            <w:tcW w:w="651" w:type="dxa"/>
            <w:tcBorders>
              <w:top w:val="nil"/>
              <w:left w:val="nil"/>
              <w:bottom w:val="nil"/>
              <w:right w:val="nil"/>
            </w:tcBorders>
            <w:shd w:val="clear" w:color="auto" w:fill="DEEAF6" w:themeFill="accent5" w:themeFillTint="33"/>
            <w:vAlign w:val="center"/>
            <w:hideMark/>
          </w:tcPr>
          <w:p w14:paraId="1DA4B6FA" w14:textId="274432C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4,1</w:t>
            </w:r>
          </w:p>
        </w:tc>
        <w:tc>
          <w:tcPr>
            <w:tcW w:w="651" w:type="dxa"/>
            <w:tcBorders>
              <w:top w:val="nil"/>
              <w:left w:val="nil"/>
              <w:bottom w:val="nil"/>
              <w:right w:val="nil"/>
            </w:tcBorders>
            <w:shd w:val="clear" w:color="auto" w:fill="DEEAF6" w:themeFill="accent5" w:themeFillTint="33"/>
            <w:vAlign w:val="center"/>
            <w:hideMark/>
          </w:tcPr>
          <w:p w14:paraId="530C66DE" w14:textId="7E5BA672"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4,1</w:t>
            </w:r>
          </w:p>
        </w:tc>
      </w:tr>
      <w:tr w:rsidR="00406023" w:rsidRPr="00196FA8" w14:paraId="1BE54A88" w14:textId="77777777" w:rsidTr="00B218F9">
        <w:trPr>
          <w:trHeight w:val="309"/>
        </w:trPr>
        <w:tc>
          <w:tcPr>
            <w:tcW w:w="385" w:type="dxa"/>
            <w:tcBorders>
              <w:top w:val="nil"/>
              <w:left w:val="nil"/>
              <w:bottom w:val="nil"/>
              <w:right w:val="nil"/>
            </w:tcBorders>
            <w:shd w:val="clear" w:color="auto" w:fill="DEEAF6" w:themeFill="accent5" w:themeFillTint="33"/>
            <w:vAlign w:val="center"/>
            <w:hideMark/>
          </w:tcPr>
          <w:p w14:paraId="48C62FF0" w14:textId="77777777" w:rsidR="00406023" w:rsidRPr="00406023" w:rsidRDefault="00406023" w:rsidP="00406023">
            <w:pPr>
              <w:spacing w:after="0" w:line="240" w:lineRule="auto"/>
              <w:jc w:val="center"/>
              <w:rPr>
                <w:rFonts w:ascii="Arial Narrow" w:eastAsia="Times New Roman" w:hAnsi="Arial Narrow" w:cs="Calibri"/>
                <w:sz w:val="16"/>
                <w:szCs w:val="16"/>
                <w:lang w:eastAsia="sk-SK"/>
              </w:rPr>
            </w:pPr>
            <w:r w:rsidRPr="00406023">
              <w:rPr>
                <w:rFonts w:ascii="Arial Narrow" w:eastAsia="Times New Roman" w:hAnsi="Arial Narrow" w:cs="Calibri"/>
                <w:sz w:val="16"/>
                <w:szCs w:val="16"/>
                <w:lang w:eastAsia="sk-SK"/>
              </w:rPr>
              <w:t>8</w:t>
            </w:r>
          </w:p>
        </w:tc>
        <w:tc>
          <w:tcPr>
            <w:tcW w:w="2702" w:type="dxa"/>
            <w:tcBorders>
              <w:top w:val="nil"/>
              <w:left w:val="nil"/>
              <w:bottom w:val="nil"/>
              <w:right w:val="nil"/>
            </w:tcBorders>
            <w:shd w:val="clear" w:color="auto" w:fill="DEEAF6" w:themeFill="accent5" w:themeFillTint="33"/>
            <w:vAlign w:val="center"/>
            <w:hideMark/>
          </w:tcPr>
          <w:p w14:paraId="7629D7CF" w14:textId="77777777" w:rsidR="00406023" w:rsidRPr="00406023" w:rsidRDefault="00406023" w:rsidP="00406023">
            <w:pPr>
              <w:spacing w:after="0" w:line="240" w:lineRule="auto"/>
              <w:ind w:firstLineChars="200" w:firstLine="320"/>
              <w:rPr>
                <w:rFonts w:ascii="Arial Narrow" w:eastAsia="Times New Roman" w:hAnsi="Arial Narrow" w:cs="Calibri"/>
                <w:b/>
                <w:bCs/>
                <w:sz w:val="16"/>
                <w:szCs w:val="16"/>
                <w:lang w:eastAsia="sk-SK"/>
              </w:rPr>
            </w:pPr>
            <w:r w:rsidRPr="00406023">
              <w:rPr>
                <w:rFonts w:ascii="Arial Narrow" w:eastAsia="Times New Roman" w:hAnsi="Arial Narrow" w:cs="Calibri"/>
                <w:b/>
                <w:bCs/>
                <w:sz w:val="16"/>
                <w:szCs w:val="16"/>
                <w:lang w:eastAsia="sk-SK"/>
              </w:rPr>
              <w:t>Krátkodobá úroková miera (%)</w:t>
            </w:r>
          </w:p>
        </w:tc>
        <w:tc>
          <w:tcPr>
            <w:tcW w:w="724" w:type="dxa"/>
            <w:tcBorders>
              <w:top w:val="nil"/>
              <w:left w:val="nil"/>
              <w:bottom w:val="nil"/>
              <w:right w:val="nil"/>
            </w:tcBorders>
            <w:shd w:val="clear" w:color="auto" w:fill="DEEAF6" w:themeFill="accent5" w:themeFillTint="33"/>
            <w:vAlign w:val="center"/>
            <w:hideMark/>
          </w:tcPr>
          <w:p w14:paraId="3E49274C" w14:textId="1D0D542F"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3,4</w:t>
            </w:r>
          </w:p>
        </w:tc>
        <w:tc>
          <w:tcPr>
            <w:tcW w:w="651" w:type="dxa"/>
            <w:tcBorders>
              <w:top w:val="nil"/>
              <w:left w:val="nil"/>
              <w:bottom w:val="nil"/>
              <w:right w:val="nil"/>
            </w:tcBorders>
            <w:shd w:val="clear" w:color="auto" w:fill="DEEAF6" w:themeFill="accent5" w:themeFillTint="33"/>
            <w:vAlign w:val="center"/>
            <w:hideMark/>
          </w:tcPr>
          <w:p w14:paraId="17755545" w14:textId="236350CA"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3,6</w:t>
            </w:r>
          </w:p>
        </w:tc>
        <w:tc>
          <w:tcPr>
            <w:tcW w:w="651" w:type="dxa"/>
            <w:tcBorders>
              <w:top w:val="nil"/>
              <w:left w:val="nil"/>
              <w:bottom w:val="nil"/>
              <w:right w:val="nil"/>
            </w:tcBorders>
            <w:shd w:val="clear" w:color="auto" w:fill="DEEAF6" w:themeFill="accent5" w:themeFillTint="33"/>
            <w:vAlign w:val="center"/>
            <w:hideMark/>
          </w:tcPr>
          <w:p w14:paraId="0B54F68F" w14:textId="341F1453"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2,8</w:t>
            </w:r>
          </w:p>
        </w:tc>
        <w:tc>
          <w:tcPr>
            <w:tcW w:w="651" w:type="dxa"/>
            <w:tcBorders>
              <w:top w:val="nil"/>
              <w:left w:val="nil"/>
              <w:bottom w:val="nil"/>
              <w:right w:val="nil"/>
            </w:tcBorders>
            <w:shd w:val="clear" w:color="auto" w:fill="DEEAF6" w:themeFill="accent5" w:themeFillTint="33"/>
            <w:vAlign w:val="center"/>
            <w:hideMark/>
          </w:tcPr>
          <w:p w14:paraId="55839228" w14:textId="275B7DCF"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2,8</w:t>
            </w:r>
          </w:p>
        </w:tc>
        <w:tc>
          <w:tcPr>
            <w:tcW w:w="651" w:type="dxa"/>
            <w:tcBorders>
              <w:top w:val="nil"/>
              <w:left w:val="nil"/>
              <w:bottom w:val="nil"/>
              <w:right w:val="nil"/>
            </w:tcBorders>
            <w:shd w:val="clear" w:color="auto" w:fill="DEEAF6" w:themeFill="accent5" w:themeFillTint="33"/>
            <w:vAlign w:val="center"/>
            <w:hideMark/>
          </w:tcPr>
          <w:p w14:paraId="338AE9F0" w14:textId="7BF636E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2,8</w:t>
            </w:r>
          </w:p>
        </w:tc>
        <w:tc>
          <w:tcPr>
            <w:tcW w:w="651" w:type="dxa"/>
            <w:tcBorders>
              <w:top w:val="nil"/>
              <w:left w:val="nil"/>
              <w:bottom w:val="nil"/>
              <w:right w:val="nil"/>
            </w:tcBorders>
            <w:shd w:val="clear" w:color="auto" w:fill="DEEAF6" w:themeFill="accent5" w:themeFillTint="33"/>
            <w:vAlign w:val="center"/>
            <w:hideMark/>
          </w:tcPr>
          <w:p w14:paraId="733D7B1E" w14:textId="2FA436EC"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2,8</w:t>
            </w:r>
          </w:p>
        </w:tc>
        <w:tc>
          <w:tcPr>
            <w:tcW w:w="651" w:type="dxa"/>
            <w:tcBorders>
              <w:top w:val="nil"/>
              <w:left w:val="nil"/>
              <w:bottom w:val="nil"/>
              <w:right w:val="nil"/>
            </w:tcBorders>
            <w:shd w:val="clear" w:color="auto" w:fill="DEEAF6" w:themeFill="accent5" w:themeFillTint="33"/>
            <w:vAlign w:val="center"/>
            <w:hideMark/>
          </w:tcPr>
          <w:p w14:paraId="18A9336C" w14:textId="49DBC5D7"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2,8</w:t>
            </w:r>
          </w:p>
        </w:tc>
        <w:tc>
          <w:tcPr>
            <w:tcW w:w="651" w:type="dxa"/>
            <w:tcBorders>
              <w:top w:val="nil"/>
              <w:left w:val="nil"/>
              <w:bottom w:val="nil"/>
              <w:right w:val="nil"/>
            </w:tcBorders>
            <w:shd w:val="clear" w:color="auto" w:fill="DEEAF6" w:themeFill="accent5" w:themeFillTint="33"/>
            <w:vAlign w:val="center"/>
            <w:hideMark/>
          </w:tcPr>
          <w:p w14:paraId="2E268416" w14:textId="0F41953C"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2,8</w:t>
            </w:r>
          </w:p>
        </w:tc>
        <w:tc>
          <w:tcPr>
            <w:tcW w:w="651" w:type="dxa"/>
            <w:tcBorders>
              <w:top w:val="nil"/>
              <w:left w:val="nil"/>
              <w:bottom w:val="nil"/>
              <w:right w:val="nil"/>
            </w:tcBorders>
            <w:shd w:val="clear" w:color="auto" w:fill="DEEAF6" w:themeFill="accent5" w:themeFillTint="33"/>
            <w:vAlign w:val="center"/>
            <w:hideMark/>
          </w:tcPr>
          <w:p w14:paraId="16A60F45" w14:textId="6206E74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2,7</w:t>
            </w:r>
          </w:p>
        </w:tc>
        <w:tc>
          <w:tcPr>
            <w:tcW w:w="651" w:type="dxa"/>
            <w:tcBorders>
              <w:top w:val="nil"/>
              <w:left w:val="nil"/>
              <w:bottom w:val="nil"/>
              <w:right w:val="nil"/>
            </w:tcBorders>
            <w:shd w:val="clear" w:color="auto" w:fill="DEEAF6" w:themeFill="accent5" w:themeFillTint="33"/>
            <w:vAlign w:val="center"/>
            <w:hideMark/>
          </w:tcPr>
          <w:p w14:paraId="7BA48448" w14:textId="3DE274E4"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2,7</w:t>
            </w:r>
          </w:p>
        </w:tc>
        <w:tc>
          <w:tcPr>
            <w:tcW w:w="651" w:type="dxa"/>
            <w:tcBorders>
              <w:top w:val="nil"/>
              <w:left w:val="nil"/>
              <w:bottom w:val="nil"/>
              <w:right w:val="nil"/>
            </w:tcBorders>
            <w:shd w:val="clear" w:color="auto" w:fill="DEEAF6" w:themeFill="accent5" w:themeFillTint="33"/>
            <w:vAlign w:val="center"/>
            <w:hideMark/>
          </w:tcPr>
          <w:p w14:paraId="7173C387" w14:textId="33AB2539"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2,7</w:t>
            </w:r>
          </w:p>
        </w:tc>
        <w:tc>
          <w:tcPr>
            <w:tcW w:w="651" w:type="dxa"/>
            <w:tcBorders>
              <w:top w:val="nil"/>
              <w:left w:val="nil"/>
              <w:bottom w:val="nil"/>
              <w:right w:val="nil"/>
            </w:tcBorders>
            <w:shd w:val="clear" w:color="auto" w:fill="DEEAF6" w:themeFill="accent5" w:themeFillTint="33"/>
            <w:vAlign w:val="center"/>
            <w:hideMark/>
          </w:tcPr>
          <w:p w14:paraId="0120F82D" w14:textId="47BFBFBE"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2,7</w:t>
            </w:r>
          </w:p>
        </w:tc>
        <w:tc>
          <w:tcPr>
            <w:tcW w:w="651" w:type="dxa"/>
            <w:tcBorders>
              <w:top w:val="nil"/>
              <w:left w:val="nil"/>
              <w:bottom w:val="nil"/>
              <w:right w:val="nil"/>
            </w:tcBorders>
            <w:shd w:val="clear" w:color="auto" w:fill="DEEAF6" w:themeFill="accent5" w:themeFillTint="33"/>
            <w:vAlign w:val="center"/>
            <w:hideMark/>
          </w:tcPr>
          <w:p w14:paraId="68DD79A3" w14:textId="222BB32B"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2,7</w:t>
            </w:r>
          </w:p>
        </w:tc>
        <w:tc>
          <w:tcPr>
            <w:tcW w:w="651" w:type="dxa"/>
            <w:tcBorders>
              <w:top w:val="nil"/>
              <w:left w:val="nil"/>
              <w:bottom w:val="nil"/>
              <w:right w:val="nil"/>
            </w:tcBorders>
            <w:shd w:val="clear" w:color="auto" w:fill="DEEAF6" w:themeFill="accent5" w:themeFillTint="33"/>
            <w:vAlign w:val="center"/>
            <w:hideMark/>
          </w:tcPr>
          <w:p w14:paraId="13905143" w14:textId="0185359E"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2,6</w:t>
            </w:r>
          </w:p>
        </w:tc>
        <w:tc>
          <w:tcPr>
            <w:tcW w:w="651" w:type="dxa"/>
            <w:tcBorders>
              <w:top w:val="nil"/>
              <w:left w:val="nil"/>
              <w:bottom w:val="nil"/>
              <w:right w:val="nil"/>
            </w:tcBorders>
            <w:shd w:val="clear" w:color="auto" w:fill="DEEAF6" w:themeFill="accent5" w:themeFillTint="33"/>
            <w:vAlign w:val="center"/>
            <w:hideMark/>
          </w:tcPr>
          <w:p w14:paraId="228A3DA0" w14:textId="6E669C54"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2,6</w:t>
            </w:r>
          </w:p>
        </w:tc>
        <w:tc>
          <w:tcPr>
            <w:tcW w:w="651" w:type="dxa"/>
            <w:tcBorders>
              <w:top w:val="nil"/>
              <w:left w:val="nil"/>
              <w:bottom w:val="nil"/>
              <w:right w:val="nil"/>
            </w:tcBorders>
            <w:shd w:val="clear" w:color="auto" w:fill="DEEAF6" w:themeFill="accent5" w:themeFillTint="33"/>
            <w:vAlign w:val="center"/>
            <w:hideMark/>
          </w:tcPr>
          <w:p w14:paraId="2C6AE523" w14:textId="7188299E"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2,5</w:t>
            </w:r>
          </w:p>
        </w:tc>
      </w:tr>
      <w:tr w:rsidR="00406023" w:rsidRPr="00196FA8" w14:paraId="058614AB" w14:textId="77777777" w:rsidTr="00B218F9">
        <w:trPr>
          <w:trHeight w:val="309"/>
        </w:trPr>
        <w:tc>
          <w:tcPr>
            <w:tcW w:w="385" w:type="dxa"/>
            <w:tcBorders>
              <w:top w:val="nil"/>
              <w:left w:val="nil"/>
              <w:bottom w:val="nil"/>
              <w:right w:val="nil"/>
            </w:tcBorders>
            <w:shd w:val="clear" w:color="auto" w:fill="DEEAF6" w:themeFill="accent5" w:themeFillTint="33"/>
            <w:vAlign w:val="center"/>
            <w:hideMark/>
          </w:tcPr>
          <w:p w14:paraId="4668FC94" w14:textId="77777777" w:rsidR="00406023" w:rsidRPr="00406023" w:rsidRDefault="00406023" w:rsidP="00406023">
            <w:pPr>
              <w:spacing w:after="0" w:line="240" w:lineRule="auto"/>
              <w:jc w:val="center"/>
              <w:rPr>
                <w:rFonts w:ascii="Arial Narrow" w:eastAsia="Times New Roman" w:hAnsi="Arial Narrow" w:cs="Calibri"/>
                <w:sz w:val="16"/>
                <w:szCs w:val="16"/>
                <w:lang w:eastAsia="sk-SK"/>
              </w:rPr>
            </w:pPr>
            <w:r w:rsidRPr="00406023">
              <w:rPr>
                <w:rFonts w:ascii="Arial Narrow" w:eastAsia="Times New Roman" w:hAnsi="Arial Narrow" w:cs="Calibri"/>
                <w:sz w:val="16"/>
                <w:szCs w:val="16"/>
                <w:lang w:eastAsia="sk-SK"/>
              </w:rPr>
              <w:t>9</w:t>
            </w:r>
          </w:p>
        </w:tc>
        <w:tc>
          <w:tcPr>
            <w:tcW w:w="2702" w:type="dxa"/>
            <w:tcBorders>
              <w:top w:val="nil"/>
              <w:left w:val="nil"/>
              <w:bottom w:val="nil"/>
              <w:right w:val="nil"/>
            </w:tcBorders>
            <w:shd w:val="clear" w:color="auto" w:fill="DEEAF6" w:themeFill="accent5" w:themeFillTint="33"/>
            <w:vAlign w:val="center"/>
            <w:hideMark/>
          </w:tcPr>
          <w:p w14:paraId="44AE83F2" w14:textId="77777777" w:rsidR="00406023" w:rsidRPr="00406023" w:rsidRDefault="00406023" w:rsidP="00406023">
            <w:pPr>
              <w:spacing w:after="0" w:line="240" w:lineRule="auto"/>
              <w:rPr>
                <w:rFonts w:ascii="Arial Narrow" w:eastAsia="Times New Roman" w:hAnsi="Arial Narrow" w:cs="Calibri"/>
                <w:b/>
                <w:bCs/>
                <w:sz w:val="16"/>
                <w:szCs w:val="16"/>
                <w:lang w:eastAsia="sk-SK"/>
              </w:rPr>
            </w:pPr>
            <w:r w:rsidRPr="00406023">
              <w:rPr>
                <w:rFonts w:ascii="Arial Narrow" w:eastAsia="Times New Roman" w:hAnsi="Arial Narrow" w:cs="Calibri"/>
                <w:b/>
                <w:bCs/>
                <w:sz w:val="16"/>
                <w:szCs w:val="16"/>
                <w:lang w:eastAsia="sk-SK"/>
              </w:rPr>
              <w:t>Implicitná úroková miera (%)</w:t>
            </w:r>
          </w:p>
        </w:tc>
        <w:tc>
          <w:tcPr>
            <w:tcW w:w="724" w:type="dxa"/>
            <w:tcBorders>
              <w:top w:val="nil"/>
              <w:left w:val="nil"/>
              <w:bottom w:val="nil"/>
              <w:right w:val="nil"/>
            </w:tcBorders>
            <w:shd w:val="clear" w:color="auto" w:fill="DEEAF6" w:themeFill="accent5" w:themeFillTint="33"/>
            <w:vAlign w:val="center"/>
            <w:hideMark/>
          </w:tcPr>
          <w:p w14:paraId="7608AE02" w14:textId="0FB17562"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2,2</w:t>
            </w:r>
          </w:p>
        </w:tc>
        <w:tc>
          <w:tcPr>
            <w:tcW w:w="651" w:type="dxa"/>
            <w:tcBorders>
              <w:top w:val="nil"/>
              <w:left w:val="nil"/>
              <w:bottom w:val="nil"/>
              <w:right w:val="nil"/>
            </w:tcBorders>
            <w:shd w:val="clear" w:color="auto" w:fill="DEEAF6" w:themeFill="accent5" w:themeFillTint="33"/>
            <w:vAlign w:val="center"/>
            <w:hideMark/>
          </w:tcPr>
          <w:p w14:paraId="46086D6D" w14:textId="25F0E222"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2,5</w:t>
            </w:r>
          </w:p>
        </w:tc>
        <w:tc>
          <w:tcPr>
            <w:tcW w:w="651" w:type="dxa"/>
            <w:tcBorders>
              <w:top w:val="nil"/>
              <w:left w:val="nil"/>
              <w:bottom w:val="nil"/>
              <w:right w:val="nil"/>
            </w:tcBorders>
            <w:shd w:val="clear" w:color="auto" w:fill="DEEAF6" w:themeFill="accent5" w:themeFillTint="33"/>
            <w:vAlign w:val="center"/>
            <w:hideMark/>
          </w:tcPr>
          <w:p w14:paraId="4C5ABB40" w14:textId="251FE84D"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2,7</w:t>
            </w:r>
          </w:p>
        </w:tc>
        <w:tc>
          <w:tcPr>
            <w:tcW w:w="651" w:type="dxa"/>
            <w:tcBorders>
              <w:top w:val="nil"/>
              <w:left w:val="nil"/>
              <w:bottom w:val="nil"/>
              <w:right w:val="nil"/>
            </w:tcBorders>
            <w:shd w:val="clear" w:color="auto" w:fill="DEEAF6" w:themeFill="accent5" w:themeFillTint="33"/>
            <w:vAlign w:val="center"/>
            <w:hideMark/>
          </w:tcPr>
          <w:p w14:paraId="4FCE591F" w14:textId="541FA36B"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2,9</w:t>
            </w:r>
          </w:p>
        </w:tc>
        <w:tc>
          <w:tcPr>
            <w:tcW w:w="651" w:type="dxa"/>
            <w:tcBorders>
              <w:top w:val="nil"/>
              <w:left w:val="nil"/>
              <w:bottom w:val="nil"/>
              <w:right w:val="nil"/>
            </w:tcBorders>
            <w:shd w:val="clear" w:color="auto" w:fill="DEEAF6" w:themeFill="accent5" w:themeFillTint="33"/>
            <w:vAlign w:val="center"/>
            <w:hideMark/>
          </w:tcPr>
          <w:p w14:paraId="3A3DD00E" w14:textId="5CCD2AB8"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3,0</w:t>
            </w:r>
          </w:p>
        </w:tc>
        <w:tc>
          <w:tcPr>
            <w:tcW w:w="651" w:type="dxa"/>
            <w:tcBorders>
              <w:top w:val="nil"/>
              <w:left w:val="nil"/>
              <w:bottom w:val="nil"/>
              <w:right w:val="nil"/>
            </w:tcBorders>
            <w:shd w:val="clear" w:color="auto" w:fill="DEEAF6" w:themeFill="accent5" w:themeFillTint="33"/>
            <w:vAlign w:val="center"/>
            <w:hideMark/>
          </w:tcPr>
          <w:p w14:paraId="70638219" w14:textId="45ECAF6F"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3,1</w:t>
            </w:r>
          </w:p>
        </w:tc>
        <w:tc>
          <w:tcPr>
            <w:tcW w:w="651" w:type="dxa"/>
            <w:tcBorders>
              <w:top w:val="nil"/>
              <w:left w:val="nil"/>
              <w:bottom w:val="nil"/>
              <w:right w:val="nil"/>
            </w:tcBorders>
            <w:shd w:val="clear" w:color="auto" w:fill="DEEAF6" w:themeFill="accent5" w:themeFillTint="33"/>
            <w:vAlign w:val="center"/>
            <w:hideMark/>
          </w:tcPr>
          <w:p w14:paraId="3482F131" w14:textId="2412FFF4"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3,2</w:t>
            </w:r>
          </w:p>
        </w:tc>
        <w:tc>
          <w:tcPr>
            <w:tcW w:w="651" w:type="dxa"/>
            <w:tcBorders>
              <w:top w:val="nil"/>
              <w:left w:val="nil"/>
              <w:bottom w:val="nil"/>
              <w:right w:val="nil"/>
            </w:tcBorders>
            <w:shd w:val="clear" w:color="auto" w:fill="DEEAF6" w:themeFill="accent5" w:themeFillTint="33"/>
            <w:vAlign w:val="center"/>
            <w:hideMark/>
          </w:tcPr>
          <w:p w14:paraId="1E6BC53C" w14:textId="07F20A3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3,2</w:t>
            </w:r>
          </w:p>
        </w:tc>
        <w:tc>
          <w:tcPr>
            <w:tcW w:w="651" w:type="dxa"/>
            <w:tcBorders>
              <w:top w:val="nil"/>
              <w:left w:val="nil"/>
              <w:bottom w:val="nil"/>
              <w:right w:val="nil"/>
            </w:tcBorders>
            <w:shd w:val="clear" w:color="auto" w:fill="DEEAF6" w:themeFill="accent5" w:themeFillTint="33"/>
            <w:vAlign w:val="center"/>
            <w:hideMark/>
          </w:tcPr>
          <w:p w14:paraId="277A5FDF" w14:textId="6B7D7F0B"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3,3</w:t>
            </w:r>
          </w:p>
        </w:tc>
        <w:tc>
          <w:tcPr>
            <w:tcW w:w="651" w:type="dxa"/>
            <w:tcBorders>
              <w:top w:val="nil"/>
              <w:left w:val="nil"/>
              <w:bottom w:val="nil"/>
              <w:right w:val="nil"/>
            </w:tcBorders>
            <w:shd w:val="clear" w:color="auto" w:fill="DEEAF6" w:themeFill="accent5" w:themeFillTint="33"/>
            <w:vAlign w:val="center"/>
            <w:hideMark/>
          </w:tcPr>
          <w:p w14:paraId="1CBCB605" w14:textId="487FBE42"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3,4</w:t>
            </w:r>
          </w:p>
        </w:tc>
        <w:tc>
          <w:tcPr>
            <w:tcW w:w="651" w:type="dxa"/>
            <w:tcBorders>
              <w:top w:val="nil"/>
              <w:left w:val="nil"/>
              <w:bottom w:val="nil"/>
              <w:right w:val="nil"/>
            </w:tcBorders>
            <w:shd w:val="clear" w:color="auto" w:fill="DEEAF6" w:themeFill="accent5" w:themeFillTint="33"/>
            <w:vAlign w:val="center"/>
            <w:hideMark/>
          </w:tcPr>
          <w:p w14:paraId="0E9FA6A6" w14:textId="67B2CE27"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3,4</w:t>
            </w:r>
          </w:p>
        </w:tc>
        <w:tc>
          <w:tcPr>
            <w:tcW w:w="651" w:type="dxa"/>
            <w:tcBorders>
              <w:top w:val="nil"/>
              <w:left w:val="nil"/>
              <w:bottom w:val="nil"/>
              <w:right w:val="nil"/>
            </w:tcBorders>
            <w:shd w:val="clear" w:color="auto" w:fill="DEEAF6" w:themeFill="accent5" w:themeFillTint="33"/>
            <w:vAlign w:val="center"/>
            <w:hideMark/>
          </w:tcPr>
          <w:p w14:paraId="1DC8F710" w14:textId="519BA8C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3,5</w:t>
            </w:r>
          </w:p>
        </w:tc>
        <w:tc>
          <w:tcPr>
            <w:tcW w:w="651" w:type="dxa"/>
            <w:tcBorders>
              <w:top w:val="nil"/>
              <w:left w:val="nil"/>
              <w:bottom w:val="nil"/>
              <w:right w:val="nil"/>
            </w:tcBorders>
            <w:shd w:val="clear" w:color="auto" w:fill="DEEAF6" w:themeFill="accent5" w:themeFillTint="33"/>
            <w:vAlign w:val="center"/>
            <w:hideMark/>
          </w:tcPr>
          <w:p w14:paraId="41BAE29A" w14:textId="5BA5ADE2"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3,5</w:t>
            </w:r>
          </w:p>
        </w:tc>
        <w:tc>
          <w:tcPr>
            <w:tcW w:w="651" w:type="dxa"/>
            <w:tcBorders>
              <w:top w:val="nil"/>
              <w:left w:val="nil"/>
              <w:bottom w:val="nil"/>
              <w:right w:val="nil"/>
            </w:tcBorders>
            <w:shd w:val="clear" w:color="auto" w:fill="DEEAF6" w:themeFill="accent5" w:themeFillTint="33"/>
            <w:vAlign w:val="center"/>
            <w:hideMark/>
          </w:tcPr>
          <w:p w14:paraId="3993F3DB" w14:textId="7E0C92A9"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3,6</w:t>
            </w:r>
          </w:p>
        </w:tc>
        <w:tc>
          <w:tcPr>
            <w:tcW w:w="651" w:type="dxa"/>
            <w:tcBorders>
              <w:top w:val="nil"/>
              <w:left w:val="nil"/>
              <w:bottom w:val="nil"/>
              <w:right w:val="nil"/>
            </w:tcBorders>
            <w:shd w:val="clear" w:color="auto" w:fill="DEEAF6" w:themeFill="accent5" w:themeFillTint="33"/>
            <w:vAlign w:val="center"/>
            <w:hideMark/>
          </w:tcPr>
          <w:p w14:paraId="7BFEDE17" w14:textId="43635C4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3,6</w:t>
            </w:r>
          </w:p>
        </w:tc>
        <w:tc>
          <w:tcPr>
            <w:tcW w:w="651" w:type="dxa"/>
            <w:tcBorders>
              <w:top w:val="nil"/>
              <w:left w:val="nil"/>
              <w:bottom w:val="nil"/>
              <w:right w:val="nil"/>
            </w:tcBorders>
            <w:shd w:val="clear" w:color="auto" w:fill="DEEAF6" w:themeFill="accent5" w:themeFillTint="33"/>
            <w:vAlign w:val="center"/>
            <w:hideMark/>
          </w:tcPr>
          <w:p w14:paraId="7B9B07C5" w14:textId="55D6CAA8"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3,7</w:t>
            </w:r>
          </w:p>
        </w:tc>
      </w:tr>
      <w:tr w:rsidR="00406023" w:rsidRPr="00196FA8" w14:paraId="789BBA57" w14:textId="77777777" w:rsidTr="00B218F9">
        <w:trPr>
          <w:trHeight w:val="309"/>
        </w:trPr>
        <w:tc>
          <w:tcPr>
            <w:tcW w:w="385" w:type="dxa"/>
            <w:tcBorders>
              <w:top w:val="nil"/>
              <w:left w:val="nil"/>
              <w:bottom w:val="nil"/>
              <w:right w:val="nil"/>
            </w:tcBorders>
            <w:shd w:val="clear" w:color="auto" w:fill="DEEAF6" w:themeFill="accent5" w:themeFillTint="33"/>
            <w:vAlign w:val="center"/>
            <w:hideMark/>
          </w:tcPr>
          <w:p w14:paraId="03D3A098" w14:textId="77777777" w:rsidR="00406023" w:rsidRPr="00406023" w:rsidRDefault="00406023" w:rsidP="00406023">
            <w:pPr>
              <w:spacing w:after="0" w:line="240" w:lineRule="auto"/>
              <w:jc w:val="center"/>
              <w:rPr>
                <w:rFonts w:ascii="Arial Narrow" w:eastAsia="Times New Roman" w:hAnsi="Arial Narrow" w:cs="Calibri"/>
                <w:sz w:val="16"/>
                <w:szCs w:val="16"/>
                <w:lang w:eastAsia="sk-SK"/>
              </w:rPr>
            </w:pPr>
            <w:r w:rsidRPr="00406023">
              <w:rPr>
                <w:rFonts w:ascii="Arial Narrow" w:eastAsia="Times New Roman" w:hAnsi="Arial Narrow" w:cs="Calibri"/>
                <w:sz w:val="16"/>
                <w:szCs w:val="16"/>
                <w:lang w:eastAsia="sk-SK"/>
              </w:rPr>
              <w:t>10</w:t>
            </w:r>
          </w:p>
        </w:tc>
        <w:tc>
          <w:tcPr>
            <w:tcW w:w="2702" w:type="dxa"/>
            <w:tcBorders>
              <w:top w:val="nil"/>
              <w:left w:val="nil"/>
              <w:bottom w:val="nil"/>
              <w:right w:val="nil"/>
            </w:tcBorders>
            <w:shd w:val="clear" w:color="auto" w:fill="DEEAF6" w:themeFill="accent5" w:themeFillTint="33"/>
            <w:vAlign w:val="center"/>
            <w:hideMark/>
          </w:tcPr>
          <w:p w14:paraId="68C48ABC" w14:textId="77777777" w:rsidR="00406023" w:rsidRPr="00406023" w:rsidRDefault="00406023" w:rsidP="00406023">
            <w:pPr>
              <w:spacing w:after="0" w:line="240" w:lineRule="auto"/>
              <w:rPr>
                <w:rFonts w:ascii="Arial Narrow" w:eastAsia="Times New Roman" w:hAnsi="Arial Narrow" w:cs="Calibri"/>
                <w:b/>
                <w:bCs/>
                <w:sz w:val="16"/>
                <w:szCs w:val="16"/>
                <w:lang w:eastAsia="sk-SK"/>
              </w:rPr>
            </w:pPr>
            <w:r w:rsidRPr="00406023">
              <w:rPr>
                <w:rFonts w:ascii="Arial Narrow" w:eastAsia="Times New Roman" w:hAnsi="Arial Narrow" w:cs="Calibri"/>
                <w:b/>
                <w:bCs/>
                <w:sz w:val="16"/>
                <w:szCs w:val="16"/>
                <w:lang w:eastAsia="sk-SK"/>
              </w:rPr>
              <w:t>Zosúladenie deficitu a dlhu (% HDP)</w:t>
            </w:r>
          </w:p>
        </w:tc>
        <w:tc>
          <w:tcPr>
            <w:tcW w:w="724" w:type="dxa"/>
            <w:tcBorders>
              <w:top w:val="nil"/>
              <w:left w:val="nil"/>
              <w:bottom w:val="nil"/>
              <w:right w:val="nil"/>
            </w:tcBorders>
            <w:shd w:val="clear" w:color="auto" w:fill="DEEAF6" w:themeFill="accent5" w:themeFillTint="33"/>
            <w:vAlign w:val="center"/>
            <w:hideMark/>
          </w:tcPr>
          <w:p w14:paraId="570B2BE2" w14:textId="2C296CD8"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-0,5</w:t>
            </w:r>
          </w:p>
        </w:tc>
        <w:tc>
          <w:tcPr>
            <w:tcW w:w="651" w:type="dxa"/>
            <w:tcBorders>
              <w:top w:val="nil"/>
              <w:left w:val="nil"/>
              <w:bottom w:val="nil"/>
              <w:right w:val="nil"/>
            </w:tcBorders>
            <w:shd w:val="clear" w:color="auto" w:fill="DEEAF6" w:themeFill="accent5" w:themeFillTint="33"/>
            <w:vAlign w:val="center"/>
            <w:hideMark/>
          </w:tcPr>
          <w:p w14:paraId="629F51EB" w14:textId="4C415DD4"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0,2</w:t>
            </w:r>
          </w:p>
        </w:tc>
        <w:tc>
          <w:tcPr>
            <w:tcW w:w="651" w:type="dxa"/>
            <w:tcBorders>
              <w:top w:val="nil"/>
              <w:left w:val="nil"/>
              <w:bottom w:val="nil"/>
              <w:right w:val="nil"/>
            </w:tcBorders>
            <w:shd w:val="clear" w:color="auto" w:fill="DEEAF6" w:themeFill="accent5" w:themeFillTint="33"/>
            <w:vAlign w:val="center"/>
            <w:hideMark/>
          </w:tcPr>
          <w:p w14:paraId="151695E4" w14:textId="02B9732C"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-0,6</w:t>
            </w:r>
          </w:p>
        </w:tc>
        <w:tc>
          <w:tcPr>
            <w:tcW w:w="651" w:type="dxa"/>
            <w:tcBorders>
              <w:top w:val="nil"/>
              <w:left w:val="nil"/>
              <w:bottom w:val="nil"/>
              <w:right w:val="nil"/>
            </w:tcBorders>
            <w:shd w:val="clear" w:color="auto" w:fill="DEEAF6" w:themeFill="accent5" w:themeFillTint="33"/>
            <w:vAlign w:val="center"/>
            <w:hideMark/>
          </w:tcPr>
          <w:p w14:paraId="1E81066D" w14:textId="1F841AB4"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56E038B9" w14:textId="2A013C51"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72ECE2BA" w14:textId="0C73C08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04C2EB64" w14:textId="4FACB681"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44CD0B82" w14:textId="2FE2620F"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093F4C34" w14:textId="1AD8A235"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5C5B0F6D" w14:textId="03D38D0C"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2C6BACB4" w14:textId="65D6A4E7"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39CD42A4" w14:textId="76811DD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128271D6" w14:textId="5261A3FB"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3155D391" w14:textId="06DCB1EC"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44A23DB0" w14:textId="5BA2672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c>
          <w:tcPr>
            <w:tcW w:w="651" w:type="dxa"/>
            <w:tcBorders>
              <w:top w:val="nil"/>
              <w:left w:val="nil"/>
              <w:bottom w:val="nil"/>
              <w:right w:val="nil"/>
            </w:tcBorders>
            <w:shd w:val="clear" w:color="auto" w:fill="DEEAF6" w:themeFill="accent5" w:themeFillTint="33"/>
            <w:vAlign w:val="center"/>
            <w:hideMark/>
          </w:tcPr>
          <w:p w14:paraId="1F2564E0" w14:textId="005B1FE7"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0,0</w:t>
            </w:r>
          </w:p>
        </w:tc>
      </w:tr>
      <w:tr w:rsidR="00406023" w:rsidRPr="00196FA8" w14:paraId="53C755FD" w14:textId="77777777" w:rsidTr="00B218F9">
        <w:trPr>
          <w:trHeight w:val="309"/>
        </w:trPr>
        <w:tc>
          <w:tcPr>
            <w:tcW w:w="385" w:type="dxa"/>
            <w:tcBorders>
              <w:top w:val="nil"/>
              <w:left w:val="nil"/>
              <w:bottom w:val="nil"/>
              <w:right w:val="nil"/>
            </w:tcBorders>
            <w:shd w:val="clear" w:color="auto" w:fill="DEEAF6" w:themeFill="accent5" w:themeFillTint="33"/>
            <w:vAlign w:val="center"/>
            <w:hideMark/>
          </w:tcPr>
          <w:p w14:paraId="09489B10" w14:textId="77777777" w:rsidR="00406023" w:rsidRPr="00406023" w:rsidRDefault="00406023" w:rsidP="00406023">
            <w:pPr>
              <w:spacing w:after="0" w:line="240" w:lineRule="auto"/>
              <w:jc w:val="center"/>
              <w:rPr>
                <w:rFonts w:ascii="Arial Narrow" w:eastAsia="Times New Roman" w:hAnsi="Arial Narrow" w:cs="Calibri"/>
                <w:sz w:val="16"/>
                <w:szCs w:val="16"/>
                <w:lang w:eastAsia="sk-SK"/>
              </w:rPr>
            </w:pPr>
            <w:r w:rsidRPr="00406023">
              <w:rPr>
                <w:rFonts w:ascii="Arial Narrow" w:eastAsia="Times New Roman" w:hAnsi="Arial Narrow" w:cs="Calibri"/>
                <w:sz w:val="16"/>
                <w:szCs w:val="16"/>
                <w:lang w:eastAsia="sk-SK"/>
              </w:rPr>
              <w:t>11</w:t>
            </w:r>
          </w:p>
        </w:tc>
        <w:tc>
          <w:tcPr>
            <w:tcW w:w="2702" w:type="dxa"/>
            <w:tcBorders>
              <w:top w:val="nil"/>
              <w:left w:val="nil"/>
              <w:bottom w:val="nil"/>
              <w:right w:val="nil"/>
            </w:tcBorders>
            <w:shd w:val="clear" w:color="auto" w:fill="DEEAF6" w:themeFill="accent5" w:themeFillTint="33"/>
            <w:vAlign w:val="center"/>
            <w:hideMark/>
          </w:tcPr>
          <w:p w14:paraId="4171673D" w14:textId="77777777" w:rsidR="00406023" w:rsidRPr="00406023" w:rsidRDefault="00406023" w:rsidP="00406023">
            <w:pPr>
              <w:spacing w:after="0" w:line="240" w:lineRule="auto"/>
              <w:rPr>
                <w:rFonts w:ascii="Arial Narrow" w:eastAsia="Times New Roman" w:hAnsi="Arial Narrow" w:cs="Calibri"/>
                <w:b/>
                <w:bCs/>
                <w:sz w:val="16"/>
                <w:szCs w:val="16"/>
                <w:lang w:eastAsia="sk-SK"/>
              </w:rPr>
            </w:pPr>
            <w:r w:rsidRPr="00406023">
              <w:rPr>
                <w:rFonts w:ascii="Arial Narrow" w:eastAsia="Times New Roman" w:hAnsi="Arial Narrow" w:cs="Calibri"/>
                <w:b/>
                <w:bCs/>
                <w:sz w:val="16"/>
                <w:szCs w:val="16"/>
                <w:lang w:eastAsia="sk-SK"/>
              </w:rPr>
              <w:t>Potenciálny HDP (rast v %)</w:t>
            </w:r>
          </w:p>
        </w:tc>
        <w:tc>
          <w:tcPr>
            <w:tcW w:w="724" w:type="dxa"/>
            <w:tcBorders>
              <w:top w:val="nil"/>
              <w:left w:val="nil"/>
              <w:bottom w:val="nil"/>
              <w:right w:val="nil"/>
            </w:tcBorders>
            <w:shd w:val="clear" w:color="auto" w:fill="DEEAF6" w:themeFill="accent5" w:themeFillTint="33"/>
            <w:vAlign w:val="center"/>
            <w:hideMark/>
          </w:tcPr>
          <w:p w14:paraId="3692725E" w14:textId="42E39C43"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2,8</w:t>
            </w:r>
          </w:p>
        </w:tc>
        <w:tc>
          <w:tcPr>
            <w:tcW w:w="651" w:type="dxa"/>
            <w:tcBorders>
              <w:top w:val="nil"/>
              <w:left w:val="nil"/>
              <w:bottom w:val="nil"/>
              <w:right w:val="nil"/>
            </w:tcBorders>
            <w:shd w:val="clear" w:color="auto" w:fill="DEEAF6" w:themeFill="accent5" w:themeFillTint="33"/>
            <w:vAlign w:val="center"/>
            <w:hideMark/>
          </w:tcPr>
          <w:p w14:paraId="2B3A4682" w14:textId="30EE8AC9"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2,3</w:t>
            </w:r>
          </w:p>
        </w:tc>
        <w:tc>
          <w:tcPr>
            <w:tcW w:w="651" w:type="dxa"/>
            <w:tcBorders>
              <w:top w:val="nil"/>
              <w:left w:val="nil"/>
              <w:bottom w:val="nil"/>
              <w:right w:val="nil"/>
            </w:tcBorders>
            <w:shd w:val="clear" w:color="auto" w:fill="DEEAF6" w:themeFill="accent5" w:themeFillTint="33"/>
            <w:vAlign w:val="center"/>
            <w:hideMark/>
          </w:tcPr>
          <w:p w14:paraId="75AFB234" w14:textId="4A4F1E15"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2,4</w:t>
            </w:r>
          </w:p>
        </w:tc>
        <w:tc>
          <w:tcPr>
            <w:tcW w:w="651" w:type="dxa"/>
            <w:tcBorders>
              <w:top w:val="nil"/>
              <w:left w:val="nil"/>
              <w:bottom w:val="nil"/>
              <w:right w:val="nil"/>
            </w:tcBorders>
            <w:shd w:val="clear" w:color="auto" w:fill="DEEAF6" w:themeFill="accent5" w:themeFillTint="33"/>
            <w:vAlign w:val="center"/>
            <w:hideMark/>
          </w:tcPr>
          <w:p w14:paraId="705471F1" w14:textId="5841D608"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1,7</w:t>
            </w:r>
          </w:p>
        </w:tc>
        <w:tc>
          <w:tcPr>
            <w:tcW w:w="651" w:type="dxa"/>
            <w:tcBorders>
              <w:top w:val="nil"/>
              <w:left w:val="nil"/>
              <w:bottom w:val="nil"/>
              <w:right w:val="nil"/>
            </w:tcBorders>
            <w:shd w:val="clear" w:color="auto" w:fill="DEEAF6" w:themeFill="accent5" w:themeFillTint="33"/>
            <w:vAlign w:val="center"/>
            <w:hideMark/>
          </w:tcPr>
          <w:p w14:paraId="72A430E5" w14:textId="70BCD8E7"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1,4</w:t>
            </w:r>
          </w:p>
        </w:tc>
        <w:tc>
          <w:tcPr>
            <w:tcW w:w="651" w:type="dxa"/>
            <w:tcBorders>
              <w:top w:val="nil"/>
              <w:left w:val="nil"/>
              <w:bottom w:val="nil"/>
              <w:right w:val="nil"/>
            </w:tcBorders>
            <w:shd w:val="clear" w:color="auto" w:fill="DEEAF6" w:themeFill="accent5" w:themeFillTint="33"/>
            <w:vAlign w:val="center"/>
            <w:hideMark/>
          </w:tcPr>
          <w:p w14:paraId="1FF4B542" w14:textId="17DA1A9E"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1,4</w:t>
            </w:r>
          </w:p>
        </w:tc>
        <w:tc>
          <w:tcPr>
            <w:tcW w:w="651" w:type="dxa"/>
            <w:tcBorders>
              <w:top w:val="nil"/>
              <w:left w:val="nil"/>
              <w:bottom w:val="nil"/>
              <w:right w:val="nil"/>
            </w:tcBorders>
            <w:shd w:val="clear" w:color="auto" w:fill="DEEAF6" w:themeFill="accent5" w:themeFillTint="33"/>
            <w:vAlign w:val="center"/>
            <w:hideMark/>
          </w:tcPr>
          <w:p w14:paraId="09DA6665" w14:textId="253BED4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1,5</w:t>
            </w:r>
          </w:p>
        </w:tc>
        <w:tc>
          <w:tcPr>
            <w:tcW w:w="651" w:type="dxa"/>
            <w:tcBorders>
              <w:top w:val="nil"/>
              <w:left w:val="nil"/>
              <w:bottom w:val="nil"/>
              <w:right w:val="nil"/>
            </w:tcBorders>
            <w:shd w:val="clear" w:color="auto" w:fill="DEEAF6" w:themeFill="accent5" w:themeFillTint="33"/>
            <w:vAlign w:val="center"/>
            <w:hideMark/>
          </w:tcPr>
          <w:p w14:paraId="1A96D3C3" w14:textId="07097F87"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1,5</w:t>
            </w:r>
          </w:p>
        </w:tc>
        <w:tc>
          <w:tcPr>
            <w:tcW w:w="651" w:type="dxa"/>
            <w:tcBorders>
              <w:top w:val="nil"/>
              <w:left w:val="nil"/>
              <w:bottom w:val="nil"/>
              <w:right w:val="nil"/>
            </w:tcBorders>
            <w:shd w:val="clear" w:color="auto" w:fill="DEEAF6" w:themeFill="accent5" w:themeFillTint="33"/>
            <w:vAlign w:val="center"/>
            <w:hideMark/>
          </w:tcPr>
          <w:p w14:paraId="2746939E" w14:textId="126E1844"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1,5</w:t>
            </w:r>
          </w:p>
        </w:tc>
        <w:tc>
          <w:tcPr>
            <w:tcW w:w="651" w:type="dxa"/>
            <w:tcBorders>
              <w:top w:val="nil"/>
              <w:left w:val="nil"/>
              <w:bottom w:val="nil"/>
              <w:right w:val="nil"/>
            </w:tcBorders>
            <w:shd w:val="clear" w:color="auto" w:fill="DEEAF6" w:themeFill="accent5" w:themeFillTint="33"/>
            <w:vAlign w:val="center"/>
            <w:hideMark/>
          </w:tcPr>
          <w:p w14:paraId="5999DB94" w14:textId="24A5A15A"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1,6</w:t>
            </w:r>
          </w:p>
        </w:tc>
        <w:tc>
          <w:tcPr>
            <w:tcW w:w="651" w:type="dxa"/>
            <w:tcBorders>
              <w:top w:val="nil"/>
              <w:left w:val="nil"/>
              <w:bottom w:val="nil"/>
              <w:right w:val="nil"/>
            </w:tcBorders>
            <w:shd w:val="clear" w:color="auto" w:fill="DEEAF6" w:themeFill="accent5" w:themeFillTint="33"/>
            <w:vAlign w:val="center"/>
            <w:hideMark/>
          </w:tcPr>
          <w:p w14:paraId="7E89AC08" w14:textId="012BB977"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1,6</w:t>
            </w:r>
          </w:p>
        </w:tc>
        <w:tc>
          <w:tcPr>
            <w:tcW w:w="651" w:type="dxa"/>
            <w:tcBorders>
              <w:top w:val="nil"/>
              <w:left w:val="nil"/>
              <w:bottom w:val="nil"/>
              <w:right w:val="nil"/>
            </w:tcBorders>
            <w:shd w:val="clear" w:color="auto" w:fill="DEEAF6" w:themeFill="accent5" w:themeFillTint="33"/>
            <w:vAlign w:val="center"/>
            <w:hideMark/>
          </w:tcPr>
          <w:p w14:paraId="0299A4FF" w14:textId="0576AD73"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1,6</w:t>
            </w:r>
          </w:p>
        </w:tc>
        <w:tc>
          <w:tcPr>
            <w:tcW w:w="651" w:type="dxa"/>
            <w:tcBorders>
              <w:top w:val="nil"/>
              <w:left w:val="nil"/>
              <w:bottom w:val="nil"/>
              <w:right w:val="nil"/>
            </w:tcBorders>
            <w:shd w:val="clear" w:color="auto" w:fill="DEEAF6" w:themeFill="accent5" w:themeFillTint="33"/>
            <w:vAlign w:val="center"/>
            <w:hideMark/>
          </w:tcPr>
          <w:p w14:paraId="5B5B884D" w14:textId="34E8D67E"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1,6</w:t>
            </w:r>
          </w:p>
        </w:tc>
        <w:tc>
          <w:tcPr>
            <w:tcW w:w="651" w:type="dxa"/>
            <w:tcBorders>
              <w:top w:val="nil"/>
              <w:left w:val="nil"/>
              <w:bottom w:val="nil"/>
              <w:right w:val="nil"/>
            </w:tcBorders>
            <w:shd w:val="clear" w:color="auto" w:fill="DEEAF6" w:themeFill="accent5" w:themeFillTint="33"/>
            <w:vAlign w:val="center"/>
            <w:hideMark/>
          </w:tcPr>
          <w:p w14:paraId="6188DE9F" w14:textId="63796A35"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1,7</w:t>
            </w:r>
          </w:p>
        </w:tc>
        <w:tc>
          <w:tcPr>
            <w:tcW w:w="651" w:type="dxa"/>
            <w:tcBorders>
              <w:top w:val="nil"/>
              <w:left w:val="nil"/>
              <w:bottom w:val="nil"/>
              <w:right w:val="nil"/>
            </w:tcBorders>
            <w:shd w:val="clear" w:color="auto" w:fill="DEEAF6" w:themeFill="accent5" w:themeFillTint="33"/>
            <w:vAlign w:val="center"/>
            <w:hideMark/>
          </w:tcPr>
          <w:p w14:paraId="5AD152C6" w14:textId="43EC6A47"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1,7</w:t>
            </w:r>
          </w:p>
        </w:tc>
        <w:tc>
          <w:tcPr>
            <w:tcW w:w="651" w:type="dxa"/>
            <w:tcBorders>
              <w:top w:val="nil"/>
              <w:left w:val="nil"/>
              <w:bottom w:val="nil"/>
              <w:right w:val="nil"/>
            </w:tcBorders>
            <w:shd w:val="clear" w:color="auto" w:fill="DEEAF6" w:themeFill="accent5" w:themeFillTint="33"/>
            <w:vAlign w:val="center"/>
            <w:hideMark/>
          </w:tcPr>
          <w:p w14:paraId="2B616E0B" w14:textId="5FB6010E"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1,6</w:t>
            </w:r>
          </w:p>
        </w:tc>
      </w:tr>
      <w:tr w:rsidR="00406023" w:rsidRPr="00196FA8" w14:paraId="73C0581D" w14:textId="77777777" w:rsidTr="00B218F9">
        <w:trPr>
          <w:trHeight w:val="309"/>
        </w:trPr>
        <w:tc>
          <w:tcPr>
            <w:tcW w:w="385" w:type="dxa"/>
            <w:tcBorders>
              <w:top w:val="nil"/>
              <w:left w:val="nil"/>
              <w:bottom w:val="nil"/>
              <w:right w:val="nil"/>
            </w:tcBorders>
            <w:shd w:val="clear" w:color="auto" w:fill="DEEAF6" w:themeFill="accent5" w:themeFillTint="33"/>
            <w:vAlign w:val="center"/>
            <w:hideMark/>
          </w:tcPr>
          <w:p w14:paraId="213ABB61" w14:textId="77777777" w:rsidR="00406023" w:rsidRPr="00406023" w:rsidRDefault="00406023" w:rsidP="00406023">
            <w:pPr>
              <w:spacing w:after="0" w:line="240" w:lineRule="auto"/>
              <w:jc w:val="center"/>
              <w:rPr>
                <w:rFonts w:ascii="Arial Narrow" w:eastAsia="Times New Roman" w:hAnsi="Arial Narrow" w:cs="Calibri"/>
                <w:sz w:val="16"/>
                <w:szCs w:val="16"/>
                <w:lang w:eastAsia="sk-SK"/>
              </w:rPr>
            </w:pPr>
            <w:r w:rsidRPr="00406023">
              <w:rPr>
                <w:rFonts w:ascii="Arial Narrow" w:eastAsia="Times New Roman" w:hAnsi="Arial Narrow" w:cs="Calibri"/>
                <w:sz w:val="16"/>
                <w:szCs w:val="16"/>
                <w:lang w:eastAsia="sk-SK"/>
              </w:rPr>
              <w:t>12</w:t>
            </w:r>
          </w:p>
        </w:tc>
        <w:tc>
          <w:tcPr>
            <w:tcW w:w="2702" w:type="dxa"/>
            <w:tcBorders>
              <w:top w:val="nil"/>
              <w:left w:val="nil"/>
              <w:bottom w:val="nil"/>
              <w:right w:val="nil"/>
            </w:tcBorders>
            <w:shd w:val="clear" w:color="auto" w:fill="DEEAF6" w:themeFill="accent5" w:themeFillTint="33"/>
            <w:vAlign w:val="center"/>
            <w:hideMark/>
          </w:tcPr>
          <w:p w14:paraId="6533445D" w14:textId="77777777" w:rsidR="00406023" w:rsidRPr="00406023" w:rsidRDefault="00406023" w:rsidP="00406023">
            <w:pPr>
              <w:spacing w:after="0" w:line="240" w:lineRule="auto"/>
              <w:rPr>
                <w:rFonts w:ascii="Arial Narrow" w:eastAsia="Times New Roman" w:hAnsi="Arial Narrow" w:cs="Calibri"/>
                <w:b/>
                <w:bCs/>
                <w:sz w:val="16"/>
                <w:szCs w:val="16"/>
                <w:lang w:eastAsia="sk-SK"/>
              </w:rPr>
            </w:pPr>
            <w:r w:rsidRPr="00406023">
              <w:rPr>
                <w:rFonts w:ascii="Arial Narrow" w:eastAsia="Times New Roman" w:hAnsi="Arial Narrow" w:cs="Calibri"/>
                <w:b/>
                <w:bCs/>
                <w:sz w:val="16"/>
                <w:szCs w:val="16"/>
                <w:lang w:eastAsia="sk-SK"/>
              </w:rPr>
              <w:t>Reálny HDP (rast v %)</w:t>
            </w:r>
          </w:p>
        </w:tc>
        <w:tc>
          <w:tcPr>
            <w:tcW w:w="724" w:type="dxa"/>
            <w:tcBorders>
              <w:top w:val="nil"/>
              <w:left w:val="nil"/>
              <w:bottom w:val="nil"/>
              <w:right w:val="nil"/>
            </w:tcBorders>
            <w:shd w:val="clear" w:color="auto" w:fill="DEEAF6" w:themeFill="accent5" w:themeFillTint="33"/>
            <w:vAlign w:val="center"/>
            <w:hideMark/>
          </w:tcPr>
          <w:p w14:paraId="7AD2929A" w14:textId="6453591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1,6</w:t>
            </w:r>
          </w:p>
        </w:tc>
        <w:tc>
          <w:tcPr>
            <w:tcW w:w="651" w:type="dxa"/>
            <w:tcBorders>
              <w:top w:val="nil"/>
              <w:left w:val="nil"/>
              <w:bottom w:val="nil"/>
              <w:right w:val="nil"/>
            </w:tcBorders>
            <w:shd w:val="clear" w:color="auto" w:fill="DEEAF6" w:themeFill="accent5" w:themeFillTint="33"/>
            <w:vAlign w:val="center"/>
            <w:hideMark/>
          </w:tcPr>
          <w:p w14:paraId="7B4F1095" w14:textId="6C8CB8FD"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2,2</w:t>
            </w:r>
          </w:p>
        </w:tc>
        <w:tc>
          <w:tcPr>
            <w:tcW w:w="651" w:type="dxa"/>
            <w:tcBorders>
              <w:top w:val="nil"/>
              <w:left w:val="nil"/>
              <w:bottom w:val="nil"/>
              <w:right w:val="nil"/>
            </w:tcBorders>
            <w:shd w:val="clear" w:color="auto" w:fill="DEEAF6" w:themeFill="accent5" w:themeFillTint="33"/>
            <w:vAlign w:val="center"/>
            <w:hideMark/>
          </w:tcPr>
          <w:p w14:paraId="233C2109" w14:textId="6DA1BD9D"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2,6</w:t>
            </w:r>
          </w:p>
        </w:tc>
        <w:tc>
          <w:tcPr>
            <w:tcW w:w="651" w:type="dxa"/>
            <w:tcBorders>
              <w:top w:val="nil"/>
              <w:left w:val="nil"/>
              <w:bottom w:val="nil"/>
              <w:right w:val="nil"/>
            </w:tcBorders>
            <w:shd w:val="clear" w:color="auto" w:fill="DEEAF6" w:themeFill="accent5" w:themeFillTint="33"/>
            <w:vAlign w:val="center"/>
            <w:hideMark/>
          </w:tcPr>
          <w:p w14:paraId="54CC2851" w14:textId="70F42C0A"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0,5</w:t>
            </w:r>
          </w:p>
        </w:tc>
        <w:tc>
          <w:tcPr>
            <w:tcW w:w="651" w:type="dxa"/>
            <w:tcBorders>
              <w:top w:val="nil"/>
              <w:left w:val="nil"/>
              <w:bottom w:val="nil"/>
              <w:right w:val="nil"/>
            </w:tcBorders>
            <w:shd w:val="clear" w:color="auto" w:fill="DEEAF6" w:themeFill="accent5" w:themeFillTint="33"/>
            <w:vAlign w:val="center"/>
            <w:hideMark/>
          </w:tcPr>
          <w:p w14:paraId="3733814B" w14:textId="624A6D26"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1,0</w:t>
            </w:r>
          </w:p>
        </w:tc>
        <w:tc>
          <w:tcPr>
            <w:tcW w:w="651" w:type="dxa"/>
            <w:tcBorders>
              <w:top w:val="nil"/>
              <w:left w:val="nil"/>
              <w:bottom w:val="nil"/>
              <w:right w:val="nil"/>
            </w:tcBorders>
            <w:shd w:val="clear" w:color="auto" w:fill="DEEAF6" w:themeFill="accent5" w:themeFillTint="33"/>
            <w:vAlign w:val="center"/>
            <w:hideMark/>
          </w:tcPr>
          <w:p w14:paraId="4DF3FA3B" w14:textId="5C4A2BD6"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1,1</w:t>
            </w:r>
          </w:p>
        </w:tc>
        <w:tc>
          <w:tcPr>
            <w:tcW w:w="651" w:type="dxa"/>
            <w:tcBorders>
              <w:top w:val="nil"/>
              <w:left w:val="nil"/>
              <w:bottom w:val="nil"/>
              <w:right w:val="nil"/>
            </w:tcBorders>
            <w:shd w:val="clear" w:color="auto" w:fill="DEEAF6" w:themeFill="accent5" w:themeFillTint="33"/>
            <w:vAlign w:val="center"/>
            <w:hideMark/>
          </w:tcPr>
          <w:p w14:paraId="23D37710" w14:textId="24809333"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2,3</w:t>
            </w:r>
          </w:p>
        </w:tc>
        <w:tc>
          <w:tcPr>
            <w:tcW w:w="651" w:type="dxa"/>
            <w:tcBorders>
              <w:top w:val="nil"/>
              <w:left w:val="nil"/>
              <w:bottom w:val="nil"/>
              <w:right w:val="nil"/>
            </w:tcBorders>
            <w:shd w:val="clear" w:color="auto" w:fill="DEEAF6" w:themeFill="accent5" w:themeFillTint="33"/>
            <w:vAlign w:val="center"/>
            <w:hideMark/>
          </w:tcPr>
          <w:p w14:paraId="028B5B30" w14:textId="739BD8ED"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2,3</w:t>
            </w:r>
          </w:p>
        </w:tc>
        <w:tc>
          <w:tcPr>
            <w:tcW w:w="651" w:type="dxa"/>
            <w:tcBorders>
              <w:top w:val="nil"/>
              <w:left w:val="nil"/>
              <w:bottom w:val="nil"/>
              <w:right w:val="nil"/>
            </w:tcBorders>
            <w:shd w:val="clear" w:color="auto" w:fill="DEEAF6" w:themeFill="accent5" w:themeFillTint="33"/>
            <w:vAlign w:val="center"/>
            <w:hideMark/>
          </w:tcPr>
          <w:p w14:paraId="3735E0A8" w14:textId="3CDDEE4A"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2,3</w:t>
            </w:r>
          </w:p>
        </w:tc>
        <w:tc>
          <w:tcPr>
            <w:tcW w:w="651" w:type="dxa"/>
            <w:tcBorders>
              <w:top w:val="nil"/>
              <w:left w:val="nil"/>
              <w:bottom w:val="nil"/>
              <w:right w:val="nil"/>
            </w:tcBorders>
            <w:shd w:val="clear" w:color="auto" w:fill="DEEAF6" w:themeFill="accent5" w:themeFillTint="33"/>
            <w:vAlign w:val="center"/>
            <w:hideMark/>
          </w:tcPr>
          <w:p w14:paraId="28F86AEC" w14:textId="290B5FD5"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1,6</w:t>
            </w:r>
          </w:p>
        </w:tc>
        <w:tc>
          <w:tcPr>
            <w:tcW w:w="651" w:type="dxa"/>
            <w:tcBorders>
              <w:top w:val="nil"/>
              <w:left w:val="nil"/>
              <w:bottom w:val="nil"/>
              <w:right w:val="nil"/>
            </w:tcBorders>
            <w:shd w:val="clear" w:color="auto" w:fill="DEEAF6" w:themeFill="accent5" w:themeFillTint="33"/>
            <w:vAlign w:val="center"/>
            <w:hideMark/>
          </w:tcPr>
          <w:p w14:paraId="5D2A9AB4" w14:textId="346824C7"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1,6</w:t>
            </w:r>
          </w:p>
        </w:tc>
        <w:tc>
          <w:tcPr>
            <w:tcW w:w="651" w:type="dxa"/>
            <w:tcBorders>
              <w:top w:val="nil"/>
              <w:left w:val="nil"/>
              <w:bottom w:val="nil"/>
              <w:right w:val="nil"/>
            </w:tcBorders>
            <w:shd w:val="clear" w:color="auto" w:fill="DEEAF6" w:themeFill="accent5" w:themeFillTint="33"/>
            <w:vAlign w:val="center"/>
            <w:hideMark/>
          </w:tcPr>
          <w:p w14:paraId="467DC35B" w14:textId="1A57BB3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1,6</w:t>
            </w:r>
          </w:p>
        </w:tc>
        <w:tc>
          <w:tcPr>
            <w:tcW w:w="651" w:type="dxa"/>
            <w:tcBorders>
              <w:top w:val="nil"/>
              <w:left w:val="nil"/>
              <w:bottom w:val="nil"/>
              <w:right w:val="nil"/>
            </w:tcBorders>
            <w:shd w:val="clear" w:color="auto" w:fill="DEEAF6" w:themeFill="accent5" w:themeFillTint="33"/>
            <w:vAlign w:val="center"/>
            <w:hideMark/>
          </w:tcPr>
          <w:p w14:paraId="61BC5D56" w14:textId="32B4F28F"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1,6</w:t>
            </w:r>
          </w:p>
        </w:tc>
        <w:tc>
          <w:tcPr>
            <w:tcW w:w="651" w:type="dxa"/>
            <w:tcBorders>
              <w:top w:val="nil"/>
              <w:left w:val="nil"/>
              <w:bottom w:val="nil"/>
              <w:right w:val="nil"/>
            </w:tcBorders>
            <w:shd w:val="clear" w:color="auto" w:fill="DEEAF6" w:themeFill="accent5" w:themeFillTint="33"/>
            <w:vAlign w:val="center"/>
            <w:hideMark/>
          </w:tcPr>
          <w:p w14:paraId="12559FEF" w14:textId="62CA34C9"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1,7</w:t>
            </w:r>
          </w:p>
        </w:tc>
        <w:tc>
          <w:tcPr>
            <w:tcW w:w="651" w:type="dxa"/>
            <w:tcBorders>
              <w:top w:val="nil"/>
              <w:left w:val="nil"/>
              <w:bottom w:val="nil"/>
              <w:right w:val="nil"/>
            </w:tcBorders>
            <w:shd w:val="clear" w:color="auto" w:fill="DEEAF6" w:themeFill="accent5" w:themeFillTint="33"/>
            <w:vAlign w:val="center"/>
            <w:hideMark/>
          </w:tcPr>
          <w:p w14:paraId="79E558AE" w14:textId="0257DEE3"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1,7</w:t>
            </w:r>
          </w:p>
        </w:tc>
        <w:tc>
          <w:tcPr>
            <w:tcW w:w="651" w:type="dxa"/>
            <w:tcBorders>
              <w:top w:val="nil"/>
              <w:left w:val="nil"/>
              <w:bottom w:val="nil"/>
              <w:right w:val="nil"/>
            </w:tcBorders>
            <w:shd w:val="clear" w:color="auto" w:fill="DEEAF6" w:themeFill="accent5" w:themeFillTint="33"/>
            <w:vAlign w:val="center"/>
            <w:hideMark/>
          </w:tcPr>
          <w:p w14:paraId="6E8808A3" w14:textId="000E521B"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1,6</w:t>
            </w:r>
          </w:p>
        </w:tc>
      </w:tr>
      <w:tr w:rsidR="00406023" w:rsidRPr="00196FA8" w14:paraId="691FD4C2" w14:textId="77777777" w:rsidTr="00B218F9">
        <w:trPr>
          <w:trHeight w:val="309"/>
        </w:trPr>
        <w:tc>
          <w:tcPr>
            <w:tcW w:w="385" w:type="dxa"/>
            <w:tcBorders>
              <w:top w:val="nil"/>
              <w:left w:val="nil"/>
              <w:bottom w:val="nil"/>
              <w:right w:val="nil"/>
            </w:tcBorders>
            <w:shd w:val="clear" w:color="auto" w:fill="DEEAF6" w:themeFill="accent5" w:themeFillTint="33"/>
            <w:vAlign w:val="center"/>
            <w:hideMark/>
          </w:tcPr>
          <w:p w14:paraId="350136F7" w14:textId="77777777" w:rsidR="00406023" w:rsidRPr="00406023" w:rsidRDefault="00406023" w:rsidP="00406023">
            <w:pPr>
              <w:spacing w:after="0" w:line="240" w:lineRule="auto"/>
              <w:jc w:val="center"/>
              <w:rPr>
                <w:rFonts w:ascii="Arial Narrow" w:eastAsia="Times New Roman" w:hAnsi="Arial Narrow" w:cs="Calibri"/>
                <w:sz w:val="16"/>
                <w:szCs w:val="16"/>
                <w:lang w:eastAsia="sk-SK"/>
              </w:rPr>
            </w:pPr>
            <w:r w:rsidRPr="00406023">
              <w:rPr>
                <w:rFonts w:ascii="Arial Narrow" w:eastAsia="Times New Roman" w:hAnsi="Arial Narrow" w:cs="Calibri"/>
                <w:sz w:val="16"/>
                <w:szCs w:val="16"/>
                <w:lang w:eastAsia="sk-SK"/>
              </w:rPr>
              <w:t>13</w:t>
            </w:r>
          </w:p>
        </w:tc>
        <w:tc>
          <w:tcPr>
            <w:tcW w:w="2702" w:type="dxa"/>
            <w:tcBorders>
              <w:top w:val="nil"/>
              <w:left w:val="nil"/>
              <w:bottom w:val="nil"/>
              <w:right w:val="nil"/>
            </w:tcBorders>
            <w:shd w:val="clear" w:color="auto" w:fill="DEEAF6" w:themeFill="accent5" w:themeFillTint="33"/>
            <w:vAlign w:val="center"/>
            <w:hideMark/>
          </w:tcPr>
          <w:p w14:paraId="0AA660E6" w14:textId="77777777" w:rsidR="00406023" w:rsidRPr="00406023" w:rsidRDefault="00406023" w:rsidP="00406023">
            <w:pPr>
              <w:spacing w:after="0" w:line="240" w:lineRule="auto"/>
              <w:rPr>
                <w:rFonts w:ascii="Arial Narrow" w:eastAsia="Times New Roman" w:hAnsi="Arial Narrow" w:cs="Calibri"/>
                <w:b/>
                <w:bCs/>
                <w:sz w:val="16"/>
                <w:szCs w:val="16"/>
                <w:lang w:eastAsia="sk-SK"/>
              </w:rPr>
            </w:pPr>
            <w:r w:rsidRPr="00406023">
              <w:rPr>
                <w:rFonts w:ascii="Arial Narrow" w:eastAsia="Times New Roman" w:hAnsi="Arial Narrow" w:cs="Calibri"/>
                <w:b/>
                <w:bCs/>
                <w:sz w:val="16"/>
                <w:szCs w:val="16"/>
                <w:lang w:eastAsia="sk-SK"/>
              </w:rPr>
              <w:t>Deflátor HDP (rast v %)</w:t>
            </w:r>
          </w:p>
        </w:tc>
        <w:tc>
          <w:tcPr>
            <w:tcW w:w="724" w:type="dxa"/>
            <w:tcBorders>
              <w:top w:val="nil"/>
              <w:left w:val="nil"/>
              <w:bottom w:val="nil"/>
              <w:right w:val="nil"/>
            </w:tcBorders>
            <w:shd w:val="clear" w:color="auto" w:fill="DEEAF6" w:themeFill="accent5" w:themeFillTint="33"/>
            <w:vAlign w:val="center"/>
            <w:hideMark/>
          </w:tcPr>
          <w:p w14:paraId="2BE00FC1" w14:textId="40708CA9"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10,1</w:t>
            </w:r>
          </w:p>
        </w:tc>
        <w:tc>
          <w:tcPr>
            <w:tcW w:w="651" w:type="dxa"/>
            <w:tcBorders>
              <w:top w:val="nil"/>
              <w:left w:val="nil"/>
              <w:bottom w:val="nil"/>
              <w:right w:val="nil"/>
            </w:tcBorders>
            <w:shd w:val="clear" w:color="auto" w:fill="DEEAF6" w:themeFill="accent5" w:themeFillTint="33"/>
            <w:vAlign w:val="center"/>
            <w:hideMark/>
          </w:tcPr>
          <w:p w14:paraId="4DC91B6E" w14:textId="38D0F85F"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4,6</w:t>
            </w:r>
          </w:p>
        </w:tc>
        <w:tc>
          <w:tcPr>
            <w:tcW w:w="651" w:type="dxa"/>
            <w:tcBorders>
              <w:top w:val="nil"/>
              <w:left w:val="nil"/>
              <w:bottom w:val="nil"/>
              <w:right w:val="nil"/>
            </w:tcBorders>
            <w:shd w:val="clear" w:color="auto" w:fill="DEEAF6" w:themeFill="accent5" w:themeFillTint="33"/>
            <w:vAlign w:val="center"/>
            <w:hideMark/>
          </w:tcPr>
          <w:p w14:paraId="372E2D45" w14:textId="43D51A45"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3,2</w:t>
            </w:r>
          </w:p>
        </w:tc>
        <w:tc>
          <w:tcPr>
            <w:tcW w:w="651" w:type="dxa"/>
            <w:tcBorders>
              <w:top w:val="nil"/>
              <w:left w:val="nil"/>
              <w:bottom w:val="nil"/>
              <w:right w:val="nil"/>
            </w:tcBorders>
            <w:shd w:val="clear" w:color="auto" w:fill="DEEAF6" w:themeFill="accent5" w:themeFillTint="33"/>
            <w:vAlign w:val="center"/>
            <w:hideMark/>
          </w:tcPr>
          <w:p w14:paraId="018B6F89" w14:textId="615DA706"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3,1</w:t>
            </w:r>
          </w:p>
        </w:tc>
        <w:tc>
          <w:tcPr>
            <w:tcW w:w="651" w:type="dxa"/>
            <w:tcBorders>
              <w:top w:val="nil"/>
              <w:left w:val="nil"/>
              <w:bottom w:val="nil"/>
              <w:right w:val="nil"/>
            </w:tcBorders>
            <w:shd w:val="clear" w:color="auto" w:fill="DEEAF6" w:themeFill="accent5" w:themeFillTint="33"/>
            <w:vAlign w:val="center"/>
            <w:hideMark/>
          </w:tcPr>
          <w:p w14:paraId="5D428879" w14:textId="60DD88D7"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3,0</w:t>
            </w:r>
          </w:p>
        </w:tc>
        <w:tc>
          <w:tcPr>
            <w:tcW w:w="651" w:type="dxa"/>
            <w:tcBorders>
              <w:top w:val="nil"/>
              <w:left w:val="nil"/>
              <w:bottom w:val="nil"/>
              <w:right w:val="nil"/>
            </w:tcBorders>
            <w:shd w:val="clear" w:color="auto" w:fill="DEEAF6" w:themeFill="accent5" w:themeFillTint="33"/>
            <w:vAlign w:val="center"/>
            <w:hideMark/>
          </w:tcPr>
          <w:p w14:paraId="5C7A8284" w14:textId="2DD77D05"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2,9</w:t>
            </w:r>
          </w:p>
        </w:tc>
        <w:tc>
          <w:tcPr>
            <w:tcW w:w="651" w:type="dxa"/>
            <w:tcBorders>
              <w:top w:val="nil"/>
              <w:left w:val="nil"/>
              <w:bottom w:val="nil"/>
              <w:right w:val="nil"/>
            </w:tcBorders>
            <w:shd w:val="clear" w:color="auto" w:fill="DEEAF6" w:themeFill="accent5" w:themeFillTint="33"/>
            <w:vAlign w:val="center"/>
            <w:hideMark/>
          </w:tcPr>
          <w:p w14:paraId="62EDF138" w14:textId="3EE3E549"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2,9</w:t>
            </w:r>
          </w:p>
        </w:tc>
        <w:tc>
          <w:tcPr>
            <w:tcW w:w="651" w:type="dxa"/>
            <w:tcBorders>
              <w:top w:val="nil"/>
              <w:left w:val="nil"/>
              <w:bottom w:val="nil"/>
              <w:right w:val="nil"/>
            </w:tcBorders>
            <w:shd w:val="clear" w:color="auto" w:fill="DEEAF6" w:themeFill="accent5" w:themeFillTint="33"/>
            <w:vAlign w:val="center"/>
            <w:hideMark/>
          </w:tcPr>
          <w:p w14:paraId="5D4BE76E" w14:textId="47DFEB66"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2,8</w:t>
            </w:r>
          </w:p>
        </w:tc>
        <w:tc>
          <w:tcPr>
            <w:tcW w:w="651" w:type="dxa"/>
            <w:tcBorders>
              <w:top w:val="nil"/>
              <w:left w:val="nil"/>
              <w:bottom w:val="nil"/>
              <w:right w:val="nil"/>
            </w:tcBorders>
            <w:shd w:val="clear" w:color="auto" w:fill="DEEAF6" w:themeFill="accent5" w:themeFillTint="33"/>
            <w:vAlign w:val="center"/>
            <w:hideMark/>
          </w:tcPr>
          <w:p w14:paraId="43FA4AFE" w14:textId="745685A3"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2,7</w:t>
            </w:r>
          </w:p>
        </w:tc>
        <w:tc>
          <w:tcPr>
            <w:tcW w:w="651" w:type="dxa"/>
            <w:tcBorders>
              <w:top w:val="nil"/>
              <w:left w:val="nil"/>
              <w:bottom w:val="nil"/>
              <w:right w:val="nil"/>
            </w:tcBorders>
            <w:shd w:val="clear" w:color="auto" w:fill="DEEAF6" w:themeFill="accent5" w:themeFillTint="33"/>
            <w:vAlign w:val="center"/>
            <w:hideMark/>
          </w:tcPr>
          <w:p w14:paraId="741BB88E" w14:textId="3651B966"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2,6</w:t>
            </w:r>
          </w:p>
        </w:tc>
        <w:tc>
          <w:tcPr>
            <w:tcW w:w="651" w:type="dxa"/>
            <w:tcBorders>
              <w:top w:val="nil"/>
              <w:left w:val="nil"/>
              <w:bottom w:val="nil"/>
              <w:right w:val="nil"/>
            </w:tcBorders>
            <w:shd w:val="clear" w:color="auto" w:fill="DEEAF6" w:themeFill="accent5" w:themeFillTint="33"/>
            <w:vAlign w:val="center"/>
            <w:hideMark/>
          </w:tcPr>
          <w:p w14:paraId="668407F6" w14:textId="78424934"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2,6</w:t>
            </w:r>
          </w:p>
        </w:tc>
        <w:tc>
          <w:tcPr>
            <w:tcW w:w="651" w:type="dxa"/>
            <w:tcBorders>
              <w:top w:val="nil"/>
              <w:left w:val="nil"/>
              <w:bottom w:val="nil"/>
              <w:right w:val="nil"/>
            </w:tcBorders>
            <w:shd w:val="clear" w:color="auto" w:fill="DEEAF6" w:themeFill="accent5" w:themeFillTint="33"/>
            <w:vAlign w:val="center"/>
            <w:hideMark/>
          </w:tcPr>
          <w:p w14:paraId="72324341" w14:textId="21FF5737"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2,5</w:t>
            </w:r>
          </w:p>
        </w:tc>
        <w:tc>
          <w:tcPr>
            <w:tcW w:w="651" w:type="dxa"/>
            <w:tcBorders>
              <w:top w:val="nil"/>
              <w:left w:val="nil"/>
              <w:bottom w:val="nil"/>
              <w:right w:val="nil"/>
            </w:tcBorders>
            <w:shd w:val="clear" w:color="auto" w:fill="DEEAF6" w:themeFill="accent5" w:themeFillTint="33"/>
            <w:vAlign w:val="center"/>
            <w:hideMark/>
          </w:tcPr>
          <w:p w14:paraId="0D4AFB1E" w14:textId="5BC18E41"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2,5</w:t>
            </w:r>
          </w:p>
        </w:tc>
        <w:tc>
          <w:tcPr>
            <w:tcW w:w="651" w:type="dxa"/>
            <w:tcBorders>
              <w:top w:val="nil"/>
              <w:left w:val="nil"/>
              <w:bottom w:val="nil"/>
              <w:right w:val="nil"/>
            </w:tcBorders>
            <w:shd w:val="clear" w:color="auto" w:fill="DEEAF6" w:themeFill="accent5" w:themeFillTint="33"/>
            <w:vAlign w:val="center"/>
            <w:hideMark/>
          </w:tcPr>
          <w:p w14:paraId="109073F6" w14:textId="2B7B3313"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2,5</w:t>
            </w:r>
          </w:p>
        </w:tc>
        <w:tc>
          <w:tcPr>
            <w:tcW w:w="651" w:type="dxa"/>
            <w:tcBorders>
              <w:top w:val="nil"/>
              <w:left w:val="nil"/>
              <w:bottom w:val="nil"/>
              <w:right w:val="nil"/>
            </w:tcBorders>
            <w:shd w:val="clear" w:color="auto" w:fill="DEEAF6" w:themeFill="accent5" w:themeFillTint="33"/>
            <w:vAlign w:val="center"/>
            <w:hideMark/>
          </w:tcPr>
          <w:p w14:paraId="10BD517A" w14:textId="3063231D"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2,4</w:t>
            </w:r>
          </w:p>
        </w:tc>
        <w:tc>
          <w:tcPr>
            <w:tcW w:w="651" w:type="dxa"/>
            <w:tcBorders>
              <w:top w:val="nil"/>
              <w:left w:val="nil"/>
              <w:bottom w:val="nil"/>
              <w:right w:val="nil"/>
            </w:tcBorders>
            <w:shd w:val="clear" w:color="auto" w:fill="DEEAF6" w:themeFill="accent5" w:themeFillTint="33"/>
            <w:vAlign w:val="center"/>
            <w:hideMark/>
          </w:tcPr>
          <w:p w14:paraId="49EB7622" w14:textId="6646E6C0"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2,4</w:t>
            </w:r>
          </w:p>
        </w:tc>
      </w:tr>
      <w:tr w:rsidR="00406023" w:rsidRPr="00196FA8" w14:paraId="7FE575B5" w14:textId="77777777" w:rsidTr="00B218F9">
        <w:trPr>
          <w:trHeight w:val="309"/>
        </w:trPr>
        <w:tc>
          <w:tcPr>
            <w:tcW w:w="385" w:type="dxa"/>
            <w:tcBorders>
              <w:top w:val="nil"/>
              <w:left w:val="nil"/>
              <w:bottom w:val="nil"/>
              <w:right w:val="nil"/>
            </w:tcBorders>
            <w:shd w:val="clear" w:color="auto" w:fill="DEEAF6" w:themeFill="accent5" w:themeFillTint="33"/>
            <w:vAlign w:val="center"/>
            <w:hideMark/>
          </w:tcPr>
          <w:p w14:paraId="05321196" w14:textId="77777777" w:rsidR="00406023" w:rsidRPr="00406023" w:rsidRDefault="00406023" w:rsidP="00406023">
            <w:pPr>
              <w:spacing w:after="0" w:line="240" w:lineRule="auto"/>
              <w:jc w:val="center"/>
              <w:rPr>
                <w:rFonts w:ascii="Arial Narrow" w:eastAsia="Times New Roman" w:hAnsi="Arial Narrow" w:cs="Calibri"/>
                <w:sz w:val="16"/>
                <w:szCs w:val="16"/>
                <w:lang w:eastAsia="sk-SK"/>
              </w:rPr>
            </w:pPr>
            <w:r w:rsidRPr="00406023">
              <w:rPr>
                <w:rFonts w:ascii="Arial Narrow" w:eastAsia="Times New Roman" w:hAnsi="Arial Narrow" w:cs="Calibri"/>
                <w:sz w:val="16"/>
                <w:szCs w:val="16"/>
                <w:lang w:eastAsia="sk-SK"/>
              </w:rPr>
              <w:t>14</w:t>
            </w:r>
          </w:p>
        </w:tc>
        <w:tc>
          <w:tcPr>
            <w:tcW w:w="2702" w:type="dxa"/>
            <w:tcBorders>
              <w:top w:val="nil"/>
              <w:left w:val="nil"/>
              <w:bottom w:val="nil"/>
              <w:right w:val="nil"/>
            </w:tcBorders>
            <w:shd w:val="clear" w:color="auto" w:fill="DEEAF6" w:themeFill="accent5" w:themeFillTint="33"/>
            <w:vAlign w:val="center"/>
            <w:hideMark/>
          </w:tcPr>
          <w:p w14:paraId="6CD96BAD" w14:textId="77777777" w:rsidR="00406023" w:rsidRPr="00406023" w:rsidRDefault="00406023" w:rsidP="00406023">
            <w:pPr>
              <w:spacing w:after="0" w:line="240" w:lineRule="auto"/>
              <w:rPr>
                <w:rFonts w:ascii="Arial Narrow" w:eastAsia="Times New Roman" w:hAnsi="Arial Narrow" w:cs="Calibri"/>
                <w:b/>
                <w:bCs/>
                <w:sz w:val="16"/>
                <w:szCs w:val="16"/>
                <w:lang w:eastAsia="sk-SK"/>
              </w:rPr>
            </w:pPr>
            <w:r w:rsidRPr="00406023">
              <w:rPr>
                <w:rFonts w:ascii="Arial Narrow" w:eastAsia="Times New Roman" w:hAnsi="Arial Narrow" w:cs="Calibri"/>
                <w:b/>
                <w:bCs/>
                <w:sz w:val="16"/>
                <w:szCs w:val="16"/>
                <w:lang w:eastAsia="sk-SK"/>
              </w:rPr>
              <w:t>Nominálne HDP (rast v %)</w:t>
            </w:r>
          </w:p>
        </w:tc>
        <w:tc>
          <w:tcPr>
            <w:tcW w:w="724" w:type="dxa"/>
            <w:tcBorders>
              <w:top w:val="nil"/>
              <w:left w:val="nil"/>
              <w:bottom w:val="nil"/>
              <w:right w:val="nil"/>
            </w:tcBorders>
            <w:shd w:val="clear" w:color="auto" w:fill="DEEAF6" w:themeFill="accent5" w:themeFillTint="33"/>
            <w:vAlign w:val="center"/>
            <w:hideMark/>
          </w:tcPr>
          <w:p w14:paraId="6C04B0EC" w14:textId="490F3E13"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11,9</w:t>
            </w:r>
          </w:p>
        </w:tc>
        <w:tc>
          <w:tcPr>
            <w:tcW w:w="651" w:type="dxa"/>
            <w:tcBorders>
              <w:top w:val="nil"/>
              <w:left w:val="nil"/>
              <w:bottom w:val="nil"/>
              <w:right w:val="nil"/>
            </w:tcBorders>
            <w:shd w:val="clear" w:color="auto" w:fill="DEEAF6" w:themeFill="accent5" w:themeFillTint="33"/>
            <w:vAlign w:val="center"/>
            <w:hideMark/>
          </w:tcPr>
          <w:p w14:paraId="0B044F4A" w14:textId="68CD2F13"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6,9</w:t>
            </w:r>
          </w:p>
        </w:tc>
        <w:tc>
          <w:tcPr>
            <w:tcW w:w="651" w:type="dxa"/>
            <w:tcBorders>
              <w:top w:val="nil"/>
              <w:left w:val="nil"/>
              <w:bottom w:val="nil"/>
              <w:right w:val="nil"/>
            </w:tcBorders>
            <w:shd w:val="clear" w:color="auto" w:fill="DEEAF6" w:themeFill="accent5" w:themeFillTint="33"/>
            <w:vAlign w:val="center"/>
            <w:hideMark/>
          </w:tcPr>
          <w:p w14:paraId="3F627F9B" w14:textId="2293D361"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5,9</w:t>
            </w:r>
          </w:p>
        </w:tc>
        <w:tc>
          <w:tcPr>
            <w:tcW w:w="651" w:type="dxa"/>
            <w:tcBorders>
              <w:top w:val="nil"/>
              <w:left w:val="nil"/>
              <w:bottom w:val="nil"/>
              <w:right w:val="nil"/>
            </w:tcBorders>
            <w:shd w:val="clear" w:color="auto" w:fill="DEEAF6" w:themeFill="accent5" w:themeFillTint="33"/>
            <w:vAlign w:val="center"/>
            <w:hideMark/>
          </w:tcPr>
          <w:p w14:paraId="40C64037" w14:textId="1C210429"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3,6</w:t>
            </w:r>
          </w:p>
        </w:tc>
        <w:tc>
          <w:tcPr>
            <w:tcW w:w="651" w:type="dxa"/>
            <w:tcBorders>
              <w:top w:val="nil"/>
              <w:left w:val="nil"/>
              <w:bottom w:val="nil"/>
              <w:right w:val="nil"/>
            </w:tcBorders>
            <w:shd w:val="clear" w:color="auto" w:fill="DEEAF6" w:themeFill="accent5" w:themeFillTint="33"/>
            <w:vAlign w:val="center"/>
            <w:hideMark/>
          </w:tcPr>
          <w:p w14:paraId="109A4ED5" w14:textId="39A95D28"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4,1</w:t>
            </w:r>
          </w:p>
        </w:tc>
        <w:tc>
          <w:tcPr>
            <w:tcW w:w="651" w:type="dxa"/>
            <w:tcBorders>
              <w:top w:val="nil"/>
              <w:left w:val="nil"/>
              <w:bottom w:val="nil"/>
              <w:right w:val="nil"/>
            </w:tcBorders>
            <w:shd w:val="clear" w:color="auto" w:fill="DEEAF6" w:themeFill="accent5" w:themeFillTint="33"/>
            <w:vAlign w:val="center"/>
            <w:hideMark/>
          </w:tcPr>
          <w:p w14:paraId="0ACEF47C" w14:textId="31678D37"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4,1</w:t>
            </w:r>
          </w:p>
        </w:tc>
        <w:tc>
          <w:tcPr>
            <w:tcW w:w="651" w:type="dxa"/>
            <w:tcBorders>
              <w:top w:val="nil"/>
              <w:left w:val="nil"/>
              <w:bottom w:val="nil"/>
              <w:right w:val="nil"/>
            </w:tcBorders>
            <w:shd w:val="clear" w:color="auto" w:fill="DEEAF6" w:themeFill="accent5" w:themeFillTint="33"/>
            <w:vAlign w:val="center"/>
            <w:hideMark/>
          </w:tcPr>
          <w:p w14:paraId="4085E7E1" w14:textId="6CA14DF8"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5,2</w:t>
            </w:r>
          </w:p>
        </w:tc>
        <w:tc>
          <w:tcPr>
            <w:tcW w:w="651" w:type="dxa"/>
            <w:tcBorders>
              <w:top w:val="nil"/>
              <w:left w:val="nil"/>
              <w:bottom w:val="nil"/>
              <w:right w:val="nil"/>
            </w:tcBorders>
            <w:shd w:val="clear" w:color="auto" w:fill="DEEAF6" w:themeFill="accent5" w:themeFillTint="33"/>
            <w:vAlign w:val="center"/>
            <w:hideMark/>
          </w:tcPr>
          <w:p w14:paraId="6C1D6A5E" w14:textId="03391EE1"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5,1</w:t>
            </w:r>
          </w:p>
        </w:tc>
        <w:tc>
          <w:tcPr>
            <w:tcW w:w="651" w:type="dxa"/>
            <w:tcBorders>
              <w:top w:val="nil"/>
              <w:left w:val="nil"/>
              <w:bottom w:val="nil"/>
              <w:right w:val="nil"/>
            </w:tcBorders>
            <w:shd w:val="clear" w:color="auto" w:fill="DEEAF6" w:themeFill="accent5" w:themeFillTint="33"/>
            <w:vAlign w:val="center"/>
            <w:hideMark/>
          </w:tcPr>
          <w:p w14:paraId="3F868ADD" w14:textId="416253E9"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5,1</w:t>
            </w:r>
          </w:p>
        </w:tc>
        <w:tc>
          <w:tcPr>
            <w:tcW w:w="651" w:type="dxa"/>
            <w:tcBorders>
              <w:top w:val="nil"/>
              <w:left w:val="nil"/>
              <w:bottom w:val="nil"/>
              <w:right w:val="nil"/>
            </w:tcBorders>
            <w:shd w:val="clear" w:color="auto" w:fill="DEEAF6" w:themeFill="accent5" w:themeFillTint="33"/>
            <w:vAlign w:val="center"/>
            <w:hideMark/>
          </w:tcPr>
          <w:p w14:paraId="278A1DB9" w14:textId="7439F7FF"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4,2</w:t>
            </w:r>
          </w:p>
        </w:tc>
        <w:tc>
          <w:tcPr>
            <w:tcW w:w="651" w:type="dxa"/>
            <w:tcBorders>
              <w:top w:val="nil"/>
              <w:left w:val="nil"/>
              <w:bottom w:val="nil"/>
              <w:right w:val="nil"/>
            </w:tcBorders>
            <w:shd w:val="clear" w:color="auto" w:fill="DEEAF6" w:themeFill="accent5" w:themeFillTint="33"/>
            <w:vAlign w:val="center"/>
            <w:hideMark/>
          </w:tcPr>
          <w:p w14:paraId="78A30916" w14:textId="6EEBE71F"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4,2</w:t>
            </w:r>
          </w:p>
        </w:tc>
        <w:tc>
          <w:tcPr>
            <w:tcW w:w="651" w:type="dxa"/>
            <w:tcBorders>
              <w:top w:val="nil"/>
              <w:left w:val="nil"/>
              <w:bottom w:val="nil"/>
              <w:right w:val="nil"/>
            </w:tcBorders>
            <w:shd w:val="clear" w:color="auto" w:fill="DEEAF6" w:themeFill="accent5" w:themeFillTint="33"/>
            <w:vAlign w:val="center"/>
            <w:hideMark/>
          </w:tcPr>
          <w:p w14:paraId="21A08AC1" w14:textId="6B0E8945"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4,2</w:t>
            </w:r>
          </w:p>
        </w:tc>
        <w:tc>
          <w:tcPr>
            <w:tcW w:w="651" w:type="dxa"/>
            <w:tcBorders>
              <w:top w:val="nil"/>
              <w:left w:val="nil"/>
              <w:bottom w:val="nil"/>
              <w:right w:val="nil"/>
            </w:tcBorders>
            <w:shd w:val="clear" w:color="auto" w:fill="DEEAF6" w:themeFill="accent5" w:themeFillTint="33"/>
            <w:vAlign w:val="center"/>
            <w:hideMark/>
          </w:tcPr>
          <w:p w14:paraId="26F7C809" w14:textId="27B50365"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4,2</w:t>
            </w:r>
          </w:p>
        </w:tc>
        <w:tc>
          <w:tcPr>
            <w:tcW w:w="651" w:type="dxa"/>
            <w:tcBorders>
              <w:top w:val="nil"/>
              <w:left w:val="nil"/>
              <w:bottom w:val="nil"/>
              <w:right w:val="nil"/>
            </w:tcBorders>
            <w:shd w:val="clear" w:color="auto" w:fill="DEEAF6" w:themeFill="accent5" w:themeFillTint="33"/>
            <w:vAlign w:val="center"/>
            <w:hideMark/>
          </w:tcPr>
          <w:p w14:paraId="0AC1C469" w14:textId="664FFFBF"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4,2</w:t>
            </w:r>
          </w:p>
        </w:tc>
        <w:tc>
          <w:tcPr>
            <w:tcW w:w="651" w:type="dxa"/>
            <w:tcBorders>
              <w:top w:val="nil"/>
              <w:left w:val="nil"/>
              <w:bottom w:val="nil"/>
              <w:right w:val="nil"/>
            </w:tcBorders>
            <w:shd w:val="clear" w:color="auto" w:fill="DEEAF6" w:themeFill="accent5" w:themeFillTint="33"/>
            <w:vAlign w:val="center"/>
            <w:hideMark/>
          </w:tcPr>
          <w:p w14:paraId="46989A08" w14:textId="26133C39"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4,2</w:t>
            </w:r>
          </w:p>
        </w:tc>
        <w:tc>
          <w:tcPr>
            <w:tcW w:w="651" w:type="dxa"/>
            <w:tcBorders>
              <w:top w:val="nil"/>
              <w:left w:val="nil"/>
              <w:bottom w:val="nil"/>
              <w:right w:val="nil"/>
            </w:tcBorders>
            <w:shd w:val="clear" w:color="auto" w:fill="DEEAF6" w:themeFill="accent5" w:themeFillTint="33"/>
            <w:vAlign w:val="center"/>
            <w:hideMark/>
          </w:tcPr>
          <w:p w14:paraId="6759ECFC" w14:textId="4AFA1785" w:rsidR="00406023" w:rsidRPr="00A22C01" w:rsidRDefault="00406023" w:rsidP="00406023">
            <w:pPr>
              <w:spacing w:after="0" w:line="240" w:lineRule="auto"/>
              <w:jc w:val="right"/>
              <w:rPr>
                <w:rFonts w:ascii="Arial Narrow" w:eastAsia="Times New Roman" w:hAnsi="Arial Narrow" w:cs="Calibri"/>
                <w:sz w:val="16"/>
                <w:szCs w:val="16"/>
                <w:lang w:eastAsia="sk-SK"/>
              </w:rPr>
            </w:pPr>
            <w:r w:rsidRPr="00A22C01">
              <w:rPr>
                <w:rFonts w:ascii="Arial Narrow" w:hAnsi="Arial Narrow" w:cs="Calibri"/>
                <w:color w:val="000000"/>
                <w:sz w:val="16"/>
                <w:szCs w:val="16"/>
              </w:rPr>
              <w:t>4,1</w:t>
            </w:r>
          </w:p>
        </w:tc>
      </w:tr>
    </w:tbl>
    <w:p w14:paraId="668A3986" w14:textId="5632A116" w:rsidR="00B218F9" w:rsidRPr="00135823" w:rsidRDefault="00B218F9" w:rsidP="00A22C01">
      <w:pPr>
        <w:widowControl w:val="0"/>
        <w:spacing w:before="40" w:after="40"/>
        <w:jc w:val="center"/>
        <w:rPr>
          <w:rFonts w:ascii="Arial Narrow" w:eastAsia="NeueHaasGroteskText W02" w:hAnsi="Arial Narrow" w:cs="Arial"/>
          <w:i/>
          <w:iCs/>
          <w:color w:val="000000" w:themeColor="text1"/>
          <w:sz w:val="16"/>
          <w:szCs w:val="16"/>
          <w:u w:color="2C9ADC"/>
        </w:rPr>
      </w:pPr>
      <w:r>
        <w:rPr>
          <w:rFonts w:ascii="Arial Narrow" w:eastAsia="NeueHaasGroteskText W02" w:hAnsi="Arial Narrow" w:cs="Arial"/>
          <w:i/>
          <w:iCs/>
          <w:color w:val="000000" w:themeColor="text1"/>
          <w:sz w:val="16"/>
          <w:szCs w:val="16"/>
          <w:u w:color="2C9ADC"/>
        </w:rPr>
        <w:t xml:space="preserve"> </w:t>
      </w:r>
      <w:r>
        <w:rPr>
          <w:rFonts w:ascii="Arial Narrow" w:eastAsia="NeueHaasGroteskText W02" w:hAnsi="Arial Narrow" w:cs="Arial"/>
          <w:i/>
          <w:iCs/>
          <w:color w:val="000000" w:themeColor="text1"/>
          <w:sz w:val="16"/>
          <w:szCs w:val="16"/>
          <w:u w:color="2C9ADC"/>
        </w:rPr>
        <w:tab/>
      </w:r>
      <w:r>
        <w:rPr>
          <w:rFonts w:ascii="Arial Narrow" w:eastAsia="NeueHaasGroteskText W02" w:hAnsi="Arial Narrow" w:cs="Arial"/>
          <w:i/>
          <w:iCs/>
          <w:color w:val="000000" w:themeColor="text1"/>
          <w:sz w:val="16"/>
          <w:szCs w:val="16"/>
          <w:u w:color="2C9ADC"/>
        </w:rPr>
        <w:tab/>
      </w:r>
      <w:r>
        <w:rPr>
          <w:rFonts w:ascii="Arial Narrow" w:eastAsia="NeueHaasGroteskText W02" w:hAnsi="Arial Narrow" w:cs="Arial"/>
          <w:i/>
          <w:iCs/>
          <w:color w:val="000000" w:themeColor="text1"/>
          <w:sz w:val="16"/>
          <w:szCs w:val="16"/>
          <w:u w:color="2C9ADC"/>
        </w:rPr>
        <w:tab/>
      </w:r>
      <w:r>
        <w:rPr>
          <w:rFonts w:ascii="Arial Narrow" w:eastAsia="NeueHaasGroteskText W02" w:hAnsi="Arial Narrow" w:cs="Arial"/>
          <w:i/>
          <w:iCs/>
          <w:color w:val="000000" w:themeColor="text1"/>
          <w:sz w:val="16"/>
          <w:szCs w:val="16"/>
          <w:u w:color="2C9ADC"/>
        </w:rPr>
        <w:tab/>
      </w:r>
      <w:r>
        <w:rPr>
          <w:rFonts w:ascii="Arial Narrow" w:eastAsia="NeueHaasGroteskText W02" w:hAnsi="Arial Narrow" w:cs="Arial"/>
          <w:i/>
          <w:iCs/>
          <w:color w:val="000000" w:themeColor="text1"/>
          <w:sz w:val="16"/>
          <w:szCs w:val="16"/>
          <w:u w:color="2C9ADC"/>
        </w:rPr>
        <w:tab/>
      </w:r>
      <w:r>
        <w:rPr>
          <w:rFonts w:ascii="Arial Narrow" w:eastAsia="NeueHaasGroteskText W02" w:hAnsi="Arial Narrow" w:cs="Arial"/>
          <w:i/>
          <w:iCs/>
          <w:color w:val="000000" w:themeColor="text1"/>
          <w:sz w:val="16"/>
          <w:szCs w:val="16"/>
          <w:u w:color="2C9ADC"/>
        </w:rPr>
        <w:tab/>
      </w:r>
      <w:r>
        <w:rPr>
          <w:rFonts w:ascii="Arial Narrow" w:eastAsia="NeueHaasGroteskText W02" w:hAnsi="Arial Narrow" w:cs="Arial"/>
          <w:i/>
          <w:iCs/>
          <w:color w:val="000000" w:themeColor="text1"/>
          <w:sz w:val="16"/>
          <w:szCs w:val="16"/>
          <w:u w:color="2C9ADC"/>
        </w:rPr>
        <w:tab/>
      </w:r>
      <w:r>
        <w:rPr>
          <w:rFonts w:ascii="Arial Narrow" w:eastAsia="NeueHaasGroteskText W02" w:hAnsi="Arial Narrow" w:cs="Arial"/>
          <w:i/>
          <w:iCs/>
          <w:color w:val="000000" w:themeColor="text1"/>
          <w:sz w:val="16"/>
          <w:szCs w:val="16"/>
          <w:u w:color="2C9ADC"/>
        </w:rPr>
        <w:tab/>
      </w:r>
      <w:r>
        <w:rPr>
          <w:rFonts w:ascii="Arial Narrow" w:eastAsia="NeueHaasGroteskText W02" w:hAnsi="Arial Narrow" w:cs="Arial"/>
          <w:i/>
          <w:iCs/>
          <w:color w:val="000000" w:themeColor="text1"/>
          <w:sz w:val="16"/>
          <w:szCs w:val="16"/>
          <w:u w:color="2C9ADC"/>
        </w:rPr>
        <w:tab/>
      </w:r>
      <w:r>
        <w:rPr>
          <w:rFonts w:ascii="Arial Narrow" w:eastAsia="NeueHaasGroteskText W02" w:hAnsi="Arial Narrow" w:cs="Arial"/>
          <w:i/>
          <w:iCs/>
          <w:color w:val="000000" w:themeColor="text1"/>
          <w:sz w:val="16"/>
          <w:szCs w:val="16"/>
          <w:u w:color="2C9ADC"/>
        </w:rPr>
        <w:tab/>
      </w:r>
      <w:r>
        <w:rPr>
          <w:rFonts w:ascii="Arial Narrow" w:eastAsia="NeueHaasGroteskText W02" w:hAnsi="Arial Narrow" w:cs="Arial"/>
          <w:i/>
          <w:iCs/>
          <w:color w:val="000000" w:themeColor="text1"/>
          <w:sz w:val="16"/>
          <w:szCs w:val="16"/>
          <w:u w:color="2C9ADC"/>
        </w:rPr>
        <w:tab/>
      </w:r>
      <w:r>
        <w:rPr>
          <w:rFonts w:ascii="Arial Narrow" w:eastAsia="NeueHaasGroteskText W02" w:hAnsi="Arial Narrow" w:cs="Arial"/>
          <w:i/>
          <w:iCs/>
          <w:color w:val="000000" w:themeColor="text1"/>
          <w:sz w:val="16"/>
          <w:szCs w:val="16"/>
          <w:u w:color="2C9ADC"/>
        </w:rPr>
        <w:tab/>
      </w:r>
      <w:r>
        <w:rPr>
          <w:rFonts w:ascii="Arial Narrow" w:eastAsia="NeueHaasGroteskText W02" w:hAnsi="Arial Narrow" w:cs="Arial"/>
          <w:i/>
          <w:iCs/>
          <w:color w:val="000000" w:themeColor="text1"/>
          <w:sz w:val="16"/>
          <w:szCs w:val="16"/>
          <w:u w:color="2C9ADC"/>
        </w:rPr>
        <w:tab/>
      </w:r>
      <w:r>
        <w:rPr>
          <w:rFonts w:ascii="Arial Narrow" w:eastAsia="NeueHaasGroteskText W02" w:hAnsi="Arial Narrow" w:cs="Arial"/>
          <w:i/>
          <w:iCs/>
          <w:color w:val="000000" w:themeColor="text1"/>
          <w:sz w:val="16"/>
          <w:szCs w:val="16"/>
          <w:u w:color="2C9ADC"/>
        </w:rPr>
        <w:tab/>
      </w:r>
      <w:r>
        <w:rPr>
          <w:rFonts w:ascii="Arial Narrow" w:eastAsia="NeueHaasGroteskText W02" w:hAnsi="Arial Narrow" w:cs="Arial"/>
          <w:i/>
          <w:iCs/>
          <w:color w:val="000000" w:themeColor="text1"/>
          <w:sz w:val="16"/>
          <w:szCs w:val="16"/>
          <w:u w:color="2C9ADC"/>
        </w:rPr>
        <w:tab/>
      </w:r>
      <w:r>
        <w:rPr>
          <w:rFonts w:ascii="Arial Narrow" w:eastAsia="NeueHaasGroteskText W02" w:hAnsi="Arial Narrow" w:cs="Arial"/>
          <w:i/>
          <w:iCs/>
          <w:color w:val="000000" w:themeColor="text1"/>
          <w:sz w:val="16"/>
          <w:szCs w:val="16"/>
          <w:u w:color="2C9ADC"/>
        </w:rPr>
        <w:tab/>
        <w:t xml:space="preserve">         </w:t>
      </w:r>
      <w:r w:rsidRPr="00135823">
        <w:rPr>
          <w:rFonts w:ascii="Arial Narrow" w:eastAsia="NeueHaasGroteskText W02" w:hAnsi="Arial Narrow" w:cs="Arial"/>
          <w:i/>
          <w:iCs/>
          <w:color w:val="000000" w:themeColor="text1"/>
          <w:sz w:val="16"/>
          <w:szCs w:val="16"/>
          <w:u w:color="2C9ADC"/>
        </w:rPr>
        <w:t>Zdroj: Európska komisia</w:t>
      </w:r>
    </w:p>
    <w:p w14:paraId="20E18BC1" w14:textId="77777777" w:rsidR="00C1228B" w:rsidRPr="00196FA8" w:rsidRDefault="00C1228B" w:rsidP="00C1228B">
      <w:pPr>
        <w:spacing w:after="0" w:line="276" w:lineRule="auto"/>
        <w:jc w:val="both"/>
        <w:rPr>
          <w:rFonts w:ascii="Arial Narrow" w:eastAsia="Times New Roman" w:hAnsi="Arial Narrow"/>
          <w:b/>
          <w:bCs/>
        </w:rPr>
      </w:pPr>
    </w:p>
    <w:p w14:paraId="07BB2D47" w14:textId="77777777" w:rsidR="00C1228B" w:rsidRDefault="00C1228B" w:rsidP="00C1228B">
      <w:pPr>
        <w:spacing w:after="0" w:line="276" w:lineRule="auto"/>
        <w:jc w:val="both"/>
        <w:rPr>
          <w:rFonts w:ascii="Arial Narrow" w:eastAsia="Times New Roman" w:hAnsi="Arial Narrow"/>
          <w:b/>
          <w:bCs/>
        </w:rPr>
      </w:pPr>
    </w:p>
    <w:p w14:paraId="32C4BF2E" w14:textId="77777777" w:rsidR="00C1228B" w:rsidRDefault="00C1228B" w:rsidP="00C1228B">
      <w:pPr>
        <w:spacing w:after="0" w:line="276" w:lineRule="auto"/>
        <w:jc w:val="both"/>
        <w:rPr>
          <w:rFonts w:ascii="Arial Narrow" w:eastAsia="Times New Roman" w:hAnsi="Arial Narrow"/>
          <w:b/>
          <w:bCs/>
        </w:rPr>
      </w:pPr>
    </w:p>
    <w:p w14:paraId="40E71F01" w14:textId="77777777" w:rsidR="00C1228B" w:rsidRDefault="00C1228B" w:rsidP="00C1228B">
      <w:pPr>
        <w:spacing w:after="0" w:line="276" w:lineRule="auto"/>
        <w:jc w:val="both"/>
        <w:rPr>
          <w:rFonts w:ascii="Arial Narrow" w:eastAsia="Times New Roman" w:hAnsi="Arial Narrow"/>
          <w:b/>
          <w:bCs/>
        </w:rPr>
      </w:pPr>
    </w:p>
    <w:p w14:paraId="7D9D344A" w14:textId="77777777" w:rsidR="00C1228B" w:rsidRDefault="00C1228B" w:rsidP="00C1228B">
      <w:pPr>
        <w:spacing w:after="0" w:line="276" w:lineRule="auto"/>
        <w:jc w:val="both"/>
        <w:rPr>
          <w:rFonts w:ascii="Arial Narrow" w:eastAsia="Times New Roman" w:hAnsi="Arial Narrow"/>
          <w:b/>
          <w:bCs/>
        </w:rPr>
      </w:pPr>
    </w:p>
    <w:p w14:paraId="12EBED4D" w14:textId="77777777" w:rsidR="00C1228B" w:rsidRDefault="00C1228B" w:rsidP="00C1228B">
      <w:pPr>
        <w:spacing w:after="0" w:line="276" w:lineRule="auto"/>
        <w:jc w:val="both"/>
        <w:rPr>
          <w:rFonts w:ascii="Arial Narrow" w:eastAsia="Times New Roman" w:hAnsi="Arial Narrow"/>
          <w:b/>
          <w:bCs/>
        </w:rPr>
      </w:pPr>
    </w:p>
    <w:p w14:paraId="7FFB6488" w14:textId="77777777" w:rsidR="00C1228B" w:rsidRDefault="00C1228B" w:rsidP="00C1228B">
      <w:pPr>
        <w:spacing w:after="0" w:line="276" w:lineRule="auto"/>
        <w:jc w:val="both"/>
        <w:rPr>
          <w:rFonts w:ascii="Arial Narrow" w:eastAsia="Times New Roman" w:hAnsi="Arial Narrow"/>
          <w:b/>
          <w:bCs/>
        </w:rPr>
      </w:pPr>
    </w:p>
    <w:p w14:paraId="6A4CB322" w14:textId="77777777" w:rsidR="00C1228B" w:rsidRDefault="00C1228B" w:rsidP="00C1228B">
      <w:pPr>
        <w:spacing w:after="0" w:line="276" w:lineRule="auto"/>
        <w:jc w:val="both"/>
        <w:rPr>
          <w:rFonts w:ascii="Arial Narrow" w:eastAsia="Times New Roman" w:hAnsi="Arial Narrow"/>
          <w:b/>
          <w:bCs/>
        </w:rPr>
      </w:pPr>
    </w:p>
    <w:p w14:paraId="1B8117C4" w14:textId="77777777" w:rsidR="00C1228B" w:rsidRDefault="00C1228B" w:rsidP="00C1228B">
      <w:pPr>
        <w:spacing w:after="0" w:line="276" w:lineRule="auto"/>
        <w:jc w:val="both"/>
        <w:rPr>
          <w:rFonts w:ascii="Arial Narrow" w:eastAsia="Times New Roman" w:hAnsi="Arial Narrow"/>
          <w:b/>
          <w:bCs/>
        </w:rPr>
      </w:pPr>
    </w:p>
    <w:p w14:paraId="427969B5" w14:textId="77777777" w:rsidR="00C1228B" w:rsidRDefault="00C1228B" w:rsidP="00C1228B">
      <w:pPr>
        <w:spacing w:after="0" w:line="276" w:lineRule="auto"/>
        <w:jc w:val="both"/>
        <w:rPr>
          <w:rFonts w:ascii="Arial Narrow" w:eastAsia="Times New Roman" w:hAnsi="Arial Narrow"/>
          <w:b/>
          <w:bCs/>
        </w:rPr>
      </w:pPr>
    </w:p>
    <w:p w14:paraId="46D924BD" w14:textId="77777777" w:rsidR="00C1228B" w:rsidRDefault="00C1228B" w:rsidP="00C1228B">
      <w:pPr>
        <w:spacing w:after="0" w:line="276" w:lineRule="auto"/>
        <w:jc w:val="both"/>
        <w:rPr>
          <w:rFonts w:ascii="Arial Narrow" w:eastAsia="Times New Roman" w:hAnsi="Arial Narrow"/>
          <w:b/>
          <w:bCs/>
        </w:rPr>
      </w:pPr>
    </w:p>
    <w:p w14:paraId="1363344A" w14:textId="77777777" w:rsidR="00C1228B" w:rsidRDefault="00C1228B" w:rsidP="00C1228B">
      <w:pPr>
        <w:spacing w:after="0" w:line="276" w:lineRule="auto"/>
        <w:jc w:val="both"/>
        <w:rPr>
          <w:rFonts w:ascii="Arial Narrow" w:eastAsia="Times New Roman" w:hAnsi="Arial Narrow"/>
          <w:b/>
          <w:bCs/>
        </w:rPr>
      </w:pPr>
    </w:p>
    <w:p w14:paraId="5FD9B540" w14:textId="77777777" w:rsidR="00C1228B" w:rsidRDefault="00C1228B" w:rsidP="00C1228B">
      <w:pPr>
        <w:widowControl w:val="0"/>
        <w:spacing w:before="40" w:after="40"/>
        <w:jc w:val="both"/>
        <w:rPr>
          <w:rFonts w:ascii="Arial Narrow" w:eastAsia="NeueHaasGroteskText W02" w:hAnsi="Arial Narrow" w:cs="Arial"/>
          <w:b/>
          <w:bCs/>
          <w:color w:val="2C9ADC"/>
          <w:sz w:val="20"/>
          <w:szCs w:val="20"/>
          <w:u w:color="2C9ADC"/>
        </w:rPr>
        <w:sectPr w:rsidR="00C1228B" w:rsidSect="00C1228B">
          <w:pgSz w:w="16838" w:h="11906" w:orient="landscape"/>
          <w:pgMar w:top="1417" w:right="1417" w:bottom="1417" w:left="1417" w:header="708" w:footer="708" w:gutter="0"/>
          <w:cols w:space="708"/>
          <w:docGrid w:linePitch="360"/>
        </w:sectPr>
      </w:pPr>
    </w:p>
    <w:p w14:paraId="3E0B4532" w14:textId="77777777" w:rsidR="00C1228B" w:rsidRPr="009276A2" w:rsidRDefault="00C1228B" w:rsidP="00C1228B">
      <w:pPr>
        <w:widowControl w:val="0"/>
        <w:spacing w:before="40" w:after="40"/>
        <w:jc w:val="both"/>
        <w:rPr>
          <w:rFonts w:ascii="Arial Narrow" w:eastAsia="NeueHaasGroteskText W02" w:hAnsi="Arial Narrow" w:cs="Arial"/>
          <w:b/>
          <w:bCs/>
          <w:color w:val="2C9ADC"/>
          <w:sz w:val="20"/>
          <w:szCs w:val="20"/>
          <w:u w:color="2C9ADC"/>
        </w:rPr>
      </w:pPr>
      <w:r w:rsidRPr="009276A2">
        <w:rPr>
          <w:rFonts w:ascii="Arial Narrow" w:eastAsia="NeueHaasGroteskText W02" w:hAnsi="Arial Narrow" w:cs="Arial"/>
          <w:b/>
          <w:bCs/>
          <w:color w:val="2C9ADC"/>
          <w:sz w:val="20"/>
          <w:szCs w:val="20"/>
          <w:u w:color="2C9ADC"/>
        </w:rPr>
        <w:lastRenderedPageBreak/>
        <w:t>TABUĽKA 7b – Prognóza dlhu, rizikové scenáre, deterministické scenáre a stochastické simulácie</w:t>
      </w:r>
    </w:p>
    <w:tbl>
      <w:tblPr>
        <w:tblW w:w="13599" w:type="dxa"/>
        <w:tblCellMar>
          <w:left w:w="70" w:type="dxa"/>
          <w:right w:w="70" w:type="dxa"/>
        </w:tblCellMar>
        <w:tblLook w:val="04A0" w:firstRow="1" w:lastRow="0" w:firstColumn="1" w:lastColumn="0" w:noHBand="0" w:noVBand="1"/>
      </w:tblPr>
      <w:tblGrid>
        <w:gridCol w:w="361"/>
        <w:gridCol w:w="815"/>
        <w:gridCol w:w="739"/>
        <w:gridCol w:w="634"/>
        <w:gridCol w:w="628"/>
        <w:gridCol w:w="651"/>
        <w:gridCol w:w="651"/>
        <w:gridCol w:w="651"/>
        <w:gridCol w:w="651"/>
        <w:gridCol w:w="651"/>
        <w:gridCol w:w="651"/>
        <w:gridCol w:w="651"/>
        <w:gridCol w:w="651"/>
        <w:gridCol w:w="651"/>
        <w:gridCol w:w="651"/>
        <w:gridCol w:w="651"/>
        <w:gridCol w:w="651"/>
        <w:gridCol w:w="651"/>
        <w:gridCol w:w="651"/>
        <w:gridCol w:w="651"/>
        <w:gridCol w:w="651"/>
        <w:gridCol w:w="6"/>
      </w:tblGrid>
      <w:tr w:rsidR="00C1228B" w:rsidRPr="009276A2" w14:paraId="75B81669" w14:textId="77777777" w:rsidTr="00406023">
        <w:trPr>
          <w:trHeight w:val="361"/>
        </w:trPr>
        <w:tc>
          <w:tcPr>
            <w:tcW w:w="6432" w:type="dxa"/>
            <w:gridSpan w:val="10"/>
            <w:tcBorders>
              <w:top w:val="nil"/>
              <w:left w:val="nil"/>
              <w:bottom w:val="nil"/>
              <w:right w:val="nil"/>
            </w:tcBorders>
            <w:shd w:val="clear" w:color="000000" w:fill="FFFFFF"/>
            <w:vAlign w:val="center"/>
            <w:hideMark/>
          </w:tcPr>
          <w:p w14:paraId="516A6D0C" w14:textId="77777777" w:rsidR="00C1228B" w:rsidRPr="009276A2" w:rsidRDefault="00C1228B" w:rsidP="00616580">
            <w:pPr>
              <w:spacing w:after="0" w:line="240" w:lineRule="auto"/>
              <w:rPr>
                <w:rFonts w:ascii="Arial Narrow" w:eastAsia="Times New Roman" w:hAnsi="Arial Narrow" w:cs="Calibri"/>
                <w:b/>
                <w:bCs/>
                <w:color w:val="2C9ADC"/>
                <w:sz w:val="18"/>
                <w:szCs w:val="18"/>
                <w:lang w:eastAsia="sk-SK"/>
              </w:rPr>
            </w:pPr>
          </w:p>
        </w:tc>
        <w:tc>
          <w:tcPr>
            <w:tcW w:w="651" w:type="dxa"/>
            <w:tcBorders>
              <w:top w:val="nil"/>
              <w:left w:val="nil"/>
              <w:bottom w:val="nil"/>
              <w:right w:val="nil"/>
            </w:tcBorders>
            <w:shd w:val="clear" w:color="auto" w:fill="auto"/>
            <w:noWrap/>
            <w:vAlign w:val="bottom"/>
            <w:hideMark/>
          </w:tcPr>
          <w:p w14:paraId="7AE6560C" w14:textId="77777777" w:rsidR="00C1228B" w:rsidRPr="009276A2" w:rsidRDefault="00C1228B" w:rsidP="00616580">
            <w:pPr>
              <w:spacing w:after="0" w:line="240" w:lineRule="auto"/>
              <w:rPr>
                <w:rFonts w:ascii="Arial Narrow" w:eastAsia="Times New Roman" w:hAnsi="Arial Narrow" w:cs="Calibri"/>
                <w:b/>
                <w:bCs/>
                <w:color w:val="2C9ADC"/>
                <w:sz w:val="18"/>
                <w:szCs w:val="18"/>
                <w:lang w:eastAsia="sk-SK"/>
              </w:rPr>
            </w:pPr>
          </w:p>
        </w:tc>
        <w:tc>
          <w:tcPr>
            <w:tcW w:w="651" w:type="dxa"/>
            <w:tcBorders>
              <w:top w:val="nil"/>
              <w:left w:val="nil"/>
              <w:bottom w:val="nil"/>
              <w:right w:val="nil"/>
            </w:tcBorders>
            <w:shd w:val="clear" w:color="auto" w:fill="auto"/>
            <w:noWrap/>
            <w:vAlign w:val="bottom"/>
            <w:hideMark/>
          </w:tcPr>
          <w:p w14:paraId="718011C1"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5935FBA5"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0703BD64"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35854DA4"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56005BC7"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66CDBAE8"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7D883968"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6E0F56E5"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5D8582CE"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657" w:type="dxa"/>
            <w:gridSpan w:val="2"/>
            <w:tcBorders>
              <w:top w:val="nil"/>
              <w:left w:val="nil"/>
              <w:bottom w:val="nil"/>
              <w:right w:val="nil"/>
            </w:tcBorders>
            <w:shd w:val="clear" w:color="auto" w:fill="auto"/>
            <w:noWrap/>
            <w:vAlign w:val="bottom"/>
            <w:hideMark/>
          </w:tcPr>
          <w:p w14:paraId="65F7FD2A"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r>
      <w:tr w:rsidR="00C1228B" w:rsidRPr="009276A2" w14:paraId="3A141F2C" w14:textId="77777777" w:rsidTr="00406023">
        <w:trPr>
          <w:gridAfter w:val="1"/>
          <w:wAfter w:w="6" w:type="dxa"/>
          <w:trHeight w:val="344"/>
        </w:trPr>
        <w:tc>
          <w:tcPr>
            <w:tcW w:w="1176" w:type="dxa"/>
            <w:gridSpan w:val="2"/>
            <w:tcBorders>
              <w:top w:val="nil"/>
              <w:left w:val="nil"/>
              <w:bottom w:val="single" w:sz="8" w:space="0" w:color="auto"/>
              <w:right w:val="nil"/>
            </w:tcBorders>
            <w:shd w:val="clear" w:color="auto" w:fill="auto"/>
            <w:vAlign w:val="center"/>
            <w:hideMark/>
          </w:tcPr>
          <w:p w14:paraId="3240B866"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 </w:t>
            </w:r>
          </w:p>
        </w:tc>
        <w:tc>
          <w:tcPr>
            <w:tcW w:w="739" w:type="dxa"/>
            <w:tcBorders>
              <w:top w:val="nil"/>
              <w:left w:val="nil"/>
              <w:bottom w:val="single" w:sz="8" w:space="0" w:color="auto"/>
              <w:right w:val="nil"/>
            </w:tcBorders>
            <w:shd w:val="clear" w:color="auto" w:fill="auto"/>
            <w:vAlign w:val="center"/>
            <w:hideMark/>
          </w:tcPr>
          <w:p w14:paraId="77EEFD70" w14:textId="77777777" w:rsidR="00C1228B" w:rsidRPr="009276A2" w:rsidRDefault="00C1228B" w:rsidP="00616580">
            <w:pPr>
              <w:spacing w:after="0" w:line="240" w:lineRule="auto"/>
              <w:jc w:val="center"/>
              <w:rPr>
                <w:rFonts w:ascii="Arial Narrow" w:eastAsia="Times New Roman" w:hAnsi="Arial Narrow" w:cs="Calibri"/>
                <w:b/>
                <w:bCs/>
                <w:i/>
                <w:iCs/>
                <w:sz w:val="18"/>
                <w:szCs w:val="18"/>
                <w:lang w:eastAsia="sk-SK"/>
              </w:rPr>
            </w:pPr>
            <w:r w:rsidRPr="009276A2">
              <w:rPr>
                <w:rFonts w:ascii="Arial Narrow" w:eastAsia="Times New Roman" w:hAnsi="Arial Narrow" w:cs="Calibri"/>
                <w:b/>
                <w:bCs/>
                <w:i/>
                <w:iCs/>
                <w:sz w:val="18"/>
                <w:szCs w:val="18"/>
                <w:lang w:eastAsia="sk-SK"/>
              </w:rPr>
              <w:t> </w:t>
            </w:r>
          </w:p>
        </w:tc>
        <w:tc>
          <w:tcPr>
            <w:tcW w:w="634" w:type="dxa"/>
            <w:tcBorders>
              <w:top w:val="nil"/>
              <w:left w:val="nil"/>
              <w:bottom w:val="single" w:sz="8" w:space="0" w:color="auto"/>
              <w:right w:val="nil"/>
            </w:tcBorders>
            <w:shd w:val="clear" w:color="auto" w:fill="auto"/>
            <w:vAlign w:val="center"/>
            <w:hideMark/>
          </w:tcPr>
          <w:p w14:paraId="267DB078" w14:textId="77777777" w:rsidR="00C1228B" w:rsidRPr="009276A2" w:rsidRDefault="00C1228B" w:rsidP="00616580">
            <w:pPr>
              <w:spacing w:after="0" w:line="240" w:lineRule="auto"/>
              <w:jc w:val="center"/>
              <w:rPr>
                <w:rFonts w:ascii="Arial Narrow" w:eastAsia="Times New Roman" w:hAnsi="Arial Narrow" w:cs="Calibri"/>
                <w:b/>
                <w:bCs/>
                <w:i/>
                <w:iCs/>
                <w:sz w:val="18"/>
                <w:szCs w:val="18"/>
                <w:lang w:eastAsia="sk-SK"/>
              </w:rPr>
            </w:pPr>
            <w:r w:rsidRPr="009276A2">
              <w:rPr>
                <w:rFonts w:ascii="Arial Narrow" w:eastAsia="Times New Roman" w:hAnsi="Arial Narrow" w:cs="Calibri"/>
                <w:b/>
                <w:bCs/>
                <w:i/>
                <w:iCs/>
                <w:sz w:val="18"/>
                <w:szCs w:val="18"/>
                <w:lang w:eastAsia="sk-SK"/>
              </w:rPr>
              <w:t> </w:t>
            </w:r>
          </w:p>
        </w:tc>
        <w:tc>
          <w:tcPr>
            <w:tcW w:w="628" w:type="dxa"/>
            <w:tcBorders>
              <w:top w:val="nil"/>
              <w:left w:val="nil"/>
              <w:bottom w:val="single" w:sz="8" w:space="0" w:color="auto"/>
              <w:right w:val="nil"/>
            </w:tcBorders>
            <w:shd w:val="clear" w:color="auto" w:fill="auto"/>
            <w:vAlign w:val="center"/>
            <w:hideMark/>
          </w:tcPr>
          <w:p w14:paraId="3EE7ABF5" w14:textId="77777777" w:rsidR="00C1228B" w:rsidRPr="009276A2" w:rsidRDefault="00C1228B" w:rsidP="00616580">
            <w:pPr>
              <w:spacing w:after="0" w:line="240" w:lineRule="auto"/>
              <w:jc w:val="center"/>
              <w:rPr>
                <w:rFonts w:ascii="Arial Narrow" w:eastAsia="Times New Roman" w:hAnsi="Arial Narrow" w:cs="Calibri"/>
                <w:b/>
                <w:bCs/>
                <w:i/>
                <w:iCs/>
                <w:sz w:val="18"/>
                <w:szCs w:val="18"/>
                <w:lang w:eastAsia="sk-SK"/>
              </w:rPr>
            </w:pPr>
            <w:r w:rsidRPr="009276A2">
              <w:rPr>
                <w:rFonts w:ascii="Arial Narrow" w:eastAsia="Times New Roman" w:hAnsi="Arial Narrow" w:cs="Calibri"/>
                <w:b/>
                <w:bCs/>
                <w:i/>
                <w:iCs/>
                <w:sz w:val="18"/>
                <w:szCs w:val="18"/>
                <w:lang w:eastAsia="sk-SK"/>
              </w:rPr>
              <w:t> </w:t>
            </w:r>
          </w:p>
        </w:tc>
        <w:tc>
          <w:tcPr>
            <w:tcW w:w="651" w:type="dxa"/>
            <w:tcBorders>
              <w:top w:val="nil"/>
              <w:left w:val="nil"/>
              <w:bottom w:val="single" w:sz="8" w:space="0" w:color="auto"/>
              <w:right w:val="nil"/>
            </w:tcBorders>
            <w:shd w:val="clear" w:color="auto" w:fill="auto"/>
            <w:vAlign w:val="center"/>
            <w:hideMark/>
          </w:tcPr>
          <w:p w14:paraId="58BCB0F7"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2023</w:t>
            </w:r>
          </w:p>
        </w:tc>
        <w:tc>
          <w:tcPr>
            <w:tcW w:w="651" w:type="dxa"/>
            <w:tcBorders>
              <w:top w:val="nil"/>
              <w:left w:val="nil"/>
              <w:bottom w:val="single" w:sz="8" w:space="0" w:color="auto"/>
              <w:right w:val="nil"/>
            </w:tcBorders>
            <w:shd w:val="clear" w:color="auto" w:fill="auto"/>
            <w:vAlign w:val="center"/>
            <w:hideMark/>
          </w:tcPr>
          <w:p w14:paraId="59DDE133"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2024</w:t>
            </w:r>
          </w:p>
        </w:tc>
        <w:tc>
          <w:tcPr>
            <w:tcW w:w="651" w:type="dxa"/>
            <w:tcBorders>
              <w:top w:val="nil"/>
              <w:left w:val="nil"/>
              <w:bottom w:val="single" w:sz="8" w:space="0" w:color="auto"/>
              <w:right w:val="nil"/>
            </w:tcBorders>
            <w:shd w:val="clear" w:color="auto" w:fill="auto"/>
            <w:vAlign w:val="center"/>
            <w:hideMark/>
          </w:tcPr>
          <w:p w14:paraId="301549D4"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2025</w:t>
            </w:r>
          </w:p>
        </w:tc>
        <w:tc>
          <w:tcPr>
            <w:tcW w:w="651" w:type="dxa"/>
            <w:tcBorders>
              <w:top w:val="nil"/>
              <w:left w:val="nil"/>
              <w:bottom w:val="single" w:sz="8" w:space="0" w:color="auto"/>
              <w:right w:val="nil"/>
            </w:tcBorders>
            <w:shd w:val="clear" w:color="auto" w:fill="auto"/>
            <w:vAlign w:val="center"/>
            <w:hideMark/>
          </w:tcPr>
          <w:p w14:paraId="3BBE1DDC"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2026</w:t>
            </w:r>
          </w:p>
        </w:tc>
        <w:tc>
          <w:tcPr>
            <w:tcW w:w="651" w:type="dxa"/>
            <w:tcBorders>
              <w:top w:val="nil"/>
              <w:left w:val="nil"/>
              <w:bottom w:val="single" w:sz="8" w:space="0" w:color="auto"/>
              <w:right w:val="nil"/>
            </w:tcBorders>
            <w:shd w:val="clear" w:color="auto" w:fill="auto"/>
            <w:vAlign w:val="center"/>
            <w:hideMark/>
          </w:tcPr>
          <w:p w14:paraId="078C6495"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2027</w:t>
            </w:r>
          </w:p>
        </w:tc>
        <w:tc>
          <w:tcPr>
            <w:tcW w:w="651" w:type="dxa"/>
            <w:tcBorders>
              <w:top w:val="nil"/>
              <w:left w:val="nil"/>
              <w:bottom w:val="single" w:sz="8" w:space="0" w:color="auto"/>
              <w:right w:val="nil"/>
            </w:tcBorders>
            <w:shd w:val="clear" w:color="auto" w:fill="auto"/>
            <w:vAlign w:val="center"/>
            <w:hideMark/>
          </w:tcPr>
          <w:p w14:paraId="2FFB4B92"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2028</w:t>
            </w:r>
          </w:p>
        </w:tc>
        <w:tc>
          <w:tcPr>
            <w:tcW w:w="651" w:type="dxa"/>
            <w:tcBorders>
              <w:top w:val="nil"/>
              <w:left w:val="nil"/>
              <w:bottom w:val="single" w:sz="8" w:space="0" w:color="auto"/>
              <w:right w:val="nil"/>
            </w:tcBorders>
            <w:shd w:val="clear" w:color="auto" w:fill="auto"/>
            <w:vAlign w:val="center"/>
            <w:hideMark/>
          </w:tcPr>
          <w:p w14:paraId="568EF6A8"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2029</w:t>
            </w:r>
          </w:p>
        </w:tc>
        <w:tc>
          <w:tcPr>
            <w:tcW w:w="651" w:type="dxa"/>
            <w:tcBorders>
              <w:top w:val="nil"/>
              <w:left w:val="nil"/>
              <w:bottom w:val="single" w:sz="8" w:space="0" w:color="auto"/>
              <w:right w:val="nil"/>
            </w:tcBorders>
            <w:shd w:val="clear" w:color="auto" w:fill="auto"/>
            <w:vAlign w:val="center"/>
            <w:hideMark/>
          </w:tcPr>
          <w:p w14:paraId="459963F9"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2030</w:t>
            </w:r>
          </w:p>
        </w:tc>
        <w:tc>
          <w:tcPr>
            <w:tcW w:w="651" w:type="dxa"/>
            <w:tcBorders>
              <w:top w:val="nil"/>
              <w:left w:val="nil"/>
              <w:bottom w:val="single" w:sz="8" w:space="0" w:color="auto"/>
              <w:right w:val="nil"/>
            </w:tcBorders>
            <w:shd w:val="clear" w:color="auto" w:fill="auto"/>
            <w:vAlign w:val="center"/>
            <w:hideMark/>
          </w:tcPr>
          <w:p w14:paraId="289D123D"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2031</w:t>
            </w:r>
          </w:p>
        </w:tc>
        <w:tc>
          <w:tcPr>
            <w:tcW w:w="651" w:type="dxa"/>
            <w:tcBorders>
              <w:top w:val="nil"/>
              <w:left w:val="nil"/>
              <w:bottom w:val="single" w:sz="8" w:space="0" w:color="auto"/>
              <w:right w:val="nil"/>
            </w:tcBorders>
            <w:shd w:val="clear" w:color="auto" w:fill="auto"/>
            <w:vAlign w:val="center"/>
            <w:hideMark/>
          </w:tcPr>
          <w:p w14:paraId="2CD16C47"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2032</w:t>
            </w:r>
          </w:p>
        </w:tc>
        <w:tc>
          <w:tcPr>
            <w:tcW w:w="651" w:type="dxa"/>
            <w:tcBorders>
              <w:top w:val="nil"/>
              <w:left w:val="nil"/>
              <w:bottom w:val="single" w:sz="8" w:space="0" w:color="auto"/>
              <w:right w:val="nil"/>
            </w:tcBorders>
            <w:shd w:val="clear" w:color="auto" w:fill="auto"/>
            <w:vAlign w:val="center"/>
            <w:hideMark/>
          </w:tcPr>
          <w:p w14:paraId="7933A985"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2033</w:t>
            </w:r>
          </w:p>
        </w:tc>
        <w:tc>
          <w:tcPr>
            <w:tcW w:w="651" w:type="dxa"/>
            <w:tcBorders>
              <w:top w:val="nil"/>
              <w:left w:val="nil"/>
              <w:bottom w:val="single" w:sz="8" w:space="0" w:color="auto"/>
              <w:right w:val="nil"/>
            </w:tcBorders>
            <w:shd w:val="clear" w:color="auto" w:fill="auto"/>
            <w:vAlign w:val="center"/>
            <w:hideMark/>
          </w:tcPr>
          <w:p w14:paraId="4DFB4954"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2034</w:t>
            </w:r>
          </w:p>
        </w:tc>
        <w:tc>
          <w:tcPr>
            <w:tcW w:w="651" w:type="dxa"/>
            <w:tcBorders>
              <w:top w:val="nil"/>
              <w:left w:val="nil"/>
              <w:bottom w:val="single" w:sz="8" w:space="0" w:color="auto"/>
              <w:right w:val="nil"/>
            </w:tcBorders>
            <w:shd w:val="clear" w:color="auto" w:fill="auto"/>
            <w:vAlign w:val="center"/>
            <w:hideMark/>
          </w:tcPr>
          <w:p w14:paraId="3C38F8A7"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2035</w:t>
            </w:r>
          </w:p>
        </w:tc>
        <w:tc>
          <w:tcPr>
            <w:tcW w:w="651" w:type="dxa"/>
            <w:tcBorders>
              <w:top w:val="nil"/>
              <w:left w:val="nil"/>
              <w:bottom w:val="single" w:sz="8" w:space="0" w:color="auto"/>
              <w:right w:val="nil"/>
            </w:tcBorders>
            <w:shd w:val="clear" w:color="auto" w:fill="auto"/>
            <w:vAlign w:val="center"/>
            <w:hideMark/>
          </w:tcPr>
          <w:p w14:paraId="70A7F00A"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2036</w:t>
            </w:r>
          </w:p>
        </w:tc>
        <w:tc>
          <w:tcPr>
            <w:tcW w:w="651" w:type="dxa"/>
            <w:tcBorders>
              <w:top w:val="nil"/>
              <w:left w:val="nil"/>
              <w:bottom w:val="single" w:sz="8" w:space="0" w:color="auto"/>
              <w:right w:val="nil"/>
            </w:tcBorders>
            <w:shd w:val="clear" w:color="auto" w:fill="auto"/>
            <w:vAlign w:val="center"/>
            <w:hideMark/>
          </w:tcPr>
          <w:p w14:paraId="75B09382"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2037</w:t>
            </w:r>
          </w:p>
        </w:tc>
        <w:tc>
          <w:tcPr>
            <w:tcW w:w="651" w:type="dxa"/>
            <w:tcBorders>
              <w:top w:val="nil"/>
              <w:left w:val="nil"/>
              <w:bottom w:val="single" w:sz="8" w:space="0" w:color="auto"/>
              <w:right w:val="nil"/>
            </w:tcBorders>
            <w:shd w:val="clear" w:color="auto" w:fill="auto"/>
            <w:vAlign w:val="center"/>
            <w:hideMark/>
          </w:tcPr>
          <w:p w14:paraId="1217E761" w14:textId="77777777" w:rsidR="00C1228B" w:rsidRPr="009276A2" w:rsidRDefault="00C1228B" w:rsidP="00616580">
            <w:pPr>
              <w:spacing w:after="0" w:line="240" w:lineRule="auto"/>
              <w:jc w:val="center"/>
              <w:rPr>
                <w:rFonts w:ascii="Arial Narrow" w:eastAsia="Times New Roman" w:hAnsi="Arial Narrow" w:cs="Calibri"/>
                <w:b/>
                <w:bCs/>
                <w:sz w:val="18"/>
                <w:szCs w:val="18"/>
                <w:lang w:eastAsia="sk-SK"/>
              </w:rPr>
            </w:pPr>
            <w:r w:rsidRPr="009276A2">
              <w:rPr>
                <w:rFonts w:ascii="Arial Narrow" w:eastAsia="Times New Roman" w:hAnsi="Arial Narrow" w:cs="Calibri"/>
                <w:b/>
                <w:bCs/>
                <w:sz w:val="18"/>
                <w:szCs w:val="18"/>
                <w:lang w:eastAsia="sk-SK"/>
              </w:rPr>
              <w:t>2038</w:t>
            </w:r>
          </w:p>
        </w:tc>
      </w:tr>
      <w:tr w:rsidR="00C1228B" w:rsidRPr="009276A2" w14:paraId="7103A626" w14:textId="77777777" w:rsidTr="00406023">
        <w:trPr>
          <w:gridAfter w:val="1"/>
          <w:wAfter w:w="6" w:type="dxa"/>
          <w:trHeight w:val="328"/>
        </w:trPr>
        <w:tc>
          <w:tcPr>
            <w:tcW w:w="3177" w:type="dxa"/>
            <w:gridSpan w:val="5"/>
            <w:tcBorders>
              <w:top w:val="single" w:sz="8" w:space="0" w:color="auto"/>
              <w:left w:val="nil"/>
              <w:bottom w:val="nil"/>
              <w:right w:val="nil"/>
            </w:tcBorders>
            <w:shd w:val="clear" w:color="auto" w:fill="auto"/>
            <w:vAlign w:val="center"/>
            <w:hideMark/>
          </w:tcPr>
          <w:p w14:paraId="30FCB7E6" w14:textId="77777777" w:rsidR="00C1228B" w:rsidRPr="009276A2" w:rsidRDefault="00C1228B" w:rsidP="00616580">
            <w:pPr>
              <w:spacing w:after="0" w:line="240" w:lineRule="auto"/>
              <w:rPr>
                <w:rFonts w:ascii="Arial Narrow" w:eastAsia="Times New Roman" w:hAnsi="Arial Narrow" w:cs="Calibri"/>
                <w:i/>
                <w:iCs/>
                <w:sz w:val="16"/>
                <w:szCs w:val="16"/>
                <w:lang w:eastAsia="sk-SK"/>
              </w:rPr>
            </w:pPr>
            <w:r w:rsidRPr="009276A2">
              <w:rPr>
                <w:rFonts w:ascii="Arial Narrow" w:eastAsia="Times New Roman" w:hAnsi="Arial Narrow" w:cs="Calibri"/>
                <w:i/>
                <w:iCs/>
                <w:sz w:val="16"/>
                <w:szCs w:val="16"/>
                <w:lang w:eastAsia="sk-SK"/>
              </w:rPr>
              <w:t>Finančný rizikový scenár</w:t>
            </w:r>
          </w:p>
        </w:tc>
        <w:tc>
          <w:tcPr>
            <w:tcW w:w="651" w:type="dxa"/>
            <w:tcBorders>
              <w:top w:val="nil"/>
              <w:left w:val="nil"/>
              <w:bottom w:val="nil"/>
              <w:right w:val="nil"/>
            </w:tcBorders>
            <w:shd w:val="clear" w:color="auto" w:fill="auto"/>
            <w:vAlign w:val="center"/>
            <w:hideMark/>
          </w:tcPr>
          <w:p w14:paraId="6A27AF05" w14:textId="77777777" w:rsidR="00C1228B" w:rsidRPr="009276A2" w:rsidRDefault="00C1228B" w:rsidP="00616580">
            <w:pPr>
              <w:spacing w:after="0" w:line="240" w:lineRule="auto"/>
              <w:jc w:val="center"/>
              <w:rPr>
                <w:rFonts w:ascii="Arial Narrow" w:eastAsia="Times New Roman" w:hAnsi="Arial Narrow" w:cs="Calibri"/>
                <w:b/>
                <w:bCs/>
                <w:sz w:val="16"/>
                <w:szCs w:val="16"/>
                <w:lang w:eastAsia="sk-SK"/>
              </w:rPr>
            </w:pPr>
            <w:r w:rsidRPr="009276A2">
              <w:rPr>
                <w:rFonts w:ascii="Arial Narrow" w:eastAsia="Times New Roman" w:hAnsi="Arial Narrow" w:cs="Calibri"/>
                <w:b/>
                <w:bCs/>
                <w:sz w:val="16"/>
                <w:szCs w:val="16"/>
                <w:lang w:eastAsia="sk-SK"/>
              </w:rPr>
              <w:t> </w:t>
            </w:r>
          </w:p>
        </w:tc>
        <w:tc>
          <w:tcPr>
            <w:tcW w:w="651" w:type="dxa"/>
            <w:tcBorders>
              <w:top w:val="nil"/>
              <w:left w:val="nil"/>
              <w:bottom w:val="nil"/>
              <w:right w:val="nil"/>
            </w:tcBorders>
            <w:shd w:val="clear" w:color="auto" w:fill="auto"/>
            <w:vAlign w:val="center"/>
            <w:hideMark/>
          </w:tcPr>
          <w:p w14:paraId="0F724310" w14:textId="77777777" w:rsidR="00C1228B" w:rsidRPr="009276A2" w:rsidRDefault="00C1228B" w:rsidP="00616580">
            <w:pPr>
              <w:spacing w:after="0" w:line="240" w:lineRule="auto"/>
              <w:jc w:val="center"/>
              <w:rPr>
                <w:rFonts w:ascii="Arial Narrow" w:eastAsia="Times New Roman" w:hAnsi="Arial Narrow" w:cs="Calibri"/>
                <w:b/>
                <w:bCs/>
                <w:sz w:val="16"/>
                <w:szCs w:val="16"/>
                <w:lang w:eastAsia="sk-SK"/>
              </w:rPr>
            </w:pPr>
          </w:p>
        </w:tc>
        <w:tc>
          <w:tcPr>
            <w:tcW w:w="651" w:type="dxa"/>
            <w:tcBorders>
              <w:top w:val="nil"/>
              <w:left w:val="nil"/>
              <w:bottom w:val="nil"/>
              <w:right w:val="nil"/>
            </w:tcBorders>
            <w:shd w:val="clear" w:color="auto" w:fill="auto"/>
            <w:vAlign w:val="center"/>
            <w:hideMark/>
          </w:tcPr>
          <w:p w14:paraId="2D837409" w14:textId="77777777" w:rsidR="00C1228B" w:rsidRPr="009276A2" w:rsidRDefault="00C1228B" w:rsidP="00616580">
            <w:pPr>
              <w:spacing w:after="0" w:line="240" w:lineRule="auto"/>
              <w:jc w:val="center"/>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vAlign w:val="center"/>
            <w:hideMark/>
          </w:tcPr>
          <w:p w14:paraId="27075217" w14:textId="77777777" w:rsidR="00C1228B" w:rsidRPr="009276A2" w:rsidRDefault="00C1228B" w:rsidP="00616580">
            <w:pPr>
              <w:spacing w:after="0" w:line="240" w:lineRule="auto"/>
              <w:jc w:val="center"/>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vAlign w:val="center"/>
            <w:hideMark/>
          </w:tcPr>
          <w:p w14:paraId="5EE50782" w14:textId="77777777" w:rsidR="00C1228B" w:rsidRPr="009276A2" w:rsidRDefault="00C1228B" w:rsidP="00616580">
            <w:pPr>
              <w:spacing w:after="0" w:line="240" w:lineRule="auto"/>
              <w:jc w:val="center"/>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vAlign w:val="center"/>
            <w:hideMark/>
          </w:tcPr>
          <w:p w14:paraId="135DE730" w14:textId="77777777" w:rsidR="00C1228B" w:rsidRPr="009276A2" w:rsidRDefault="00C1228B" w:rsidP="00616580">
            <w:pPr>
              <w:spacing w:after="0" w:line="240" w:lineRule="auto"/>
              <w:jc w:val="center"/>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vAlign w:val="center"/>
            <w:hideMark/>
          </w:tcPr>
          <w:p w14:paraId="147AD191" w14:textId="77777777" w:rsidR="00C1228B" w:rsidRPr="009276A2" w:rsidRDefault="00C1228B" w:rsidP="00616580">
            <w:pPr>
              <w:spacing w:after="0" w:line="240" w:lineRule="auto"/>
              <w:jc w:val="center"/>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46C652D6" w14:textId="77777777" w:rsidR="00C1228B" w:rsidRPr="009276A2" w:rsidRDefault="00C1228B" w:rsidP="00616580">
            <w:pPr>
              <w:spacing w:after="0" w:line="240" w:lineRule="auto"/>
              <w:jc w:val="center"/>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4164A732"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4D6EFFA1"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3651B4DB"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77940893"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0519F980"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50854DFC"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250D9603"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c>
          <w:tcPr>
            <w:tcW w:w="651" w:type="dxa"/>
            <w:tcBorders>
              <w:top w:val="nil"/>
              <w:left w:val="nil"/>
              <w:bottom w:val="nil"/>
              <w:right w:val="nil"/>
            </w:tcBorders>
            <w:shd w:val="clear" w:color="auto" w:fill="auto"/>
            <w:noWrap/>
            <w:vAlign w:val="bottom"/>
            <w:hideMark/>
          </w:tcPr>
          <w:p w14:paraId="1540C649" w14:textId="77777777" w:rsidR="00C1228B" w:rsidRPr="009276A2" w:rsidRDefault="00C1228B" w:rsidP="00616580">
            <w:pPr>
              <w:spacing w:after="0" w:line="240" w:lineRule="auto"/>
              <w:rPr>
                <w:rFonts w:ascii="Times New Roman" w:eastAsia="Times New Roman" w:hAnsi="Times New Roman" w:cs="Times New Roman"/>
                <w:sz w:val="20"/>
                <w:szCs w:val="20"/>
                <w:lang w:eastAsia="sk-SK"/>
              </w:rPr>
            </w:pPr>
          </w:p>
        </w:tc>
      </w:tr>
      <w:tr w:rsidR="00406023" w:rsidRPr="009276A2" w14:paraId="2E95A097" w14:textId="77777777" w:rsidTr="00406023">
        <w:trPr>
          <w:gridAfter w:val="1"/>
          <w:wAfter w:w="6" w:type="dxa"/>
          <w:trHeight w:val="328"/>
        </w:trPr>
        <w:tc>
          <w:tcPr>
            <w:tcW w:w="361" w:type="dxa"/>
            <w:tcBorders>
              <w:top w:val="nil"/>
              <w:left w:val="nil"/>
              <w:bottom w:val="nil"/>
              <w:right w:val="nil"/>
            </w:tcBorders>
            <w:shd w:val="clear" w:color="auto" w:fill="DEEAF6" w:themeFill="accent5" w:themeFillTint="33"/>
            <w:vAlign w:val="center"/>
            <w:hideMark/>
          </w:tcPr>
          <w:p w14:paraId="3409F285" w14:textId="7777777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1</w:t>
            </w:r>
          </w:p>
        </w:tc>
        <w:tc>
          <w:tcPr>
            <w:tcW w:w="2816" w:type="dxa"/>
            <w:gridSpan w:val="4"/>
            <w:tcBorders>
              <w:top w:val="nil"/>
              <w:left w:val="nil"/>
              <w:bottom w:val="nil"/>
              <w:right w:val="nil"/>
            </w:tcBorders>
            <w:shd w:val="clear" w:color="auto" w:fill="DEEAF6" w:themeFill="accent5" w:themeFillTint="33"/>
            <w:vAlign w:val="center"/>
            <w:hideMark/>
          </w:tcPr>
          <w:p w14:paraId="7CA9B5C0" w14:textId="77777777" w:rsidR="00406023" w:rsidRPr="00A22C01" w:rsidRDefault="00406023" w:rsidP="00406023">
            <w:pPr>
              <w:spacing w:after="0" w:line="240" w:lineRule="auto"/>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Hrubý dlh (% HDP)</w:t>
            </w:r>
          </w:p>
        </w:tc>
        <w:tc>
          <w:tcPr>
            <w:tcW w:w="651" w:type="dxa"/>
            <w:tcBorders>
              <w:top w:val="nil"/>
              <w:left w:val="nil"/>
              <w:bottom w:val="nil"/>
              <w:right w:val="nil"/>
            </w:tcBorders>
            <w:shd w:val="clear" w:color="auto" w:fill="DEEAF6" w:themeFill="accent5" w:themeFillTint="33"/>
            <w:vAlign w:val="center"/>
            <w:hideMark/>
          </w:tcPr>
          <w:p w14:paraId="15AE7400" w14:textId="776527B9"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56,0</w:t>
            </w:r>
          </w:p>
        </w:tc>
        <w:tc>
          <w:tcPr>
            <w:tcW w:w="651" w:type="dxa"/>
            <w:tcBorders>
              <w:top w:val="nil"/>
              <w:left w:val="nil"/>
              <w:bottom w:val="nil"/>
              <w:right w:val="nil"/>
            </w:tcBorders>
            <w:shd w:val="clear" w:color="auto" w:fill="DEEAF6" w:themeFill="accent5" w:themeFillTint="33"/>
            <w:vAlign w:val="center"/>
            <w:hideMark/>
          </w:tcPr>
          <w:p w14:paraId="60A4D12E" w14:textId="7EB1DF50"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58,5</w:t>
            </w:r>
          </w:p>
        </w:tc>
        <w:tc>
          <w:tcPr>
            <w:tcW w:w="651" w:type="dxa"/>
            <w:tcBorders>
              <w:top w:val="nil"/>
              <w:left w:val="nil"/>
              <w:bottom w:val="nil"/>
              <w:right w:val="nil"/>
            </w:tcBorders>
            <w:shd w:val="clear" w:color="auto" w:fill="DEEAF6" w:themeFill="accent5" w:themeFillTint="33"/>
            <w:vAlign w:val="center"/>
            <w:hideMark/>
          </w:tcPr>
          <w:p w14:paraId="2DF9BFDB" w14:textId="08D0EAB0"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59,8</w:t>
            </w:r>
          </w:p>
        </w:tc>
        <w:tc>
          <w:tcPr>
            <w:tcW w:w="651" w:type="dxa"/>
            <w:tcBorders>
              <w:top w:val="nil"/>
              <w:left w:val="nil"/>
              <w:bottom w:val="nil"/>
              <w:right w:val="nil"/>
            </w:tcBorders>
            <w:shd w:val="clear" w:color="auto" w:fill="DEEAF6" w:themeFill="accent5" w:themeFillTint="33"/>
            <w:vAlign w:val="center"/>
            <w:hideMark/>
          </w:tcPr>
          <w:p w14:paraId="61420ED8" w14:textId="51C827B2"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61,6</w:t>
            </w:r>
          </w:p>
        </w:tc>
        <w:tc>
          <w:tcPr>
            <w:tcW w:w="651" w:type="dxa"/>
            <w:tcBorders>
              <w:top w:val="nil"/>
              <w:left w:val="nil"/>
              <w:bottom w:val="nil"/>
              <w:right w:val="nil"/>
            </w:tcBorders>
            <w:shd w:val="clear" w:color="auto" w:fill="DEEAF6" w:themeFill="accent5" w:themeFillTint="33"/>
            <w:vAlign w:val="center"/>
            <w:hideMark/>
          </w:tcPr>
          <w:p w14:paraId="3E406FF3" w14:textId="06A7B5A1"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62,1</w:t>
            </w:r>
          </w:p>
        </w:tc>
        <w:tc>
          <w:tcPr>
            <w:tcW w:w="651" w:type="dxa"/>
            <w:tcBorders>
              <w:top w:val="nil"/>
              <w:left w:val="nil"/>
              <w:bottom w:val="nil"/>
              <w:right w:val="nil"/>
            </w:tcBorders>
            <w:shd w:val="clear" w:color="auto" w:fill="DEEAF6" w:themeFill="accent5" w:themeFillTint="33"/>
            <w:vAlign w:val="center"/>
            <w:hideMark/>
          </w:tcPr>
          <w:p w14:paraId="4913A44E" w14:textId="6AEF8C6B"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61,4</w:t>
            </w:r>
          </w:p>
        </w:tc>
        <w:tc>
          <w:tcPr>
            <w:tcW w:w="651" w:type="dxa"/>
            <w:tcBorders>
              <w:top w:val="nil"/>
              <w:left w:val="nil"/>
              <w:bottom w:val="nil"/>
              <w:right w:val="nil"/>
            </w:tcBorders>
            <w:shd w:val="clear" w:color="auto" w:fill="DEEAF6" w:themeFill="accent5" w:themeFillTint="33"/>
            <w:vAlign w:val="center"/>
            <w:hideMark/>
          </w:tcPr>
          <w:p w14:paraId="119314D0" w14:textId="02EAE826"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60,1</w:t>
            </w:r>
          </w:p>
        </w:tc>
        <w:tc>
          <w:tcPr>
            <w:tcW w:w="651" w:type="dxa"/>
            <w:tcBorders>
              <w:top w:val="nil"/>
              <w:left w:val="nil"/>
              <w:bottom w:val="nil"/>
              <w:right w:val="nil"/>
            </w:tcBorders>
            <w:shd w:val="clear" w:color="auto" w:fill="DEEAF6" w:themeFill="accent5" w:themeFillTint="33"/>
            <w:vAlign w:val="center"/>
            <w:hideMark/>
          </w:tcPr>
          <w:p w14:paraId="5292262F" w14:textId="08D8B64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58,7</w:t>
            </w:r>
          </w:p>
        </w:tc>
        <w:tc>
          <w:tcPr>
            <w:tcW w:w="651" w:type="dxa"/>
            <w:tcBorders>
              <w:top w:val="nil"/>
              <w:left w:val="nil"/>
              <w:bottom w:val="nil"/>
              <w:right w:val="nil"/>
            </w:tcBorders>
            <w:shd w:val="clear" w:color="auto" w:fill="DEEAF6" w:themeFill="accent5" w:themeFillTint="33"/>
            <w:vAlign w:val="center"/>
            <w:hideMark/>
          </w:tcPr>
          <w:p w14:paraId="4BCFC2DF" w14:textId="7CD5654F"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57,2</w:t>
            </w:r>
          </w:p>
        </w:tc>
        <w:tc>
          <w:tcPr>
            <w:tcW w:w="651" w:type="dxa"/>
            <w:tcBorders>
              <w:top w:val="nil"/>
              <w:left w:val="nil"/>
              <w:bottom w:val="nil"/>
              <w:right w:val="nil"/>
            </w:tcBorders>
            <w:shd w:val="clear" w:color="auto" w:fill="DEEAF6" w:themeFill="accent5" w:themeFillTint="33"/>
            <w:vAlign w:val="center"/>
            <w:hideMark/>
          </w:tcPr>
          <w:p w14:paraId="7C73D121" w14:textId="219C7C48"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56,4</w:t>
            </w:r>
          </w:p>
        </w:tc>
        <w:tc>
          <w:tcPr>
            <w:tcW w:w="651" w:type="dxa"/>
            <w:tcBorders>
              <w:top w:val="nil"/>
              <w:left w:val="nil"/>
              <w:bottom w:val="nil"/>
              <w:right w:val="nil"/>
            </w:tcBorders>
            <w:shd w:val="clear" w:color="auto" w:fill="DEEAF6" w:themeFill="accent5" w:themeFillTint="33"/>
            <w:vAlign w:val="center"/>
            <w:hideMark/>
          </w:tcPr>
          <w:p w14:paraId="022AE351" w14:textId="0B5892C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55,8</w:t>
            </w:r>
          </w:p>
        </w:tc>
        <w:tc>
          <w:tcPr>
            <w:tcW w:w="651" w:type="dxa"/>
            <w:tcBorders>
              <w:top w:val="nil"/>
              <w:left w:val="nil"/>
              <w:bottom w:val="nil"/>
              <w:right w:val="nil"/>
            </w:tcBorders>
            <w:shd w:val="clear" w:color="auto" w:fill="DEEAF6" w:themeFill="accent5" w:themeFillTint="33"/>
            <w:vAlign w:val="center"/>
            <w:hideMark/>
          </w:tcPr>
          <w:p w14:paraId="425F4582" w14:textId="60038DBE"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55,4</w:t>
            </w:r>
          </w:p>
        </w:tc>
        <w:tc>
          <w:tcPr>
            <w:tcW w:w="651" w:type="dxa"/>
            <w:tcBorders>
              <w:top w:val="nil"/>
              <w:left w:val="nil"/>
              <w:bottom w:val="nil"/>
              <w:right w:val="nil"/>
            </w:tcBorders>
            <w:shd w:val="clear" w:color="auto" w:fill="DEEAF6" w:themeFill="accent5" w:themeFillTint="33"/>
            <w:vAlign w:val="center"/>
            <w:hideMark/>
          </w:tcPr>
          <w:p w14:paraId="5BFA7713" w14:textId="0361ADBC"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55,1</w:t>
            </w:r>
          </w:p>
        </w:tc>
        <w:tc>
          <w:tcPr>
            <w:tcW w:w="651" w:type="dxa"/>
            <w:tcBorders>
              <w:top w:val="nil"/>
              <w:left w:val="nil"/>
              <w:bottom w:val="nil"/>
              <w:right w:val="nil"/>
            </w:tcBorders>
            <w:shd w:val="clear" w:color="auto" w:fill="DEEAF6" w:themeFill="accent5" w:themeFillTint="33"/>
            <w:vAlign w:val="center"/>
            <w:hideMark/>
          </w:tcPr>
          <w:p w14:paraId="32B7057F" w14:textId="5552B480"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55,0</w:t>
            </w:r>
          </w:p>
        </w:tc>
        <w:tc>
          <w:tcPr>
            <w:tcW w:w="651" w:type="dxa"/>
            <w:tcBorders>
              <w:top w:val="nil"/>
              <w:left w:val="nil"/>
              <w:bottom w:val="nil"/>
              <w:right w:val="nil"/>
            </w:tcBorders>
            <w:shd w:val="clear" w:color="auto" w:fill="DEEAF6" w:themeFill="accent5" w:themeFillTint="33"/>
            <w:vAlign w:val="center"/>
            <w:hideMark/>
          </w:tcPr>
          <w:p w14:paraId="325A9AB3" w14:textId="60E37CF9"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54,9</w:t>
            </w:r>
          </w:p>
        </w:tc>
        <w:tc>
          <w:tcPr>
            <w:tcW w:w="651" w:type="dxa"/>
            <w:tcBorders>
              <w:top w:val="nil"/>
              <w:left w:val="nil"/>
              <w:bottom w:val="nil"/>
              <w:right w:val="nil"/>
            </w:tcBorders>
            <w:shd w:val="clear" w:color="auto" w:fill="DEEAF6" w:themeFill="accent5" w:themeFillTint="33"/>
            <w:vAlign w:val="center"/>
            <w:hideMark/>
          </w:tcPr>
          <w:p w14:paraId="58ED9C64" w14:textId="123E3A92"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55,1</w:t>
            </w:r>
          </w:p>
        </w:tc>
      </w:tr>
      <w:tr w:rsidR="00406023" w:rsidRPr="009276A2" w14:paraId="58FC3BC2" w14:textId="77777777" w:rsidTr="00406023">
        <w:trPr>
          <w:gridAfter w:val="1"/>
          <w:wAfter w:w="6" w:type="dxa"/>
          <w:trHeight w:val="328"/>
        </w:trPr>
        <w:tc>
          <w:tcPr>
            <w:tcW w:w="361" w:type="dxa"/>
            <w:tcBorders>
              <w:top w:val="nil"/>
              <w:left w:val="nil"/>
              <w:bottom w:val="nil"/>
              <w:right w:val="nil"/>
            </w:tcBorders>
            <w:shd w:val="clear" w:color="auto" w:fill="DEEAF6" w:themeFill="accent5" w:themeFillTint="33"/>
            <w:vAlign w:val="center"/>
            <w:hideMark/>
          </w:tcPr>
          <w:p w14:paraId="3D3E88CA" w14:textId="7777777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2</w:t>
            </w:r>
          </w:p>
        </w:tc>
        <w:tc>
          <w:tcPr>
            <w:tcW w:w="2816" w:type="dxa"/>
            <w:gridSpan w:val="4"/>
            <w:tcBorders>
              <w:top w:val="nil"/>
              <w:left w:val="nil"/>
              <w:bottom w:val="nil"/>
              <w:right w:val="nil"/>
            </w:tcBorders>
            <w:shd w:val="clear" w:color="auto" w:fill="DEEAF6" w:themeFill="accent5" w:themeFillTint="33"/>
            <w:vAlign w:val="center"/>
            <w:hideMark/>
          </w:tcPr>
          <w:p w14:paraId="23126F3F" w14:textId="77777777" w:rsidR="00406023" w:rsidRPr="00A22C01" w:rsidRDefault="00406023" w:rsidP="00406023">
            <w:pPr>
              <w:spacing w:after="0" w:line="240" w:lineRule="auto"/>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Dlhodobá úroková miera (%)</w:t>
            </w:r>
          </w:p>
        </w:tc>
        <w:tc>
          <w:tcPr>
            <w:tcW w:w="651" w:type="dxa"/>
            <w:tcBorders>
              <w:top w:val="nil"/>
              <w:left w:val="nil"/>
              <w:bottom w:val="nil"/>
              <w:right w:val="nil"/>
            </w:tcBorders>
            <w:shd w:val="clear" w:color="auto" w:fill="DEEAF6" w:themeFill="accent5" w:themeFillTint="33"/>
            <w:vAlign w:val="center"/>
            <w:hideMark/>
          </w:tcPr>
          <w:p w14:paraId="154290C4" w14:textId="7859ABE8"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3,7</w:t>
            </w:r>
          </w:p>
        </w:tc>
        <w:tc>
          <w:tcPr>
            <w:tcW w:w="651" w:type="dxa"/>
            <w:tcBorders>
              <w:top w:val="nil"/>
              <w:left w:val="nil"/>
              <w:bottom w:val="nil"/>
              <w:right w:val="nil"/>
            </w:tcBorders>
            <w:shd w:val="clear" w:color="auto" w:fill="DEEAF6" w:themeFill="accent5" w:themeFillTint="33"/>
            <w:vAlign w:val="center"/>
            <w:hideMark/>
          </w:tcPr>
          <w:p w14:paraId="35B8709E" w14:textId="2324DE51"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3,7</w:t>
            </w:r>
          </w:p>
        </w:tc>
        <w:tc>
          <w:tcPr>
            <w:tcW w:w="651" w:type="dxa"/>
            <w:tcBorders>
              <w:top w:val="nil"/>
              <w:left w:val="nil"/>
              <w:bottom w:val="nil"/>
              <w:right w:val="nil"/>
            </w:tcBorders>
            <w:shd w:val="clear" w:color="auto" w:fill="DEEAF6" w:themeFill="accent5" w:themeFillTint="33"/>
            <w:vAlign w:val="center"/>
            <w:hideMark/>
          </w:tcPr>
          <w:p w14:paraId="7FC526D3" w14:textId="587186CA"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3,8</w:t>
            </w:r>
          </w:p>
        </w:tc>
        <w:tc>
          <w:tcPr>
            <w:tcW w:w="651" w:type="dxa"/>
            <w:tcBorders>
              <w:top w:val="nil"/>
              <w:left w:val="nil"/>
              <w:bottom w:val="nil"/>
              <w:right w:val="nil"/>
            </w:tcBorders>
            <w:shd w:val="clear" w:color="auto" w:fill="DEEAF6" w:themeFill="accent5" w:themeFillTint="33"/>
            <w:vAlign w:val="center"/>
            <w:hideMark/>
          </w:tcPr>
          <w:p w14:paraId="496F6D27" w14:textId="164CEA86"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3,8</w:t>
            </w:r>
          </w:p>
        </w:tc>
        <w:tc>
          <w:tcPr>
            <w:tcW w:w="651" w:type="dxa"/>
            <w:tcBorders>
              <w:top w:val="nil"/>
              <w:left w:val="nil"/>
              <w:bottom w:val="nil"/>
              <w:right w:val="nil"/>
            </w:tcBorders>
            <w:shd w:val="clear" w:color="auto" w:fill="DEEAF6" w:themeFill="accent5" w:themeFillTint="33"/>
            <w:vAlign w:val="center"/>
            <w:hideMark/>
          </w:tcPr>
          <w:p w14:paraId="52BB5ECA" w14:textId="1FCDC2D1"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3,9</w:t>
            </w:r>
          </w:p>
        </w:tc>
        <w:tc>
          <w:tcPr>
            <w:tcW w:w="651" w:type="dxa"/>
            <w:tcBorders>
              <w:top w:val="nil"/>
              <w:left w:val="nil"/>
              <w:bottom w:val="nil"/>
              <w:right w:val="nil"/>
            </w:tcBorders>
            <w:shd w:val="clear" w:color="auto" w:fill="DEEAF6" w:themeFill="accent5" w:themeFillTint="33"/>
            <w:vAlign w:val="center"/>
            <w:hideMark/>
          </w:tcPr>
          <w:p w14:paraId="79303B41" w14:textId="33B77EE1"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3,9</w:t>
            </w:r>
          </w:p>
        </w:tc>
        <w:tc>
          <w:tcPr>
            <w:tcW w:w="651" w:type="dxa"/>
            <w:tcBorders>
              <w:top w:val="nil"/>
              <w:left w:val="nil"/>
              <w:bottom w:val="nil"/>
              <w:right w:val="nil"/>
            </w:tcBorders>
            <w:shd w:val="clear" w:color="auto" w:fill="DEEAF6" w:themeFill="accent5" w:themeFillTint="33"/>
            <w:vAlign w:val="center"/>
            <w:hideMark/>
          </w:tcPr>
          <w:p w14:paraId="4A5E1E94" w14:textId="218B44FF"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5,0</w:t>
            </w:r>
          </w:p>
        </w:tc>
        <w:tc>
          <w:tcPr>
            <w:tcW w:w="651" w:type="dxa"/>
            <w:tcBorders>
              <w:top w:val="nil"/>
              <w:left w:val="nil"/>
              <w:bottom w:val="nil"/>
              <w:right w:val="nil"/>
            </w:tcBorders>
            <w:shd w:val="clear" w:color="auto" w:fill="DEEAF6" w:themeFill="accent5" w:themeFillTint="33"/>
            <w:vAlign w:val="center"/>
            <w:hideMark/>
          </w:tcPr>
          <w:p w14:paraId="17C7F83F" w14:textId="76E2BA82"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4,0</w:t>
            </w:r>
          </w:p>
        </w:tc>
        <w:tc>
          <w:tcPr>
            <w:tcW w:w="651" w:type="dxa"/>
            <w:tcBorders>
              <w:top w:val="nil"/>
              <w:left w:val="nil"/>
              <w:bottom w:val="nil"/>
              <w:right w:val="nil"/>
            </w:tcBorders>
            <w:shd w:val="clear" w:color="auto" w:fill="DEEAF6" w:themeFill="accent5" w:themeFillTint="33"/>
            <w:vAlign w:val="center"/>
            <w:hideMark/>
          </w:tcPr>
          <w:p w14:paraId="6D8B529D" w14:textId="7319FF31"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4,1</w:t>
            </w:r>
          </w:p>
        </w:tc>
        <w:tc>
          <w:tcPr>
            <w:tcW w:w="651" w:type="dxa"/>
            <w:tcBorders>
              <w:top w:val="nil"/>
              <w:left w:val="nil"/>
              <w:bottom w:val="nil"/>
              <w:right w:val="nil"/>
            </w:tcBorders>
            <w:shd w:val="clear" w:color="auto" w:fill="DEEAF6" w:themeFill="accent5" w:themeFillTint="33"/>
            <w:vAlign w:val="center"/>
            <w:hideMark/>
          </w:tcPr>
          <w:p w14:paraId="14ED470D" w14:textId="475FDF48"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4,1</w:t>
            </w:r>
          </w:p>
        </w:tc>
        <w:tc>
          <w:tcPr>
            <w:tcW w:w="651" w:type="dxa"/>
            <w:tcBorders>
              <w:top w:val="nil"/>
              <w:left w:val="nil"/>
              <w:bottom w:val="nil"/>
              <w:right w:val="nil"/>
            </w:tcBorders>
            <w:shd w:val="clear" w:color="auto" w:fill="DEEAF6" w:themeFill="accent5" w:themeFillTint="33"/>
            <w:vAlign w:val="center"/>
            <w:hideMark/>
          </w:tcPr>
          <w:p w14:paraId="6DCB747E" w14:textId="440596F6"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4,2</w:t>
            </w:r>
          </w:p>
        </w:tc>
        <w:tc>
          <w:tcPr>
            <w:tcW w:w="651" w:type="dxa"/>
            <w:tcBorders>
              <w:top w:val="nil"/>
              <w:left w:val="nil"/>
              <w:bottom w:val="nil"/>
              <w:right w:val="nil"/>
            </w:tcBorders>
            <w:shd w:val="clear" w:color="auto" w:fill="DEEAF6" w:themeFill="accent5" w:themeFillTint="33"/>
            <w:vAlign w:val="center"/>
            <w:hideMark/>
          </w:tcPr>
          <w:p w14:paraId="3140FD83" w14:textId="257D31FC"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4,2</w:t>
            </w:r>
          </w:p>
        </w:tc>
        <w:tc>
          <w:tcPr>
            <w:tcW w:w="651" w:type="dxa"/>
            <w:tcBorders>
              <w:top w:val="nil"/>
              <w:left w:val="nil"/>
              <w:bottom w:val="nil"/>
              <w:right w:val="nil"/>
            </w:tcBorders>
            <w:shd w:val="clear" w:color="auto" w:fill="DEEAF6" w:themeFill="accent5" w:themeFillTint="33"/>
            <w:vAlign w:val="center"/>
            <w:hideMark/>
          </w:tcPr>
          <w:p w14:paraId="254A4842" w14:textId="4EF3697C"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4,2</w:t>
            </w:r>
          </w:p>
        </w:tc>
        <w:tc>
          <w:tcPr>
            <w:tcW w:w="651" w:type="dxa"/>
            <w:tcBorders>
              <w:top w:val="nil"/>
              <w:left w:val="nil"/>
              <w:bottom w:val="nil"/>
              <w:right w:val="nil"/>
            </w:tcBorders>
            <w:shd w:val="clear" w:color="auto" w:fill="DEEAF6" w:themeFill="accent5" w:themeFillTint="33"/>
            <w:vAlign w:val="center"/>
            <w:hideMark/>
          </w:tcPr>
          <w:p w14:paraId="2DC2D243" w14:textId="6B22AB30"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4,1</w:t>
            </w:r>
          </w:p>
        </w:tc>
        <w:tc>
          <w:tcPr>
            <w:tcW w:w="651" w:type="dxa"/>
            <w:tcBorders>
              <w:top w:val="nil"/>
              <w:left w:val="nil"/>
              <w:bottom w:val="nil"/>
              <w:right w:val="nil"/>
            </w:tcBorders>
            <w:shd w:val="clear" w:color="auto" w:fill="DEEAF6" w:themeFill="accent5" w:themeFillTint="33"/>
            <w:vAlign w:val="center"/>
            <w:hideMark/>
          </w:tcPr>
          <w:p w14:paraId="2609165B" w14:textId="2C0E34EB"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4,1</w:t>
            </w:r>
          </w:p>
        </w:tc>
        <w:tc>
          <w:tcPr>
            <w:tcW w:w="651" w:type="dxa"/>
            <w:tcBorders>
              <w:top w:val="nil"/>
              <w:left w:val="nil"/>
              <w:bottom w:val="nil"/>
              <w:right w:val="nil"/>
            </w:tcBorders>
            <w:shd w:val="clear" w:color="auto" w:fill="DEEAF6" w:themeFill="accent5" w:themeFillTint="33"/>
            <w:vAlign w:val="center"/>
            <w:hideMark/>
          </w:tcPr>
          <w:p w14:paraId="45AB5582" w14:textId="3810E52D"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4,1</w:t>
            </w:r>
          </w:p>
        </w:tc>
      </w:tr>
      <w:tr w:rsidR="00406023" w:rsidRPr="009276A2" w14:paraId="6F777E47" w14:textId="77777777" w:rsidTr="00406023">
        <w:trPr>
          <w:gridAfter w:val="1"/>
          <w:wAfter w:w="6" w:type="dxa"/>
          <w:trHeight w:val="328"/>
        </w:trPr>
        <w:tc>
          <w:tcPr>
            <w:tcW w:w="361" w:type="dxa"/>
            <w:tcBorders>
              <w:top w:val="nil"/>
              <w:left w:val="nil"/>
              <w:bottom w:val="nil"/>
              <w:right w:val="nil"/>
            </w:tcBorders>
            <w:shd w:val="clear" w:color="auto" w:fill="DEEAF6" w:themeFill="accent5" w:themeFillTint="33"/>
            <w:vAlign w:val="center"/>
            <w:hideMark/>
          </w:tcPr>
          <w:p w14:paraId="5F8D7204" w14:textId="7777777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3</w:t>
            </w:r>
          </w:p>
        </w:tc>
        <w:tc>
          <w:tcPr>
            <w:tcW w:w="2816" w:type="dxa"/>
            <w:gridSpan w:val="4"/>
            <w:tcBorders>
              <w:top w:val="nil"/>
              <w:left w:val="nil"/>
              <w:bottom w:val="nil"/>
              <w:right w:val="nil"/>
            </w:tcBorders>
            <w:shd w:val="clear" w:color="auto" w:fill="DEEAF6" w:themeFill="accent5" w:themeFillTint="33"/>
            <w:vAlign w:val="center"/>
            <w:hideMark/>
          </w:tcPr>
          <w:p w14:paraId="505BFCE9" w14:textId="77777777" w:rsidR="00406023" w:rsidRPr="00A22C01" w:rsidRDefault="00406023" w:rsidP="00406023">
            <w:pPr>
              <w:spacing w:after="0" w:line="240" w:lineRule="auto"/>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Krátkodobá úroková miera (%)</w:t>
            </w:r>
          </w:p>
        </w:tc>
        <w:tc>
          <w:tcPr>
            <w:tcW w:w="651" w:type="dxa"/>
            <w:tcBorders>
              <w:top w:val="nil"/>
              <w:left w:val="nil"/>
              <w:bottom w:val="nil"/>
              <w:right w:val="nil"/>
            </w:tcBorders>
            <w:shd w:val="clear" w:color="auto" w:fill="DEEAF6" w:themeFill="accent5" w:themeFillTint="33"/>
            <w:vAlign w:val="center"/>
            <w:hideMark/>
          </w:tcPr>
          <w:p w14:paraId="74026157" w14:textId="7B34C5F6"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3,4</w:t>
            </w:r>
          </w:p>
        </w:tc>
        <w:tc>
          <w:tcPr>
            <w:tcW w:w="651" w:type="dxa"/>
            <w:tcBorders>
              <w:top w:val="nil"/>
              <w:left w:val="nil"/>
              <w:bottom w:val="nil"/>
              <w:right w:val="nil"/>
            </w:tcBorders>
            <w:shd w:val="clear" w:color="auto" w:fill="DEEAF6" w:themeFill="accent5" w:themeFillTint="33"/>
            <w:vAlign w:val="center"/>
            <w:hideMark/>
          </w:tcPr>
          <w:p w14:paraId="1A5D399F" w14:textId="329B6DAC"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3,6</w:t>
            </w:r>
          </w:p>
        </w:tc>
        <w:tc>
          <w:tcPr>
            <w:tcW w:w="651" w:type="dxa"/>
            <w:tcBorders>
              <w:top w:val="nil"/>
              <w:left w:val="nil"/>
              <w:bottom w:val="nil"/>
              <w:right w:val="nil"/>
            </w:tcBorders>
            <w:shd w:val="clear" w:color="auto" w:fill="DEEAF6" w:themeFill="accent5" w:themeFillTint="33"/>
            <w:vAlign w:val="center"/>
            <w:hideMark/>
          </w:tcPr>
          <w:p w14:paraId="05785BB6" w14:textId="0FCB2A5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2,8</w:t>
            </w:r>
          </w:p>
        </w:tc>
        <w:tc>
          <w:tcPr>
            <w:tcW w:w="651" w:type="dxa"/>
            <w:tcBorders>
              <w:top w:val="nil"/>
              <w:left w:val="nil"/>
              <w:bottom w:val="nil"/>
              <w:right w:val="nil"/>
            </w:tcBorders>
            <w:shd w:val="clear" w:color="auto" w:fill="DEEAF6" w:themeFill="accent5" w:themeFillTint="33"/>
            <w:vAlign w:val="center"/>
            <w:hideMark/>
          </w:tcPr>
          <w:p w14:paraId="75630B83" w14:textId="002410B2"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2,8</w:t>
            </w:r>
          </w:p>
        </w:tc>
        <w:tc>
          <w:tcPr>
            <w:tcW w:w="651" w:type="dxa"/>
            <w:tcBorders>
              <w:top w:val="nil"/>
              <w:left w:val="nil"/>
              <w:bottom w:val="nil"/>
              <w:right w:val="nil"/>
            </w:tcBorders>
            <w:shd w:val="clear" w:color="auto" w:fill="DEEAF6" w:themeFill="accent5" w:themeFillTint="33"/>
            <w:vAlign w:val="center"/>
            <w:hideMark/>
          </w:tcPr>
          <w:p w14:paraId="73BD9BD8" w14:textId="02A11BEA"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2,8</w:t>
            </w:r>
          </w:p>
        </w:tc>
        <w:tc>
          <w:tcPr>
            <w:tcW w:w="651" w:type="dxa"/>
            <w:tcBorders>
              <w:top w:val="nil"/>
              <w:left w:val="nil"/>
              <w:bottom w:val="nil"/>
              <w:right w:val="nil"/>
            </w:tcBorders>
            <w:shd w:val="clear" w:color="auto" w:fill="DEEAF6" w:themeFill="accent5" w:themeFillTint="33"/>
            <w:vAlign w:val="center"/>
            <w:hideMark/>
          </w:tcPr>
          <w:p w14:paraId="4C10A607" w14:textId="79B889AB"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2,8</w:t>
            </w:r>
          </w:p>
        </w:tc>
        <w:tc>
          <w:tcPr>
            <w:tcW w:w="651" w:type="dxa"/>
            <w:tcBorders>
              <w:top w:val="nil"/>
              <w:left w:val="nil"/>
              <w:bottom w:val="nil"/>
              <w:right w:val="nil"/>
            </w:tcBorders>
            <w:shd w:val="clear" w:color="auto" w:fill="DEEAF6" w:themeFill="accent5" w:themeFillTint="33"/>
            <w:vAlign w:val="center"/>
            <w:hideMark/>
          </w:tcPr>
          <w:p w14:paraId="35BE3E6C" w14:textId="37864D09"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3,8</w:t>
            </w:r>
          </w:p>
        </w:tc>
        <w:tc>
          <w:tcPr>
            <w:tcW w:w="651" w:type="dxa"/>
            <w:tcBorders>
              <w:top w:val="nil"/>
              <w:left w:val="nil"/>
              <w:bottom w:val="nil"/>
              <w:right w:val="nil"/>
            </w:tcBorders>
            <w:shd w:val="clear" w:color="auto" w:fill="DEEAF6" w:themeFill="accent5" w:themeFillTint="33"/>
            <w:vAlign w:val="center"/>
            <w:hideMark/>
          </w:tcPr>
          <w:p w14:paraId="5E6D93F1" w14:textId="364629DD"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2,8</w:t>
            </w:r>
          </w:p>
        </w:tc>
        <w:tc>
          <w:tcPr>
            <w:tcW w:w="651" w:type="dxa"/>
            <w:tcBorders>
              <w:top w:val="nil"/>
              <w:left w:val="nil"/>
              <w:bottom w:val="nil"/>
              <w:right w:val="nil"/>
            </w:tcBorders>
            <w:shd w:val="clear" w:color="auto" w:fill="DEEAF6" w:themeFill="accent5" w:themeFillTint="33"/>
            <w:vAlign w:val="center"/>
            <w:hideMark/>
          </w:tcPr>
          <w:p w14:paraId="2CD1752B" w14:textId="3CC0C3B9"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2,7</w:t>
            </w:r>
          </w:p>
        </w:tc>
        <w:tc>
          <w:tcPr>
            <w:tcW w:w="651" w:type="dxa"/>
            <w:tcBorders>
              <w:top w:val="nil"/>
              <w:left w:val="nil"/>
              <w:bottom w:val="nil"/>
              <w:right w:val="nil"/>
            </w:tcBorders>
            <w:shd w:val="clear" w:color="auto" w:fill="DEEAF6" w:themeFill="accent5" w:themeFillTint="33"/>
            <w:vAlign w:val="center"/>
            <w:hideMark/>
          </w:tcPr>
          <w:p w14:paraId="7A88CCAF" w14:textId="4A217223"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2,7</w:t>
            </w:r>
          </w:p>
        </w:tc>
        <w:tc>
          <w:tcPr>
            <w:tcW w:w="651" w:type="dxa"/>
            <w:tcBorders>
              <w:top w:val="nil"/>
              <w:left w:val="nil"/>
              <w:bottom w:val="nil"/>
              <w:right w:val="nil"/>
            </w:tcBorders>
            <w:shd w:val="clear" w:color="auto" w:fill="DEEAF6" w:themeFill="accent5" w:themeFillTint="33"/>
            <w:vAlign w:val="center"/>
            <w:hideMark/>
          </w:tcPr>
          <w:p w14:paraId="6D213C26" w14:textId="00249211"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2,7</w:t>
            </w:r>
          </w:p>
        </w:tc>
        <w:tc>
          <w:tcPr>
            <w:tcW w:w="651" w:type="dxa"/>
            <w:tcBorders>
              <w:top w:val="nil"/>
              <w:left w:val="nil"/>
              <w:bottom w:val="nil"/>
              <w:right w:val="nil"/>
            </w:tcBorders>
            <w:shd w:val="clear" w:color="auto" w:fill="DEEAF6" w:themeFill="accent5" w:themeFillTint="33"/>
            <w:vAlign w:val="center"/>
            <w:hideMark/>
          </w:tcPr>
          <w:p w14:paraId="2F0D7145" w14:textId="1604587D"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2,7</w:t>
            </w:r>
          </w:p>
        </w:tc>
        <w:tc>
          <w:tcPr>
            <w:tcW w:w="651" w:type="dxa"/>
            <w:tcBorders>
              <w:top w:val="nil"/>
              <w:left w:val="nil"/>
              <w:bottom w:val="nil"/>
              <w:right w:val="nil"/>
            </w:tcBorders>
            <w:shd w:val="clear" w:color="auto" w:fill="DEEAF6" w:themeFill="accent5" w:themeFillTint="33"/>
            <w:vAlign w:val="center"/>
            <w:hideMark/>
          </w:tcPr>
          <w:p w14:paraId="31BF3A76" w14:textId="3FC383BC"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2,7</w:t>
            </w:r>
          </w:p>
        </w:tc>
        <w:tc>
          <w:tcPr>
            <w:tcW w:w="651" w:type="dxa"/>
            <w:tcBorders>
              <w:top w:val="nil"/>
              <w:left w:val="nil"/>
              <w:bottom w:val="nil"/>
              <w:right w:val="nil"/>
            </w:tcBorders>
            <w:shd w:val="clear" w:color="auto" w:fill="DEEAF6" w:themeFill="accent5" w:themeFillTint="33"/>
            <w:vAlign w:val="center"/>
            <w:hideMark/>
          </w:tcPr>
          <w:p w14:paraId="103284E8" w14:textId="4AA1A0B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2,6</w:t>
            </w:r>
          </w:p>
        </w:tc>
        <w:tc>
          <w:tcPr>
            <w:tcW w:w="651" w:type="dxa"/>
            <w:tcBorders>
              <w:top w:val="nil"/>
              <w:left w:val="nil"/>
              <w:bottom w:val="nil"/>
              <w:right w:val="nil"/>
            </w:tcBorders>
            <w:shd w:val="clear" w:color="auto" w:fill="DEEAF6" w:themeFill="accent5" w:themeFillTint="33"/>
            <w:vAlign w:val="center"/>
            <w:hideMark/>
          </w:tcPr>
          <w:p w14:paraId="7D21690E" w14:textId="359F5B3B"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2,6</w:t>
            </w:r>
          </w:p>
        </w:tc>
        <w:tc>
          <w:tcPr>
            <w:tcW w:w="651" w:type="dxa"/>
            <w:tcBorders>
              <w:top w:val="nil"/>
              <w:left w:val="nil"/>
              <w:bottom w:val="nil"/>
              <w:right w:val="nil"/>
            </w:tcBorders>
            <w:shd w:val="clear" w:color="auto" w:fill="DEEAF6" w:themeFill="accent5" w:themeFillTint="33"/>
            <w:vAlign w:val="center"/>
            <w:hideMark/>
          </w:tcPr>
          <w:p w14:paraId="05C847CF" w14:textId="3D7BBC9A"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2,5</w:t>
            </w:r>
          </w:p>
        </w:tc>
      </w:tr>
      <w:tr w:rsidR="00C1228B" w:rsidRPr="009276A2" w14:paraId="4B8734E6" w14:textId="77777777" w:rsidTr="00406023">
        <w:trPr>
          <w:gridAfter w:val="1"/>
          <w:wAfter w:w="6" w:type="dxa"/>
          <w:trHeight w:val="328"/>
        </w:trPr>
        <w:tc>
          <w:tcPr>
            <w:tcW w:w="3177" w:type="dxa"/>
            <w:gridSpan w:val="5"/>
            <w:tcBorders>
              <w:top w:val="nil"/>
              <w:left w:val="nil"/>
              <w:bottom w:val="nil"/>
              <w:right w:val="nil"/>
            </w:tcBorders>
            <w:shd w:val="clear" w:color="auto" w:fill="auto"/>
            <w:vAlign w:val="center"/>
            <w:hideMark/>
          </w:tcPr>
          <w:p w14:paraId="56345ED4" w14:textId="77777777" w:rsidR="00C1228B" w:rsidRPr="00A22C01" w:rsidRDefault="00C1228B" w:rsidP="00616580">
            <w:pPr>
              <w:spacing w:after="0" w:line="240" w:lineRule="auto"/>
              <w:rPr>
                <w:rFonts w:ascii="Arial Narrow" w:eastAsia="Times New Roman" w:hAnsi="Arial Narrow" w:cs="Calibri"/>
                <w:i/>
                <w:iCs/>
                <w:color w:val="000000" w:themeColor="text1"/>
                <w:sz w:val="16"/>
                <w:szCs w:val="16"/>
                <w:lang w:eastAsia="sk-SK"/>
              </w:rPr>
            </w:pPr>
            <w:r w:rsidRPr="00A22C01">
              <w:rPr>
                <w:rFonts w:ascii="Arial Narrow" w:eastAsia="Times New Roman" w:hAnsi="Arial Narrow" w:cs="Calibri"/>
                <w:i/>
                <w:iCs/>
                <w:color w:val="000000" w:themeColor="text1"/>
                <w:sz w:val="16"/>
                <w:szCs w:val="16"/>
                <w:lang w:eastAsia="sk-SK"/>
              </w:rPr>
              <w:t>Scenár vyššieho primárneho štrukturálneho salda</w:t>
            </w:r>
          </w:p>
        </w:tc>
        <w:tc>
          <w:tcPr>
            <w:tcW w:w="651" w:type="dxa"/>
            <w:tcBorders>
              <w:top w:val="nil"/>
              <w:left w:val="nil"/>
              <w:bottom w:val="nil"/>
              <w:right w:val="nil"/>
            </w:tcBorders>
            <w:shd w:val="clear" w:color="auto" w:fill="auto"/>
            <w:vAlign w:val="center"/>
            <w:hideMark/>
          </w:tcPr>
          <w:p w14:paraId="3226E0BB" w14:textId="77777777" w:rsidR="00C1228B" w:rsidRPr="00A22C01" w:rsidRDefault="00C1228B" w:rsidP="00616580">
            <w:pPr>
              <w:spacing w:after="0" w:line="240" w:lineRule="auto"/>
              <w:rPr>
                <w:rFonts w:ascii="Arial Narrow" w:eastAsia="Times New Roman" w:hAnsi="Arial Narrow" w:cs="Calibri"/>
                <w:i/>
                <w:iCs/>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18882720"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3A51AB27"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6A1FB74E"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5DC817C1"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604440F2"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357C6B17"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01252FC5"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0AA646F3"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27FC9C77"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210B4B73"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495A3E2D"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261019CE"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52BAC0B6"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617FEDE4"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03D633A0"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r>
      <w:tr w:rsidR="00406023" w:rsidRPr="009276A2" w14:paraId="79856814" w14:textId="77777777" w:rsidTr="00406023">
        <w:trPr>
          <w:gridAfter w:val="1"/>
          <w:wAfter w:w="6" w:type="dxa"/>
          <w:trHeight w:val="328"/>
        </w:trPr>
        <w:tc>
          <w:tcPr>
            <w:tcW w:w="361" w:type="dxa"/>
            <w:tcBorders>
              <w:top w:val="nil"/>
              <w:left w:val="nil"/>
              <w:bottom w:val="nil"/>
              <w:right w:val="nil"/>
            </w:tcBorders>
            <w:shd w:val="clear" w:color="auto" w:fill="DEEAF6" w:themeFill="accent5" w:themeFillTint="33"/>
            <w:vAlign w:val="center"/>
            <w:hideMark/>
          </w:tcPr>
          <w:p w14:paraId="1D05491A" w14:textId="7777777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4</w:t>
            </w:r>
          </w:p>
        </w:tc>
        <w:tc>
          <w:tcPr>
            <w:tcW w:w="2816" w:type="dxa"/>
            <w:gridSpan w:val="4"/>
            <w:tcBorders>
              <w:top w:val="nil"/>
              <w:left w:val="nil"/>
              <w:bottom w:val="nil"/>
              <w:right w:val="nil"/>
            </w:tcBorders>
            <w:shd w:val="clear" w:color="auto" w:fill="DEEAF6" w:themeFill="accent5" w:themeFillTint="33"/>
            <w:vAlign w:val="center"/>
            <w:hideMark/>
          </w:tcPr>
          <w:p w14:paraId="6ED23359" w14:textId="77777777" w:rsidR="00406023" w:rsidRPr="00A22C01" w:rsidRDefault="00406023" w:rsidP="00406023">
            <w:pPr>
              <w:spacing w:after="0" w:line="240" w:lineRule="auto"/>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Hrubý dlh (% HDP)</w:t>
            </w:r>
          </w:p>
        </w:tc>
        <w:tc>
          <w:tcPr>
            <w:tcW w:w="651" w:type="dxa"/>
            <w:tcBorders>
              <w:top w:val="nil"/>
              <w:left w:val="nil"/>
              <w:bottom w:val="nil"/>
              <w:right w:val="nil"/>
            </w:tcBorders>
            <w:shd w:val="clear" w:color="auto" w:fill="DEEAF6" w:themeFill="accent5" w:themeFillTint="33"/>
            <w:vAlign w:val="center"/>
            <w:hideMark/>
          </w:tcPr>
          <w:p w14:paraId="1108D36C" w14:textId="4EFF3570"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56,0</w:t>
            </w:r>
          </w:p>
        </w:tc>
        <w:tc>
          <w:tcPr>
            <w:tcW w:w="651" w:type="dxa"/>
            <w:tcBorders>
              <w:top w:val="nil"/>
              <w:left w:val="nil"/>
              <w:bottom w:val="nil"/>
              <w:right w:val="nil"/>
            </w:tcBorders>
            <w:shd w:val="clear" w:color="auto" w:fill="DEEAF6" w:themeFill="accent5" w:themeFillTint="33"/>
            <w:vAlign w:val="center"/>
            <w:hideMark/>
          </w:tcPr>
          <w:p w14:paraId="1AA393E7" w14:textId="2FB1ED32"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58,5</w:t>
            </w:r>
          </w:p>
        </w:tc>
        <w:tc>
          <w:tcPr>
            <w:tcW w:w="651" w:type="dxa"/>
            <w:tcBorders>
              <w:top w:val="nil"/>
              <w:left w:val="nil"/>
              <w:bottom w:val="nil"/>
              <w:right w:val="nil"/>
            </w:tcBorders>
            <w:shd w:val="clear" w:color="auto" w:fill="DEEAF6" w:themeFill="accent5" w:themeFillTint="33"/>
            <w:vAlign w:val="center"/>
            <w:hideMark/>
          </w:tcPr>
          <w:p w14:paraId="106DCB34" w14:textId="57E55308"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59,8</w:t>
            </w:r>
          </w:p>
        </w:tc>
        <w:tc>
          <w:tcPr>
            <w:tcW w:w="651" w:type="dxa"/>
            <w:tcBorders>
              <w:top w:val="nil"/>
              <w:left w:val="nil"/>
              <w:bottom w:val="nil"/>
              <w:right w:val="nil"/>
            </w:tcBorders>
            <w:shd w:val="clear" w:color="auto" w:fill="DEEAF6" w:themeFill="accent5" w:themeFillTint="33"/>
            <w:vAlign w:val="center"/>
            <w:hideMark/>
          </w:tcPr>
          <w:p w14:paraId="5F194BE7" w14:textId="13AF38C5"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61,6</w:t>
            </w:r>
          </w:p>
        </w:tc>
        <w:tc>
          <w:tcPr>
            <w:tcW w:w="651" w:type="dxa"/>
            <w:tcBorders>
              <w:top w:val="nil"/>
              <w:left w:val="nil"/>
              <w:bottom w:val="nil"/>
              <w:right w:val="nil"/>
            </w:tcBorders>
            <w:shd w:val="clear" w:color="auto" w:fill="DEEAF6" w:themeFill="accent5" w:themeFillTint="33"/>
            <w:vAlign w:val="center"/>
            <w:hideMark/>
          </w:tcPr>
          <w:p w14:paraId="6881B7BB" w14:textId="44218F65"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62,1</w:t>
            </w:r>
          </w:p>
        </w:tc>
        <w:tc>
          <w:tcPr>
            <w:tcW w:w="651" w:type="dxa"/>
            <w:tcBorders>
              <w:top w:val="nil"/>
              <w:left w:val="nil"/>
              <w:bottom w:val="nil"/>
              <w:right w:val="nil"/>
            </w:tcBorders>
            <w:shd w:val="clear" w:color="auto" w:fill="DEEAF6" w:themeFill="accent5" w:themeFillTint="33"/>
            <w:vAlign w:val="center"/>
            <w:hideMark/>
          </w:tcPr>
          <w:p w14:paraId="53726077" w14:textId="5686E783"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61,4</w:t>
            </w:r>
          </w:p>
        </w:tc>
        <w:tc>
          <w:tcPr>
            <w:tcW w:w="651" w:type="dxa"/>
            <w:tcBorders>
              <w:top w:val="nil"/>
              <w:left w:val="nil"/>
              <w:bottom w:val="nil"/>
              <w:right w:val="nil"/>
            </w:tcBorders>
            <w:shd w:val="clear" w:color="auto" w:fill="DEEAF6" w:themeFill="accent5" w:themeFillTint="33"/>
            <w:vAlign w:val="center"/>
            <w:hideMark/>
          </w:tcPr>
          <w:p w14:paraId="65EBA5C5" w14:textId="106C73EB"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60,1</w:t>
            </w:r>
          </w:p>
        </w:tc>
        <w:tc>
          <w:tcPr>
            <w:tcW w:w="651" w:type="dxa"/>
            <w:tcBorders>
              <w:top w:val="nil"/>
              <w:left w:val="nil"/>
              <w:bottom w:val="nil"/>
              <w:right w:val="nil"/>
            </w:tcBorders>
            <w:shd w:val="clear" w:color="auto" w:fill="DEEAF6" w:themeFill="accent5" w:themeFillTint="33"/>
            <w:vAlign w:val="center"/>
            <w:hideMark/>
          </w:tcPr>
          <w:p w14:paraId="1C437007" w14:textId="2BA7C45B"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59,2</w:t>
            </w:r>
          </w:p>
        </w:tc>
        <w:tc>
          <w:tcPr>
            <w:tcW w:w="651" w:type="dxa"/>
            <w:tcBorders>
              <w:top w:val="nil"/>
              <w:left w:val="nil"/>
              <w:bottom w:val="nil"/>
              <w:right w:val="nil"/>
            </w:tcBorders>
            <w:shd w:val="clear" w:color="auto" w:fill="DEEAF6" w:themeFill="accent5" w:themeFillTint="33"/>
            <w:vAlign w:val="center"/>
            <w:hideMark/>
          </w:tcPr>
          <w:p w14:paraId="622D80E0" w14:textId="5E24A38F"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58,7</w:t>
            </w:r>
          </w:p>
        </w:tc>
        <w:tc>
          <w:tcPr>
            <w:tcW w:w="651" w:type="dxa"/>
            <w:tcBorders>
              <w:top w:val="nil"/>
              <w:left w:val="nil"/>
              <w:bottom w:val="nil"/>
              <w:right w:val="nil"/>
            </w:tcBorders>
            <w:shd w:val="clear" w:color="auto" w:fill="DEEAF6" w:themeFill="accent5" w:themeFillTint="33"/>
            <w:vAlign w:val="center"/>
            <w:hideMark/>
          </w:tcPr>
          <w:p w14:paraId="06B60465" w14:textId="3EA3903F"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58,3</w:t>
            </w:r>
          </w:p>
        </w:tc>
        <w:tc>
          <w:tcPr>
            <w:tcW w:w="651" w:type="dxa"/>
            <w:tcBorders>
              <w:top w:val="nil"/>
              <w:left w:val="nil"/>
              <w:bottom w:val="nil"/>
              <w:right w:val="nil"/>
            </w:tcBorders>
            <w:shd w:val="clear" w:color="auto" w:fill="DEEAF6" w:themeFill="accent5" w:themeFillTint="33"/>
            <w:vAlign w:val="center"/>
            <w:hideMark/>
          </w:tcPr>
          <w:p w14:paraId="0FD34334" w14:textId="23E19EEC"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58,0</w:t>
            </w:r>
          </w:p>
        </w:tc>
        <w:tc>
          <w:tcPr>
            <w:tcW w:w="651" w:type="dxa"/>
            <w:tcBorders>
              <w:top w:val="nil"/>
              <w:left w:val="nil"/>
              <w:bottom w:val="nil"/>
              <w:right w:val="nil"/>
            </w:tcBorders>
            <w:shd w:val="clear" w:color="auto" w:fill="DEEAF6" w:themeFill="accent5" w:themeFillTint="33"/>
            <w:vAlign w:val="center"/>
            <w:hideMark/>
          </w:tcPr>
          <w:p w14:paraId="36C5D152" w14:textId="219A9C01"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58,1</w:t>
            </w:r>
          </w:p>
        </w:tc>
        <w:tc>
          <w:tcPr>
            <w:tcW w:w="651" w:type="dxa"/>
            <w:tcBorders>
              <w:top w:val="nil"/>
              <w:left w:val="nil"/>
              <w:bottom w:val="nil"/>
              <w:right w:val="nil"/>
            </w:tcBorders>
            <w:shd w:val="clear" w:color="auto" w:fill="DEEAF6" w:themeFill="accent5" w:themeFillTint="33"/>
            <w:vAlign w:val="center"/>
            <w:hideMark/>
          </w:tcPr>
          <w:p w14:paraId="5DFC0FCD" w14:textId="435F84CA"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58,2</w:t>
            </w:r>
          </w:p>
        </w:tc>
        <w:tc>
          <w:tcPr>
            <w:tcW w:w="651" w:type="dxa"/>
            <w:tcBorders>
              <w:top w:val="nil"/>
              <w:left w:val="nil"/>
              <w:bottom w:val="nil"/>
              <w:right w:val="nil"/>
            </w:tcBorders>
            <w:shd w:val="clear" w:color="auto" w:fill="DEEAF6" w:themeFill="accent5" w:themeFillTint="33"/>
            <w:vAlign w:val="center"/>
            <w:hideMark/>
          </w:tcPr>
          <w:p w14:paraId="29F72396" w14:textId="42761C9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58,6</w:t>
            </w:r>
          </w:p>
        </w:tc>
        <w:tc>
          <w:tcPr>
            <w:tcW w:w="651" w:type="dxa"/>
            <w:tcBorders>
              <w:top w:val="nil"/>
              <w:left w:val="nil"/>
              <w:bottom w:val="nil"/>
              <w:right w:val="nil"/>
            </w:tcBorders>
            <w:shd w:val="clear" w:color="auto" w:fill="DEEAF6" w:themeFill="accent5" w:themeFillTint="33"/>
            <w:vAlign w:val="center"/>
            <w:hideMark/>
          </w:tcPr>
          <w:p w14:paraId="091CEB7E" w14:textId="4833933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59,0</w:t>
            </w:r>
          </w:p>
        </w:tc>
        <w:tc>
          <w:tcPr>
            <w:tcW w:w="651" w:type="dxa"/>
            <w:tcBorders>
              <w:top w:val="nil"/>
              <w:left w:val="nil"/>
              <w:bottom w:val="nil"/>
              <w:right w:val="nil"/>
            </w:tcBorders>
            <w:shd w:val="clear" w:color="auto" w:fill="DEEAF6" w:themeFill="accent5" w:themeFillTint="33"/>
            <w:vAlign w:val="center"/>
            <w:hideMark/>
          </w:tcPr>
          <w:p w14:paraId="3582E484" w14:textId="7DA36DF5"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59,7</w:t>
            </w:r>
          </w:p>
        </w:tc>
      </w:tr>
      <w:tr w:rsidR="00406023" w:rsidRPr="009276A2" w14:paraId="7437B64D" w14:textId="77777777" w:rsidTr="00406023">
        <w:trPr>
          <w:gridAfter w:val="1"/>
          <w:wAfter w:w="6" w:type="dxa"/>
          <w:trHeight w:val="328"/>
        </w:trPr>
        <w:tc>
          <w:tcPr>
            <w:tcW w:w="361" w:type="dxa"/>
            <w:tcBorders>
              <w:top w:val="nil"/>
              <w:left w:val="nil"/>
              <w:bottom w:val="nil"/>
              <w:right w:val="nil"/>
            </w:tcBorders>
            <w:shd w:val="clear" w:color="auto" w:fill="DEEAF6" w:themeFill="accent5" w:themeFillTint="33"/>
            <w:vAlign w:val="center"/>
            <w:hideMark/>
          </w:tcPr>
          <w:p w14:paraId="0DF6B617" w14:textId="7777777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5</w:t>
            </w:r>
          </w:p>
        </w:tc>
        <w:tc>
          <w:tcPr>
            <w:tcW w:w="2816" w:type="dxa"/>
            <w:gridSpan w:val="4"/>
            <w:tcBorders>
              <w:top w:val="nil"/>
              <w:left w:val="nil"/>
              <w:bottom w:val="nil"/>
              <w:right w:val="nil"/>
            </w:tcBorders>
            <w:shd w:val="clear" w:color="auto" w:fill="DEEAF6" w:themeFill="accent5" w:themeFillTint="33"/>
            <w:vAlign w:val="center"/>
            <w:hideMark/>
          </w:tcPr>
          <w:p w14:paraId="4CB43658" w14:textId="77777777" w:rsidR="00406023" w:rsidRPr="00A22C01" w:rsidRDefault="00406023" w:rsidP="00406023">
            <w:pPr>
              <w:spacing w:after="0" w:line="240" w:lineRule="auto"/>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Primárne štrukturálne saldo (% z potenciálneho HDP)</w:t>
            </w:r>
          </w:p>
        </w:tc>
        <w:tc>
          <w:tcPr>
            <w:tcW w:w="651" w:type="dxa"/>
            <w:tcBorders>
              <w:top w:val="nil"/>
              <w:left w:val="nil"/>
              <w:bottom w:val="nil"/>
              <w:right w:val="nil"/>
            </w:tcBorders>
            <w:shd w:val="clear" w:color="auto" w:fill="DEEAF6" w:themeFill="accent5" w:themeFillTint="33"/>
            <w:vAlign w:val="center"/>
            <w:hideMark/>
          </w:tcPr>
          <w:p w14:paraId="3895AB55" w14:textId="01BE4D10"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-3,5</w:t>
            </w:r>
          </w:p>
        </w:tc>
        <w:tc>
          <w:tcPr>
            <w:tcW w:w="651" w:type="dxa"/>
            <w:tcBorders>
              <w:top w:val="nil"/>
              <w:left w:val="nil"/>
              <w:bottom w:val="nil"/>
              <w:right w:val="nil"/>
            </w:tcBorders>
            <w:shd w:val="clear" w:color="auto" w:fill="DEEAF6" w:themeFill="accent5" w:themeFillTint="33"/>
            <w:vAlign w:val="center"/>
            <w:hideMark/>
          </w:tcPr>
          <w:p w14:paraId="60DA9BCB" w14:textId="7C9F186E"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-4,3</w:t>
            </w:r>
          </w:p>
        </w:tc>
        <w:tc>
          <w:tcPr>
            <w:tcW w:w="651" w:type="dxa"/>
            <w:tcBorders>
              <w:top w:val="nil"/>
              <w:left w:val="nil"/>
              <w:bottom w:val="nil"/>
              <w:right w:val="nil"/>
            </w:tcBorders>
            <w:shd w:val="clear" w:color="auto" w:fill="DEEAF6" w:themeFill="accent5" w:themeFillTint="33"/>
            <w:vAlign w:val="center"/>
            <w:hideMark/>
          </w:tcPr>
          <w:p w14:paraId="3D979243" w14:textId="7E7927F3"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-3,5</w:t>
            </w:r>
          </w:p>
        </w:tc>
        <w:tc>
          <w:tcPr>
            <w:tcW w:w="651" w:type="dxa"/>
            <w:tcBorders>
              <w:top w:val="nil"/>
              <w:left w:val="nil"/>
              <w:bottom w:val="nil"/>
              <w:right w:val="nil"/>
            </w:tcBorders>
            <w:shd w:val="clear" w:color="auto" w:fill="DEEAF6" w:themeFill="accent5" w:themeFillTint="33"/>
            <w:vAlign w:val="center"/>
            <w:hideMark/>
          </w:tcPr>
          <w:p w14:paraId="7AD2F42B" w14:textId="08FE8D1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-1,7</w:t>
            </w:r>
          </w:p>
        </w:tc>
        <w:tc>
          <w:tcPr>
            <w:tcW w:w="651" w:type="dxa"/>
            <w:tcBorders>
              <w:top w:val="nil"/>
              <w:left w:val="nil"/>
              <w:bottom w:val="nil"/>
              <w:right w:val="nil"/>
            </w:tcBorders>
            <w:shd w:val="clear" w:color="auto" w:fill="DEEAF6" w:themeFill="accent5" w:themeFillTint="33"/>
            <w:vAlign w:val="center"/>
            <w:hideMark/>
          </w:tcPr>
          <w:p w14:paraId="09EE220A" w14:textId="28776FEB"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-0,3</w:t>
            </w:r>
          </w:p>
        </w:tc>
        <w:tc>
          <w:tcPr>
            <w:tcW w:w="651" w:type="dxa"/>
            <w:tcBorders>
              <w:top w:val="nil"/>
              <w:left w:val="nil"/>
              <w:bottom w:val="nil"/>
              <w:right w:val="nil"/>
            </w:tcBorders>
            <w:shd w:val="clear" w:color="auto" w:fill="DEEAF6" w:themeFill="accent5" w:themeFillTint="33"/>
            <w:vAlign w:val="center"/>
            <w:hideMark/>
          </w:tcPr>
          <w:p w14:paraId="0F9C9C66" w14:textId="090D4591"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1,0</w:t>
            </w:r>
          </w:p>
        </w:tc>
        <w:tc>
          <w:tcPr>
            <w:tcW w:w="651" w:type="dxa"/>
            <w:tcBorders>
              <w:top w:val="nil"/>
              <w:left w:val="nil"/>
              <w:bottom w:val="nil"/>
              <w:right w:val="nil"/>
            </w:tcBorders>
            <w:shd w:val="clear" w:color="auto" w:fill="DEEAF6" w:themeFill="accent5" w:themeFillTint="33"/>
            <w:vAlign w:val="center"/>
            <w:hideMark/>
          </w:tcPr>
          <w:p w14:paraId="0628A277" w14:textId="5D32922F"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0,7</w:t>
            </w:r>
          </w:p>
        </w:tc>
        <w:tc>
          <w:tcPr>
            <w:tcW w:w="651" w:type="dxa"/>
            <w:tcBorders>
              <w:top w:val="nil"/>
              <w:left w:val="nil"/>
              <w:bottom w:val="nil"/>
              <w:right w:val="nil"/>
            </w:tcBorders>
            <w:shd w:val="clear" w:color="auto" w:fill="DEEAF6" w:themeFill="accent5" w:themeFillTint="33"/>
            <w:vAlign w:val="center"/>
            <w:hideMark/>
          </w:tcPr>
          <w:p w14:paraId="5FED658D" w14:textId="781EEBFD"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0,5</w:t>
            </w:r>
          </w:p>
        </w:tc>
        <w:tc>
          <w:tcPr>
            <w:tcW w:w="651" w:type="dxa"/>
            <w:tcBorders>
              <w:top w:val="nil"/>
              <w:left w:val="nil"/>
              <w:bottom w:val="nil"/>
              <w:right w:val="nil"/>
            </w:tcBorders>
            <w:shd w:val="clear" w:color="auto" w:fill="DEEAF6" w:themeFill="accent5" w:themeFillTint="33"/>
            <w:vAlign w:val="center"/>
            <w:hideMark/>
          </w:tcPr>
          <w:p w14:paraId="315DC683" w14:textId="55503DB9"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0,5</w:t>
            </w:r>
          </w:p>
        </w:tc>
        <w:tc>
          <w:tcPr>
            <w:tcW w:w="651" w:type="dxa"/>
            <w:tcBorders>
              <w:top w:val="nil"/>
              <w:left w:val="nil"/>
              <w:bottom w:val="nil"/>
              <w:right w:val="nil"/>
            </w:tcBorders>
            <w:shd w:val="clear" w:color="auto" w:fill="DEEAF6" w:themeFill="accent5" w:themeFillTint="33"/>
            <w:vAlign w:val="center"/>
            <w:hideMark/>
          </w:tcPr>
          <w:p w14:paraId="759565D4" w14:textId="025CC2F2"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0,5</w:t>
            </w:r>
          </w:p>
        </w:tc>
        <w:tc>
          <w:tcPr>
            <w:tcW w:w="651" w:type="dxa"/>
            <w:tcBorders>
              <w:top w:val="nil"/>
              <w:left w:val="nil"/>
              <w:bottom w:val="nil"/>
              <w:right w:val="nil"/>
            </w:tcBorders>
            <w:shd w:val="clear" w:color="auto" w:fill="DEEAF6" w:themeFill="accent5" w:themeFillTint="33"/>
            <w:vAlign w:val="center"/>
            <w:hideMark/>
          </w:tcPr>
          <w:p w14:paraId="7F7078D6" w14:textId="3BAF5E22"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0,5</w:t>
            </w:r>
          </w:p>
        </w:tc>
        <w:tc>
          <w:tcPr>
            <w:tcW w:w="651" w:type="dxa"/>
            <w:tcBorders>
              <w:top w:val="nil"/>
              <w:left w:val="nil"/>
              <w:bottom w:val="nil"/>
              <w:right w:val="nil"/>
            </w:tcBorders>
            <w:shd w:val="clear" w:color="auto" w:fill="DEEAF6" w:themeFill="accent5" w:themeFillTint="33"/>
            <w:vAlign w:val="center"/>
            <w:hideMark/>
          </w:tcPr>
          <w:p w14:paraId="18D8AFA4" w14:textId="51BB1C3D"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0,5</w:t>
            </w:r>
          </w:p>
        </w:tc>
        <w:tc>
          <w:tcPr>
            <w:tcW w:w="651" w:type="dxa"/>
            <w:tcBorders>
              <w:top w:val="nil"/>
              <w:left w:val="nil"/>
              <w:bottom w:val="nil"/>
              <w:right w:val="nil"/>
            </w:tcBorders>
            <w:shd w:val="clear" w:color="auto" w:fill="DEEAF6" w:themeFill="accent5" w:themeFillTint="33"/>
            <w:vAlign w:val="center"/>
            <w:hideMark/>
          </w:tcPr>
          <w:p w14:paraId="4BD6F0D5" w14:textId="1237317F"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0,5</w:t>
            </w:r>
          </w:p>
        </w:tc>
        <w:tc>
          <w:tcPr>
            <w:tcW w:w="651" w:type="dxa"/>
            <w:tcBorders>
              <w:top w:val="nil"/>
              <w:left w:val="nil"/>
              <w:bottom w:val="nil"/>
              <w:right w:val="nil"/>
            </w:tcBorders>
            <w:shd w:val="clear" w:color="auto" w:fill="DEEAF6" w:themeFill="accent5" w:themeFillTint="33"/>
            <w:vAlign w:val="center"/>
            <w:hideMark/>
          </w:tcPr>
          <w:p w14:paraId="0FE1F572" w14:textId="6A7286BD"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0,5</w:t>
            </w:r>
          </w:p>
        </w:tc>
        <w:tc>
          <w:tcPr>
            <w:tcW w:w="651" w:type="dxa"/>
            <w:tcBorders>
              <w:top w:val="nil"/>
              <w:left w:val="nil"/>
              <w:bottom w:val="nil"/>
              <w:right w:val="nil"/>
            </w:tcBorders>
            <w:shd w:val="clear" w:color="auto" w:fill="DEEAF6" w:themeFill="accent5" w:themeFillTint="33"/>
            <w:vAlign w:val="center"/>
            <w:hideMark/>
          </w:tcPr>
          <w:p w14:paraId="6A91D6A0" w14:textId="46A7E3F1"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0,5</w:t>
            </w:r>
          </w:p>
        </w:tc>
        <w:tc>
          <w:tcPr>
            <w:tcW w:w="651" w:type="dxa"/>
            <w:tcBorders>
              <w:top w:val="nil"/>
              <w:left w:val="nil"/>
              <w:bottom w:val="nil"/>
              <w:right w:val="nil"/>
            </w:tcBorders>
            <w:shd w:val="clear" w:color="auto" w:fill="DEEAF6" w:themeFill="accent5" w:themeFillTint="33"/>
            <w:vAlign w:val="center"/>
            <w:hideMark/>
          </w:tcPr>
          <w:p w14:paraId="77E3AB83" w14:textId="31E061E1"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0,5</w:t>
            </w:r>
          </w:p>
        </w:tc>
      </w:tr>
      <w:tr w:rsidR="00C1228B" w:rsidRPr="009276A2" w14:paraId="0EE2102F" w14:textId="77777777" w:rsidTr="00406023">
        <w:trPr>
          <w:gridAfter w:val="1"/>
          <w:wAfter w:w="6" w:type="dxa"/>
          <w:trHeight w:val="328"/>
        </w:trPr>
        <w:tc>
          <w:tcPr>
            <w:tcW w:w="3177" w:type="dxa"/>
            <w:gridSpan w:val="5"/>
            <w:tcBorders>
              <w:top w:val="nil"/>
              <w:left w:val="nil"/>
              <w:bottom w:val="nil"/>
              <w:right w:val="nil"/>
            </w:tcBorders>
            <w:shd w:val="clear" w:color="auto" w:fill="auto"/>
            <w:vAlign w:val="center"/>
            <w:hideMark/>
          </w:tcPr>
          <w:p w14:paraId="18598F9A" w14:textId="77777777" w:rsidR="00C1228B" w:rsidRPr="00A22C01" w:rsidRDefault="00C1228B" w:rsidP="00616580">
            <w:pPr>
              <w:spacing w:after="0" w:line="240" w:lineRule="auto"/>
              <w:rPr>
                <w:rFonts w:ascii="Arial Narrow" w:eastAsia="Times New Roman" w:hAnsi="Arial Narrow" w:cs="Calibri"/>
                <w:i/>
                <w:iCs/>
                <w:color w:val="000000" w:themeColor="text1"/>
                <w:sz w:val="16"/>
                <w:szCs w:val="16"/>
                <w:lang w:eastAsia="sk-SK"/>
              </w:rPr>
            </w:pPr>
            <w:r w:rsidRPr="00A22C01">
              <w:rPr>
                <w:rFonts w:ascii="Arial Narrow" w:eastAsia="Times New Roman" w:hAnsi="Arial Narrow" w:cs="Calibri"/>
                <w:i/>
                <w:iCs/>
                <w:color w:val="000000" w:themeColor="text1"/>
                <w:sz w:val="16"/>
                <w:szCs w:val="16"/>
                <w:lang w:eastAsia="sk-SK"/>
              </w:rPr>
              <w:t>Scenár nepriaznivého rast-úrokového diferenciálu</w:t>
            </w:r>
          </w:p>
        </w:tc>
        <w:tc>
          <w:tcPr>
            <w:tcW w:w="651" w:type="dxa"/>
            <w:tcBorders>
              <w:top w:val="nil"/>
              <w:left w:val="nil"/>
              <w:bottom w:val="nil"/>
              <w:right w:val="nil"/>
            </w:tcBorders>
            <w:shd w:val="clear" w:color="auto" w:fill="auto"/>
            <w:vAlign w:val="center"/>
            <w:hideMark/>
          </w:tcPr>
          <w:p w14:paraId="3EE6C284" w14:textId="77777777" w:rsidR="00C1228B" w:rsidRPr="00A22C01" w:rsidRDefault="00C1228B" w:rsidP="00616580">
            <w:pPr>
              <w:spacing w:after="0" w:line="240" w:lineRule="auto"/>
              <w:rPr>
                <w:rFonts w:ascii="Arial Narrow" w:eastAsia="Times New Roman" w:hAnsi="Arial Narrow" w:cs="Calibri"/>
                <w:i/>
                <w:iCs/>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35C104F1"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48E753DD"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6D89159B"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3F0ED0B9"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366A14F6"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1EB2ED59"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514829DA"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587A64B7"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6A76961F"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626A14B4"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1AA91762"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63F2C3D8"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73502CFA"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65DA6828"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06DAB1C2"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r>
      <w:tr w:rsidR="00406023" w:rsidRPr="009276A2" w14:paraId="472106FD" w14:textId="77777777" w:rsidTr="00406023">
        <w:trPr>
          <w:gridAfter w:val="1"/>
          <w:wAfter w:w="6" w:type="dxa"/>
          <w:trHeight w:val="328"/>
        </w:trPr>
        <w:tc>
          <w:tcPr>
            <w:tcW w:w="361" w:type="dxa"/>
            <w:tcBorders>
              <w:top w:val="nil"/>
              <w:left w:val="nil"/>
              <w:bottom w:val="nil"/>
              <w:right w:val="nil"/>
            </w:tcBorders>
            <w:shd w:val="clear" w:color="auto" w:fill="DEEAF6" w:themeFill="accent5" w:themeFillTint="33"/>
            <w:vAlign w:val="center"/>
            <w:hideMark/>
          </w:tcPr>
          <w:p w14:paraId="1193911A" w14:textId="7777777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6</w:t>
            </w:r>
          </w:p>
        </w:tc>
        <w:tc>
          <w:tcPr>
            <w:tcW w:w="2816" w:type="dxa"/>
            <w:gridSpan w:val="4"/>
            <w:tcBorders>
              <w:top w:val="nil"/>
              <w:left w:val="nil"/>
              <w:bottom w:val="nil"/>
              <w:right w:val="nil"/>
            </w:tcBorders>
            <w:shd w:val="clear" w:color="auto" w:fill="DEEAF6" w:themeFill="accent5" w:themeFillTint="33"/>
            <w:vAlign w:val="center"/>
            <w:hideMark/>
          </w:tcPr>
          <w:p w14:paraId="6532447F" w14:textId="77777777" w:rsidR="00406023" w:rsidRPr="00A22C01" w:rsidRDefault="00406023" w:rsidP="00406023">
            <w:pPr>
              <w:spacing w:after="0" w:line="240" w:lineRule="auto"/>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Hrubý dlh (% HDP)</w:t>
            </w:r>
          </w:p>
        </w:tc>
        <w:tc>
          <w:tcPr>
            <w:tcW w:w="651" w:type="dxa"/>
            <w:tcBorders>
              <w:top w:val="nil"/>
              <w:left w:val="nil"/>
              <w:bottom w:val="nil"/>
              <w:right w:val="nil"/>
            </w:tcBorders>
            <w:shd w:val="clear" w:color="auto" w:fill="DEEAF6" w:themeFill="accent5" w:themeFillTint="33"/>
            <w:vAlign w:val="center"/>
            <w:hideMark/>
          </w:tcPr>
          <w:p w14:paraId="547AA2DD" w14:textId="0817B99A"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56,0</w:t>
            </w:r>
          </w:p>
        </w:tc>
        <w:tc>
          <w:tcPr>
            <w:tcW w:w="651" w:type="dxa"/>
            <w:tcBorders>
              <w:top w:val="nil"/>
              <w:left w:val="nil"/>
              <w:bottom w:val="nil"/>
              <w:right w:val="nil"/>
            </w:tcBorders>
            <w:shd w:val="clear" w:color="auto" w:fill="DEEAF6" w:themeFill="accent5" w:themeFillTint="33"/>
            <w:vAlign w:val="center"/>
            <w:hideMark/>
          </w:tcPr>
          <w:p w14:paraId="7FC6D33F" w14:textId="1137F9A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58,5</w:t>
            </w:r>
          </w:p>
        </w:tc>
        <w:tc>
          <w:tcPr>
            <w:tcW w:w="651" w:type="dxa"/>
            <w:tcBorders>
              <w:top w:val="nil"/>
              <w:left w:val="nil"/>
              <w:bottom w:val="nil"/>
              <w:right w:val="nil"/>
            </w:tcBorders>
            <w:shd w:val="clear" w:color="auto" w:fill="DEEAF6" w:themeFill="accent5" w:themeFillTint="33"/>
            <w:vAlign w:val="center"/>
            <w:hideMark/>
          </w:tcPr>
          <w:p w14:paraId="09A3055C" w14:textId="2B7131B1"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59,8</w:t>
            </w:r>
          </w:p>
        </w:tc>
        <w:tc>
          <w:tcPr>
            <w:tcW w:w="651" w:type="dxa"/>
            <w:tcBorders>
              <w:top w:val="nil"/>
              <w:left w:val="nil"/>
              <w:bottom w:val="nil"/>
              <w:right w:val="nil"/>
            </w:tcBorders>
            <w:shd w:val="clear" w:color="auto" w:fill="DEEAF6" w:themeFill="accent5" w:themeFillTint="33"/>
            <w:vAlign w:val="center"/>
            <w:hideMark/>
          </w:tcPr>
          <w:p w14:paraId="4E115C6F" w14:textId="308C2BB8"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61,6</w:t>
            </w:r>
          </w:p>
        </w:tc>
        <w:tc>
          <w:tcPr>
            <w:tcW w:w="651" w:type="dxa"/>
            <w:tcBorders>
              <w:top w:val="nil"/>
              <w:left w:val="nil"/>
              <w:bottom w:val="nil"/>
              <w:right w:val="nil"/>
            </w:tcBorders>
            <w:shd w:val="clear" w:color="auto" w:fill="DEEAF6" w:themeFill="accent5" w:themeFillTint="33"/>
            <w:vAlign w:val="center"/>
            <w:hideMark/>
          </w:tcPr>
          <w:p w14:paraId="0B13E924" w14:textId="0C75F236"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62,1</w:t>
            </w:r>
          </w:p>
        </w:tc>
        <w:tc>
          <w:tcPr>
            <w:tcW w:w="651" w:type="dxa"/>
            <w:tcBorders>
              <w:top w:val="nil"/>
              <w:left w:val="nil"/>
              <w:bottom w:val="nil"/>
              <w:right w:val="nil"/>
            </w:tcBorders>
            <w:shd w:val="clear" w:color="auto" w:fill="DEEAF6" w:themeFill="accent5" w:themeFillTint="33"/>
            <w:vAlign w:val="center"/>
            <w:hideMark/>
          </w:tcPr>
          <w:p w14:paraId="15E3C340" w14:textId="23D9B638"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61,4</w:t>
            </w:r>
          </w:p>
        </w:tc>
        <w:tc>
          <w:tcPr>
            <w:tcW w:w="651" w:type="dxa"/>
            <w:tcBorders>
              <w:top w:val="nil"/>
              <w:left w:val="nil"/>
              <w:bottom w:val="nil"/>
              <w:right w:val="nil"/>
            </w:tcBorders>
            <w:shd w:val="clear" w:color="auto" w:fill="DEEAF6" w:themeFill="accent5" w:themeFillTint="33"/>
            <w:vAlign w:val="center"/>
            <w:hideMark/>
          </w:tcPr>
          <w:p w14:paraId="5DC6386D" w14:textId="72304973"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60,4</w:t>
            </w:r>
          </w:p>
        </w:tc>
        <w:tc>
          <w:tcPr>
            <w:tcW w:w="651" w:type="dxa"/>
            <w:tcBorders>
              <w:top w:val="nil"/>
              <w:left w:val="nil"/>
              <w:bottom w:val="nil"/>
              <w:right w:val="nil"/>
            </w:tcBorders>
            <w:shd w:val="clear" w:color="auto" w:fill="DEEAF6" w:themeFill="accent5" w:themeFillTint="33"/>
            <w:vAlign w:val="center"/>
            <w:hideMark/>
          </w:tcPr>
          <w:p w14:paraId="186FA70F" w14:textId="417EA914"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59,3</w:t>
            </w:r>
          </w:p>
        </w:tc>
        <w:tc>
          <w:tcPr>
            <w:tcW w:w="651" w:type="dxa"/>
            <w:tcBorders>
              <w:top w:val="nil"/>
              <w:left w:val="nil"/>
              <w:bottom w:val="nil"/>
              <w:right w:val="nil"/>
            </w:tcBorders>
            <w:shd w:val="clear" w:color="auto" w:fill="DEEAF6" w:themeFill="accent5" w:themeFillTint="33"/>
            <w:vAlign w:val="center"/>
            <w:hideMark/>
          </w:tcPr>
          <w:p w14:paraId="0E68AECA" w14:textId="3329381D"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58,1</w:t>
            </w:r>
          </w:p>
        </w:tc>
        <w:tc>
          <w:tcPr>
            <w:tcW w:w="651" w:type="dxa"/>
            <w:tcBorders>
              <w:top w:val="nil"/>
              <w:left w:val="nil"/>
              <w:bottom w:val="nil"/>
              <w:right w:val="nil"/>
            </w:tcBorders>
            <w:shd w:val="clear" w:color="auto" w:fill="DEEAF6" w:themeFill="accent5" w:themeFillTint="33"/>
            <w:vAlign w:val="center"/>
            <w:hideMark/>
          </w:tcPr>
          <w:p w14:paraId="610621AB" w14:textId="4F5A6DD3"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57,6</w:t>
            </w:r>
          </w:p>
        </w:tc>
        <w:tc>
          <w:tcPr>
            <w:tcW w:w="651" w:type="dxa"/>
            <w:tcBorders>
              <w:top w:val="nil"/>
              <w:left w:val="nil"/>
              <w:bottom w:val="nil"/>
              <w:right w:val="nil"/>
            </w:tcBorders>
            <w:shd w:val="clear" w:color="auto" w:fill="DEEAF6" w:themeFill="accent5" w:themeFillTint="33"/>
            <w:vAlign w:val="center"/>
            <w:hideMark/>
          </w:tcPr>
          <w:p w14:paraId="4346965B" w14:textId="5B3427D2"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57,4</w:t>
            </w:r>
          </w:p>
        </w:tc>
        <w:tc>
          <w:tcPr>
            <w:tcW w:w="651" w:type="dxa"/>
            <w:tcBorders>
              <w:top w:val="nil"/>
              <w:left w:val="nil"/>
              <w:bottom w:val="nil"/>
              <w:right w:val="nil"/>
            </w:tcBorders>
            <w:shd w:val="clear" w:color="auto" w:fill="DEEAF6" w:themeFill="accent5" w:themeFillTint="33"/>
            <w:vAlign w:val="center"/>
            <w:hideMark/>
          </w:tcPr>
          <w:p w14:paraId="0602F6DB" w14:textId="7AE879E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57,3</w:t>
            </w:r>
          </w:p>
        </w:tc>
        <w:tc>
          <w:tcPr>
            <w:tcW w:w="651" w:type="dxa"/>
            <w:tcBorders>
              <w:top w:val="nil"/>
              <w:left w:val="nil"/>
              <w:bottom w:val="nil"/>
              <w:right w:val="nil"/>
            </w:tcBorders>
            <w:shd w:val="clear" w:color="auto" w:fill="DEEAF6" w:themeFill="accent5" w:themeFillTint="33"/>
            <w:vAlign w:val="center"/>
            <w:hideMark/>
          </w:tcPr>
          <w:p w14:paraId="3AC4E236" w14:textId="43999239"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57,4</w:t>
            </w:r>
          </w:p>
        </w:tc>
        <w:tc>
          <w:tcPr>
            <w:tcW w:w="651" w:type="dxa"/>
            <w:tcBorders>
              <w:top w:val="nil"/>
              <w:left w:val="nil"/>
              <w:bottom w:val="nil"/>
              <w:right w:val="nil"/>
            </w:tcBorders>
            <w:shd w:val="clear" w:color="auto" w:fill="DEEAF6" w:themeFill="accent5" w:themeFillTint="33"/>
            <w:vAlign w:val="center"/>
            <w:hideMark/>
          </w:tcPr>
          <w:p w14:paraId="2E27035E" w14:textId="758B5F8F"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57,6</w:t>
            </w:r>
          </w:p>
        </w:tc>
        <w:tc>
          <w:tcPr>
            <w:tcW w:w="651" w:type="dxa"/>
            <w:tcBorders>
              <w:top w:val="nil"/>
              <w:left w:val="nil"/>
              <w:bottom w:val="nil"/>
              <w:right w:val="nil"/>
            </w:tcBorders>
            <w:shd w:val="clear" w:color="auto" w:fill="DEEAF6" w:themeFill="accent5" w:themeFillTint="33"/>
            <w:vAlign w:val="center"/>
            <w:hideMark/>
          </w:tcPr>
          <w:p w14:paraId="29B8E725" w14:textId="7EDDDC65"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58,0</w:t>
            </w:r>
          </w:p>
        </w:tc>
        <w:tc>
          <w:tcPr>
            <w:tcW w:w="651" w:type="dxa"/>
            <w:tcBorders>
              <w:top w:val="nil"/>
              <w:left w:val="nil"/>
              <w:bottom w:val="nil"/>
              <w:right w:val="nil"/>
            </w:tcBorders>
            <w:shd w:val="clear" w:color="auto" w:fill="DEEAF6" w:themeFill="accent5" w:themeFillTint="33"/>
            <w:vAlign w:val="center"/>
            <w:hideMark/>
          </w:tcPr>
          <w:p w14:paraId="3588408C" w14:textId="205CFAD1"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58,6</w:t>
            </w:r>
          </w:p>
        </w:tc>
      </w:tr>
      <w:tr w:rsidR="00406023" w:rsidRPr="009276A2" w14:paraId="56743FE7" w14:textId="77777777" w:rsidTr="00406023">
        <w:trPr>
          <w:gridAfter w:val="1"/>
          <w:wAfter w:w="6" w:type="dxa"/>
          <w:trHeight w:val="328"/>
        </w:trPr>
        <w:tc>
          <w:tcPr>
            <w:tcW w:w="361" w:type="dxa"/>
            <w:tcBorders>
              <w:top w:val="nil"/>
              <w:left w:val="nil"/>
              <w:bottom w:val="nil"/>
              <w:right w:val="nil"/>
            </w:tcBorders>
            <w:shd w:val="clear" w:color="auto" w:fill="DEEAF6" w:themeFill="accent5" w:themeFillTint="33"/>
            <w:vAlign w:val="center"/>
            <w:hideMark/>
          </w:tcPr>
          <w:p w14:paraId="5915E05D" w14:textId="7777777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7</w:t>
            </w:r>
          </w:p>
        </w:tc>
        <w:tc>
          <w:tcPr>
            <w:tcW w:w="2816" w:type="dxa"/>
            <w:gridSpan w:val="4"/>
            <w:tcBorders>
              <w:top w:val="nil"/>
              <w:left w:val="nil"/>
              <w:bottom w:val="nil"/>
              <w:right w:val="nil"/>
            </w:tcBorders>
            <w:shd w:val="clear" w:color="auto" w:fill="DEEAF6" w:themeFill="accent5" w:themeFillTint="33"/>
            <w:vAlign w:val="center"/>
            <w:hideMark/>
          </w:tcPr>
          <w:p w14:paraId="374D426D" w14:textId="77777777" w:rsidR="00406023" w:rsidRPr="00A22C01" w:rsidRDefault="00406023" w:rsidP="00406023">
            <w:pPr>
              <w:spacing w:after="0" w:line="240" w:lineRule="auto"/>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Dlhodobá úroková miera (%)</w:t>
            </w:r>
          </w:p>
        </w:tc>
        <w:tc>
          <w:tcPr>
            <w:tcW w:w="651" w:type="dxa"/>
            <w:tcBorders>
              <w:top w:val="nil"/>
              <w:left w:val="nil"/>
              <w:bottom w:val="nil"/>
              <w:right w:val="nil"/>
            </w:tcBorders>
            <w:shd w:val="clear" w:color="auto" w:fill="DEEAF6" w:themeFill="accent5" w:themeFillTint="33"/>
            <w:vAlign w:val="center"/>
            <w:hideMark/>
          </w:tcPr>
          <w:p w14:paraId="29FA25FE" w14:textId="2A0EDB99"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3,7</w:t>
            </w:r>
          </w:p>
        </w:tc>
        <w:tc>
          <w:tcPr>
            <w:tcW w:w="651" w:type="dxa"/>
            <w:tcBorders>
              <w:top w:val="nil"/>
              <w:left w:val="nil"/>
              <w:bottom w:val="nil"/>
              <w:right w:val="nil"/>
            </w:tcBorders>
            <w:shd w:val="clear" w:color="auto" w:fill="DEEAF6" w:themeFill="accent5" w:themeFillTint="33"/>
            <w:vAlign w:val="center"/>
            <w:hideMark/>
          </w:tcPr>
          <w:p w14:paraId="7C90454E" w14:textId="170B54DA"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3,7</w:t>
            </w:r>
          </w:p>
        </w:tc>
        <w:tc>
          <w:tcPr>
            <w:tcW w:w="651" w:type="dxa"/>
            <w:tcBorders>
              <w:top w:val="nil"/>
              <w:left w:val="nil"/>
              <w:bottom w:val="nil"/>
              <w:right w:val="nil"/>
            </w:tcBorders>
            <w:shd w:val="clear" w:color="auto" w:fill="DEEAF6" w:themeFill="accent5" w:themeFillTint="33"/>
            <w:vAlign w:val="center"/>
            <w:hideMark/>
          </w:tcPr>
          <w:p w14:paraId="45BFBED7" w14:textId="28C2E1A0"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3,8</w:t>
            </w:r>
          </w:p>
        </w:tc>
        <w:tc>
          <w:tcPr>
            <w:tcW w:w="651" w:type="dxa"/>
            <w:tcBorders>
              <w:top w:val="nil"/>
              <w:left w:val="nil"/>
              <w:bottom w:val="nil"/>
              <w:right w:val="nil"/>
            </w:tcBorders>
            <w:shd w:val="clear" w:color="auto" w:fill="DEEAF6" w:themeFill="accent5" w:themeFillTint="33"/>
            <w:vAlign w:val="center"/>
            <w:hideMark/>
          </w:tcPr>
          <w:p w14:paraId="68092188" w14:textId="575673F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3,8</w:t>
            </w:r>
          </w:p>
        </w:tc>
        <w:tc>
          <w:tcPr>
            <w:tcW w:w="651" w:type="dxa"/>
            <w:tcBorders>
              <w:top w:val="nil"/>
              <w:left w:val="nil"/>
              <w:bottom w:val="nil"/>
              <w:right w:val="nil"/>
            </w:tcBorders>
            <w:shd w:val="clear" w:color="auto" w:fill="DEEAF6" w:themeFill="accent5" w:themeFillTint="33"/>
            <w:vAlign w:val="center"/>
            <w:hideMark/>
          </w:tcPr>
          <w:p w14:paraId="41586008" w14:textId="2AABB774"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3,9</w:t>
            </w:r>
          </w:p>
        </w:tc>
        <w:tc>
          <w:tcPr>
            <w:tcW w:w="651" w:type="dxa"/>
            <w:tcBorders>
              <w:top w:val="nil"/>
              <w:left w:val="nil"/>
              <w:bottom w:val="nil"/>
              <w:right w:val="nil"/>
            </w:tcBorders>
            <w:shd w:val="clear" w:color="auto" w:fill="DEEAF6" w:themeFill="accent5" w:themeFillTint="33"/>
            <w:vAlign w:val="center"/>
            <w:hideMark/>
          </w:tcPr>
          <w:p w14:paraId="7668F5E2" w14:textId="18A9A620"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3,9</w:t>
            </w:r>
          </w:p>
        </w:tc>
        <w:tc>
          <w:tcPr>
            <w:tcW w:w="651" w:type="dxa"/>
            <w:tcBorders>
              <w:top w:val="nil"/>
              <w:left w:val="nil"/>
              <w:bottom w:val="nil"/>
              <w:right w:val="nil"/>
            </w:tcBorders>
            <w:shd w:val="clear" w:color="auto" w:fill="DEEAF6" w:themeFill="accent5" w:themeFillTint="33"/>
            <w:vAlign w:val="center"/>
            <w:hideMark/>
          </w:tcPr>
          <w:p w14:paraId="33ADDD48" w14:textId="3F56C9F4"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4,5</w:t>
            </w:r>
          </w:p>
        </w:tc>
        <w:tc>
          <w:tcPr>
            <w:tcW w:w="651" w:type="dxa"/>
            <w:tcBorders>
              <w:top w:val="nil"/>
              <w:left w:val="nil"/>
              <w:bottom w:val="nil"/>
              <w:right w:val="nil"/>
            </w:tcBorders>
            <w:shd w:val="clear" w:color="auto" w:fill="DEEAF6" w:themeFill="accent5" w:themeFillTint="33"/>
            <w:vAlign w:val="center"/>
            <w:hideMark/>
          </w:tcPr>
          <w:p w14:paraId="300EE880" w14:textId="7F8E758C"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4,5</w:t>
            </w:r>
          </w:p>
        </w:tc>
        <w:tc>
          <w:tcPr>
            <w:tcW w:w="651" w:type="dxa"/>
            <w:tcBorders>
              <w:top w:val="nil"/>
              <w:left w:val="nil"/>
              <w:bottom w:val="nil"/>
              <w:right w:val="nil"/>
            </w:tcBorders>
            <w:shd w:val="clear" w:color="auto" w:fill="DEEAF6" w:themeFill="accent5" w:themeFillTint="33"/>
            <w:vAlign w:val="center"/>
            <w:hideMark/>
          </w:tcPr>
          <w:p w14:paraId="46FA4C11" w14:textId="174068E2"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4,6</w:t>
            </w:r>
          </w:p>
        </w:tc>
        <w:tc>
          <w:tcPr>
            <w:tcW w:w="651" w:type="dxa"/>
            <w:tcBorders>
              <w:top w:val="nil"/>
              <w:left w:val="nil"/>
              <w:bottom w:val="nil"/>
              <w:right w:val="nil"/>
            </w:tcBorders>
            <w:shd w:val="clear" w:color="auto" w:fill="DEEAF6" w:themeFill="accent5" w:themeFillTint="33"/>
            <w:vAlign w:val="center"/>
            <w:hideMark/>
          </w:tcPr>
          <w:p w14:paraId="0B4512A7" w14:textId="1D0464AB"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4,6</w:t>
            </w:r>
          </w:p>
        </w:tc>
        <w:tc>
          <w:tcPr>
            <w:tcW w:w="651" w:type="dxa"/>
            <w:tcBorders>
              <w:top w:val="nil"/>
              <w:left w:val="nil"/>
              <w:bottom w:val="nil"/>
              <w:right w:val="nil"/>
            </w:tcBorders>
            <w:shd w:val="clear" w:color="auto" w:fill="DEEAF6" w:themeFill="accent5" w:themeFillTint="33"/>
            <w:vAlign w:val="center"/>
            <w:hideMark/>
          </w:tcPr>
          <w:p w14:paraId="73E94869" w14:textId="4C96C14C"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4,7</w:t>
            </w:r>
          </w:p>
        </w:tc>
        <w:tc>
          <w:tcPr>
            <w:tcW w:w="651" w:type="dxa"/>
            <w:tcBorders>
              <w:top w:val="nil"/>
              <w:left w:val="nil"/>
              <w:bottom w:val="nil"/>
              <w:right w:val="nil"/>
            </w:tcBorders>
            <w:shd w:val="clear" w:color="auto" w:fill="DEEAF6" w:themeFill="accent5" w:themeFillTint="33"/>
            <w:vAlign w:val="center"/>
            <w:hideMark/>
          </w:tcPr>
          <w:p w14:paraId="578BE9BE" w14:textId="4E825DE5"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4,7</w:t>
            </w:r>
          </w:p>
        </w:tc>
        <w:tc>
          <w:tcPr>
            <w:tcW w:w="651" w:type="dxa"/>
            <w:tcBorders>
              <w:top w:val="nil"/>
              <w:left w:val="nil"/>
              <w:bottom w:val="nil"/>
              <w:right w:val="nil"/>
            </w:tcBorders>
            <w:shd w:val="clear" w:color="auto" w:fill="DEEAF6" w:themeFill="accent5" w:themeFillTint="33"/>
            <w:vAlign w:val="center"/>
            <w:hideMark/>
          </w:tcPr>
          <w:p w14:paraId="2D92F2C5" w14:textId="7A58F97F"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4,7</w:t>
            </w:r>
          </w:p>
        </w:tc>
        <w:tc>
          <w:tcPr>
            <w:tcW w:w="651" w:type="dxa"/>
            <w:tcBorders>
              <w:top w:val="nil"/>
              <w:left w:val="nil"/>
              <w:bottom w:val="nil"/>
              <w:right w:val="nil"/>
            </w:tcBorders>
            <w:shd w:val="clear" w:color="auto" w:fill="DEEAF6" w:themeFill="accent5" w:themeFillTint="33"/>
            <w:vAlign w:val="center"/>
            <w:hideMark/>
          </w:tcPr>
          <w:p w14:paraId="797833BF" w14:textId="42687F23"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4,6</w:t>
            </w:r>
          </w:p>
        </w:tc>
        <w:tc>
          <w:tcPr>
            <w:tcW w:w="651" w:type="dxa"/>
            <w:tcBorders>
              <w:top w:val="nil"/>
              <w:left w:val="nil"/>
              <w:bottom w:val="nil"/>
              <w:right w:val="nil"/>
            </w:tcBorders>
            <w:shd w:val="clear" w:color="auto" w:fill="DEEAF6" w:themeFill="accent5" w:themeFillTint="33"/>
            <w:vAlign w:val="center"/>
            <w:hideMark/>
          </w:tcPr>
          <w:p w14:paraId="136631D5" w14:textId="3DE24140"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4,6</w:t>
            </w:r>
          </w:p>
        </w:tc>
        <w:tc>
          <w:tcPr>
            <w:tcW w:w="651" w:type="dxa"/>
            <w:tcBorders>
              <w:top w:val="nil"/>
              <w:left w:val="nil"/>
              <w:bottom w:val="nil"/>
              <w:right w:val="nil"/>
            </w:tcBorders>
            <w:shd w:val="clear" w:color="auto" w:fill="DEEAF6" w:themeFill="accent5" w:themeFillTint="33"/>
            <w:vAlign w:val="center"/>
            <w:hideMark/>
          </w:tcPr>
          <w:p w14:paraId="52926D34" w14:textId="2BEDFE6E"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4,6</w:t>
            </w:r>
          </w:p>
        </w:tc>
      </w:tr>
      <w:tr w:rsidR="00406023" w:rsidRPr="009276A2" w14:paraId="43E4DCF6" w14:textId="77777777" w:rsidTr="00406023">
        <w:trPr>
          <w:gridAfter w:val="1"/>
          <w:wAfter w:w="6" w:type="dxa"/>
          <w:trHeight w:val="328"/>
        </w:trPr>
        <w:tc>
          <w:tcPr>
            <w:tcW w:w="361" w:type="dxa"/>
            <w:tcBorders>
              <w:top w:val="nil"/>
              <w:left w:val="nil"/>
              <w:bottom w:val="nil"/>
              <w:right w:val="nil"/>
            </w:tcBorders>
            <w:shd w:val="clear" w:color="auto" w:fill="DEEAF6" w:themeFill="accent5" w:themeFillTint="33"/>
            <w:vAlign w:val="center"/>
            <w:hideMark/>
          </w:tcPr>
          <w:p w14:paraId="44C45CDB" w14:textId="7777777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8</w:t>
            </w:r>
          </w:p>
        </w:tc>
        <w:tc>
          <w:tcPr>
            <w:tcW w:w="2816" w:type="dxa"/>
            <w:gridSpan w:val="4"/>
            <w:tcBorders>
              <w:top w:val="nil"/>
              <w:left w:val="nil"/>
              <w:bottom w:val="nil"/>
              <w:right w:val="nil"/>
            </w:tcBorders>
            <w:shd w:val="clear" w:color="auto" w:fill="DEEAF6" w:themeFill="accent5" w:themeFillTint="33"/>
            <w:vAlign w:val="center"/>
            <w:hideMark/>
          </w:tcPr>
          <w:p w14:paraId="3C2B1287" w14:textId="77777777" w:rsidR="00406023" w:rsidRPr="00A22C01" w:rsidRDefault="00406023" w:rsidP="00406023">
            <w:pPr>
              <w:spacing w:after="0" w:line="240" w:lineRule="auto"/>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Krátkodobá úroková miera (%)</w:t>
            </w:r>
          </w:p>
        </w:tc>
        <w:tc>
          <w:tcPr>
            <w:tcW w:w="651" w:type="dxa"/>
            <w:tcBorders>
              <w:top w:val="nil"/>
              <w:left w:val="nil"/>
              <w:bottom w:val="nil"/>
              <w:right w:val="nil"/>
            </w:tcBorders>
            <w:shd w:val="clear" w:color="auto" w:fill="DEEAF6" w:themeFill="accent5" w:themeFillTint="33"/>
            <w:vAlign w:val="center"/>
            <w:hideMark/>
          </w:tcPr>
          <w:p w14:paraId="5B729E22" w14:textId="6446950E"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3,4</w:t>
            </w:r>
          </w:p>
        </w:tc>
        <w:tc>
          <w:tcPr>
            <w:tcW w:w="651" w:type="dxa"/>
            <w:tcBorders>
              <w:top w:val="nil"/>
              <w:left w:val="nil"/>
              <w:bottom w:val="nil"/>
              <w:right w:val="nil"/>
            </w:tcBorders>
            <w:shd w:val="clear" w:color="auto" w:fill="DEEAF6" w:themeFill="accent5" w:themeFillTint="33"/>
            <w:vAlign w:val="center"/>
            <w:hideMark/>
          </w:tcPr>
          <w:p w14:paraId="57295711" w14:textId="02D124CA"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3,6</w:t>
            </w:r>
          </w:p>
        </w:tc>
        <w:tc>
          <w:tcPr>
            <w:tcW w:w="651" w:type="dxa"/>
            <w:tcBorders>
              <w:top w:val="nil"/>
              <w:left w:val="nil"/>
              <w:bottom w:val="nil"/>
              <w:right w:val="nil"/>
            </w:tcBorders>
            <w:shd w:val="clear" w:color="auto" w:fill="DEEAF6" w:themeFill="accent5" w:themeFillTint="33"/>
            <w:vAlign w:val="center"/>
            <w:hideMark/>
          </w:tcPr>
          <w:p w14:paraId="67FE0369" w14:textId="2C7CFFAC"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2,8</w:t>
            </w:r>
          </w:p>
        </w:tc>
        <w:tc>
          <w:tcPr>
            <w:tcW w:w="651" w:type="dxa"/>
            <w:tcBorders>
              <w:top w:val="nil"/>
              <w:left w:val="nil"/>
              <w:bottom w:val="nil"/>
              <w:right w:val="nil"/>
            </w:tcBorders>
            <w:shd w:val="clear" w:color="auto" w:fill="DEEAF6" w:themeFill="accent5" w:themeFillTint="33"/>
            <w:vAlign w:val="center"/>
            <w:hideMark/>
          </w:tcPr>
          <w:p w14:paraId="16D5C3FD" w14:textId="52693C5B"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2,8</w:t>
            </w:r>
          </w:p>
        </w:tc>
        <w:tc>
          <w:tcPr>
            <w:tcW w:w="651" w:type="dxa"/>
            <w:tcBorders>
              <w:top w:val="nil"/>
              <w:left w:val="nil"/>
              <w:bottom w:val="nil"/>
              <w:right w:val="nil"/>
            </w:tcBorders>
            <w:shd w:val="clear" w:color="auto" w:fill="DEEAF6" w:themeFill="accent5" w:themeFillTint="33"/>
            <w:vAlign w:val="center"/>
            <w:hideMark/>
          </w:tcPr>
          <w:p w14:paraId="21CC8985" w14:textId="2A3D5BDB"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2,8</w:t>
            </w:r>
          </w:p>
        </w:tc>
        <w:tc>
          <w:tcPr>
            <w:tcW w:w="651" w:type="dxa"/>
            <w:tcBorders>
              <w:top w:val="nil"/>
              <w:left w:val="nil"/>
              <w:bottom w:val="nil"/>
              <w:right w:val="nil"/>
            </w:tcBorders>
            <w:shd w:val="clear" w:color="auto" w:fill="DEEAF6" w:themeFill="accent5" w:themeFillTint="33"/>
            <w:vAlign w:val="center"/>
            <w:hideMark/>
          </w:tcPr>
          <w:p w14:paraId="3EC4672B" w14:textId="0EF9B083"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2,8</w:t>
            </w:r>
          </w:p>
        </w:tc>
        <w:tc>
          <w:tcPr>
            <w:tcW w:w="651" w:type="dxa"/>
            <w:tcBorders>
              <w:top w:val="nil"/>
              <w:left w:val="nil"/>
              <w:bottom w:val="nil"/>
              <w:right w:val="nil"/>
            </w:tcBorders>
            <w:shd w:val="clear" w:color="auto" w:fill="DEEAF6" w:themeFill="accent5" w:themeFillTint="33"/>
            <w:vAlign w:val="center"/>
            <w:hideMark/>
          </w:tcPr>
          <w:p w14:paraId="0FB6AAC6" w14:textId="1BF53DCD"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3,3</w:t>
            </w:r>
          </w:p>
        </w:tc>
        <w:tc>
          <w:tcPr>
            <w:tcW w:w="651" w:type="dxa"/>
            <w:tcBorders>
              <w:top w:val="nil"/>
              <w:left w:val="nil"/>
              <w:bottom w:val="nil"/>
              <w:right w:val="nil"/>
            </w:tcBorders>
            <w:shd w:val="clear" w:color="auto" w:fill="DEEAF6" w:themeFill="accent5" w:themeFillTint="33"/>
            <w:vAlign w:val="center"/>
            <w:hideMark/>
          </w:tcPr>
          <w:p w14:paraId="6DC232B6" w14:textId="2A509B65"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3,3</w:t>
            </w:r>
          </w:p>
        </w:tc>
        <w:tc>
          <w:tcPr>
            <w:tcW w:w="651" w:type="dxa"/>
            <w:tcBorders>
              <w:top w:val="nil"/>
              <w:left w:val="nil"/>
              <w:bottom w:val="nil"/>
              <w:right w:val="nil"/>
            </w:tcBorders>
            <w:shd w:val="clear" w:color="auto" w:fill="DEEAF6" w:themeFill="accent5" w:themeFillTint="33"/>
            <w:vAlign w:val="center"/>
            <w:hideMark/>
          </w:tcPr>
          <w:p w14:paraId="4E206694" w14:textId="716634D3"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3,2</w:t>
            </w:r>
          </w:p>
        </w:tc>
        <w:tc>
          <w:tcPr>
            <w:tcW w:w="651" w:type="dxa"/>
            <w:tcBorders>
              <w:top w:val="nil"/>
              <w:left w:val="nil"/>
              <w:bottom w:val="nil"/>
              <w:right w:val="nil"/>
            </w:tcBorders>
            <w:shd w:val="clear" w:color="auto" w:fill="DEEAF6" w:themeFill="accent5" w:themeFillTint="33"/>
            <w:vAlign w:val="center"/>
            <w:hideMark/>
          </w:tcPr>
          <w:p w14:paraId="4C0C1C59" w14:textId="79057943"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3,2</w:t>
            </w:r>
          </w:p>
        </w:tc>
        <w:tc>
          <w:tcPr>
            <w:tcW w:w="651" w:type="dxa"/>
            <w:tcBorders>
              <w:top w:val="nil"/>
              <w:left w:val="nil"/>
              <w:bottom w:val="nil"/>
              <w:right w:val="nil"/>
            </w:tcBorders>
            <w:shd w:val="clear" w:color="auto" w:fill="DEEAF6" w:themeFill="accent5" w:themeFillTint="33"/>
            <w:vAlign w:val="center"/>
            <w:hideMark/>
          </w:tcPr>
          <w:p w14:paraId="07A86158" w14:textId="6209EDDB"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3,2</w:t>
            </w:r>
          </w:p>
        </w:tc>
        <w:tc>
          <w:tcPr>
            <w:tcW w:w="651" w:type="dxa"/>
            <w:tcBorders>
              <w:top w:val="nil"/>
              <w:left w:val="nil"/>
              <w:bottom w:val="nil"/>
              <w:right w:val="nil"/>
            </w:tcBorders>
            <w:shd w:val="clear" w:color="auto" w:fill="DEEAF6" w:themeFill="accent5" w:themeFillTint="33"/>
            <w:vAlign w:val="center"/>
            <w:hideMark/>
          </w:tcPr>
          <w:p w14:paraId="61AB2CBB" w14:textId="31F6E7C4"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3,2</w:t>
            </w:r>
          </w:p>
        </w:tc>
        <w:tc>
          <w:tcPr>
            <w:tcW w:w="651" w:type="dxa"/>
            <w:tcBorders>
              <w:top w:val="nil"/>
              <w:left w:val="nil"/>
              <w:bottom w:val="nil"/>
              <w:right w:val="nil"/>
            </w:tcBorders>
            <w:shd w:val="clear" w:color="auto" w:fill="DEEAF6" w:themeFill="accent5" w:themeFillTint="33"/>
            <w:vAlign w:val="center"/>
            <w:hideMark/>
          </w:tcPr>
          <w:p w14:paraId="7EDFF1DF" w14:textId="682611AF"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3,2</w:t>
            </w:r>
          </w:p>
        </w:tc>
        <w:tc>
          <w:tcPr>
            <w:tcW w:w="651" w:type="dxa"/>
            <w:tcBorders>
              <w:top w:val="nil"/>
              <w:left w:val="nil"/>
              <w:bottom w:val="nil"/>
              <w:right w:val="nil"/>
            </w:tcBorders>
            <w:shd w:val="clear" w:color="auto" w:fill="DEEAF6" w:themeFill="accent5" w:themeFillTint="33"/>
            <w:vAlign w:val="center"/>
            <w:hideMark/>
          </w:tcPr>
          <w:p w14:paraId="704F0673" w14:textId="17814B5B"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3,1</w:t>
            </w:r>
          </w:p>
        </w:tc>
        <w:tc>
          <w:tcPr>
            <w:tcW w:w="651" w:type="dxa"/>
            <w:tcBorders>
              <w:top w:val="nil"/>
              <w:left w:val="nil"/>
              <w:bottom w:val="nil"/>
              <w:right w:val="nil"/>
            </w:tcBorders>
            <w:shd w:val="clear" w:color="auto" w:fill="DEEAF6" w:themeFill="accent5" w:themeFillTint="33"/>
            <w:vAlign w:val="center"/>
            <w:hideMark/>
          </w:tcPr>
          <w:p w14:paraId="22B74F28" w14:textId="5634A14C"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3,1</w:t>
            </w:r>
          </w:p>
        </w:tc>
        <w:tc>
          <w:tcPr>
            <w:tcW w:w="651" w:type="dxa"/>
            <w:tcBorders>
              <w:top w:val="nil"/>
              <w:left w:val="nil"/>
              <w:bottom w:val="nil"/>
              <w:right w:val="nil"/>
            </w:tcBorders>
            <w:shd w:val="clear" w:color="auto" w:fill="DEEAF6" w:themeFill="accent5" w:themeFillTint="33"/>
            <w:vAlign w:val="center"/>
            <w:hideMark/>
          </w:tcPr>
          <w:p w14:paraId="6D64823A" w14:textId="3C1CC623"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3,0</w:t>
            </w:r>
          </w:p>
        </w:tc>
      </w:tr>
      <w:tr w:rsidR="00406023" w:rsidRPr="009276A2" w14:paraId="02749074" w14:textId="77777777" w:rsidTr="00406023">
        <w:trPr>
          <w:gridAfter w:val="1"/>
          <w:wAfter w:w="6" w:type="dxa"/>
          <w:trHeight w:val="328"/>
        </w:trPr>
        <w:tc>
          <w:tcPr>
            <w:tcW w:w="361" w:type="dxa"/>
            <w:tcBorders>
              <w:top w:val="nil"/>
              <w:left w:val="nil"/>
              <w:bottom w:val="nil"/>
              <w:right w:val="nil"/>
            </w:tcBorders>
            <w:shd w:val="clear" w:color="auto" w:fill="DEEAF6" w:themeFill="accent5" w:themeFillTint="33"/>
            <w:vAlign w:val="center"/>
            <w:hideMark/>
          </w:tcPr>
          <w:p w14:paraId="3DFDA6CE" w14:textId="7777777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9</w:t>
            </w:r>
          </w:p>
        </w:tc>
        <w:tc>
          <w:tcPr>
            <w:tcW w:w="2816" w:type="dxa"/>
            <w:gridSpan w:val="4"/>
            <w:tcBorders>
              <w:top w:val="nil"/>
              <w:left w:val="nil"/>
              <w:bottom w:val="nil"/>
              <w:right w:val="nil"/>
            </w:tcBorders>
            <w:shd w:val="clear" w:color="auto" w:fill="DEEAF6" w:themeFill="accent5" w:themeFillTint="33"/>
            <w:vAlign w:val="center"/>
            <w:hideMark/>
          </w:tcPr>
          <w:p w14:paraId="46F4F3B8" w14:textId="77777777" w:rsidR="00406023" w:rsidRPr="00A22C01" w:rsidRDefault="00406023" w:rsidP="00406023">
            <w:pPr>
              <w:spacing w:after="0" w:line="240" w:lineRule="auto"/>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Reálny HDP (miera rastu)</w:t>
            </w:r>
          </w:p>
        </w:tc>
        <w:tc>
          <w:tcPr>
            <w:tcW w:w="651" w:type="dxa"/>
            <w:tcBorders>
              <w:top w:val="nil"/>
              <w:left w:val="nil"/>
              <w:bottom w:val="nil"/>
              <w:right w:val="nil"/>
            </w:tcBorders>
            <w:shd w:val="clear" w:color="auto" w:fill="DEEAF6" w:themeFill="accent5" w:themeFillTint="33"/>
            <w:vAlign w:val="center"/>
            <w:hideMark/>
          </w:tcPr>
          <w:p w14:paraId="3E36AD3D" w14:textId="36EA0B46"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1,6</w:t>
            </w:r>
          </w:p>
        </w:tc>
        <w:tc>
          <w:tcPr>
            <w:tcW w:w="651" w:type="dxa"/>
            <w:tcBorders>
              <w:top w:val="nil"/>
              <w:left w:val="nil"/>
              <w:bottom w:val="nil"/>
              <w:right w:val="nil"/>
            </w:tcBorders>
            <w:shd w:val="clear" w:color="auto" w:fill="DEEAF6" w:themeFill="accent5" w:themeFillTint="33"/>
            <w:vAlign w:val="center"/>
            <w:hideMark/>
          </w:tcPr>
          <w:p w14:paraId="52A0DD5E" w14:textId="4BBF5F1C"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2,2</w:t>
            </w:r>
          </w:p>
        </w:tc>
        <w:tc>
          <w:tcPr>
            <w:tcW w:w="651" w:type="dxa"/>
            <w:tcBorders>
              <w:top w:val="nil"/>
              <w:left w:val="nil"/>
              <w:bottom w:val="nil"/>
              <w:right w:val="nil"/>
            </w:tcBorders>
            <w:shd w:val="clear" w:color="auto" w:fill="DEEAF6" w:themeFill="accent5" w:themeFillTint="33"/>
            <w:vAlign w:val="center"/>
            <w:hideMark/>
          </w:tcPr>
          <w:p w14:paraId="005941AF" w14:textId="07B0977B"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2,6</w:t>
            </w:r>
          </w:p>
        </w:tc>
        <w:tc>
          <w:tcPr>
            <w:tcW w:w="651" w:type="dxa"/>
            <w:tcBorders>
              <w:top w:val="nil"/>
              <w:left w:val="nil"/>
              <w:bottom w:val="nil"/>
              <w:right w:val="nil"/>
            </w:tcBorders>
            <w:shd w:val="clear" w:color="auto" w:fill="DEEAF6" w:themeFill="accent5" w:themeFillTint="33"/>
            <w:vAlign w:val="center"/>
            <w:hideMark/>
          </w:tcPr>
          <w:p w14:paraId="7B398494" w14:textId="1CB00926"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0,5</w:t>
            </w:r>
          </w:p>
        </w:tc>
        <w:tc>
          <w:tcPr>
            <w:tcW w:w="651" w:type="dxa"/>
            <w:tcBorders>
              <w:top w:val="nil"/>
              <w:left w:val="nil"/>
              <w:bottom w:val="nil"/>
              <w:right w:val="nil"/>
            </w:tcBorders>
            <w:shd w:val="clear" w:color="auto" w:fill="DEEAF6" w:themeFill="accent5" w:themeFillTint="33"/>
            <w:vAlign w:val="center"/>
            <w:hideMark/>
          </w:tcPr>
          <w:p w14:paraId="68A00FD6" w14:textId="285BCAE0"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1,0</w:t>
            </w:r>
          </w:p>
        </w:tc>
        <w:tc>
          <w:tcPr>
            <w:tcW w:w="651" w:type="dxa"/>
            <w:tcBorders>
              <w:top w:val="nil"/>
              <w:left w:val="nil"/>
              <w:bottom w:val="nil"/>
              <w:right w:val="nil"/>
            </w:tcBorders>
            <w:shd w:val="clear" w:color="auto" w:fill="DEEAF6" w:themeFill="accent5" w:themeFillTint="33"/>
            <w:vAlign w:val="center"/>
            <w:hideMark/>
          </w:tcPr>
          <w:p w14:paraId="5F8C6686" w14:textId="6482C592"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w:t>
            </w:r>
          </w:p>
        </w:tc>
        <w:tc>
          <w:tcPr>
            <w:tcW w:w="651" w:type="dxa"/>
            <w:tcBorders>
              <w:top w:val="nil"/>
              <w:left w:val="nil"/>
              <w:bottom w:val="nil"/>
              <w:right w:val="nil"/>
            </w:tcBorders>
            <w:shd w:val="clear" w:color="auto" w:fill="DEEAF6" w:themeFill="accent5" w:themeFillTint="33"/>
            <w:vAlign w:val="center"/>
            <w:hideMark/>
          </w:tcPr>
          <w:p w14:paraId="2845FE18" w14:textId="07E255D9"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1,8</w:t>
            </w:r>
          </w:p>
        </w:tc>
        <w:tc>
          <w:tcPr>
            <w:tcW w:w="651" w:type="dxa"/>
            <w:tcBorders>
              <w:top w:val="nil"/>
              <w:left w:val="nil"/>
              <w:bottom w:val="nil"/>
              <w:right w:val="nil"/>
            </w:tcBorders>
            <w:shd w:val="clear" w:color="auto" w:fill="DEEAF6" w:themeFill="accent5" w:themeFillTint="33"/>
            <w:vAlign w:val="center"/>
            <w:hideMark/>
          </w:tcPr>
          <w:p w14:paraId="2031A946" w14:textId="1104173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1,8</w:t>
            </w:r>
          </w:p>
        </w:tc>
        <w:tc>
          <w:tcPr>
            <w:tcW w:w="651" w:type="dxa"/>
            <w:tcBorders>
              <w:top w:val="nil"/>
              <w:left w:val="nil"/>
              <w:bottom w:val="nil"/>
              <w:right w:val="nil"/>
            </w:tcBorders>
            <w:shd w:val="clear" w:color="auto" w:fill="DEEAF6" w:themeFill="accent5" w:themeFillTint="33"/>
            <w:vAlign w:val="center"/>
            <w:hideMark/>
          </w:tcPr>
          <w:p w14:paraId="2C37B201" w14:textId="64FB40FE"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1,8</w:t>
            </w:r>
          </w:p>
        </w:tc>
        <w:tc>
          <w:tcPr>
            <w:tcW w:w="651" w:type="dxa"/>
            <w:tcBorders>
              <w:top w:val="nil"/>
              <w:left w:val="nil"/>
              <w:bottom w:val="nil"/>
              <w:right w:val="nil"/>
            </w:tcBorders>
            <w:shd w:val="clear" w:color="auto" w:fill="DEEAF6" w:themeFill="accent5" w:themeFillTint="33"/>
            <w:vAlign w:val="center"/>
            <w:hideMark/>
          </w:tcPr>
          <w:p w14:paraId="6FB4A674" w14:textId="15F929F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w:t>
            </w:r>
          </w:p>
        </w:tc>
        <w:tc>
          <w:tcPr>
            <w:tcW w:w="651" w:type="dxa"/>
            <w:tcBorders>
              <w:top w:val="nil"/>
              <w:left w:val="nil"/>
              <w:bottom w:val="nil"/>
              <w:right w:val="nil"/>
            </w:tcBorders>
            <w:shd w:val="clear" w:color="auto" w:fill="DEEAF6" w:themeFill="accent5" w:themeFillTint="33"/>
            <w:vAlign w:val="center"/>
            <w:hideMark/>
          </w:tcPr>
          <w:p w14:paraId="0062A508" w14:textId="12CBAC78"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w:t>
            </w:r>
          </w:p>
        </w:tc>
        <w:tc>
          <w:tcPr>
            <w:tcW w:w="651" w:type="dxa"/>
            <w:tcBorders>
              <w:top w:val="nil"/>
              <w:left w:val="nil"/>
              <w:bottom w:val="nil"/>
              <w:right w:val="nil"/>
            </w:tcBorders>
            <w:shd w:val="clear" w:color="auto" w:fill="DEEAF6" w:themeFill="accent5" w:themeFillTint="33"/>
            <w:vAlign w:val="center"/>
            <w:hideMark/>
          </w:tcPr>
          <w:p w14:paraId="6361E52B" w14:textId="2AA432DD"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w:t>
            </w:r>
          </w:p>
        </w:tc>
        <w:tc>
          <w:tcPr>
            <w:tcW w:w="651" w:type="dxa"/>
            <w:tcBorders>
              <w:top w:val="nil"/>
              <w:left w:val="nil"/>
              <w:bottom w:val="nil"/>
              <w:right w:val="nil"/>
            </w:tcBorders>
            <w:shd w:val="clear" w:color="auto" w:fill="DEEAF6" w:themeFill="accent5" w:themeFillTint="33"/>
            <w:vAlign w:val="center"/>
            <w:hideMark/>
          </w:tcPr>
          <w:p w14:paraId="3DA1847B" w14:textId="784015C2"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w:t>
            </w:r>
          </w:p>
        </w:tc>
        <w:tc>
          <w:tcPr>
            <w:tcW w:w="651" w:type="dxa"/>
            <w:tcBorders>
              <w:top w:val="nil"/>
              <w:left w:val="nil"/>
              <w:bottom w:val="nil"/>
              <w:right w:val="nil"/>
            </w:tcBorders>
            <w:shd w:val="clear" w:color="auto" w:fill="DEEAF6" w:themeFill="accent5" w:themeFillTint="33"/>
            <w:vAlign w:val="center"/>
            <w:hideMark/>
          </w:tcPr>
          <w:p w14:paraId="78642D16" w14:textId="4D8FACA3"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1,2</w:t>
            </w:r>
          </w:p>
        </w:tc>
        <w:tc>
          <w:tcPr>
            <w:tcW w:w="651" w:type="dxa"/>
            <w:tcBorders>
              <w:top w:val="nil"/>
              <w:left w:val="nil"/>
              <w:bottom w:val="nil"/>
              <w:right w:val="nil"/>
            </w:tcBorders>
            <w:shd w:val="clear" w:color="auto" w:fill="DEEAF6" w:themeFill="accent5" w:themeFillTint="33"/>
            <w:vAlign w:val="center"/>
            <w:hideMark/>
          </w:tcPr>
          <w:p w14:paraId="36228CFE" w14:textId="1BDEB81E"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1,2</w:t>
            </w:r>
          </w:p>
        </w:tc>
        <w:tc>
          <w:tcPr>
            <w:tcW w:w="651" w:type="dxa"/>
            <w:tcBorders>
              <w:top w:val="nil"/>
              <w:left w:val="nil"/>
              <w:bottom w:val="nil"/>
              <w:right w:val="nil"/>
            </w:tcBorders>
            <w:shd w:val="clear" w:color="auto" w:fill="DEEAF6" w:themeFill="accent5" w:themeFillTint="33"/>
            <w:vAlign w:val="center"/>
            <w:hideMark/>
          </w:tcPr>
          <w:p w14:paraId="6687CA9B" w14:textId="4A4A14A4"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w:t>
            </w:r>
          </w:p>
        </w:tc>
      </w:tr>
      <w:tr w:rsidR="00406023" w:rsidRPr="009276A2" w14:paraId="432592FB" w14:textId="77777777" w:rsidTr="00406023">
        <w:trPr>
          <w:gridAfter w:val="1"/>
          <w:wAfter w:w="6" w:type="dxa"/>
          <w:trHeight w:val="328"/>
        </w:trPr>
        <w:tc>
          <w:tcPr>
            <w:tcW w:w="361" w:type="dxa"/>
            <w:tcBorders>
              <w:top w:val="nil"/>
              <w:left w:val="nil"/>
              <w:bottom w:val="nil"/>
              <w:right w:val="nil"/>
            </w:tcBorders>
            <w:shd w:val="clear" w:color="auto" w:fill="DEEAF6" w:themeFill="accent5" w:themeFillTint="33"/>
            <w:vAlign w:val="center"/>
            <w:hideMark/>
          </w:tcPr>
          <w:p w14:paraId="4CD65415" w14:textId="77777777"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10</w:t>
            </w:r>
          </w:p>
        </w:tc>
        <w:tc>
          <w:tcPr>
            <w:tcW w:w="2816" w:type="dxa"/>
            <w:gridSpan w:val="4"/>
            <w:tcBorders>
              <w:top w:val="nil"/>
              <w:left w:val="nil"/>
              <w:bottom w:val="nil"/>
              <w:right w:val="nil"/>
            </w:tcBorders>
            <w:shd w:val="clear" w:color="auto" w:fill="DEEAF6" w:themeFill="accent5" w:themeFillTint="33"/>
            <w:vAlign w:val="center"/>
            <w:hideMark/>
          </w:tcPr>
          <w:p w14:paraId="55648E55" w14:textId="77777777" w:rsidR="00406023" w:rsidRPr="00A22C01" w:rsidRDefault="00406023" w:rsidP="00406023">
            <w:pPr>
              <w:spacing w:after="0" w:line="240" w:lineRule="auto"/>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Potenciálny HDP (miera rastu)</w:t>
            </w:r>
          </w:p>
        </w:tc>
        <w:tc>
          <w:tcPr>
            <w:tcW w:w="651" w:type="dxa"/>
            <w:tcBorders>
              <w:top w:val="nil"/>
              <w:left w:val="nil"/>
              <w:bottom w:val="nil"/>
              <w:right w:val="nil"/>
            </w:tcBorders>
            <w:shd w:val="clear" w:color="auto" w:fill="DEEAF6" w:themeFill="accent5" w:themeFillTint="33"/>
            <w:vAlign w:val="center"/>
            <w:hideMark/>
          </w:tcPr>
          <w:p w14:paraId="0DB54885" w14:textId="1706A4D5"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2,8</w:t>
            </w:r>
          </w:p>
        </w:tc>
        <w:tc>
          <w:tcPr>
            <w:tcW w:w="651" w:type="dxa"/>
            <w:tcBorders>
              <w:top w:val="nil"/>
              <w:left w:val="nil"/>
              <w:bottom w:val="nil"/>
              <w:right w:val="nil"/>
            </w:tcBorders>
            <w:shd w:val="clear" w:color="auto" w:fill="DEEAF6" w:themeFill="accent5" w:themeFillTint="33"/>
            <w:vAlign w:val="center"/>
            <w:hideMark/>
          </w:tcPr>
          <w:p w14:paraId="7EABD088" w14:textId="74EE3D44"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2,3</w:t>
            </w:r>
          </w:p>
        </w:tc>
        <w:tc>
          <w:tcPr>
            <w:tcW w:w="651" w:type="dxa"/>
            <w:tcBorders>
              <w:top w:val="nil"/>
              <w:left w:val="nil"/>
              <w:bottom w:val="nil"/>
              <w:right w:val="nil"/>
            </w:tcBorders>
            <w:shd w:val="clear" w:color="auto" w:fill="DEEAF6" w:themeFill="accent5" w:themeFillTint="33"/>
            <w:vAlign w:val="center"/>
            <w:hideMark/>
          </w:tcPr>
          <w:p w14:paraId="206BF6C8" w14:textId="72B15B40"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2,4</w:t>
            </w:r>
          </w:p>
        </w:tc>
        <w:tc>
          <w:tcPr>
            <w:tcW w:w="651" w:type="dxa"/>
            <w:tcBorders>
              <w:top w:val="nil"/>
              <w:left w:val="nil"/>
              <w:bottom w:val="nil"/>
              <w:right w:val="nil"/>
            </w:tcBorders>
            <w:shd w:val="clear" w:color="auto" w:fill="DEEAF6" w:themeFill="accent5" w:themeFillTint="33"/>
            <w:vAlign w:val="center"/>
            <w:hideMark/>
          </w:tcPr>
          <w:p w14:paraId="68E7166B" w14:textId="1906A8B4"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1,7</w:t>
            </w:r>
          </w:p>
        </w:tc>
        <w:tc>
          <w:tcPr>
            <w:tcW w:w="651" w:type="dxa"/>
            <w:tcBorders>
              <w:top w:val="nil"/>
              <w:left w:val="nil"/>
              <w:bottom w:val="nil"/>
              <w:right w:val="nil"/>
            </w:tcBorders>
            <w:shd w:val="clear" w:color="auto" w:fill="DEEAF6" w:themeFill="accent5" w:themeFillTint="33"/>
            <w:vAlign w:val="center"/>
            <w:hideMark/>
          </w:tcPr>
          <w:p w14:paraId="0453F6D1" w14:textId="2F82BE02"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1,4</w:t>
            </w:r>
          </w:p>
        </w:tc>
        <w:tc>
          <w:tcPr>
            <w:tcW w:w="651" w:type="dxa"/>
            <w:tcBorders>
              <w:top w:val="nil"/>
              <w:left w:val="nil"/>
              <w:bottom w:val="nil"/>
              <w:right w:val="nil"/>
            </w:tcBorders>
            <w:shd w:val="clear" w:color="auto" w:fill="DEEAF6" w:themeFill="accent5" w:themeFillTint="33"/>
            <w:vAlign w:val="center"/>
            <w:hideMark/>
          </w:tcPr>
          <w:p w14:paraId="243071A4" w14:textId="45C02A8B"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1,4</w:t>
            </w:r>
          </w:p>
        </w:tc>
        <w:tc>
          <w:tcPr>
            <w:tcW w:w="651" w:type="dxa"/>
            <w:tcBorders>
              <w:top w:val="nil"/>
              <w:left w:val="nil"/>
              <w:bottom w:val="nil"/>
              <w:right w:val="nil"/>
            </w:tcBorders>
            <w:shd w:val="clear" w:color="auto" w:fill="DEEAF6" w:themeFill="accent5" w:themeFillTint="33"/>
            <w:vAlign w:val="center"/>
            <w:hideMark/>
          </w:tcPr>
          <w:p w14:paraId="71845F84" w14:textId="782CEBD6"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1,0</w:t>
            </w:r>
          </w:p>
        </w:tc>
        <w:tc>
          <w:tcPr>
            <w:tcW w:w="651" w:type="dxa"/>
            <w:tcBorders>
              <w:top w:val="nil"/>
              <w:left w:val="nil"/>
              <w:bottom w:val="nil"/>
              <w:right w:val="nil"/>
            </w:tcBorders>
            <w:shd w:val="clear" w:color="auto" w:fill="DEEAF6" w:themeFill="accent5" w:themeFillTint="33"/>
            <w:vAlign w:val="center"/>
            <w:hideMark/>
          </w:tcPr>
          <w:p w14:paraId="7E513AF8" w14:textId="6E606CAC"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1,0</w:t>
            </w:r>
          </w:p>
        </w:tc>
        <w:tc>
          <w:tcPr>
            <w:tcW w:w="651" w:type="dxa"/>
            <w:tcBorders>
              <w:top w:val="nil"/>
              <w:left w:val="nil"/>
              <w:bottom w:val="nil"/>
              <w:right w:val="nil"/>
            </w:tcBorders>
            <w:shd w:val="clear" w:color="auto" w:fill="DEEAF6" w:themeFill="accent5" w:themeFillTint="33"/>
            <w:vAlign w:val="center"/>
            <w:hideMark/>
          </w:tcPr>
          <w:p w14:paraId="0D502B37" w14:textId="0435ED1C"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1,0</w:t>
            </w:r>
          </w:p>
        </w:tc>
        <w:tc>
          <w:tcPr>
            <w:tcW w:w="651" w:type="dxa"/>
            <w:tcBorders>
              <w:top w:val="nil"/>
              <w:left w:val="nil"/>
              <w:bottom w:val="nil"/>
              <w:right w:val="nil"/>
            </w:tcBorders>
            <w:shd w:val="clear" w:color="auto" w:fill="DEEAF6" w:themeFill="accent5" w:themeFillTint="33"/>
            <w:vAlign w:val="center"/>
            <w:hideMark/>
          </w:tcPr>
          <w:p w14:paraId="57969ED7" w14:textId="23D610EF"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w:t>
            </w:r>
          </w:p>
        </w:tc>
        <w:tc>
          <w:tcPr>
            <w:tcW w:w="651" w:type="dxa"/>
            <w:tcBorders>
              <w:top w:val="nil"/>
              <w:left w:val="nil"/>
              <w:bottom w:val="nil"/>
              <w:right w:val="nil"/>
            </w:tcBorders>
            <w:shd w:val="clear" w:color="auto" w:fill="DEEAF6" w:themeFill="accent5" w:themeFillTint="33"/>
            <w:vAlign w:val="center"/>
            <w:hideMark/>
          </w:tcPr>
          <w:p w14:paraId="48589158" w14:textId="6654586B"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w:t>
            </w:r>
          </w:p>
        </w:tc>
        <w:tc>
          <w:tcPr>
            <w:tcW w:w="651" w:type="dxa"/>
            <w:tcBorders>
              <w:top w:val="nil"/>
              <w:left w:val="nil"/>
              <w:bottom w:val="nil"/>
              <w:right w:val="nil"/>
            </w:tcBorders>
            <w:shd w:val="clear" w:color="auto" w:fill="DEEAF6" w:themeFill="accent5" w:themeFillTint="33"/>
            <w:vAlign w:val="center"/>
            <w:hideMark/>
          </w:tcPr>
          <w:p w14:paraId="08CCC4C0" w14:textId="4CD0F888"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w:t>
            </w:r>
          </w:p>
        </w:tc>
        <w:tc>
          <w:tcPr>
            <w:tcW w:w="651" w:type="dxa"/>
            <w:tcBorders>
              <w:top w:val="nil"/>
              <w:left w:val="nil"/>
              <w:bottom w:val="nil"/>
              <w:right w:val="nil"/>
            </w:tcBorders>
            <w:shd w:val="clear" w:color="auto" w:fill="DEEAF6" w:themeFill="accent5" w:themeFillTint="33"/>
            <w:vAlign w:val="center"/>
            <w:hideMark/>
          </w:tcPr>
          <w:p w14:paraId="32A49CD1" w14:textId="07DB5652"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w:t>
            </w:r>
          </w:p>
        </w:tc>
        <w:tc>
          <w:tcPr>
            <w:tcW w:w="651" w:type="dxa"/>
            <w:tcBorders>
              <w:top w:val="nil"/>
              <w:left w:val="nil"/>
              <w:bottom w:val="nil"/>
              <w:right w:val="nil"/>
            </w:tcBorders>
            <w:shd w:val="clear" w:color="auto" w:fill="DEEAF6" w:themeFill="accent5" w:themeFillTint="33"/>
            <w:vAlign w:val="center"/>
            <w:hideMark/>
          </w:tcPr>
          <w:p w14:paraId="7020D810" w14:textId="048B4443"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1,2</w:t>
            </w:r>
          </w:p>
        </w:tc>
        <w:tc>
          <w:tcPr>
            <w:tcW w:w="651" w:type="dxa"/>
            <w:tcBorders>
              <w:top w:val="nil"/>
              <w:left w:val="nil"/>
              <w:bottom w:val="nil"/>
              <w:right w:val="nil"/>
            </w:tcBorders>
            <w:shd w:val="clear" w:color="auto" w:fill="DEEAF6" w:themeFill="accent5" w:themeFillTint="33"/>
            <w:vAlign w:val="center"/>
            <w:hideMark/>
          </w:tcPr>
          <w:p w14:paraId="370DCB5C" w14:textId="6DC661DA"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1,2</w:t>
            </w:r>
          </w:p>
        </w:tc>
        <w:tc>
          <w:tcPr>
            <w:tcW w:w="651" w:type="dxa"/>
            <w:tcBorders>
              <w:top w:val="nil"/>
              <w:left w:val="nil"/>
              <w:bottom w:val="nil"/>
              <w:right w:val="nil"/>
            </w:tcBorders>
            <w:shd w:val="clear" w:color="auto" w:fill="DEEAF6" w:themeFill="accent5" w:themeFillTint="33"/>
            <w:vAlign w:val="center"/>
            <w:hideMark/>
          </w:tcPr>
          <w:p w14:paraId="273F517B" w14:textId="6EA4EC24" w:rsidR="00406023" w:rsidRPr="00A22C01" w:rsidRDefault="00406023" w:rsidP="00406023">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hAnsi="Arial Narrow" w:cs="Calibri"/>
                <w:color w:val="000000" w:themeColor="text1"/>
                <w:sz w:val="16"/>
                <w:szCs w:val="16"/>
              </w:rPr>
              <w:t>1,1</w:t>
            </w:r>
          </w:p>
        </w:tc>
      </w:tr>
      <w:tr w:rsidR="00C1228B" w:rsidRPr="009276A2" w14:paraId="7597251A" w14:textId="77777777" w:rsidTr="00406023">
        <w:trPr>
          <w:gridAfter w:val="1"/>
          <w:wAfter w:w="6" w:type="dxa"/>
          <w:trHeight w:val="328"/>
        </w:trPr>
        <w:tc>
          <w:tcPr>
            <w:tcW w:w="3177" w:type="dxa"/>
            <w:gridSpan w:val="5"/>
            <w:tcBorders>
              <w:top w:val="nil"/>
              <w:left w:val="nil"/>
              <w:bottom w:val="nil"/>
              <w:right w:val="nil"/>
            </w:tcBorders>
            <w:shd w:val="clear" w:color="auto" w:fill="auto"/>
            <w:vAlign w:val="center"/>
            <w:hideMark/>
          </w:tcPr>
          <w:p w14:paraId="138482F9" w14:textId="77777777" w:rsidR="00C1228B" w:rsidRPr="00A22C01" w:rsidRDefault="00C1228B" w:rsidP="00616580">
            <w:pPr>
              <w:spacing w:after="0" w:line="240" w:lineRule="auto"/>
              <w:rPr>
                <w:rFonts w:ascii="Arial Narrow" w:eastAsia="Times New Roman" w:hAnsi="Arial Narrow" w:cs="Calibri"/>
                <w:i/>
                <w:iCs/>
                <w:color w:val="000000" w:themeColor="text1"/>
                <w:sz w:val="16"/>
                <w:szCs w:val="16"/>
                <w:lang w:eastAsia="sk-SK"/>
              </w:rPr>
            </w:pPr>
            <w:r w:rsidRPr="00A22C01">
              <w:rPr>
                <w:rFonts w:ascii="Arial Narrow" w:eastAsia="Times New Roman" w:hAnsi="Arial Narrow" w:cs="Calibri"/>
                <w:i/>
                <w:iCs/>
                <w:color w:val="000000" w:themeColor="text1"/>
                <w:sz w:val="16"/>
                <w:szCs w:val="16"/>
                <w:lang w:eastAsia="sk-SK"/>
              </w:rPr>
              <w:t>Stochastická simulácia</w:t>
            </w:r>
          </w:p>
        </w:tc>
        <w:tc>
          <w:tcPr>
            <w:tcW w:w="651" w:type="dxa"/>
            <w:tcBorders>
              <w:top w:val="nil"/>
              <w:left w:val="nil"/>
              <w:bottom w:val="nil"/>
              <w:right w:val="nil"/>
            </w:tcBorders>
            <w:shd w:val="clear" w:color="auto" w:fill="auto"/>
            <w:vAlign w:val="center"/>
            <w:hideMark/>
          </w:tcPr>
          <w:p w14:paraId="5DA1517D" w14:textId="77777777" w:rsidR="00C1228B" w:rsidRPr="00A22C01" w:rsidRDefault="00C1228B" w:rsidP="00616580">
            <w:pPr>
              <w:spacing w:after="0" w:line="240" w:lineRule="auto"/>
              <w:rPr>
                <w:rFonts w:ascii="Arial Narrow" w:eastAsia="Times New Roman" w:hAnsi="Arial Narrow" w:cs="Calibri"/>
                <w:i/>
                <w:iCs/>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10C009BF"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324295FE"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3F80EE31"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503E9B20"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0CD205DA"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70372CE5"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0FC24FF2"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2C81A90B"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053ED255"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5617B75B"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66E20BE7"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08EF81B3"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674F6F44"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6D6C693A"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c>
          <w:tcPr>
            <w:tcW w:w="651" w:type="dxa"/>
            <w:tcBorders>
              <w:top w:val="nil"/>
              <w:left w:val="nil"/>
              <w:bottom w:val="nil"/>
              <w:right w:val="nil"/>
            </w:tcBorders>
            <w:shd w:val="clear" w:color="auto" w:fill="auto"/>
            <w:vAlign w:val="center"/>
            <w:hideMark/>
          </w:tcPr>
          <w:p w14:paraId="730DDAFE" w14:textId="77777777" w:rsidR="00C1228B" w:rsidRPr="00A22C01" w:rsidRDefault="00C1228B" w:rsidP="00616580">
            <w:pPr>
              <w:spacing w:after="0" w:line="240" w:lineRule="auto"/>
              <w:jc w:val="center"/>
              <w:rPr>
                <w:rFonts w:ascii="Times New Roman" w:eastAsia="Times New Roman" w:hAnsi="Times New Roman" w:cs="Times New Roman"/>
                <w:color w:val="000000" w:themeColor="text1"/>
                <w:sz w:val="16"/>
                <w:szCs w:val="16"/>
                <w:lang w:eastAsia="sk-SK"/>
              </w:rPr>
            </w:pPr>
          </w:p>
        </w:tc>
      </w:tr>
      <w:tr w:rsidR="00C1228B" w:rsidRPr="009276A2" w14:paraId="025A5651" w14:textId="77777777" w:rsidTr="00406023">
        <w:trPr>
          <w:gridAfter w:val="1"/>
          <w:wAfter w:w="6" w:type="dxa"/>
          <w:trHeight w:val="328"/>
        </w:trPr>
        <w:tc>
          <w:tcPr>
            <w:tcW w:w="361" w:type="dxa"/>
            <w:tcBorders>
              <w:top w:val="nil"/>
              <w:left w:val="nil"/>
              <w:bottom w:val="nil"/>
              <w:right w:val="nil"/>
            </w:tcBorders>
            <w:shd w:val="clear" w:color="auto" w:fill="DEEAF6" w:themeFill="accent5" w:themeFillTint="33"/>
            <w:vAlign w:val="center"/>
            <w:hideMark/>
          </w:tcPr>
          <w:p w14:paraId="427746C3"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11</w:t>
            </w:r>
          </w:p>
        </w:tc>
        <w:tc>
          <w:tcPr>
            <w:tcW w:w="2816" w:type="dxa"/>
            <w:gridSpan w:val="4"/>
            <w:tcBorders>
              <w:top w:val="nil"/>
              <w:left w:val="nil"/>
              <w:bottom w:val="nil"/>
              <w:right w:val="nil"/>
            </w:tcBorders>
            <w:shd w:val="clear" w:color="auto" w:fill="DEEAF6" w:themeFill="accent5" w:themeFillTint="33"/>
            <w:vAlign w:val="center"/>
            <w:hideMark/>
          </w:tcPr>
          <w:p w14:paraId="74E28B77" w14:textId="77777777" w:rsidR="00C1228B" w:rsidRPr="00A22C01" w:rsidRDefault="00C1228B" w:rsidP="00616580">
            <w:pPr>
              <w:spacing w:after="0" w:line="240" w:lineRule="auto"/>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Pravdepodobnosť dlhu pod jeho úrovňou v čase 2028/2031</w:t>
            </w:r>
          </w:p>
        </w:tc>
        <w:tc>
          <w:tcPr>
            <w:tcW w:w="651" w:type="dxa"/>
            <w:tcBorders>
              <w:top w:val="nil"/>
              <w:left w:val="nil"/>
              <w:bottom w:val="nil"/>
              <w:right w:val="nil"/>
            </w:tcBorders>
            <w:shd w:val="clear" w:color="auto" w:fill="DEEAF6" w:themeFill="accent5" w:themeFillTint="33"/>
            <w:vAlign w:val="center"/>
            <w:hideMark/>
          </w:tcPr>
          <w:p w14:paraId="320D5243"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70,4</w:t>
            </w:r>
          </w:p>
        </w:tc>
        <w:tc>
          <w:tcPr>
            <w:tcW w:w="651" w:type="dxa"/>
            <w:tcBorders>
              <w:top w:val="nil"/>
              <w:left w:val="nil"/>
              <w:bottom w:val="nil"/>
              <w:right w:val="nil"/>
            </w:tcBorders>
            <w:shd w:val="clear" w:color="auto" w:fill="auto"/>
            <w:vAlign w:val="center"/>
            <w:hideMark/>
          </w:tcPr>
          <w:p w14:paraId="44199BE5"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w:t>
            </w:r>
          </w:p>
        </w:tc>
        <w:tc>
          <w:tcPr>
            <w:tcW w:w="651" w:type="dxa"/>
            <w:tcBorders>
              <w:top w:val="nil"/>
              <w:left w:val="nil"/>
              <w:bottom w:val="nil"/>
              <w:right w:val="nil"/>
            </w:tcBorders>
            <w:shd w:val="clear" w:color="auto" w:fill="auto"/>
            <w:vAlign w:val="center"/>
            <w:hideMark/>
          </w:tcPr>
          <w:p w14:paraId="257E8BF1"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w:t>
            </w:r>
          </w:p>
        </w:tc>
        <w:tc>
          <w:tcPr>
            <w:tcW w:w="651" w:type="dxa"/>
            <w:tcBorders>
              <w:top w:val="nil"/>
              <w:left w:val="nil"/>
              <w:bottom w:val="nil"/>
              <w:right w:val="nil"/>
            </w:tcBorders>
            <w:shd w:val="clear" w:color="auto" w:fill="auto"/>
            <w:vAlign w:val="center"/>
            <w:hideMark/>
          </w:tcPr>
          <w:p w14:paraId="02CB57AC"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w:t>
            </w:r>
          </w:p>
        </w:tc>
        <w:tc>
          <w:tcPr>
            <w:tcW w:w="651" w:type="dxa"/>
            <w:tcBorders>
              <w:top w:val="nil"/>
              <w:left w:val="nil"/>
              <w:bottom w:val="nil"/>
              <w:right w:val="nil"/>
            </w:tcBorders>
            <w:shd w:val="clear" w:color="auto" w:fill="auto"/>
            <w:vAlign w:val="center"/>
            <w:hideMark/>
          </w:tcPr>
          <w:p w14:paraId="4DEF2106"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w:t>
            </w:r>
          </w:p>
        </w:tc>
        <w:tc>
          <w:tcPr>
            <w:tcW w:w="651" w:type="dxa"/>
            <w:tcBorders>
              <w:top w:val="nil"/>
              <w:left w:val="nil"/>
              <w:bottom w:val="nil"/>
              <w:right w:val="nil"/>
            </w:tcBorders>
            <w:shd w:val="clear" w:color="auto" w:fill="auto"/>
            <w:vAlign w:val="center"/>
            <w:hideMark/>
          </w:tcPr>
          <w:p w14:paraId="69D2BE38" w14:textId="77777777" w:rsidR="00C1228B" w:rsidRPr="00A22C01" w:rsidRDefault="00C1228B" w:rsidP="00616580">
            <w:pPr>
              <w:spacing w:after="0" w:line="240" w:lineRule="auto"/>
              <w:jc w:val="center"/>
              <w:rPr>
                <w:rFonts w:ascii="Arial Narrow" w:eastAsia="Times New Roman" w:hAnsi="Arial Narrow" w:cs="Calibri"/>
                <w:color w:val="000000" w:themeColor="text1"/>
                <w:sz w:val="16"/>
                <w:szCs w:val="16"/>
                <w:lang w:eastAsia="sk-SK"/>
              </w:rPr>
            </w:pPr>
            <w:r w:rsidRPr="00A22C01">
              <w:rPr>
                <w:rFonts w:ascii="Arial Narrow" w:eastAsia="Times New Roman" w:hAnsi="Arial Narrow" w:cs="Calibri"/>
                <w:color w:val="000000" w:themeColor="text1"/>
                <w:sz w:val="16"/>
                <w:szCs w:val="16"/>
                <w:lang w:eastAsia="sk-SK"/>
              </w:rPr>
              <w:t> </w:t>
            </w:r>
          </w:p>
        </w:tc>
        <w:tc>
          <w:tcPr>
            <w:tcW w:w="651" w:type="dxa"/>
            <w:tcBorders>
              <w:top w:val="nil"/>
              <w:left w:val="nil"/>
              <w:bottom w:val="nil"/>
              <w:right w:val="nil"/>
            </w:tcBorders>
            <w:shd w:val="clear" w:color="auto" w:fill="auto"/>
            <w:vAlign w:val="center"/>
            <w:hideMark/>
          </w:tcPr>
          <w:p w14:paraId="54D84F6C" w14:textId="77777777" w:rsidR="00C1228B" w:rsidRPr="00A22C01" w:rsidRDefault="00C1228B" w:rsidP="00616580">
            <w:pPr>
              <w:spacing w:after="0" w:line="240" w:lineRule="auto"/>
              <w:jc w:val="center"/>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 </w:t>
            </w:r>
          </w:p>
        </w:tc>
        <w:tc>
          <w:tcPr>
            <w:tcW w:w="651" w:type="dxa"/>
            <w:tcBorders>
              <w:top w:val="nil"/>
              <w:left w:val="nil"/>
              <w:bottom w:val="nil"/>
              <w:right w:val="nil"/>
            </w:tcBorders>
            <w:shd w:val="clear" w:color="auto" w:fill="auto"/>
            <w:vAlign w:val="center"/>
            <w:hideMark/>
          </w:tcPr>
          <w:p w14:paraId="096BBD5A" w14:textId="77777777" w:rsidR="00C1228B" w:rsidRPr="00A22C01" w:rsidRDefault="00C1228B" w:rsidP="00616580">
            <w:pPr>
              <w:spacing w:after="0" w:line="240" w:lineRule="auto"/>
              <w:jc w:val="center"/>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 </w:t>
            </w:r>
          </w:p>
        </w:tc>
        <w:tc>
          <w:tcPr>
            <w:tcW w:w="651" w:type="dxa"/>
            <w:tcBorders>
              <w:top w:val="nil"/>
              <w:left w:val="nil"/>
              <w:bottom w:val="nil"/>
              <w:right w:val="nil"/>
            </w:tcBorders>
            <w:shd w:val="clear" w:color="auto" w:fill="auto"/>
            <w:vAlign w:val="center"/>
            <w:hideMark/>
          </w:tcPr>
          <w:p w14:paraId="054BD461" w14:textId="77777777" w:rsidR="00C1228B" w:rsidRPr="00A22C01" w:rsidRDefault="00C1228B" w:rsidP="00616580">
            <w:pPr>
              <w:spacing w:after="0" w:line="240" w:lineRule="auto"/>
              <w:jc w:val="center"/>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 </w:t>
            </w:r>
          </w:p>
        </w:tc>
        <w:tc>
          <w:tcPr>
            <w:tcW w:w="651" w:type="dxa"/>
            <w:tcBorders>
              <w:top w:val="nil"/>
              <w:left w:val="nil"/>
              <w:bottom w:val="nil"/>
              <w:right w:val="nil"/>
            </w:tcBorders>
            <w:shd w:val="clear" w:color="auto" w:fill="auto"/>
            <w:vAlign w:val="center"/>
            <w:hideMark/>
          </w:tcPr>
          <w:p w14:paraId="491F46EF" w14:textId="77777777" w:rsidR="00C1228B" w:rsidRPr="00A22C01" w:rsidRDefault="00C1228B" w:rsidP="00616580">
            <w:pPr>
              <w:spacing w:after="0" w:line="240" w:lineRule="auto"/>
              <w:jc w:val="center"/>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 </w:t>
            </w:r>
          </w:p>
        </w:tc>
        <w:tc>
          <w:tcPr>
            <w:tcW w:w="651" w:type="dxa"/>
            <w:tcBorders>
              <w:top w:val="nil"/>
              <w:left w:val="nil"/>
              <w:bottom w:val="nil"/>
              <w:right w:val="nil"/>
            </w:tcBorders>
            <w:shd w:val="clear" w:color="auto" w:fill="auto"/>
            <w:vAlign w:val="center"/>
            <w:hideMark/>
          </w:tcPr>
          <w:p w14:paraId="4FF1136B" w14:textId="77777777" w:rsidR="00C1228B" w:rsidRPr="00A22C01" w:rsidRDefault="00C1228B" w:rsidP="00616580">
            <w:pPr>
              <w:spacing w:after="0" w:line="240" w:lineRule="auto"/>
              <w:jc w:val="center"/>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 </w:t>
            </w:r>
          </w:p>
        </w:tc>
        <w:tc>
          <w:tcPr>
            <w:tcW w:w="651" w:type="dxa"/>
            <w:tcBorders>
              <w:top w:val="nil"/>
              <w:left w:val="nil"/>
              <w:bottom w:val="nil"/>
              <w:right w:val="nil"/>
            </w:tcBorders>
            <w:shd w:val="clear" w:color="auto" w:fill="auto"/>
            <w:vAlign w:val="center"/>
            <w:hideMark/>
          </w:tcPr>
          <w:p w14:paraId="6E82CC7B" w14:textId="77777777" w:rsidR="00C1228B" w:rsidRPr="00A22C01" w:rsidRDefault="00C1228B" w:rsidP="00616580">
            <w:pPr>
              <w:spacing w:after="0" w:line="240" w:lineRule="auto"/>
              <w:jc w:val="center"/>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 </w:t>
            </w:r>
          </w:p>
        </w:tc>
        <w:tc>
          <w:tcPr>
            <w:tcW w:w="651" w:type="dxa"/>
            <w:tcBorders>
              <w:top w:val="nil"/>
              <w:left w:val="nil"/>
              <w:bottom w:val="nil"/>
              <w:right w:val="nil"/>
            </w:tcBorders>
            <w:shd w:val="clear" w:color="auto" w:fill="auto"/>
            <w:vAlign w:val="center"/>
            <w:hideMark/>
          </w:tcPr>
          <w:p w14:paraId="2AEB7801" w14:textId="77777777" w:rsidR="00C1228B" w:rsidRPr="00A22C01" w:rsidRDefault="00C1228B" w:rsidP="00616580">
            <w:pPr>
              <w:spacing w:after="0" w:line="240" w:lineRule="auto"/>
              <w:jc w:val="center"/>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 </w:t>
            </w:r>
          </w:p>
        </w:tc>
        <w:tc>
          <w:tcPr>
            <w:tcW w:w="651" w:type="dxa"/>
            <w:tcBorders>
              <w:top w:val="nil"/>
              <w:left w:val="nil"/>
              <w:bottom w:val="nil"/>
              <w:right w:val="nil"/>
            </w:tcBorders>
            <w:shd w:val="clear" w:color="auto" w:fill="auto"/>
            <w:vAlign w:val="center"/>
            <w:hideMark/>
          </w:tcPr>
          <w:p w14:paraId="266798CE" w14:textId="77777777" w:rsidR="00C1228B" w:rsidRPr="00A22C01" w:rsidRDefault="00C1228B" w:rsidP="00616580">
            <w:pPr>
              <w:spacing w:after="0" w:line="240" w:lineRule="auto"/>
              <w:jc w:val="center"/>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 </w:t>
            </w:r>
          </w:p>
        </w:tc>
        <w:tc>
          <w:tcPr>
            <w:tcW w:w="651" w:type="dxa"/>
            <w:tcBorders>
              <w:top w:val="nil"/>
              <w:left w:val="nil"/>
              <w:bottom w:val="nil"/>
              <w:right w:val="nil"/>
            </w:tcBorders>
            <w:shd w:val="clear" w:color="auto" w:fill="auto"/>
            <w:vAlign w:val="center"/>
            <w:hideMark/>
          </w:tcPr>
          <w:p w14:paraId="6F5DD386" w14:textId="77777777" w:rsidR="00C1228B" w:rsidRPr="00A22C01" w:rsidRDefault="00C1228B" w:rsidP="00616580">
            <w:pPr>
              <w:spacing w:after="0" w:line="240" w:lineRule="auto"/>
              <w:jc w:val="center"/>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 </w:t>
            </w:r>
          </w:p>
        </w:tc>
        <w:tc>
          <w:tcPr>
            <w:tcW w:w="651" w:type="dxa"/>
            <w:tcBorders>
              <w:top w:val="nil"/>
              <w:left w:val="nil"/>
              <w:bottom w:val="nil"/>
              <w:right w:val="nil"/>
            </w:tcBorders>
            <w:shd w:val="clear" w:color="auto" w:fill="auto"/>
            <w:vAlign w:val="center"/>
            <w:hideMark/>
          </w:tcPr>
          <w:p w14:paraId="7D88C0D3" w14:textId="77777777" w:rsidR="00C1228B" w:rsidRPr="00A22C01" w:rsidRDefault="00C1228B" w:rsidP="00616580">
            <w:pPr>
              <w:spacing w:after="0" w:line="240" w:lineRule="auto"/>
              <w:jc w:val="center"/>
              <w:rPr>
                <w:rFonts w:ascii="Arial Narrow" w:eastAsia="Times New Roman" w:hAnsi="Arial Narrow" w:cs="Calibri"/>
                <w:b/>
                <w:bCs/>
                <w:color w:val="000000" w:themeColor="text1"/>
                <w:sz w:val="16"/>
                <w:szCs w:val="16"/>
                <w:lang w:eastAsia="sk-SK"/>
              </w:rPr>
            </w:pPr>
            <w:r w:rsidRPr="00A22C01">
              <w:rPr>
                <w:rFonts w:ascii="Arial Narrow" w:eastAsia="Times New Roman" w:hAnsi="Arial Narrow" w:cs="Calibri"/>
                <w:b/>
                <w:bCs/>
                <w:color w:val="000000" w:themeColor="text1"/>
                <w:sz w:val="16"/>
                <w:szCs w:val="16"/>
                <w:lang w:eastAsia="sk-SK"/>
              </w:rPr>
              <w:t> </w:t>
            </w:r>
          </w:p>
        </w:tc>
      </w:tr>
    </w:tbl>
    <w:p w14:paraId="7A0F6B1D" w14:textId="02BC045F" w:rsidR="00B218F9" w:rsidRPr="00135823" w:rsidRDefault="00B218F9" w:rsidP="00A22C01">
      <w:pPr>
        <w:widowControl w:val="0"/>
        <w:spacing w:before="40" w:after="40"/>
        <w:ind w:left="11328"/>
        <w:jc w:val="center"/>
        <w:rPr>
          <w:rFonts w:ascii="Arial Narrow" w:eastAsia="NeueHaasGroteskText W02" w:hAnsi="Arial Narrow" w:cs="Arial"/>
          <w:i/>
          <w:iCs/>
          <w:color w:val="000000" w:themeColor="text1"/>
          <w:sz w:val="16"/>
          <w:szCs w:val="16"/>
          <w:u w:color="2C9ADC"/>
        </w:rPr>
      </w:pPr>
      <w:r>
        <w:rPr>
          <w:rFonts w:ascii="Arial Narrow" w:eastAsia="NeueHaasGroteskText W02" w:hAnsi="Arial Narrow" w:cs="Arial"/>
          <w:i/>
          <w:iCs/>
          <w:color w:val="000000" w:themeColor="text1"/>
          <w:sz w:val="16"/>
          <w:szCs w:val="16"/>
          <w:u w:color="2C9ADC"/>
        </w:rPr>
        <w:t xml:space="preserve">          </w:t>
      </w:r>
      <w:r w:rsidRPr="00135823">
        <w:rPr>
          <w:rFonts w:ascii="Arial Narrow" w:eastAsia="NeueHaasGroteskText W02" w:hAnsi="Arial Narrow" w:cs="Arial"/>
          <w:i/>
          <w:iCs/>
          <w:color w:val="000000" w:themeColor="text1"/>
          <w:sz w:val="16"/>
          <w:szCs w:val="16"/>
          <w:u w:color="2C9ADC"/>
        </w:rPr>
        <w:t>Zdroj: Európska komisia</w:t>
      </w:r>
    </w:p>
    <w:p w14:paraId="5EAE180C" w14:textId="77777777" w:rsidR="00C1228B" w:rsidRDefault="00C1228B" w:rsidP="00C1228B">
      <w:pPr>
        <w:spacing w:after="0" w:line="276" w:lineRule="auto"/>
        <w:jc w:val="both"/>
        <w:rPr>
          <w:rFonts w:ascii="Arial Narrow" w:eastAsia="Times New Roman" w:hAnsi="Arial Narrow"/>
          <w:b/>
          <w:bCs/>
        </w:rPr>
      </w:pPr>
    </w:p>
    <w:p w14:paraId="57DD6E29" w14:textId="1B1BA174" w:rsidR="00C1228B" w:rsidRDefault="00B218F9" w:rsidP="00C1228B">
      <w:pPr>
        <w:widowControl w:val="0"/>
        <w:spacing w:before="40" w:after="40"/>
        <w:jc w:val="both"/>
        <w:rPr>
          <w:rFonts w:ascii="Arial Narrow" w:eastAsia="NeueHaasGroteskText W02" w:hAnsi="Arial Narrow" w:cs="Arial"/>
          <w:b/>
          <w:bCs/>
          <w:color w:val="2C9ADC"/>
          <w:sz w:val="20"/>
          <w:szCs w:val="20"/>
          <w:u w:color="2C9ADC"/>
        </w:rPr>
        <w:sectPr w:rsidR="00C1228B" w:rsidSect="00C1228B">
          <w:pgSz w:w="16838" w:h="11906" w:orient="landscape"/>
          <w:pgMar w:top="1417" w:right="1417" w:bottom="1417" w:left="1417" w:header="708" w:footer="708" w:gutter="0"/>
          <w:cols w:space="708"/>
          <w:docGrid w:linePitch="360"/>
        </w:sectPr>
      </w:pPr>
      <w:r>
        <w:rPr>
          <w:rFonts w:ascii="Arial Narrow" w:eastAsia="NeueHaasGroteskText W02" w:hAnsi="Arial Narrow" w:cs="Arial"/>
          <w:b/>
          <w:bCs/>
          <w:color w:val="2C9ADC"/>
          <w:sz w:val="20"/>
          <w:szCs w:val="20"/>
          <w:u w:color="2C9ADC"/>
        </w:rPr>
        <w:tab/>
      </w:r>
    </w:p>
    <w:p w14:paraId="64D7F7A7" w14:textId="77777777" w:rsidR="00C1228B" w:rsidRPr="00B3111E" w:rsidRDefault="00C1228B" w:rsidP="00C1228B">
      <w:pPr>
        <w:widowControl w:val="0"/>
        <w:spacing w:before="40" w:after="40"/>
        <w:jc w:val="both"/>
        <w:rPr>
          <w:rFonts w:ascii="Arial Narrow" w:eastAsia="NeueHaasGroteskText W02" w:hAnsi="Arial Narrow" w:cs="Arial"/>
          <w:b/>
          <w:bCs/>
          <w:color w:val="2C9ADC"/>
          <w:sz w:val="20"/>
          <w:szCs w:val="20"/>
          <w:u w:color="2C9ADC"/>
        </w:rPr>
      </w:pPr>
    </w:p>
    <w:tbl>
      <w:tblPr>
        <w:tblW w:w="9056" w:type="dxa"/>
        <w:tblCellMar>
          <w:left w:w="70" w:type="dxa"/>
          <w:right w:w="70" w:type="dxa"/>
        </w:tblCellMar>
        <w:tblLook w:val="04A0" w:firstRow="1" w:lastRow="0" w:firstColumn="1" w:lastColumn="0" w:noHBand="0" w:noVBand="1"/>
      </w:tblPr>
      <w:tblGrid>
        <w:gridCol w:w="460"/>
        <w:gridCol w:w="3843"/>
        <w:gridCol w:w="1051"/>
        <w:gridCol w:w="2140"/>
        <w:gridCol w:w="1562"/>
      </w:tblGrid>
      <w:tr w:rsidR="00C1228B" w:rsidRPr="00B3111E" w14:paraId="5FE6D172" w14:textId="77777777" w:rsidTr="00A22C01">
        <w:trPr>
          <w:trHeight w:val="272"/>
        </w:trPr>
        <w:tc>
          <w:tcPr>
            <w:tcW w:w="4303" w:type="dxa"/>
            <w:gridSpan w:val="2"/>
            <w:tcBorders>
              <w:top w:val="nil"/>
              <w:left w:val="nil"/>
              <w:bottom w:val="nil"/>
              <w:right w:val="nil"/>
            </w:tcBorders>
            <w:shd w:val="clear" w:color="000000" w:fill="FFFFFF"/>
            <w:noWrap/>
            <w:vAlign w:val="center"/>
            <w:hideMark/>
          </w:tcPr>
          <w:p w14:paraId="461FA706" w14:textId="77777777" w:rsidR="00C1228B" w:rsidRPr="00B3111E" w:rsidRDefault="00C1228B" w:rsidP="00616580">
            <w:pPr>
              <w:spacing w:after="0" w:line="240" w:lineRule="auto"/>
              <w:rPr>
                <w:rFonts w:ascii="Arial Narrow" w:eastAsia="Times New Roman" w:hAnsi="Arial Narrow" w:cs="Calibri"/>
                <w:b/>
                <w:bCs/>
                <w:color w:val="2C9ADC"/>
                <w:sz w:val="18"/>
                <w:szCs w:val="18"/>
                <w:lang w:eastAsia="sk-SK"/>
              </w:rPr>
            </w:pPr>
            <w:r w:rsidRPr="00B3111E">
              <w:rPr>
                <w:rFonts w:ascii="Arial Narrow" w:eastAsia="Times New Roman" w:hAnsi="Arial Narrow" w:cs="Calibri"/>
                <w:b/>
                <w:bCs/>
                <w:color w:val="2C9ADC"/>
                <w:sz w:val="18"/>
                <w:szCs w:val="18"/>
                <w:lang w:eastAsia="sk-SK"/>
              </w:rPr>
              <w:t>TABUĽKA 9 – Ostatné reformy a investície</w:t>
            </w:r>
          </w:p>
        </w:tc>
        <w:tc>
          <w:tcPr>
            <w:tcW w:w="1051" w:type="dxa"/>
            <w:tcBorders>
              <w:top w:val="nil"/>
              <w:left w:val="nil"/>
              <w:bottom w:val="nil"/>
              <w:right w:val="nil"/>
            </w:tcBorders>
            <w:shd w:val="clear" w:color="auto" w:fill="auto"/>
            <w:noWrap/>
            <w:vAlign w:val="bottom"/>
            <w:hideMark/>
          </w:tcPr>
          <w:p w14:paraId="47576792" w14:textId="77777777" w:rsidR="00C1228B" w:rsidRPr="00B3111E" w:rsidRDefault="00C1228B" w:rsidP="00616580">
            <w:pPr>
              <w:spacing w:after="0" w:line="240" w:lineRule="auto"/>
              <w:rPr>
                <w:rFonts w:ascii="Arial Narrow" w:eastAsia="Times New Roman" w:hAnsi="Arial Narrow" w:cs="Calibri"/>
                <w:b/>
                <w:bCs/>
                <w:color w:val="2C9ADC"/>
                <w:sz w:val="18"/>
                <w:szCs w:val="18"/>
                <w:lang w:eastAsia="sk-SK"/>
              </w:rPr>
            </w:pPr>
          </w:p>
        </w:tc>
        <w:tc>
          <w:tcPr>
            <w:tcW w:w="2140" w:type="dxa"/>
            <w:tcBorders>
              <w:top w:val="nil"/>
              <w:left w:val="nil"/>
              <w:bottom w:val="nil"/>
              <w:right w:val="nil"/>
            </w:tcBorders>
            <w:shd w:val="clear" w:color="auto" w:fill="auto"/>
            <w:noWrap/>
            <w:vAlign w:val="bottom"/>
            <w:hideMark/>
          </w:tcPr>
          <w:p w14:paraId="7F2D366F" w14:textId="77777777" w:rsidR="00C1228B" w:rsidRPr="00B3111E" w:rsidRDefault="00C1228B" w:rsidP="00616580">
            <w:pPr>
              <w:spacing w:after="0" w:line="240" w:lineRule="auto"/>
              <w:rPr>
                <w:rFonts w:ascii="Times New Roman" w:eastAsia="Times New Roman" w:hAnsi="Times New Roman" w:cs="Times New Roman"/>
                <w:sz w:val="20"/>
                <w:szCs w:val="20"/>
                <w:lang w:eastAsia="sk-SK"/>
              </w:rPr>
            </w:pPr>
          </w:p>
        </w:tc>
        <w:tc>
          <w:tcPr>
            <w:tcW w:w="1562" w:type="dxa"/>
            <w:tcBorders>
              <w:top w:val="nil"/>
              <w:left w:val="nil"/>
              <w:bottom w:val="nil"/>
              <w:right w:val="nil"/>
            </w:tcBorders>
            <w:shd w:val="clear" w:color="auto" w:fill="auto"/>
            <w:noWrap/>
            <w:vAlign w:val="bottom"/>
            <w:hideMark/>
          </w:tcPr>
          <w:p w14:paraId="048E3DD5" w14:textId="77777777" w:rsidR="00C1228B" w:rsidRPr="00B3111E" w:rsidRDefault="00C1228B" w:rsidP="00616580">
            <w:pPr>
              <w:spacing w:after="0" w:line="240" w:lineRule="auto"/>
              <w:rPr>
                <w:rFonts w:ascii="Times New Roman" w:eastAsia="Times New Roman" w:hAnsi="Times New Roman" w:cs="Times New Roman"/>
                <w:sz w:val="20"/>
                <w:szCs w:val="20"/>
                <w:lang w:eastAsia="sk-SK"/>
              </w:rPr>
            </w:pPr>
          </w:p>
        </w:tc>
      </w:tr>
      <w:tr w:rsidR="00C1228B" w:rsidRPr="00B3111E" w14:paraId="6EE59066" w14:textId="77777777" w:rsidTr="00A22C01">
        <w:trPr>
          <w:trHeight w:val="259"/>
        </w:trPr>
        <w:tc>
          <w:tcPr>
            <w:tcW w:w="460" w:type="dxa"/>
            <w:tcBorders>
              <w:top w:val="single" w:sz="8" w:space="0" w:color="auto"/>
              <w:left w:val="nil"/>
              <w:bottom w:val="nil"/>
              <w:right w:val="nil"/>
            </w:tcBorders>
            <w:shd w:val="clear" w:color="auto" w:fill="auto"/>
            <w:vAlign w:val="center"/>
            <w:hideMark/>
          </w:tcPr>
          <w:p w14:paraId="34FDDDAD" w14:textId="77777777" w:rsidR="00C1228B" w:rsidRPr="00B3111E" w:rsidRDefault="00C1228B" w:rsidP="00616580">
            <w:pPr>
              <w:spacing w:after="0" w:line="240" w:lineRule="auto"/>
              <w:rPr>
                <w:rFonts w:ascii="Arial Narrow" w:eastAsia="Times New Roman" w:hAnsi="Arial Narrow" w:cs="Calibri"/>
                <w:i/>
                <w:iCs/>
                <w:sz w:val="16"/>
                <w:szCs w:val="16"/>
                <w:lang w:eastAsia="sk-SK"/>
              </w:rPr>
            </w:pPr>
            <w:r w:rsidRPr="00B3111E">
              <w:rPr>
                <w:rFonts w:ascii="Arial Narrow" w:eastAsia="Times New Roman" w:hAnsi="Arial Narrow" w:cs="Calibri"/>
                <w:i/>
                <w:iCs/>
                <w:sz w:val="16"/>
                <w:szCs w:val="16"/>
                <w:lang w:eastAsia="sk-SK"/>
              </w:rPr>
              <w:t> </w:t>
            </w:r>
          </w:p>
        </w:tc>
        <w:tc>
          <w:tcPr>
            <w:tcW w:w="3842" w:type="dxa"/>
            <w:tcBorders>
              <w:top w:val="single" w:sz="8" w:space="0" w:color="auto"/>
              <w:left w:val="nil"/>
              <w:bottom w:val="nil"/>
              <w:right w:val="nil"/>
            </w:tcBorders>
            <w:shd w:val="clear" w:color="auto" w:fill="auto"/>
            <w:vAlign w:val="center"/>
            <w:hideMark/>
          </w:tcPr>
          <w:p w14:paraId="0A2E18D5" w14:textId="77777777" w:rsidR="00C1228B" w:rsidRPr="00B3111E" w:rsidRDefault="00C1228B" w:rsidP="00616580">
            <w:pPr>
              <w:spacing w:after="0" w:line="240" w:lineRule="auto"/>
              <w:rPr>
                <w:rFonts w:ascii="Arial Narrow" w:eastAsia="Times New Roman" w:hAnsi="Arial Narrow" w:cs="Calibri"/>
                <w:i/>
                <w:iCs/>
                <w:sz w:val="16"/>
                <w:szCs w:val="16"/>
                <w:lang w:eastAsia="sk-SK"/>
              </w:rPr>
            </w:pPr>
            <w:r w:rsidRPr="00B3111E">
              <w:rPr>
                <w:rFonts w:ascii="Arial Narrow" w:eastAsia="Times New Roman" w:hAnsi="Arial Narrow" w:cs="Calibri"/>
                <w:i/>
                <w:iCs/>
                <w:sz w:val="16"/>
                <w:szCs w:val="16"/>
                <w:lang w:eastAsia="sk-SK"/>
              </w:rPr>
              <w:t>Názov</w:t>
            </w:r>
          </w:p>
        </w:tc>
        <w:tc>
          <w:tcPr>
            <w:tcW w:w="1051" w:type="dxa"/>
            <w:tcBorders>
              <w:top w:val="single" w:sz="8" w:space="0" w:color="auto"/>
              <w:left w:val="nil"/>
              <w:bottom w:val="nil"/>
              <w:right w:val="nil"/>
            </w:tcBorders>
            <w:shd w:val="clear" w:color="auto" w:fill="auto"/>
            <w:vAlign w:val="center"/>
            <w:hideMark/>
          </w:tcPr>
          <w:p w14:paraId="257B54D5" w14:textId="48041C56" w:rsidR="00C1228B" w:rsidRPr="00B3111E" w:rsidRDefault="00C1228B" w:rsidP="00616580">
            <w:pPr>
              <w:spacing w:after="0" w:line="240" w:lineRule="auto"/>
              <w:jc w:val="center"/>
              <w:rPr>
                <w:rFonts w:ascii="Arial Narrow" w:eastAsia="Times New Roman" w:hAnsi="Arial Narrow" w:cs="Calibri"/>
                <w:i/>
                <w:iCs/>
                <w:sz w:val="16"/>
                <w:szCs w:val="16"/>
                <w:lang w:eastAsia="sk-SK"/>
              </w:rPr>
            </w:pPr>
            <w:r w:rsidRPr="00B3111E">
              <w:rPr>
                <w:rFonts w:ascii="Arial Narrow" w:eastAsia="Times New Roman" w:hAnsi="Arial Narrow" w:cs="Calibri"/>
                <w:i/>
                <w:iCs/>
                <w:sz w:val="16"/>
                <w:szCs w:val="16"/>
                <w:lang w:eastAsia="sk-SK"/>
              </w:rPr>
              <w:t>POO</w:t>
            </w:r>
            <w:r w:rsidR="006D5279">
              <w:rPr>
                <w:rFonts w:ascii="Arial Narrow" w:eastAsia="Times New Roman" w:hAnsi="Arial Narrow" w:cs="Calibri"/>
                <w:i/>
                <w:iCs/>
                <w:sz w:val="16"/>
                <w:szCs w:val="16"/>
                <w:lang w:eastAsia="sk-SK"/>
              </w:rPr>
              <w:t>/P</w:t>
            </w:r>
            <w:r w:rsidR="00066513">
              <w:rPr>
                <w:rFonts w:ascii="Arial Narrow" w:eastAsia="Times New Roman" w:hAnsi="Arial Narrow" w:cs="Calibri"/>
                <w:i/>
                <w:iCs/>
                <w:sz w:val="16"/>
                <w:szCs w:val="16"/>
                <w:lang w:eastAsia="sk-SK"/>
              </w:rPr>
              <w:t>D</w:t>
            </w:r>
          </w:p>
        </w:tc>
        <w:tc>
          <w:tcPr>
            <w:tcW w:w="2140" w:type="dxa"/>
            <w:tcBorders>
              <w:top w:val="single" w:sz="8" w:space="0" w:color="auto"/>
              <w:left w:val="nil"/>
              <w:bottom w:val="nil"/>
              <w:right w:val="nil"/>
            </w:tcBorders>
            <w:shd w:val="clear" w:color="auto" w:fill="auto"/>
            <w:vAlign w:val="center"/>
            <w:hideMark/>
          </w:tcPr>
          <w:p w14:paraId="077244BA" w14:textId="77777777" w:rsidR="00C1228B" w:rsidRPr="00B3111E" w:rsidRDefault="00C1228B" w:rsidP="00616580">
            <w:pPr>
              <w:spacing w:after="0" w:line="240" w:lineRule="auto"/>
              <w:jc w:val="center"/>
              <w:rPr>
                <w:rFonts w:ascii="Arial Narrow" w:eastAsia="Times New Roman" w:hAnsi="Arial Narrow" w:cs="Calibri"/>
                <w:i/>
                <w:iCs/>
                <w:sz w:val="16"/>
                <w:szCs w:val="16"/>
                <w:lang w:eastAsia="sk-SK"/>
              </w:rPr>
            </w:pPr>
            <w:r w:rsidRPr="00B3111E">
              <w:rPr>
                <w:rFonts w:ascii="Arial Narrow" w:eastAsia="Times New Roman" w:hAnsi="Arial Narrow" w:cs="Calibri"/>
                <w:i/>
                <w:iCs/>
                <w:sz w:val="16"/>
                <w:szCs w:val="16"/>
                <w:lang w:eastAsia="sk-SK"/>
              </w:rPr>
              <w:t>CSR</w:t>
            </w:r>
          </w:p>
        </w:tc>
        <w:tc>
          <w:tcPr>
            <w:tcW w:w="1562" w:type="dxa"/>
            <w:tcBorders>
              <w:top w:val="single" w:sz="8" w:space="0" w:color="auto"/>
              <w:left w:val="nil"/>
              <w:bottom w:val="nil"/>
              <w:right w:val="nil"/>
            </w:tcBorders>
            <w:shd w:val="clear" w:color="auto" w:fill="auto"/>
            <w:vAlign w:val="center"/>
            <w:hideMark/>
          </w:tcPr>
          <w:p w14:paraId="45C342C6" w14:textId="77777777" w:rsidR="00C1228B" w:rsidRPr="00B3111E" w:rsidRDefault="00C1228B" w:rsidP="00616580">
            <w:pPr>
              <w:spacing w:after="0" w:line="240" w:lineRule="auto"/>
              <w:jc w:val="center"/>
              <w:rPr>
                <w:rFonts w:ascii="Arial Narrow" w:eastAsia="Times New Roman" w:hAnsi="Arial Narrow" w:cs="Calibri"/>
                <w:i/>
                <w:iCs/>
                <w:sz w:val="16"/>
                <w:szCs w:val="16"/>
                <w:lang w:eastAsia="sk-SK"/>
              </w:rPr>
            </w:pPr>
            <w:r w:rsidRPr="00B3111E">
              <w:rPr>
                <w:rFonts w:ascii="Arial Narrow" w:eastAsia="Times New Roman" w:hAnsi="Arial Narrow" w:cs="Calibri"/>
                <w:i/>
                <w:iCs/>
                <w:sz w:val="16"/>
                <w:szCs w:val="16"/>
                <w:lang w:eastAsia="sk-SK"/>
              </w:rPr>
              <w:t>Spoločné priority</w:t>
            </w:r>
          </w:p>
        </w:tc>
      </w:tr>
      <w:tr w:rsidR="00E26937" w:rsidRPr="00B3111E" w14:paraId="14B084FB" w14:textId="77777777" w:rsidTr="00E26937">
        <w:trPr>
          <w:trHeight w:val="1171"/>
        </w:trPr>
        <w:tc>
          <w:tcPr>
            <w:tcW w:w="460" w:type="dxa"/>
            <w:tcBorders>
              <w:top w:val="nil"/>
              <w:left w:val="nil"/>
              <w:bottom w:val="nil"/>
              <w:right w:val="nil"/>
            </w:tcBorders>
            <w:shd w:val="clear" w:color="auto" w:fill="DEEAF6" w:themeFill="accent5" w:themeFillTint="33"/>
            <w:vAlign w:val="center"/>
            <w:hideMark/>
          </w:tcPr>
          <w:p w14:paraId="77E19D86"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1</w:t>
            </w:r>
          </w:p>
        </w:tc>
        <w:tc>
          <w:tcPr>
            <w:tcW w:w="3842" w:type="dxa"/>
            <w:tcBorders>
              <w:top w:val="nil"/>
              <w:left w:val="nil"/>
              <w:bottom w:val="nil"/>
              <w:right w:val="nil"/>
            </w:tcBorders>
            <w:shd w:val="clear" w:color="auto" w:fill="DEEAF6" w:themeFill="accent5" w:themeFillTint="33"/>
            <w:vAlign w:val="center"/>
            <w:hideMark/>
          </w:tcPr>
          <w:p w14:paraId="25652347" w14:textId="77777777"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Reforma 1: Nahradenie rodičovského dôchodku daňovou asignáciou rodičom</w:t>
            </w:r>
          </w:p>
        </w:tc>
        <w:tc>
          <w:tcPr>
            <w:tcW w:w="1051" w:type="dxa"/>
            <w:tcBorders>
              <w:top w:val="nil"/>
              <w:left w:val="nil"/>
              <w:bottom w:val="nil"/>
              <w:right w:val="nil"/>
            </w:tcBorders>
            <w:shd w:val="clear" w:color="auto" w:fill="DEEAF6" w:themeFill="accent5" w:themeFillTint="33"/>
            <w:vAlign w:val="center"/>
            <w:hideMark/>
          </w:tcPr>
          <w:p w14:paraId="34072F8A"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w:t>
            </w:r>
          </w:p>
        </w:tc>
        <w:tc>
          <w:tcPr>
            <w:tcW w:w="2140" w:type="dxa"/>
            <w:tcBorders>
              <w:top w:val="nil"/>
              <w:left w:val="nil"/>
              <w:bottom w:val="nil"/>
              <w:right w:val="nil"/>
            </w:tcBorders>
            <w:shd w:val="clear" w:color="auto" w:fill="DEEAF6" w:themeFill="accent5" w:themeFillTint="33"/>
            <w:vAlign w:val="center"/>
            <w:hideMark/>
          </w:tcPr>
          <w:p w14:paraId="12B78552"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2019.CSR1.2</w:t>
            </w:r>
            <w:r w:rsidRPr="00B3111E">
              <w:rPr>
                <w:rFonts w:ascii="Arial Narrow" w:eastAsia="Times New Roman" w:hAnsi="Arial Narrow" w:cs="Calibri"/>
                <w:sz w:val="16"/>
                <w:szCs w:val="16"/>
                <w:lang w:eastAsia="sk-SK"/>
              </w:rPr>
              <w:br/>
              <w:t>2024.CSR1.4 (MIP)</w:t>
            </w:r>
            <w:r w:rsidRPr="00B3111E">
              <w:rPr>
                <w:rFonts w:ascii="Arial Narrow" w:eastAsia="Times New Roman" w:hAnsi="Arial Narrow" w:cs="Calibri"/>
                <w:sz w:val="16"/>
                <w:szCs w:val="16"/>
                <w:lang w:eastAsia="sk-SK"/>
              </w:rPr>
              <w:br/>
              <w:t>2024.CSR3.3 (MIP)</w:t>
            </w:r>
          </w:p>
        </w:tc>
        <w:tc>
          <w:tcPr>
            <w:tcW w:w="1562" w:type="dxa"/>
            <w:tcBorders>
              <w:top w:val="nil"/>
              <w:left w:val="nil"/>
              <w:bottom w:val="nil"/>
              <w:right w:val="nil"/>
            </w:tcBorders>
            <w:shd w:val="clear" w:color="auto" w:fill="DEEAF6" w:themeFill="accent5" w:themeFillTint="33"/>
            <w:vAlign w:val="center"/>
            <w:hideMark/>
          </w:tcPr>
          <w:p w14:paraId="25825982"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Žiadne</w:t>
            </w:r>
          </w:p>
        </w:tc>
      </w:tr>
      <w:tr w:rsidR="00C1228B" w:rsidRPr="00B3111E" w14:paraId="133D5158" w14:textId="77777777" w:rsidTr="00A22C01">
        <w:trPr>
          <w:trHeight w:val="1589"/>
        </w:trPr>
        <w:tc>
          <w:tcPr>
            <w:tcW w:w="460" w:type="dxa"/>
            <w:tcBorders>
              <w:top w:val="nil"/>
              <w:left w:val="nil"/>
              <w:bottom w:val="nil"/>
              <w:right w:val="nil"/>
            </w:tcBorders>
            <w:shd w:val="clear" w:color="auto" w:fill="auto"/>
            <w:vAlign w:val="center"/>
            <w:hideMark/>
          </w:tcPr>
          <w:p w14:paraId="52EA3FDD"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w:t>
            </w:r>
          </w:p>
        </w:tc>
        <w:tc>
          <w:tcPr>
            <w:tcW w:w="3842" w:type="dxa"/>
            <w:tcBorders>
              <w:top w:val="nil"/>
              <w:left w:val="nil"/>
              <w:bottom w:val="nil"/>
              <w:right w:val="nil"/>
            </w:tcBorders>
            <w:shd w:val="clear" w:color="auto" w:fill="auto"/>
            <w:vAlign w:val="center"/>
            <w:hideMark/>
          </w:tcPr>
          <w:p w14:paraId="7FA0E157" w14:textId="77777777"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Reforma 2:  Adresnejší daňový bonus</w:t>
            </w:r>
          </w:p>
        </w:tc>
        <w:tc>
          <w:tcPr>
            <w:tcW w:w="1051" w:type="dxa"/>
            <w:tcBorders>
              <w:top w:val="nil"/>
              <w:left w:val="nil"/>
              <w:bottom w:val="nil"/>
              <w:right w:val="nil"/>
            </w:tcBorders>
            <w:shd w:val="clear" w:color="auto" w:fill="auto"/>
            <w:vAlign w:val="center"/>
            <w:hideMark/>
          </w:tcPr>
          <w:p w14:paraId="59F1C190"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w:t>
            </w:r>
          </w:p>
        </w:tc>
        <w:tc>
          <w:tcPr>
            <w:tcW w:w="2140" w:type="dxa"/>
            <w:tcBorders>
              <w:top w:val="nil"/>
              <w:left w:val="nil"/>
              <w:bottom w:val="nil"/>
              <w:right w:val="nil"/>
            </w:tcBorders>
            <w:shd w:val="clear" w:color="auto" w:fill="auto"/>
            <w:vAlign w:val="center"/>
            <w:hideMark/>
          </w:tcPr>
          <w:p w14:paraId="2A9B8E00"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2022.CSR1.4</w:t>
            </w:r>
            <w:r w:rsidRPr="00B3111E">
              <w:rPr>
                <w:rFonts w:ascii="Arial Narrow" w:eastAsia="Times New Roman" w:hAnsi="Arial Narrow" w:cs="Calibri"/>
                <w:sz w:val="16"/>
                <w:szCs w:val="16"/>
                <w:lang w:eastAsia="sk-SK"/>
              </w:rPr>
              <w:br/>
              <w:t>2023.CSR1.5</w:t>
            </w:r>
            <w:r w:rsidRPr="00B3111E">
              <w:rPr>
                <w:rFonts w:ascii="Arial Narrow" w:eastAsia="Times New Roman" w:hAnsi="Arial Narrow" w:cs="Calibri"/>
                <w:sz w:val="16"/>
                <w:szCs w:val="16"/>
                <w:lang w:eastAsia="sk-SK"/>
              </w:rPr>
              <w:br/>
              <w:t>2024.CSR1.3 (MIP)</w:t>
            </w:r>
            <w:r w:rsidRPr="00B3111E">
              <w:rPr>
                <w:rFonts w:ascii="Arial Narrow" w:eastAsia="Times New Roman" w:hAnsi="Arial Narrow" w:cs="Calibri"/>
                <w:sz w:val="16"/>
                <w:szCs w:val="16"/>
                <w:lang w:eastAsia="sk-SK"/>
              </w:rPr>
              <w:br/>
              <w:t>2024.CSR1.4 (MIP)</w:t>
            </w:r>
            <w:r w:rsidRPr="00B3111E">
              <w:rPr>
                <w:rFonts w:ascii="Arial Narrow" w:eastAsia="Times New Roman" w:hAnsi="Arial Narrow" w:cs="Calibri"/>
                <w:sz w:val="16"/>
                <w:szCs w:val="16"/>
                <w:lang w:eastAsia="sk-SK"/>
              </w:rPr>
              <w:br/>
              <w:t>2024.CSR3.3 (MIP)</w:t>
            </w:r>
          </w:p>
        </w:tc>
        <w:tc>
          <w:tcPr>
            <w:tcW w:w="1562" w:type="dxa"/>
            <w:tcBorders>
              <w:top w:val="nil"/>
              <w:left w:val="nil"/>
              <w:bottom w:val="nil"/>
              <w:right w:val="nil"/>
            </w:tcBorders>
            <w:shd w:val="clear" w:color="auto" w:fill="auto"/>
            <w:vAlign w:val="center"/>
            <w:hideMark/>
          </w:tcPr>
          <w:p w14:paraId="2CA363ED"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Posilnenie sociálnej a hospodárskej odolnosti</w:t>
            </w:r>
          </w:p>
        </w:tc>
      </w:tr>
      <w:tr w:rsidR="00E26937" w:rsidRPr="00B3111E" w14:paraId="2E9F4C45" w14:textId="77777777" w:rsidTr="00E26937">
        <w:trPr>
          <w:trHeight w:val="742"/>
        </w:trPr>
        <w:tc>
          <w:tcPr>
            <w:tcW w:w="460" w:type="dxa"/>
            <w:tcBorders>
              <w:top w:val="nil"/>
              <w:left w:val="nil"/>
              <w:bottom w:val="nil"/>
              <w:right w:val="nil"/>
            </w:tcBorders>
            <w:shd w:val="clear" w:color="auto" w:fill="DEEAF6" w:themeFill="accent5" w:themeFillTint="33"/>
            <w:vAlign w:val="center"/>
            <w:hideMark/>
          </w:tcPr>
          <w:p w14:paraId="32665311"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3</w:t>
            </w:r>
          </w:p>
        </w:tc>
        <w:tc>
          <w:tcPr>
            <w:tcW w:w="3842" w:type="dxa"/>
            <w:tcBorders>
              <w:top w:val="nil"/>
              <w:left w:val="nil"/>
              <w:bottom w:val="nil"/>
              <w:right w:val="nil"/>
            </w:tcBorders>
            <w:shd w:val="clear" w:color="auto" w:fill="DEEAF6" w:themeFill="accent5" w:themeFillTint="33"/>
            <w:vAlign w:val="center"/>
            <w:hideMark/>
          </w:tcPr>
          <w:p w14:paraId="1A8D9290" w14:textId="77777777"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Reforma 3: Zníženie mzdových výdavkov vo verejnom sektore</w:t>
            </w:r>
          </w:p>
        </w:tc>
        <w:tc>
          <w:tcPr>
            <w:tcW w:w="1051" w:type="dxa"/>
            <w:tcBorders>
              <w:top w:val="nil"/>
              <w:left w:val="nil"/>
              <w:bottom w:val="nil"/>
              <w:right w:val="nil"/>
            </w:tcBorders>
            <w:shd w:val="clear" w:color="auto" w:fill="DEEAF6" w:themeFill="accent5" w:themeFillTint="33"/>
            <w:vAlign w:val="center"/>
            <w:hideMark/>
          </w:tcPr>
          <w:p w14:paraId="443C5A8E"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w:t>
            </w:r>
          </w:p>
        </w:tc>
        <w:tc>
          <w:tcPr>
            <w:tcW w:w="2140" w:type="dxa"/>
            <w:tcBorders>
              <w:top w:val="nil"/>
              <w:left w:val="nil"/>
              <w:bottom w:val="nil"/>
              <w:right w:val="nil"/>
            </w:tcBorders>
            <w:shd w:val="clear" w:color="auto" w:fill="DEEAF6" w:themeFill="accent5" w:themeFillTint="33"/>
            <w:vAlign w:val="center"/>
            <w:hideMark/>
          </w:tcPr>
          <w:p w14:paraId="5A6AD4EC"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2024.CSR1.4 (MIP)</w:t>
            </w:r>
          </w:p>
        </w:tc>
        <w:tc>
          <w:tcPr>
            <w:tcW w:w="1562" w:type="dxa"/>
            <w:tcBorders>
              <w:top w:val="nil"/>
              <w:left w:val="nil"/>
              <w:bottom w:val="nil"/>
              <w:right w:val="nil"/>
            </w:tcBorders>
            <w:shd w:val="clear" w:color="auto" w:fill="DEEAF6" w:themeFill="accent5" w:themeFillTint="33"/>
            <w:vAlign w:val="center"/>
            <w:hideMark/>
          </w:tcPr>
          <w:p w14:paraId="4F774BAF"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Žiadne</w:t>
            </w:r>
          </w:p>
        </w:tc>
      </w:tr>
      <w:tr w:rsidR="00C1228B" w:rsidRPr="00B3111E" w14:paraId="08C4A7EF" w14:textId="77777777" w:rsidTr="00A22C01">
        <w:trPr>
          <w:trHeight w:val="598"/>
        </w:trPr>
        <w:tc>
          <w:tcPr>
            <w:tcW w:w="460" w:type="dxa"/>
            <w:tcBorders>
              <w:top w:val="nil"/>
              <w:left w:val="nil"/>
              <w:bottom w:val="nil"/>
              <w:right w:val="nil"/>
            </w:tcBorders>
            <w:shd w:val="clear" w:color="auto" w:fill="auto"/>
            <w:vAlign w:val="center"/>
            <w:hideMark/>
          </w:tcPr>
          <w:p w14:paraId="303DC8C9"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4</w:t>
            </w:r>
          </w:p>
        </w:tc>
        <w:tc>
          <w:tcPr>
            <w:tcW w:w="3842" w:type="dxa"/>
            <w:tcBorders>
              <w:top w:val="nil"/>
              <w:left w:val="nil"/>
              <w:bottom w:val="nil"/>
              <w:right w:val="nil"/>
            </w:tcBorders>
            <w:shd w:val="clear" w:color="auto" w:fill="auto"/>
            <w:vAlign w:val="center"/>
            <w:hideMark/>
          </w:tcPr>
          <w:p w14:paraId="4D4C9911" w14:textId="77777777"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Investícia 1: Posilnenie obranných kapacít</w:t>
            </w:r>
          </w:p>
        </w:tc>
        <w:tc>
          <w:tcPr>
            <w:tcW w:w="1051" w:type="dxa"/>
            <w:tcBorders>
              <w:top w:val="nil"/>
              <w:left w:val="nil"/>
              <w:bottom w:val="nil"/>
              <w:right w:val="nil"/>
            </w:tcBorders>
            <w:shd w:val="clear" w:color="auto" w:fill="auto"/>
            <w:vAlign w:val="center"/>
            <w:hideMark/>
          </w:tcPr>
          <w:p w14:paraId="0E98F70C"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w:t>
            </w:r>
          </w:p>
        </w:tc>
        <w:tc>
          <w:tcPr>
            <w:tcW w:w="2140" w:type="dxa"/>
            <w:tcBorders>
              <w:top w:val="nil"/>
              <w:left w:val="nil"/>
              <w:bottom w:val="nil"/>
              <w:right w:val="nil"/>
            </w:tcBorders>
            <w:shd w:val="clear" w:color="auto" w:fill="auto"/>
            <w:vAlign w:val="center"/>
            <w:hideMark/>
          </w:tcPr>
          <w:p w14:paraId="1D4A40FB"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Žiadne</w:t>
            </w:r>
          </w:p>
        </w:tc>
        <w:tc>
          <w:tcPr>
            <w:tcW w:w="1562" w:type="dxa"/>
            <w:tcBorders>
              <w:top w:val="nil"/>
              <w:left w:val="nil"/>
              <w:bottom w:val="nil"/>
              <w:right w:val="nil"/>
            </w:tcBorders>
            <w:shd w:val="clear" w:color="auto" w:fill="auto"/>
            <w:vAlign w:val="center"/>
            <w:hideMark/>
          </w:tcPr>
          <w:p w14:paraId="44ABAACF"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Budovanie obranných kapacít</w:t>
            </w:r>
          </w:p>
        </w:tc>
      </w:tr>
      <w:tr w:rsidR="00E26937" w:rsidRPr="00B3111E" w14:paraId="2AD257A4" w14:textId="77777777" w:rsidTr="00E26937">
        <w:trPr>
          <w:trHeight w:val="1315"/>
        </w:trPr>
        <w:tc>
          <w:tcPr>
            <w:tcW w:w="460" w:type="dxa"/>
            <w:tcBorders>
              <w:top w:val="nil"/>
              <w:left w:val="nil"/>
              <w:bottom w:val="nil"/>
              <w:right w:val="nil"/>
            </w:tcBorders>
            <w:shd w:val="clear" w:color="auto" w:fill="DEEAF6" w:themeFill="accent5" w:themeFillTint="33"/>
            <w:vAlign w:val="center"/>
            <w:hideMark/>
          </w:tcPr>
          <w:p w14:paraId="7B6B4267"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5</w:t>
            </w:r>
          </w:p>
        </w:tc>
        <w:tc>
          <w:tcPr>
            <w:tcW w:w="3842" w:type="dxa"/>
            <w:tcBorders>
              <w:top w:val="nil"/>
              <w:left w:val="nil"/>
              <w:bottom w:val="nil"/>
              <w:right w:val="nil"/>
            </w:tcBorders>
            <w:shd w:val="clear" w:color="auto" w:fill="DEEAF6" w:themeFill="accent5" w:themeFillTint="33"/>
            <w:vAlign w:val="center"/>
            <w:hideMark/>
          </w:tcPr>
          <w:p w14:paraId="5CDF6DAA" w14:textId="77777777"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Reforma 4: Zasielanie údajov z faktúr daňových subjektov (eFaktúra)</w:t>
            </w:r>
          </w:p>
        </w:tc>
        <w:tc>
          <w:tcPr>
            <w:tcW w:w="1051" w:type="dxa"/>
            <w:tcBorders>
              <w:top w:val="nil"/>
              <w:left w:val="nil"/>
              <w:bottom w:val="nil"/>
              <w:right w:val="nil"/>
            </w:tcBorders>
            <w:shd w:val="clear" w:color="auto" w:fill="DEEAF6" w:themeFill="accent5" w:themeFillTint="33"/>
            <w:vAlign w:val="center"/>
            <w:hideMark/>
          </w:tcPr>
          <w:p w14:paraId="027F0387"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w:t>
            </w:r>
          </w:p>
        </w:tc>
        <w:tc>
          <w:tcPr>
            <w:tcW w:w="2140" w:type="dxa"/>
            <w:tcBorders>
              <w:top w:val="nil"/>
              <w:left w:val="nil"/>
              <w:bottom w:val="nil"/>
              <w:right w:val="nil"/>
            </w:tcBorders>
            <w:shd w:val="clear" w:color="auto" w:fill="DEEAF6" w:themeFill="accent5" w:themeFillTint="33"/>
            <w:vAlign w:val="center"/>
            <w:hideMark/>
          </w:tcPr>
          <w:p w14:paraId="5DB713AE"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2024.CSR1.5</w:t>
            </w:r>
            <w:r w:rsidRPr="00B3111E">
              <w:rPr>
                <w:rFonts w:ascii="Arial Narrow" w:eastAsia="Times New Roman" w:hAnsi="Arial Narrow" w:cs="Calibri"/>
                <w:sz w:val="16"/>
                <w:szCs w:val="16"/>
                <w:lang w:eastAsia="sk-SK"/>
              </w:rPr>
              <w:br/>
              <w:t>2023.CSR1.6</w:t>
            </w:r>
            <w:r w:rsidRPr="00B3111E">
              <w:rPr>
                <w:rFonts w:ascii="Arial Narrow" w:eastAsia="Times New Roman" w:hAnsi="Arial Narrow" w:cs="Calibri"/>
                <w:sz w:val="16"/>
                <w:szCs w:val="16"/>
                <w:lang w:eastAsia="sk-SK"/>
              </w:rPr>
              <w:br/>
              <w:t>2022.CSR1.5</w:t>
            </w:r>
          </w:p>
        </w:tc>
        <w:tc>
          <w:tcPr>
            <w:tcW w:w="1562" w:type="dxa"/>
            <w:tcBorders>
              <w:top w:val="nil"/>
              <w:left w:val="nil"/>
              <w:bottom w:val="nil"/>
              <w:right w:val="nil"/>
            </w:tcBorders>
            <w:shd w:val="clear" w:color="auto" w:fill="DEEAF6" w:themeFill="accent5" w:themeFillTint="33"/>
            <w:vAlign w:val="center"/>
            <w:hideMark/>
          </w:tcPr>
          <w:p w14:paraId="537AD88C"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Spravodlivá digitálna transformácia</w:t>
            </w:r>
          </w:p>
        </w:tc>
      </w:tr>
      <w:tr w:rsidR="00C1228B" w:rsidRPr="00B3111E" w14:paraId="67856C25" w14:textId="77777777" w:rsidTr="00A22C01">
        <w:trPr>
          <w:trHeight w:val="924"/>
        </w:trPr>
        <w:tc>
          <w:tcPr>
            <w:tcW w:w="460" w:type="dxa"/>
            <w:tcBorders>
              <w:top w:val="nil"/>
              <w:left w:val="nil"/>
              <w:bottom w:val="nil"/>
              <w:right w:val="nil"/>
            </w:tcBorders>
            <w:shd w:val="clear" w:color="auto" w:fill="auto"/>
            <w:vAlign w:val="center"/>
            <w:hideMark/>
          </w:tcPr>
          <w:p w14:paraId="6278EDD1"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6</w:t>
            </w:r>
          </w:p>
        </w:tc>
        <w:tc>
          <w:tcPr>
            <w:tcW w:w="3842" w:type="dxa"/>
            <w:tcBorders>
              <w:top w:val="nil"/>
              <w:left w:val="nil"/>
              <w:bottom w:val="nil"/>
              <w:right w:val="nil"/>
            </w:tcBorders>
            <w:shd w:val="clear" w:color="auto" w:fill="auto"/>
            <w:vAlign w:val="center"/>
            <w:hideMark/>
          </w:tcPr>
          <w:p w14:paraId="54485074" w14:textId="77777777"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Reforma 5: Skvalitnenie elektronických služieb finančnej správy a podpora proklientského prístupu</w:t>
            </w:r>
          </w:p>
        </w:tc>
        <w:tc>
          <w:tcPr>
            <w:tcW w:w="1051" w:type="dxa"/>
            <w:tcBorders>
              <w:top w:val="nil"/>
              <w:left w:val="nil"/>
              <w:bottom w:val="nil"/>
              <w:right w:val="nil"/>
            </w:tcBorders>
            <w:shd w:val="clear" w:color="auto" w:fill="auto"/>
            <w:vAlign w:val="center"/>
            <w:hideMark/>
          </w:tcPr>
          <w:p w14:paraId="754350B2" w14:textId="4ADF2E86" w:rsidR="00C1228B" w:rsidRPr="00B3111E" w:rsidRDefault="00304C52"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w:t>
            </w:r>
          </w:p>
        </w:tc>
        <w:tc>
          <w:tcPr>
            <w:tcW w:w="2140" w:type="dxa"/>
            <w:tcBorders>
              <w:top w:val="nil"/>
              <w:left w:val="nil"/>
              <w:bottom w:val="nil"/>
              <w:right w:val="nil"/>
            </w:tcBorders>
            <w:shd w:val="clear" w:color="auto" w:fill="auto"/>
            <w:vAlign w:val="center"/>
            <w:hideMark/>
          </w:tcPr>
          <w:p w14:paraId="327BC5B6"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2024.CSR1.5</w:t>
            </w:r>
            <w:r w:rsidRPr="00B3111E">
              <w:rPr>
                <w:rFonts w:ascii="Arial Narrow" w:eastAsia="Times New Roman" w:hAnsi="Arial Narrow" w:cs="Calibri"/>
                <w:sz w:val="16"/>
                <w:szCs w:val="16"/>
                <w:lang w:eastAsia="sk-SK"/>
              </w:rPr>
              <w:br/>
              <w:t>2023.CSR1.6</w:t>
            </w:r>
            <w:r w:rsidRPr="00B3111E">
              <w:rPr>
                <w:rFonts w:ascii="Arial Narrow" w:eastAsia="Times New Roman" w:hAnsi="Arial Narrow" w:cs="Calibri"/>
                <w:sz w:val="16"/>
                <w:szCs w:val="16"/>
                <w:lang w:eastAsia="sk-SK"/>
              </w:rPr>
              <w:br/>
              <w:t>2022.CSR1.5</w:t>
            </w:r>
          </w:p>
        </w:tc>
        <w:tc>
          <w:tcPr>
            <w:tcW w:w="1562" w:type="dxa"/>
            <w:tcBorders>
              <w:top w:val="nil"/>
              <w:left w:val="nil"/>
              <w:bottom w:val="nil"/>
              <w:right w:val="nil"/>
            </w:tcBorders>
            <w:shd w:val="clear" w:color="auto" w:fill="auto"/>
            <w:vAlign w:val="center"/>
            <w:hideMark/>
          </w:tcPr>
          <w:p w14:paraId="515C9322"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Spravodlivá digitálna transformácia</w:t>
            </w:r>
          </w:p>
        </w:tc>
      </w:tr>
      <w:tr w:rsidR="00E26937" w:rsidRPr="00B3111E" w14:paraId="2647751C" w14:textId="77777777" w:rsidTr="00E26937">
        <w:trPr>
          <w:trHeight w:val="1733"/>
        </w:trPr>
        <w:tc>
          <w:tcPr>
            <w:tcW w:w="460" w:type="dxa"/>
            <w:tcBorders>
              <w:top w:val="nil"/>
              <w:left w:val="nil"/>
              <w:bottom w:val="nil"/>
              <w:right w:val="nil"/>
            </w:tcBorders>
            <w:shd w:val="clear" w:color="auto" w:fill="DEEAF6" w:themeFill="accent5" w:themeFillTint="33"/>
            <w:vAlign w:val="center"/>
            <w:hideMark/>
          </w:tcPr>
          <w:p w14:paraId="0492BDC2"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7</w:t>
            </w:r>
          </w:p>
        </w:tc>
        <w:tc>
          <w:tcPr>
            <w:tcW w:w="3842" w:type="dxa"/>
            <w:tcBorders>
              <w:top w:val="nil"/>
              <w:left w:val="nil"/>
              <w:bottom w:val="nil"/>
              <w:right w:val="nil"/>
            </w:tcBorders>
            <w:shd w:val="clear" w:color="auto" w:fill="DEEAF6" w:themeFill="accent5" w:themeFillTint="33"/>
            <w:vAlign w:val="center"/>
            <w:hideMark/>
          </w:tcPr>
          <w:p w14:paraId="0C8667B0" w14:textId="77777777"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Reforma 6: Posilnenie inklúzie a desegregácie vo vzdelávaní</w:t>
            </w:r>
          </w:p>
        </w:tc>
        <w:tc>
          <w:tcPr>
            <w:tcW w:w="1051" w:type="dxa"/>
            <w:tcBorders>
              <w:top w:val="nil"/>
              <w:left w:val="nil"/>
              <w:bottom w:val="nil"/>
              <w:right w:val="nil"/>
            </w:tcBorders>
            <w:shd w:val="clear" w:color="auto" w:fill="DEEAF6" w:themeFill="accent5" w:themeFillTint="33"/>
            <w:vAlign w:val="center"/>
            <w:hideMark/>
          </w:tcPr>
          <w:p w14:paraId="1B4484DC"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w:t>
            </w:r>
          </w:p>
        </w:tc>
        <w:tc>
          <w:tcPr>
            <w:tcW w:w="2140" w:type="dxa"/>
            <w:tcBorders>
              <w:top w:val="nil"/>
              <w:left w:val="nil"/>
              <w:bottom w:val="nil"/>
              <w:right w:val="nil"/>
            </w:tcBorders>
            <w:shd w:val="clear" w:color="auto" w:fill="DEEAF6" w:themeFill="accent5" w:themeFillTint="33"/>
            <w:vAlign w:val="center"/>
            <w:hideMark/>
          </w:tcPr>
          <w:p w14:paraId="2EA9AF0F"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2019.CSR2.1</w:t>
            </w:r>
            <w:r w:rsidRPr="00B3111E">
              <w:rPr>
                <w:rFonts w:ascii="Arial Narrow" w:eastAsia="Times New Roman" w:hAnsi="Arial Narrow" w:cs="Calibri"/>
                <w:sz w:val="16"/>
                <w:szCs w:val="16"/>
                <w:lang w:eastAsia="sk-SK"/>
              </w:rPr>
              <w:br/>
              <w:t>2019.CSR2.3</w:t>
            </w:r>
            <w:r w:rsidRPr="00B3111E">
              <w:rPr>
                <w:rFonts w:ascii="Arial Narrow" w:eastAsia="Times New Roman" w:hAnsi="Arial Narrow" w:cs="Calibri"/>
                <w:sz w:val="16"/>
                <w:szCs w:val="16"/>
                <w:lang w:eastAsia="sk-SK"/>
              </w:rPr>
              <w:br/>
              <w:t>2020.CSR2.4</w:t>
            </w:r>
            <w:r w:rsidRPr="00B3111E">
              <w:rPr>
                <w:rFonts w:ascii="Arial Narrow" w:eastAsia="Times New Roman" w:hAnsi="Arial Narrow" w:cs="Calibri"/>
                <w:sz w:val="16"/>
                <w:szCs w:val="16"/>
                <w:lang w:eastAsia="sk-SK"/>
              </w:rPr>
              <w:br/>
              <w:t>2024.CSR3.4</w:t>
            </w:r>
            <w:r w:rsidRPr="00B3111E">
              <w:rPr>
                <w:rFonts w:ascii="Arial Narrow" w:eastAsia="Times New Roman" w:hAnsi="Arial Narrow" w:cs="Calibri"/>
                <w:sz w:val="16"/>
                <w:szCs w:val="16"/>
                <w:lang w:eastAsia="sk-SK"/>
              </w:rPr>
              <w:br/>
              <w:t>2024.CSR3.5</w:t>
            </w:r>
          </w:p>
        </w:tc>
        <w:tc>
          <w:tcPr>
            <w:tcW w:w="1562" w:type="dxa"/>
            <w:tcBorders>
              <w:top w:val="nil"/>
              <w:left w:val="nil"/>
              <w:bottom w:val="nil"/>
              <w:right w:val="nil"/>
            </w:tcBorders>
            <w:shd w:val="clear" w:color="auto" w:fill="DEEAF6" w:themeFill="accent5" w:themeFillTint="33"/>
            <w:vAlign w:val="center"/>
            <w:hideMark/>
          </w:tcPr>
          <w:p w14:paraId="3EADA2B3"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Posilnenie sociálnej a hospodárskej odolnosti</w:t>
            </w:r>
          </w:p>
        </w:tc>
      </w:tr>
      <w:tr w:rsidR="00C1228B" w:rsidRPr="00B3111E" w14:paraId="0D896F10" w14:textId="77777777" w:rsidTr="00A22C01">
        <w:trPr>
          <w:trHeight w:val="1341"/>
        </w:trPr>
        <w:tc>
          <w:tcPr>
            <w:tcW w:w="460" w:type="dxa"/>
            <w:tcBorders>
              <w:top w:val="nil"/>
              <w:left w:val="nil"/>
              <w:bottom w:val="nil"/>
              <w:right w:val="nil"/>
            </w:tcBorders>
            <w:shd w:val="clear" w:color="auto" w:fill="auto"/>
            <w:vAlign w:val="center"/>
            <w:hideMark/>
          </w:tcPr>
          <w:p w14:paraId="1E6482F9"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8</w:t>
            </w:r>
          </w:p>
        </w:tc>
        <w:tc>
          <w:tcPr>
            <w:tcW w:w="3842" w:type="dxa"/>
            <w:tcBorders>
              <w:top w:val="nil"/>
              <w:left w:val="nil"/>
              <w:bottom w:val="nil"/>
              <w:right w:val="nil"/>
            </w:tcBorders>
            <w:shd w:val="clear" w:color="auto" w:fill="auto"/>
            <w:vAlign w:val="center"/>
            <w:hideMark/>
          </w:tcPr>
          <w:p w14:paraId="11014F18" w14:textId="77777777"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Reforma 7: Novela stavebného zákona</w:t>
            </w:r>
          </w:p>
        </w:tc>
        <w:tc>
          <w:tcPr>
            <w:tcW w:w="1051" w:type="dxa"/>
            <w:tcBorders>
              <w:top w:val="nil"/>
              <w:left w:val="nil"/>
              <w:bottom w:val="nil"/>
              <w:right w:val="nil"/>
            </w:tcBorders>
            <w:shd w:val="clear" w:color="auto" w:fill="auto"/>
            <w:vAlign w:val="center"/>
            <w:hideMark/>
          </w:tcPr>
          <w:p w14:paraId="7A440DE1"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w:t>
            </w:r>
          </w:p>
        </w:tc>
        <w:tc>
          <w:tcPr>
            <w:tcW w:w="2140" w:type="dxa"/>
            <w:tcBorders>
              <w:top w:val="nil"/>
              <w:left w:val="nil"/>
              <w:bottom w:val="nil"/>
              <w:right w:val="nil"/>
            </w:tcBorders>
            <w:shd w:val="clear" w:color="auto" w:fill="auto"/>
            <w:vAlign w:val="center"/>
            <w:hideMark/>
          </w:tcPr>
          <w:p w14:paraId="1FD5597E"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2019.CSR3.7</w:t>
            </w:r>
            <w:r w:rsidRPr="00B3111E">
              <w:rPr>
                <w:rFonts w:ascii="Arial Narrow" w:eastAsia="Times New Roman" w:hAnsi="Arial Narrow" w:cs="Calibri"/>
                <w:sz w:val="16"/>
                <w:szCs w:val="16"/>
                <w:lang w:eastAsia="sk-SK"/>
              </w:rPr>
              <w:br/>
              <w:t>2023.CSR1.7 (MIP)</w:t>
            </w:r>
            <w:r w:rsidRPr="00B3111E">
              <w:rPr>
                <w:rFonts w:ascii="Arial Narrow" w:eastAsia="Times New Roman" w:hAnsi="Arial Narrow" w:cs="Calibri"/>
                <w:sz w:val="16"/>
                <w:szCs w:val="16"/>
                <w:lang w:eastAsia="sk-SK"/>
              </w:rPr>
              <w:br/>
              <w:t>2024.CSR1.6 (MIP)</w:t>
            </w:r>
          </w:p>
        </w:tc>
        <w:tc>
          <w:tcPr>
            <w:tcW w:w="1562" w:type="dxa"/>
            <w:tcBorders>
              <w:top w:val="nil"/>
              <w:left w:val="nil"/>
              <w:bottom w:val="nil"/>
              <w:right w:val="nil"/>
            </w:tcBorders>
            <w:shd w:val="clear" w:color="auto" w:fill="auto"/>
            <w:vAlign w:val="center"/>
            <w:hideMark/>
          </w:tcPr>
          <w:p w14:paraId="56D6E7DA"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Posilnenie sociálnej a hospodárskej odolnosti</w:t>
            </w:r>
          </w:p>
        </w:tc>
      </w:tr>
      <w:tr w:rsidR="00E26937" w:rsidRPr="00B3111E" w14:paraId="49E5871E" w14:textId="77777777" w:rsidTr="00E26937">
        <w:trPr>
          <w:trHeight w:val="1159"/>
        </w:trPr>
        <w:tc>
          <w:tcPr>
            <w:tcW w:w="460" w:type="dxa"/>
            <w:tcBorders>
              <w:top w:val="nil"/>
              <w:left w:val="nil"/>
              <w:bottom w:val="nil"/>
              <w:right w:val="nil"/>
            </w:tcBorders>
            <w:shd w:val="clear" w:color="auto" w:fill="DEEAF6" w:themeFill="accent5" w:themeFillTint="33"/>
            <w:vAlign w:val="center"/>
            <w:hideMark/>
          </w:tcPr>
          <w:p w14:paraId="6C767C9F"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9</w:t>
            </w:r>
          </w:p>
        </w:tc>
        <w:tc>
          <w:tcPr>
            <w:tcW w:w="3842" w:type="dxa"/>
            <w:tcBorders>
              <w:top w:val="nil"/>
              <w:left w:val="nil"/>
              <w:bottom w:val="nil"/>
              <w:right w:val="nil"/>
            </w:tcBorders>
            <w:shd w:val="clear" w:color="auto" w:fill="DEEAF6" w:themeFill="accent5" w:themeFillTint="33"/>
            <w:vAlign w:val="center"/>
            <w:hideMark/>
          </w:tcPr>
          <w:p w14:paraId="1897C85D" w14:textId="77777777"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Investícia 2: Rozšírenie ponuky nájomného bývania</w:t>
            </w:r>
          </w:p>
        </w:tc>
        <w:tc>
          <w:tcPr>
            <w:tcW w:w="1051" w:type="dxa"/>
            <w:tcBorders>
              <w:top w:val="nil"/>
              <w:left w:val="nil"/>
              <w:bottom w:val="nil"/>
              <w:right w:val="nil"/>
            </w:tcBorders>
            <w:shd w:val="clear" w:color="auto" w:fill="DEEAF6" w:themeFill="accent5" w:themeFillTint="33"/>
            <w:vAlign w:val="center"/>
            <w:hideMark/>
          </w:tcPr>
          <w:p w14:paraId="11EE6125"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w:t>
            </w:r>
          </w:p>
        </w:tc>
        <w:tc>
          <w:tcPr>
            <w:tcW w:w="2140" w:type="dxa"/>
            <w:tcBorders>
              <w:top w:val="nil"/>
              <w:left w:val="nil"/>
              <w:bottom w:val="nil"/>
              <w:right w:val="nil"/>
            </w:tcBorders>
            <w:shd w:val="clear" w:color="auto" w:fill="DEEAF6" w:themeFill="accent5" w:themeFillTint="33"/>
            <w:vAlign w:val="center"/>
            <w:hideMark/>
          </w:tcPr>
          <w:p w14:paraId="01117541"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2019.CSR3.7</w:t>
            </w:r>
            <w:r w:rsidRPr="00B3111E">
              <w:rPr>
                <w:rFonts w:ascii="Arial Narrow" w:eastAsia="Times New Roman" w:hAnsi="Arial Narrow" w:cs="Calibri"/>
                <w:sz w:val="16"/>
                <w:szCs w:val="16"/>
                <w:lang w:eastAsia="sk-SK"/>
              </w:rPr>
              <w:br/>
              <w:t>2023.CSR1.7 (MIP)</w:t>
            </w:r>
            <w:r w:rsidRPr="00B3111E">
              <w:rPr>
                <w:rFonts w:ascii="Arial Narrow" w:eastAsia="Times New Roman" w:hAnsi="Arial Narrow" w:cs="Calibri"/>
                <w:sz w:val="16"/>
                <w:szCs w:val="16"/>
                <w:lang w:eastAsia="sk-SK"/>
              </w:rPr>
              <w:br/>
              <w:t>2024.CSR1.6 (MIP)</w:t>
            </w:r>
          </w:p>
        </w:tc>
        <w:tc>
          <w:tcPr>
            <w:tcW w:w="1562" w:type="dxa"/>
            <w:tcBorders>
              <w:top w:val="nil"/>
              <w:left w:val="nil"/>
              <w:bottom w:val="nil"/>
              <w:right w:val="nil"/>
            </w:tcBorders>
            <w:shd w:val="clear" w:color="auto" w:fill="DEEAF6" w:themeFill="accent5" w:themeFillTint="33"/>
            <w:vAlign w:val="center"/>
            <w:hideMark/>
          </w:tcPr>
          <w:p w14:paraId="15CBE38E"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Posilnenie sociálnej a hospodárskej odolnosti</w:t>
            </w:r>
          </w:p>
        </w:tc>
      </w:tr>
      <w:tr w:rsidR="00E26937" w:rsidRPr="00B3111E" w14:paraId="0FCAAA4A" w14:textId="77777777" w:rsidTr="00E26937">
        <w:trPr>
          <w:trHeight w:val="1159"/>
        </w:trPr>
        <w:tc>
          <w:tcPr>
            <w:tcW w:w="460" w:type="dxa"/>
            <w:tcBorders>
              <w:top w:val="nil"/>
              <w:left w:val="nil"/>
              <w:bottom w:val="nil"/>
              <w:right w:val="nil"/>
            </w:tcBorders>
            <w:shd w:val="clear" w:color="auto" w:fill="FFFFFF" w:themeFill="background1"/>
            <w:vAlign w:val="center"/>
          </w:tcPr>
          <w:p w14:paraId="3FCBCFE3" w14:textId="0F24CAC8" w:rsidR="00304C52" w:rsidRPr="00B3111E" w:rsidRDefault="00304C52" w:rsidP="00616580">
            <w:pPr>
              <w:spacing w:after="0" w:line="240" w:lineRule="auto"/>
              <w:jc w:val="center"/>
              <w:rPr>
                <w:rFonts w:ascii="Arial Narrow" w:eastAsia="Times New Roman" w:hAnsi="Arial Narrow" w:cs="Calibri"/>
                <w:sz w:val="16"/>
                <w:szCs w:val="16"/>
                <w:lang w:eastAsia="sk-SK"/>
              </w:rPr>
            </w:pPr>
            <w:r>
              <w:rPr>
                <w:rFonts w:ascii="Arial Narrow" w:eastAsia="Times New Roman" w:hAnsi="Arial Narrow" w:cs="Calibri"/>
                <w:sz w:val="16"/>
                <w:szCs w:val="16"/>
                <w:lang w:eastAsia="sk-SK"/>
              </w:rPr>
              <w:t>10</w:t>
            </w:r>
          </w:p>
        </w:tc>
        <w:tc>
          <w:tcPr>
            <w:tcW w:w="3842" w:type="dxa"/>
            <w:tcBorders>
              <w:top w:val="nil"/>
              <w:left w:val="nil"/>
              <w:bottom w:val="nil"/>
              <w:right w:val="nil"/>
            </w:tcBorders>
            <w:shd w:val="clear" w:color="auto" w:fill="FFFFFF" w:themeFill="background1"/>
            <w:vAlign w:val="center"/>
          </w:tcPr>
          <w:p w14:paraId="08F3205E" w14:textId="66F5D715" w:rsidR="00304C52" w:rsidRPr="00B3111E" w:rsidRDefault="00304C52" w:rsidP="00616580">
            <w:pPr>
              <w:spacing w:after="0" w:line="240" w:lineRule="auto"/>
              <w:rPr>
                <w:rFonts w:ascii="Arial Narrow" w:eastAsia="Times New Roman" w:hAnsi="Arial Narrow" w:cs="Calibri"/>
                <w:b/>
                <w:bCs/>
                <w:sz w:val="16"/>
                <w:szCs w:val="16"/>
                <w:lang w:eastAsia="sk-SK"/>
              </w:rPr>
            </w:pPr>
            <w:r>
              <w:rPr>
                <w:rFonts w:ascii="Arial Narrow" w:eastAsia="Times New Roman" w:hAnsi="Arial Narrow" w:cs="Calibri"/>
                <w:b/>
                <w:bCs/>
                <w:sz w:val="16"/>
                <w:szCs w:val="16"/>
                <w:lang w:eastAsia="sk-SK"/>
              </w:rPr>
              <w:t xml:space="preserve">Reforma 8: </w:t>
            </w:r>
            <w:r w:rsidRPr="00304C52">
              <w:rPr>
                <w:rFonts w:ascii="Arial Narrow" w:eastAsia="Times New Roman" w:hAnsi="Arial Narrow" w:cs="Calibri"/>
                <w:b/>
                <w:bCs/>
                <w:sz w:val="16"/>
                <w:szCs w:val="16"/>
                <w:lang w:eastAsia="sk-SK"/>
              </w:rPr>
              <w:t>Priemyselná politika Slovenskej republiky 2027-2035</w:t>
            </w:r>
          </w:p>
        </w:tc>
        <w:tc>
          <w:tcPr>
            <w:tcW w:w="1051" w:type="dxa"/>
            <w:tcBorders>
              <w:top w:val="nil"/>
              <w:left w:val="nil"/>
              <w:bottom w:val="nil"/>
              <w:right w:val="nil"/>
            </w:tcBorders>
            <w:shd w:val="clear" w:color="auto" w:fill="FFFFFF" w:themeFill="background1"/>
            <w:vAlign w:val="center"/>
          </w:tcPr>
          <w:p w14:paraId="722D7503" w14:textId="3801B002" w:rsidR="00304C52" w:rsidRPr="00B3111E" w:rsidRDefault="00304C52"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w:t>
            </w:r>
          </w:p>
        </w:tc>
        <w:tc>
          <w:tcPr>
            <w:tcW w:w="2140" w:type="dxa"/>
            <w:tcBorders>
              <w:top w:val="nil"/>
              <w:left w:val="nil"/>
              <w:bottom w:val="nil"/>
              <w:right w:val="nil"/>
            </w:tcBorders>
            <w:shd w:val="clear" w:color="auto" w:fill="FFFFFF" w:themeFill="background1"/>
            <w:vAlign w:val="center"/>
          </w:tcPr>
          <w:p w14:paraId="6C9758A8" w14:textId="77777777" w:rsidR="00304C52" w:rsidRPr="00304C52" w:rsidRDefault="00304C52" w:rsidP="00304C52">
            <w:pPr>
              <w:spacing w:after="0" w:line="240" w:lineRule="auto"/>
              <w:jc w:val="center"/>
              <w:rPr>
                <w:rFonts w:ascii="Arial Narrow" w:eastAsia="Times New Roman" w:hAnsi="Arial Narrow" w:cs="Calibri"/>
                <w:sz w:val="16"/>
                <w:szCs w:val="16"/>
                <w:lang w:eastAsia="sk-SK"/>
              </w:rPr>
            </w:pPr>
            <w:r w:rsidRPr="00304C52">
              <w:rPr>
                <w:rFonts w:ascii="Arial Narrow" w:eastAsia="Times New Roman" w:hAnsi="Arial Narrow" w:cs="Calibri"/>
                <w:sz w:val="16"/>
                <w:szCs w:val="16"/>
                <w:lang w:eastAsia="sk-SK"/>
              </w:rPr>
              <w:t>2019.CSR3.6</w:t>
            </w:r>
          </w:p>
          <w:p w14:paraId="54EEDD23" w14:textId="23E40E77" w:rsidR="00304C52" w:rsidRPr="00B3111E" w:rsidRDefault="00304C52" w:rsidP="00304C52">
            <w:pPr>
              <w:spacing w:after="0" w:line="240" w:lineRule="auto"/>
              <w:jc w:val="center"/>
              <w:rPr>
                <w:rFonts w:ascii="Arial Narrow" w:eastAsia="Times New Roman" w:hAnsi="Arial Narrow" w:cs="Calibri"/>
                <w:sz w:val="16"/>
                <w:szCs w:val="16"/>
                <w:lang w:eastAsia="sk-SK"/>
              </w:rPr>
            </w:pPr>
            <w:r w:rsidRPr="00304C52">
              <w:rPr>
                <w:rFonts w:ascii="Arial Narrow" w:eastAsia="Times New Roman" w:hAnsi="Arial Narrow" w:cs="Calibri"/>
                <w:sz w:val="16"/>
                <w:szCs w:val="16"/>
                <w:lang w:eastAsia="sk-SK"/>
              </w:rPr>
              <w:t>2024.CSR3.3</w:t>
            </w:r>
            <w:r>
              <w:rPr>
                <w:rFonts w:ascii="Arial Narrow" w:eastAsia="Times New Roman" w:hAnsi="Arial Narrow" w:cs="Calibri"/>
                <w:sz w:val="16"/>
                <w:szCs w:val="16"/>
                <w:lang w:eastAsia="sk-SK"/>
              </w:rPr>
              <w:t xml:space="preserve"> (MIP)</w:t>
            </w:r>
          </w:p>
        </w:tc>
        <w:tc>
          <w:tcPr>
            <w:tcW w:w="1562" w:type="dxa"/>
            <w:tcBorders>
              <w:top w:val="nil"/>
              <w:left w:val="nil"/>
              <w:bottom w:val="nil"/>
              <w:right w:val="nil"/>
            </w:tcBorders>
            <w:shd w:val="clear" w:color="auto" w:fill="FFFFFF" w:themeFill="background1"/>
            <w:vAlign w:val="center"/>
          </w:tcPr>
          <w:p w14:paraId="6AA67B07" w14:textId="30BA00F6" w:rsidR="00304C52" w:rsidRPr="00B3111E" w:rsidRDefault="00304C52" w:rsidP="00616580">
            <w:pPr>
              <w:spacing w:after="0" w:line="240" w:lineRule="auto"/>
              <w:jc w:val="center"/>
              <w:rPr>
                <w:rFonts w:ascii="Arial Narrow" w:eastAsia="Times New Roman" w:hAnsi="Arial Narrow" w:cs="Calibri"/>
                <w:sz w:val="16"/>
                <w:szCs w:val="16"/>
                <w:lang w:eastAsia="sk-SK"/>
              </w:rPr>
            </w:pPr>
            <w:r w:rsidRPr="00304C52">
              <w:rPr>
                <w:rFonts w:ascii="Arial Narrow" w:eastAsia="Times New Roman" w:hAnsi="Arial Narrow" w:cs="Calibri"/>
                <w:sz w:val="16"/>
                <w:szCs w:val="16"/>
                <w:lang w:eastAsia="sk-SK"/>
              </w:rPr>
              <w:t>Posilnenie sociálnej a hospodárskej odolnosti</w:t>
            </w:r>
          </w:p>
        </w:tc>
      </w:tr>
      <w:tr w:rsidR="00E26937" w:rsidRPr="00B3111E" w14:paraId="2F3D65CA" w14:textId="77777777" w:rsidTr="00E26937">
        <w:trPr>
          <w:trHeight w:val="1159"/>
        </w:trPr>
        <w:tc>
          <w:tcPr>
            <w:tcW w:w="460" w:type="dxa"/>
            <w:tcBorders>
              <w:top w:val="nil"/>
              <w:left w:val="nil"/>
              <w:bottom w:val="nil"/>
              <w:right w:val="nil"/>
            </w:tcBorders>
            <w:shd w:val="clear" w:color="auto" w:fill="DEEAF6" w:themeFill="accent5" w:themeFillTint="33"/>
            <w:vAlign w:val="center"/>
          </w:tcPr>
          <w:p w14:paraId="4607B563" w14:textId="7C1D1EF7" w:rsidR="00304C52" w:rsidRPr="00B3111E" w:rsidRDefault="00304C52" w:rsidP="00616580">
            <w:pPr>
              <w:spacing w:after="0" w:line="240" w:lineRule="auto"/>
              <w:jc w:val="center"/>
              <w:rPr>
                <w:rFonts w:ascii="Arial Narrow" w:eastAsia="Times New Roman" w:hAnsi="Arial Narrow" w:cs="Calibri"/>
                <w:sz w:val="16"/>
                <w:szCs w:val="16"/>
                <w:lang w:eastAsia="sk-SK"/>
              </w:rPr>
            </w:pPr>
            <w:r>
              <w:rPr>
                <w:rFonts w:ascii="Arial Narrow" w:eastAsia="Times New Roman" w:hAnsi="Arial Narrow" w:cs="Calibri"/>
                <w:sz w:val="16"/>
                <w:szCs w:val="16"/>
                <w:lang w:eastAsia="sk-SK"/>
              </w:rPr>
              <w:t>11</w:t>
            </w:r>
          </w:p>
        </w:tc>
        <w:tc>
          <w:tcPr>
            <w:tcW w:w="3842" w:type="dxa"/>
            <w:tcBorders>
              <w:top w:val="nil"/>
              <w:left w:val="nil"/>
              <w:bottom w:val="nil"/>
              <w:right w:val="nil"/>
            </w:tcBorders>
            <w:shd w:val="clear" w:color="auto" w:fill="DEEAF6" w:themeFill="accent5" w:themeFillTint="33"/>
            <w:vAlign w:val="center"/>
          </w:tcPr>
          <w:p w14:paraId="30C679B9" w14:textId="35C458A5" w:rsidR="00304C52" w:rsidRPr="00B3111E" w:rsidRDefault="00304C52" w:rsidP="00616580">
            <w:pPr>
              <w:spacing w:after="0" w:line="240" w:lineRule="auto"/>
              <w:rPr>
                <w:rFonts w:ascii="Arial Narrow" w:eastAsia="Times New Roman" w:hAnsi="Arial Narrow" w:cs="Calibri"/>
                <w:b/>
                <w:bCs/>
                <w:sz w:val="16"/>
                <w:szCs w:val="16"/>
                <w:lang w:eastAsia="sk-SK"/>
              </w:rPr>
            </w:pPr>
            <w:r>
              <w:rPr>
                <w:rFonts w:ascii="Arial Narrow" w:eastAsia="Times New Roman" w:hAnsi="Arial Narrow" w:cs="Calibri"/>
                <w:b/>
                <w:bCs/>
                <w:sz w:val="16"/>
                <w:szCs w:val="16"/>
                <w:lang w:eastAsia="sk-SK"/>
              </w:rPr>
              <w:t xml:space="preserve">Reforma 9: </w:t>
            </w:r>
            <w:r w:rsidRPr="00304C52">
              <w:rPr>
                <w:rFonts w:ascii="Arial Narrow" w:eastAsia="Times New Roman" w:hAnsi="Arial Narrow" w:cs="Calibri"/>
                <w:b/>
                <w:bCs/>
                <w:sz w:val="16"/>
                <w:szCs w:val="16"/>
                <w:lang w:eastAsia="sk-SK"/>
              </w:rPr>
              <w:t>Vodíkový ekosystém</w:t>
            </w:r>
          </w:p>
        </w:tc>
        <w:tc>
          <w:tcPr>
            <w:tcW w:w="1051" w:type="dxa"/>
            <w:tcBorders>
              <w:top w:val="nil"/>
              <w:left w:val="nil"/>
              <w:bottom w:val="nil"/>
              <w:right w:val="nil"/>
            </w:tcBorders>
            <w:shd w:val="clear" w:color="auto" w:fill="DEEAF6" w:themeFill="accent5" w:themeFillTint="33"/>
            <w:vAlign w:val="center"/>
          </w:tcPr>
          <w:p w14:paraId="4938711E" w14:textId="4B725895" w:rsidR="00304C52" w:rsidRPr="00B3111E" w:rsidRDefault="00304C52"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w:t>
            </w:r>
          </w:p>
        </w:tc>
        <w:tc>
          <w:tcPr>
            <w:tcW w:w="2140" w:type="dxa"/>
            <w:tcBorders>
              <w:top w:val="nil"/>
              <w:left w:val="nil"/>
              <w:bottom w:val="nil"/>
              <w:right w:val="nil"/>
            </w:tcBorders>
            <w:shd w:val="clear" w:color="auto" w:fill="DEEAF6" w:themeFill="accent5" w:themeFillTint="33"/>
            <w:vAlign w:val="center"/>
          </w:tcPr>
          <w:p w14:paraId="049889C9" w14:textId="77777777" w:rsidR="00304C52" w:rsidRPr="00304C52" w:rsidRDefault="00304C52" w:rsidP="00304C52">
            <w:pPr>
              <w:spacing w:after="0" w:line="240" w:lineRule="auto"/>
              <w:jc w:val="center"/>
              <w:rPr>
                <w:rFonts w:ascii="Arial Narrow" w:eastAsia="Times New Roman" w:hAnsi="Arial Narrow" w:cs="Calibri"/>
                <w:sz w:val="16"/>
                <w:szCs w:val="16"/>
                <w:lang w:eastAsia="sk-SK"/>
              </w:rPr>
            </w:pPr>
            <w:r w:rsidRPr="00304C52">
              <w:rPr>
                <w:rFonts w:ascii="Arial Narrow" w:eastAsia="Times New Roman" w:hAnsi="Arial Narrow" w:cs="Calibri"/>
                <w:sz w:val="16"/>
                <w:szCs w:val="16"/>
                <w:lang w:eastAsia="sk-SK"/>
              </w:rPr>
              <w:t xml:space="preserve">2020.CSR3.5 </w:t>
            </w:r>
          </w:p>
          <w:p w14:paraId="6AEA9133" w14:textId="77777777" w:rsidR="00304C52" w:rsidRPr="00304C52" w:rsidRDefault="00304C52" w:rsidP="00304C52">
            <w:pPr>
              <w:spacing w:after="0" w:line="240" w:lineRule="auto"/>
              <w:jc w:val="center"/>
              <w:rPr>
                <w:rFonts w:ascii="Arial Narrow" w:eastAsia="Times New Roman" w:hAnsi="Arial Narrow" w:cs="Calibri"/>
                <w:sz w:val="16"/>
                <w:szCs w:val="16"/>
                <w:lang w:eastAsia="sk-SK"/>
              </w:rPr>
            </w:pPr>
            <w:r w:rsidRPr="00304C52">
              <w:rPr>
                <w:rFonts w:ascii="Arial Narrow" w:eastAsia="Times New Roman" w:hAnsi="Arial Narrow" w:cs="Calibri"/>
                <w:sz w:val="16"/>
                <w:szCs w:val="16"/>
                <w:lang w:eastAsia="sk-SK"/>
              </w:rPr>
              <w:t>2022.CSR3.1</w:t>
            </w:r>
          </w:p>
          <w:p w14:paraId="43D13FAC" w14:textId="77777777" w:rsidR="00304C52" w:rsidRPr="00304C52" w:rsidRDefault="00304C52" w:rsidP="00304C52">
            <w:pPr>
              <w:spacing w:after="0" w:line="240" w:lineRule="auto"/>
              <w:jc w:val="center"/>
              <w:rPr>
                <w:rFonts w:ascii="Arial Narrow" w:eastAsia="Times New Roman" w:hAnsi="Arial Narrow" w:cs="Calibri"/>
                <w:sz w:val="16"/>
                <w:szCs w:val="16"/>
                <w:lang w:eastAsia="sk-SK"/>
              </w:rPr>
            </w:pPr>
            <w:r w:rsidRPr="00304C52">
              <w:rPr>
                <w:rFonts w:ascii="Arial Narrow" w:eastAsia="Times New Roman" w:hAnsi="Arial Narrow" w:cs="Calibri"/>
                <w:sz w:val="16"/>
                <w:szCs w:val="16"/>
                <w:lang w:eastAsia="sk-SK"/>
              </w:rPr>
              <w:t>2022.CSR3.4</w:t>
            </w:r>
          </w:p>
          <w:p w14:paraId="15586D9C" w14:textId="4D8483EC" w:rsidR="00304C52" w:rsidRPr="00B3111E" w:rsidRDefault="00304C52" w:rsidP="00304C52">
            <w:pPr>
              <w:spacing w:after="0" w:line="240" w:lineRule="auto"/>
              <w:jc w:val="center"/>
              <w:rPr>
                <w:rFonts w:ascii="Arial Narrow" w:eastAsia="Times New Roman" w:hAnsi="Arial Narrow" w:cs="Calibri"/>
                <w:sz w:val="16"/>
                <w:szCs w:val="16"/>
                <w:lang w:eastAsia="sk-SK"/>
              </w:rPr>
            </w:pPr>
            <w:r w:rsidRPr="00304C52">
              <w:rPr>
                <w:rFonts w:ascii="Arial Narrow" w:eastAsia="Times New Roman" w:hAnsi="Arial Narrow" w:cs="Calibri"/>
                <w:sz w:val="16"/>
                <w:szCs w:val="16"/>
                <w:lang w:eastAsia="sk-SK"/>
              </w:rPr>
              <w:t>2023.CSR3.1</w:t>
            </w:r>
          </w:p>
        </w:tc>
        <w:tc>
          <w:tcPr>
            <w:tcW w:w="1562" w:type="dxa"/>
            <w:tcBorders>
              <w:top w:val="nil"/>
              <w:left w:val="nil"/>
              <w:bottom w:val="nil"/>
              <w:right w:val="nil"/>
            </w:tcBorders>
            <w:shd w:val="clear" w:color="auto" w:fill="DEEAF6" w:themeFill="accent5" w:themeFillTint="33"/>
            <w:vAlign w:val="center"/>
          </w:tcPr>
          <w:p w14:paraId="7C71A7C0" w14:textId="60BFE170" w:rsidR="00304C52" w:rsidRPr="00B3111E" w:rsidRDefault="00304C52" w:rsidP="00616580">
            <w:pPr>
              <w:spacing w:after="0" w:line="240" w:lineRule="auto"/>
              <w:jc w:val="center"/>
              <w:rPr>
                <w:rFonts w:ascii="Arial Narrow" w:eastAsia="Times New Roman" w:hAnsi="Arial Narrow" w:cs="Calibri"/>
                <w:sz w:val="16"/>
                <w:szCs w:val="16"/>
                <w:lang w:eastAsia="sk-SK"/>
              </w:rPr>
            </w:pPr>
            <w:r w:rsidRPr="00304C52">
              <w:rPr>
                <w:rFonts w:ascii="Arial Narrow" w:eastAsia="Times New Roman" w:hAnsi="Arial Narrow" w:cs="Calibri"/>
                <w:sz w:val="16"/>
                <w:szCs w:val="16"/>
                <w:lang w:eastAsia="sk-SK"/>
              </w:rPr>
              <w:t xml:space="preserve">Spravodlivá zelená transformácia; </w:t>
            </w:r>
            <w:r w:rsidR="00BB23DB">
              <w:rPr>
                <w:rFonts w:ascii="Arial Narrow" w:eastAsia="Times New Roman" w:hAnsi="Arial Narrow" w:cs="Calibri"/>
                <w:sz w:val="16"/>
                <w:szCs w:val="16"/>
                <w:lang w:eastAsia="sk-SK"/>
              </w:rPr>
              <w:t>Z</w:t>
            </w:r>
            <w:r w:rsidRPr="00304C52">
              <w:rPr>
                <w:rFonts w:ascii="Arial Narrow" w:eastAsia="Times New Roman" w:hAnsi="Arial Narrow" w:cs="Calibri"/>
                <w:sz w:val="16"/>
                <w:szCs w:val="16"/>
                <w:lang w:eastAsia="sk-SK"/>
              </w:rPr>
              <w:t>abezpečenie energetickej bezpečnosti</w:t>
            </w:r>
          </w:p>
        </w:tc>
      </w:tr>
      <w:tr w:rsidR="00C1228B" w:rsidRPr="00B3111E" w14:paraId="58A0A108" w14:textId="77777777" w:rsidTr="00A22C01">
        <w:trPr>
          <w:trHeight w:val="480"/>
        </w:trPr>
        <w:tc>
          <w:tcPr>
            <w:tcW w:w="460" w:type="dxa"/>
            <w:tcBorders>
              <w:top w:val="nil"/>
              <w:left w:val="nil"/>
              <w:bottom w:val="nil"/>
              <w:right w:val="nil"/>
            </w:tcBorders>
            <w:shd w:val="clear" w:color="auto" w:fill="auto"/>
            <w:vAlign w:val="center"/>
            <w:hideMark/>
          </w:tcPr>
          <w:p w14:paraId="057D68A6"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lastRenderedPageBreak/>
              <w:t>10</w:t>
            </w:r>
          </w:p>
        </w:tc>
        <w:tc>
          <w:tcPr>
            <w:tcW w:w="3842" w:type="dxa"/>
            <w:tcBorders>
              <w:top w:val="nil"/>
              <w:left w:val="nil"/>
              <w:bottom w:val="nil"/>
              <w:right w:val="nil"/>
            </w:tcBorders>
            <w:shd w:val="clear" w:color="auto" w:fill="auto"/>
            <w:vAlign w:val="center"/>
            <w:hideMark/>
          </w:tcPr>
          <w:p w14:paraId="372462E6" w14:textId="6F08B30D"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 xml:space="preserve">Reforma </w:t>
            </w:r>
            <w:r w:rsidR="00304C52">
              <w:rPr>
                <w:rFonts w:ascii="Arial Narrow" w:eastAsia="Times New Roman" w:hAnsi="Arial Narrow" w:cs="Calibri"/>
                <w:b/>
                <w:bCs/>
                <w:sz w:val="16"/>
                <w:szCs w:val="16"/>
                <w:lang w:eastAsia="sk-SK"/>
              </w:rPr>
              <w:t>10</w:t>
            </w:r>
            <w:r w:rsidRPr="00B3111E">
              <w:rPr>
                <w:rFonts w:ascii="Arial Narrow" w:eastAsia="Times New Roman" w:hAnsi="Arial Narrow" w:cs="Calibri"/>
                <w:b/>
                <w:bCs/>
                <w:sz w:val="16"/>
                <w:szCs w:val="16"/>
                <w:lang w:eastAsia="sk-SK"/>
              </w:rPr>
              <w:t>: Reforma trhu s elektrickou energiou</w:t>
            </w:r>
          </w:p>
        </w:tc>
        <w:tc>
          <w:tcPr>
            <w:tcW w:w="1051" w:type="dxa"/>
            <w:tcBorders>
              <w:top w:val="nil"/>
              <w:left w:val="nil"/>
              <w:bottom w:val="nil"/>
              <w:right w:val="nil"/>
            </w:tcBorders>
            <w:shd w:val="clear" w:color="auto" w:fill="auto"/>
            <w:vAlign w:val="center"/>
            <w:hideMark/>
          </w:tcPr>
          <w:p w14:paraId="09F2ED0C" w14:textId="7A8CA42F"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POO</w:t>
            </w:r>
            <w:r w:rsidR="000A657B">
              <w:rPr>
                <w:rFonts w:ascii="Arial Narrow" w:eastAsia="Times New Roman" w:hAnsi="Arial Narrow" w:cs="Calibri"/>
                <w:sz w:val="16"/>
                <w:szCs w:val="16"/>
                <w:lang w:eastAsia="sk-SK"/>
              </w:rPr>
              <w:br/>
            </w:r>
            <w:r w:rsidR="000A657B" w:rsidRPr="00A22C01">
              <w:rPr>
                <w:rFonts w:ascii="Arial Narrow" w:eastAsia="Times New Roman" w:hAnsi="Arial Narrow" w:cs="Calibri"/>
                <w:sz w:val="12"/>
                <w:szCs w:val="12"/>
                <w:lang w:eastAsia="sk-SK"/>
              </w:rPr>
              <w:t>SK-C[C1]-R[R1]</w:t>
            </w:r>
          </w:p>
        </w:tc>
        <w:tc>
          <w:tcPr>
            <w:tcW w:w="2140" w:type="dxa"/>
            <w:tcBorders>
              <w:top w:val="nil"/>
              <w:left w:val="nil"/>
              <w:bottom w:val="nil"/>
              <w:right w:val="nil"/>
            </w:tcBorders>
            <w:shd w:val="clear" w:color="auto" w:fill="auto"/>
            <w:vAlign w:val="center"/>
            <w:hideMark/>
          </w:tcPr>
          <w:p w14:paraId="477C9085"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2023.CSR3.3</w:t>
            </w:r>
          </w:p>
        </w:tc>
        <w:tc>
          <w:tcPr>
            <w:tcW w:w="1562" w:type="dxa"/>
            <w:tcBorders>
              <w:top w:val="nil"/>
              <w:left w:val="nil"/>
              <w:bottom w:val="nil"/>
              <w:right w:val="nil"/>
            </w:tcBorders>
            <w:shd w:val="clear" w:color="auto" w:fill="auto"/>
            <w:vAlign w:val="center"/>
            <w:hideMark/>
          </w:tcPr>
          <w:p w14:paraId="10C109C6"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Spravodlivá zelená transformácia</w:t>
            </w:r>
          </w:p>
        </w:tc>
      </w:tr>
      <w:tr w:rsidR="00E26937" w:rsidRPr="00B3111E" w14:paraId="0079CF88" w14:textId="77777777" w:rsidTr="00E26937">
        <w:trPr>
          <w:trHeight w:val="1889"/>
        </w:trPr>
        <w:tc>
          <w:tcPr>
            <w:tcW w:w="460" w:type="dxa"/>
            <w:tcBorders>
              <w:top w:val="nil"/>
              <w:left w:val="nil"/>
              <w:bottom w:val="nil"/>
              <w:right w:val="nil"/>
            </w:tcBorders>
            <w:shd w:val="clear" w:color="auto" w:fill="DEEAF6" w:themeFill="accent5" w:themeFillTint="33"/>
            <w:vAlign w:val="center"/>
            <w:hideMark/>
          </w:tcPr>
          <w:p w14:paraId="254EA146"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11</w:t>
            </w:r>
          </w:p>
        </w:tc>
        <w:tc>
          <w:tcPr>
            <w:tcW w:w="3842" w:type="dxa"/>
            <w:tcBorders>
              <w:top w:val="nil"/>
              <w:left w:val="nil"/>
              <w:bottom w:val="nil"/>
              <w:right w:val="nil"/>
            </w:tcBorders>
            <w:shd w:val="clear" w:color="auto" w:fill="DEEAF6" w:themeFill="accent5" w:themeFillTint="33"/>
            <w:vAlign w:val="center"/>
            <w:hideMark/>
          </w:tcPr>
          <w:p w14:paraId="548DCD73" w14:textId="77777777"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Investícia 3 : Výstavba nových obnoviteľných zdrojov elektrickej energie</w:t>
            </w:r>
          </w:p>
        </w:tc>
        <w:tc>
          <w:tcPr>
            <w:tcW w:w="1051" w:type="dxa"/>
            <w:tcBorders>
              <w:top w:val="nil"/>
              <w:left w:val="nil"/>
              <w:bottom w:val="nil"/>
              <w:right w:val="nil"/>
            </w:tcBorders>
            <w:shd w:val="clear" w:color="auto" w:fill="DEEAF6" w:themeFill="accent5" w:themeFillTint="33"/>
            <w:vAlign w:val="center"/>
            <w:hideMark/>
          </w:tcPr>
          <w:p w14:paraId="5F0F9881" w14:textId="571A3CAD"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POO</w:t>
            </w:r>
            <w:r w:rsidR="000A657B">
              <w:rPr>
                <w:rFonts w:ascii="Arial Narrow" w:eastAsia="Times New Roman" w:hAnsi="Arial Narrow" w:cs="Calibri"/>
                <w:sz w:val="16"/>
                <w:szCs w:val="16"/>
                <w:lang w:eastAsia="sk-SK"/>
              </w:rPr>
              <w:br/>
            </w:r>
            <w:r w:rsidR="000A657B" w:rsidRPr="00AC4853">
              <w:rPr>
                <w:rFonts w:ascii="Arial Narrow" w:hAnsi="Arial Narrow"/>
                <w:sz w:val="12"/>
                <w:szCs w:val="12"/>
              </w:rPr>
              <w:t>SK-C[C1]-I[I1]</w:t>
            </w:r>
          </w:p>
        </w:tc>
        <w:tc>
          <w:tcPr>
            <w:tcW w:w="2140" w:type="dxa"/>
            <w:tcBorders>
              <w:top w:val="nil"/>
              <w:left w:val="nil"/>
              <w:bottom w:val="nil"/>
              <w:right w:val="nil"/>
            </w:tcBorders>
            <w:shd w:val="clear" w:color="auto" w:fill="DEEAF6" w:themeFill="accent5" w:themeFillTint="33"/>
            <w:vAlign w:val="center"/>
            <w:hideMark/>
          </w:tcPr>
          <w:p w14:paraId="745A83FF"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2020.CSR3.4</w:t>
            </w:r>
            <w:r w:rsidRPr="00B3111E">
              <w:rPr>
                <w:rFonts w:ascii="Arial Narrow" w:eastAsia="Times New Roman" w:hAnsi="Arial Narrow" w:cs="Calibri"/>
                <w:sz w:val="16"/>
                <w:szCs w:val="16"/>
                <w:lang w:eastAsia="sk-SK"/>
              </w:rPr>
              <w:br/>
              <w:t xml:space="preserve">2020.CSR3.5 </w:t>
            </w:r>
            <w:r w:rsidRPr="00B3111E">
              <w:rPr>
                <w:rFonts w:ascii="Arial Narrow" w:eastAsia="Times New Roman" w:hAnsi="Arial Narrow" w:cs="Calibri"/>
                <w:sz w:val="16"/>
                <w:szCs w:val="16"/>
                <w:lang w:eastAsia="sk-SK"/>
              </w:rPr>
              <w:br/>
              <w:t>2022.CSR3.1</w:t>
            </w:r>
            <w:r w:rsidRPr="00B3111E">
              <w:rPr>
                <w:rFonts w:ascii="Arial Narrow" w:eastAsia="Times New Roman" w:hAnsi="Arial Narrow" w:cs="Calibri"/>
                <w:sz w:val="16"/>
                <w:szCs w:val="16"/>
                <w:lang w:eastAsia="sk-SK"/>
              </w:rPr>
              <w:br/>
              <w:t>2022.CSR3.2</w:t>
            </w:r>
            <w:r w:rsidRPr="00B3111E">
              <w:rPr>
                <w:rFonts w:ascii="Arial Narrow" w:eastAsia="Times New Roman" w:hAnsi="Arial Narrow" w:cs="Calibri"/>
                <w:sz w:val="16"/>
                <w:szCs w:val="16"/>
                <w:lang w:eastAsia="sk-SK"/>
              </w:rPr>
              <w:br/>
              <w:t>2022.CSR3.4</w:t>
            </w:r>
            <w:r w:rsidRPr="00B3111E">
              <w:rPr>
                <w:rFonts w:ascii="Arial Narrow" w:eastAsia="Times New Roman" w:hAnsi="Arial Narrow" w:cs="Calibri"/>
                <w:sz w:val="16"/>
                <w:szCs w:val="16"/>
                <w:lang w:eastAsia="sk-SK"/>
              </w:rPr>
              <w:br/>
              <w:t>2023.CSR3.1</w:t>
            </w:r>
            <w:r w:rsidRPr="00B3111E">
              <w:rPr>
                <w:rFonts w:ascii="Arial Narrow" w:eastAsia="Times New Roman" w:hAnsi="Arial Narrow" w:cs="Calibri"/>
                <w:sz w:val="16"/>
                <w:szCs w:val="16"/>
                <w:lang w:eastAsia="sk-SK"/>
              </w:rPr>
              <w:br/>
              <w:t>2023.CSR3.2</w:t>
            </w:r>
          </w:p>
        </w:tc>
        <w:tc>
          <w:tcPr>
            <w:tcW w:w="1562" w:type="dxa"/>
            <w:tcBorders>
              <w:top w:val="nil"/>
              <w:left w:val="nil"/>
              <w:bottom w:val="nil"/>
              <w:right w:val="nil"/>
            </w:tcBorders>
            <w:shd w:val="clear" w:color="auto" w:fill="DEEAF6" w:themeFill="accent5" w:themeFillTint="33"/>
            <w:vAlign w:val="center"/>
            <w:hideMark/>
          </w:tcPr>
          <w:p w14:paraId="4F86C67F" w14:textId="3C38697E"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 xml:space="preserve">Spravodlivá zelená transformácia; </w:t>
            </w:r>
            <w:r w:rsidR="00BB23DB">
              <w:rPr>
                <w:rFonts w:ascii="Arial Narrow" w:eastAsia="Times New Roman" w:hAnsi="Arial Narrow" w:cs="Calibri"/>
                <w:sz w:val="16"/>
                <w:szCs w:val="16"/>
                <w:lang w:eastAsia="sk-SK"/>
              </w:rPr>
              <w:t>Z</w:t>
            </w:r>
            <w:r w:rsidRPr="00B3111E">
              <w:rPr>
                <w:rFonts w:ascii="Arial Narrow" w:eastAsia="Times New Roman" w:hAnsi="Arial Narrow" w:cs="Calibri"/>
                <w:sz w:val="16"/>
                <w:szCs w:val="16"/>
                <w:lang w:eastAsia="sk-SK"/>
              </w:rPr>
              <w:t>abezpečenie energetickej bezpečnosti</w:t>
            </w:r>
          </w:p>
        </w:tc>
      </w:tr>
      <w:tr w:rsidR="00C1228B" w:rsidRPr="00B3111E" w14:paraId="0BB4E5C2" w14:textId="77777777" w:rsidTr="00A22C01">
        <w:trPr>
          <w:trHeight w:val="742"/>
        </w:trPr>
        <w:tc>
          <w:tcPr>
            <w:tcW w:w="460" w:type="dxa"/>
            <w:tcBorders>
              <w:top w:val="nil"/>
              <w:left w:val="nil"/>
              <w:bottom w:val="nil"/>
              <w:right w:val="nil"/>
            </w:tcBorders>
            <w:shd w:val="clear" w:color="auto" w:fill="auto"/>
            <w:vAlign w:val="center"/>
            <w:hideMark/>
          </w:tcPr>
          <w:p w14:paraId="5C1B3C44"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12</w:t>
            </w:r>
          </w:p>
        </w:tc>
        <w:tc>
          <w:tcPr>
            <w:tcW w:w="3842" w:type="dxa"/>
            <w:tcBorders>
              <w:top w:val="nil"/>
              <w:left w:val="nil"/>
              <w:bottom w:val="nil"/>
              <w:right w:val="nil"/>
            </w:tcBorders>
            <w:shd w:val="clear" w:color="auto" w:fill="auto"/>
            <w:vAlign w:val="center"/>
            <w:hideMark/>
          </w:tcPr>
          <w:p w14:paraId="1BE3EED3" w14:textId="3BC9FAE6"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 xml:space="preserve">Reforma </w:t>
            </w:r>
            <w:r w:rsidR="00304C52">
              <w:rPr>
                <w:rFonts w:ascii="Arial Narrow" w:eastAsia="Times New Roman" w:hAnsi="Arial Narrow" w:cs="Calibri"/>
                <w:b/>
                <w:bCs/>
                <w:sz w:val="16"/>
                <w:szCs w:val="16"/>
                <w:lang w:eastAsia="sk-SK"/>
              </w:rPr>
              <w:t>11</w:t>
            </w:r>
            <w:r w:rsidRPr="00B3111E">
              <w:rPr>
                <w:rFonts w:ascii="Arial Narrow" w:eastAsia="Times New Roman" w:hAnsi="Arial Narrow" w:cs="Calibri"/>
                <w:b/>
                <w:bCs/>
                <w:sz w:val="16"/>
                <w:szCs w:val="16"/>
                <w:lang w:eastAsia="sk-SK"/>
              </w:rPr>
              <w:t>: Novela zákona o odpadoch</w:t>
            </w:r>
          </w:p>
        </w:tc>
        <w:tc>
          <w:tcPr>
            <w:tcW w:w="1051" w:type="dxa"/>
            <w:tcBorders>
              <w:top w:val="nil"/>
              <w:left w:val="nil"/>
              <w:bottom w:val="nil"/>
              <w:right w:val="nil"/>
            </w:tcBorders>
            <w:shd w:val="clear" w:color="auto" w:fill="auto"/>
            <w:vAlign w:val="center"/>
            <w:hideMark/>
          </w:tcPr>
          <w:p w14:paraId="124DC5BC" w14:textId="551D8B0A"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POO</w:t>
            </w:r>
            <w:r w:rsidR="000A657B">
              <w:rPr>
                <w:rFonts w:ascii="Arial Narrow" w:eastAsia="Times New Roman" w:hAnsi="Arial Narrow" w:cs="Calibri"/>
                <w:sz w:val="16"/>
                <w:szCs w:val="16"/>
                <w:lang w:eastAsia="sk-SK"/>
              </w:rPr>
              <w:br/>
            </w:r>
            <w:r w:rsidR="000A657B" w:rsidRPr="00AC4853">
              <w:rPr>
                <w:rFonts w:ascii="Arial Narrow" w:hAnsi="Arial Narrow"/>
                <w:sz w:val="12"/>
                <w:szCs w:val="12"/>
              </w:rPr>
              <w:t>SK-C[C2]-R[R3]</w:t>
            </w:r>
          </w:p>
        </w:tc>
        <w:tc>
          <w:tcPr>
            <w:tcW w:w="2140" w:type="dxa"/>
            <w:tcBorders>
              <w:top w:val="nil"/>
              <w:left w:val="nil"/>
              <w:bottom w:val="nil"/>
              <w:right w:val="nil"/>
            </w:tcBorders>
            <w:shd w:val="clear" w:color="auto" w:fill="auto"/>
            <w:vAlign w:val="center"/>
            <w:hideMark/>
          </w:tcPr>
          <w:p w14:paraId="4CA76FCC"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2020.CSR3.7</w:t>
            </w:r>
            <w:r w:rsidRPr="00B3111E">
              <w:rPr>
                <w:rFonts w:ascii="Arial Narrow" w:eastAsia="Times New Roman" w:hAnsi="Arial Narrow" w:cs="Calibri"/>
                <w:sz w:val="16"/>
                <w:szCs w:val="16"/>
                <w:lang w:eastAsia="sk-SK"/>
              </w:rPr>
              <w:br/>
              <w:t>2024.CSR3.7</w:t>
            </w:r>
          </w:p>
        </w:tc>
        <w:tc>
          <w:tcPr>
            <w:tcW w:w="1562" w:type="dxa"/>
            <w:tcBorders>
              <w:top w:val="nil"/>
              <w:left w:val="nil"/>
              <w:bottom w:val="nil"/>
              <w:right w:val="nil"/>
            </w:tcBorders>
            <w:shd w:val="clear" w:color="auto" w:fill="auto"/>
            <w:vAlign w:val="center"/>
            <w:hideMark/>
          </w:tcPr>
          <w:p w14:paraId="4E78CF48"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Spravodlivá zelená transformácia</w:t>
            </w:r>
          </w:p>
        </w:tc>
      </w:tr>
      <w:tr w:rsidR="00E26937" w:rsidRPr="00B3111E" w14:paraId="5C9E1593" w14:textId="77777777" w:rsidTr="00E26937">
        <w:trPr>
          <w:trHeight w:val="1198"/>
        </w:trPr>
        <w:tc>
          <w:tcPr>
            <w:tcW w:w="460" w:type="dxa"/>
            <w:tcBorders>
              <w:top w:val="nil"/>
              <w:left w:val="nil"/>
              <w:bottom w:val="nil"/>
              <w:right w:val="nil"/>
            </w:tcBorders>
            <w:shd w:val="clear" w:color="auto" w:fill="DEEAF6" w:themeFill="accent5" w:themeFillTint="33"/>
            <w:vAlign w:val="center"/>
            <w:hideMark/>
          </w:tcPr>
          <w:p w14:paraId="35DF0CD5"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13</w:t>
            </w:r>
          </w:p>
        </w:tc>
        <w:tc>
          <w:tcPr>
            <w:tcW w:w="3842" w:type="dxa"/>
            <w:tcBorders>
              <w:top w:val="nil"/>
              <w:left w:val="nil"/>
              <w:bottom w:val="nil"/>
              <w:right w:val="nil"/>
            </w:tcBorders>
            <w:shd w:val="clear" w:color="auto" w:fill="DEEAF6" w:themeFill="accent5" w:themeFillTint="33"/>
            <w:vAlign w:val="center"/>
            <w:hideMark/>
          </w:tcPr>
          <w:p w14:paraId="48FC1A8D" w14:textId="77777777"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Investícia 4: Modernizácia zelenej železničnej infraštruktúry pre osobnú dopravu</w:t>
            </w:r>
          </w:p>
        </w:tc>
        <w:tc>
          <w:tcPr>
            <w:tcW w:w="1051" w:type="dxa"/>
            <w:tcBorders>
              <w:top w:val="nil"/>
              <w:left w:val="nil"/>
              <w:bottom w:val="nil"/>
              <w:right w:val="nil"/>
            </w:tcBorders>
            <w:shd w:val="clear" w:color="auto" w:fill="DEEAF6" w:themeFill="accent5" w:themeFillTint="33"/>
            <w:vAlign w:val="center"/>
            <w:hideMark/>
          </w:tcPr>
          <w:p w14:paraId="0A935E87" w14:textId="00DC3ED3"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POO</w:t>
            </w:r>
            <w:r w:rsidR="000A657B">
              <w:rPr>
                <w:rFonts w:ascii="Arial Narrow" w:eastAsia="Times New Roman" w:hAnsi="Arial Narrow" w:cs="Calibri"/>
                <w:sz w:val="16"/>
                <w:szCs w:val="16"/>
                <w:lang w:eastAsia="sk-SK"/>
              </w:rPr>
              <w:br/>
            </w:r>
            <w:r w:rsidR="000A657B" w:rsidRPr="00AC4853">
              <w:rPr>
                <w:rFonts w:ascii="Arial Narrow" w:hAnsi="Arial Narrow"/>
                <w:sz w:val="12"/>
                <w:szCs w:val="12"/>
              </w:rPr>
              <w:t>SK-C[C3]-I[I1]</w:t>
            </w:r>
          </w:p>
        </w:tc>
        <w:tc>
          <w:tcPr>
            <w:tcW w:w="2140" w:type="dxa"/>
            <w:tcBorders>
              <w:top w:val="nil"/>
              <w:left w:val="nil"/>
              <w:bottom w:val="nil"/>
              <w:right w:val="nil"/>
            </w:tcBorders>
            <w:shd w:val="clear" w:color="auto" w:fill="DEEAF6" w:themeFill="accent5" w:themeFillTint="33"/>
            <w:vAlign w:val="center"/>
            <w:hideMark/>
          </w:tcPr>
          <w:p w14:paraId="529E2993"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2019.CSR3.3</w:t>
            </w:r>
            <w:r w:rsidRPr="00B3111E">
              <w:rPr>
                <w:rFonts w:ascii="Arial Narrow" w:eastAsia="Times New Roman" w:hAnsi="Arial Narrow" w:cs="Calibri"/>
                <w:sz w:val="16"/>
                <w:szCs w:val="16"/>
                <w:lang w:eastAsia="sk-SK"/>
              </w:rPr>
              <w:br/>
              <w:t>2020.CSR3.6</w:t>
            </w:r>
            <w:r w:rsidRPr="00B3111E">
              <w:rPr>
                <w:rFonts w:ascii="Arial Narrow" w:eastAsia="Times New Roman" w:hAnsi="Arial Narrow" w:cs="Calibri"/>
                <w:sz w:val="16"/>
                <w:szCs w:val="16"/>
                <w:lang w:eastAsia="sk-SK"/>
              </w:rPr>
              <w:br/>
              <w:t>2022.CSR3.1</w:t>
            </w:r>
            <w:r w:rsidRPr="00B3111E">
              <w:rPr>
                <w:rFonts w:ascii="Arial Narrow" w:eastAsia="Times New Roman" w:hAnsi="Arial Narrow" w:cs="Calibri"/>
                <w:sz w:val="16"/>
                <w:szCs w:val="16"/>
                <w:lang w:eastAsia="sk-SK"/>
              </w:rPr>
              <w:br/>
              <w:t>2023.CSR3.1</w:t>
            </w:r>
          </w:p>
        </w:tc>
        <w:tc>
          <w:tcPr>
            <w:tcW w:w="1562" w:type="dxa"/>
            <w:tcBorders>
              <w:top w:val="nil"/>
              <w:left w:val="nil"/>
              <w:bottom w:val="nil"/>
              <w:right w:val="nil"/>
            </w:tcBorders>
            <w:shd w:val="clear" w:color="auto" w:fill="DEEAF6" w:themeFill="accent5" w:themeFillTint="33"/>
            <w:vAlign w:val="center"/>
            <w:hideMark/>
          </w:tcPr>
          <w:p w14:paraId="18ADBFA7"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Spravodlivá zelená transformácia</w:t>
            </w:r>
          </w:p>
        </w:tc>
      </w:tr>
      <w:tr w:rsidR="00C1228B" w:rsidRPr="00B3111E" w14:paraId="3FFB2155" w14:textId="77777777" w:rsidTr="00A22C01">
        <w:trPr>
          <w:trHeight w:val="441"/>
        </w:trPr>
        <w:tc>
          <w:tcPr>
            <w:tcW w:w="460" w:type="dxa"/>
            <w:tcBorders>
              <w:top w:val="nil"/>
              <w:left w:val="nil"/>
              <w:bottom w:val="nil"/>
              <w:right w:val="nil"/>
            </w:tcBorders>
            <w:shd w:val="clear" w:color="auto" w:fill="auto"/>
            <w:vAlign w:val="center"/>
            <w:hideMark/>
          </w:tcPr>
          <w:p w14:paraId="37AE932D"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14</w:t>
            </w:r>
          </w:p>
        </w:tc>
        <w:tc>
          <w:tcPr>
            <w:tcW w:w="3842" w:type="dxa"/>
            <w:tcBorders>
              <w:top w:val="nil"/>
              <w:left w:val="nil"/>
              <w:bottom w:val="nil"/>
              <w:right w:val="nil"/>
            </w:tcBorders>
            <w:shd w:val="clear" w:color="auto" w:fill="auto"/>
            <w:vAlign w:val="center"/>
            <w:hideMark/>
          </w:tcPr>
          <w:p w14:paraId="3F50F8F8" w14:textId="4EAB2916"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Reforma 1</w:t>
            </w:r>
            <w:r w:rsidR="00304C52">
              <w:rPr>
                <w:rFonts w:ascii="Arial Narrow" w:eastAsia="Times New Roman" w:hAnsi="Arial Narrow" w:cs="Calibri"/>
                <w:b/>
                <w:bCs/>
                <w:sz w:val="16"/>
                <w:szCs w:val="16"/>
                <w:lang w:eastAsia="sk-SK"/>
              </w:rPr>
              <w:t>2</w:t>
            </w:r>
            <w:r w:rsidRPr="00B3111E">
              <w:rPr>
                <w:rFonts w:ascii="Arial Narrow" w:eastAsia="Times New Roman" w:hAnsi="Arial Narrow" w:cs="Calibri"/>
                <w:b/>
                <w:bCs/>
                <w:sz w:val="16"/>
                <w:szCs w:val="16"/>
                <w:lang w:eastAsia="sk-SK"/>
              </w:rPr>
              <w:t>: Ochrana prírody a zákon o vodách</w:t>
            </w:r>
          </w:p>
        </w:tc>
        <w:tc>
          <w:tcPr>
            <w:tcW w:w="1051" w:type="dxa"/>
            <w:tcBorders>
              <w:top w:val="nil"/>
              <w:left w:val="nil"/>
              <w:bottom w:val="nil"/>
              <w:right w:val="nil"/>
            </w:tcBorders>
            <w:shd w:val="clear" w:color="auto" w:fill="auto"/>
            <w:vAlign w:val="center"/>
            <w:hideMark/>
          </w:tcPr>
          <w:p w14:paraId="206C10D8" w14:textId="77B02705"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POO</w:t>
            </w:r>
            <w:r w:rsidR="000A657B">
              <w:rPr>
                <w:rFonts w:ascii="Arial Narrow" w:eastAsia="Times New Roman" w:hAnsi="Arial Narrow" w:cs="Calibri"/>
                <w:sz w:val="16"/>
                <w:szCs w:val="16"/>
                <w:lang w:eastAsia="sk-SK"/>
              </w:rPr>
              <w:br/>
            </w:r>
            <w:r w:rsidR="000A657B" w:rsidRPr="00AC4853">
              <w:rPr>
                <w:rFonts w:ascii="Arial Narrow" w:hAnsi="Arial Narrow"/>
                <w:sz w:val="12"/>
                <w:szCs w:val="12"/>
              </w:rPr>
              <w:t>SK-C[C5]-R[R2]</w:t>
            </w:r>
          </w:p>
        </w:tc>
        <w:tc>
          <w:tcPr>
            <w:tcW w:w="2140" w:type="dxa"/>
            <w:tcBorders>
              <w:top w:val="nil"/>
              <w:left w:val="nil"/>
              <w:bottom w:val="nil"/>
              <w:right w:val="nil"/>
            </w:tcBorders>
            <w:shd w:val="clear" w:color="auto" w:fill="auto"/>
            <w:vAlign w:val="center"/>
            <w:hideMark/>
          </w:tcPr>
          <w:p w14:paraId="6CCF04A2"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2024.CSR3.8</w:t>
            </w:r>
          </w:p>
        </w:tc>
        <w:tc>
          <w:tcPr>
            <w:tcW w:w="1562" w:type="dxa"/>
            <w:tcBorders>
              <w:top w:val="nil"/>
              <w:left w:val="nil"/>
              <w:bottom w:val="nil"/>
              <w:right w:val="nil"/>
            </w:tcBorders>
            <w:shd w:val="clear" w:color="auto" w:fill="auto"/>
            <w:vAlign w:val="center"/>
            <w:hideMark/>
          </w:tcPr>
          <w:p w14:paraId="5CF1B6B5"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Spravodlivá zelená transformácia</w:t>
            </w:r>
          </w:p>
        </w:tc>
      </w:tr>
      <w:tr w:rsidR="00E26937" w:rsidRPr="00B3111E" w14:paraId="51084A0A" w14:textId="77777777" w:rsidTr="00E26937">
        <w:trPr>
          <w:trHeight w:val="1994"/>
        </w:trPr>
        <w:tc>
          <w:tcPr>
            <w:tcW w:w="460" w:type="dxa"/>
            <w:tcBorders>
              <w:top w:val="nil"/>
              <w:left w:val="nil"/>
              <w:bottom w:val="nil"/>
              <w:right w:val="nil"/>
            </w:tcBorders>
            <w:shd w:val="clear" w:color="auto" w:fill="DEEAF6" w:themeFill="accent5" w:themeFillTint="33"/>
            <w:vAlign w:val="center"/>
            <w:hideMark/>
          </w:tcPr>
          <w:p w14:paraId="203AA315"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15</w:t>
            </w:r>
          </w:p>
        </w:tc>
        <w:tc>
          <w:tcPr>
            <w:tcW w:w="3842" w:type="dxa"/>
            <w:tcBorders>
              <w:top w:val="nil"/>
              <w:left w:val="nil"/>
              <w:bottom w:val="nil"/>
              <w:right w:val="nil"/>
            </w:tcBorders>
            <w:shd w:val="clear" w:color="auto" w:fill="DEEAF6" w:themeFill="accent5" w:themeFillTint="33"/>
            <w:vAlign w:val="center"/>
            <w:hideMark/>
          </w:tcPr>
          <w:p w14:paraId="048F1102" w14:textId="77777777"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Investícia 5: Dobudovanie kapacít materských škôl</w:t>
            </w:r>
          </w:p>
        </w:tc>
        <w:tc>
          <w:tcPr>
            <w:tcW w:w="1051" w:type="dxa"/>
            <w:tcBorders>
              <w:top w:val="nil"/>
              <w:left w:val="nil"/>
              <w:bottom w:val="nil"/>
              <w:right w:val="nil"/>
            </w:tcBorders>
            <w:shd w:val="clear" w:color="auto" w:fill="DEEAF6" w:themeFill="accent5" w:themeFillTint="33"/>
            <w:vAlign w:val="center"/>
            <w:hideMark/>
          </w:tcPr>
          <w:p w14:paraId="7F8C2BED" w14:textId="51535331"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POO</w:t>
            </w:r>
            <w:r w:rsidR="000A657B">
              <w:rPr>
                <w:rFonts w:ascii="Arial Narrow" w:eastAsia="Times New Roman" w:hAnsi="Arial Narrow" w:cs="Calibri"/>
                <w:sz w:val="16"/>
                <w:szCs w:val="16"/>
                <w:lang w:eastAsia="sk-SK"/>
              </w:rPr>
              <w:br/>
            </w:r>
            <w:r w:rsidR="000A657B" w:rsidRPr="00AC4853">
              <w:rPr>
                <w:rFonts w:ascii="Arial Narrow" w:hAnsi="Arial Narrow"/>
                <w:sz w:val="12"/>
                <w:szCs w:val="12"/>
              </w:rPr>
              <w:t>SK-C[C6]-R[R1]</w:t>
            </w:r>
          </w:p>
        </w:tc>
        <w:tc>
          <w:tcPr>
            <w:tcW w:w="2140" w:type="dxa"/>
            <w:tcBorders>
              <w:top w:val="nil"/>
              <w:left w:val="nil"/>
              <w:bottom w:val="nil"/>
              <w:right w:val="nil"/>
            </w:tcBorders>
            <w:shd w:val="clear" w:color="auto" w:fill="DEEAF6" w:themeFill="accent5" w:themeFillTint="33"/>
            <w:vAlign w:val="center"/>
            <w:hideMark/>
          </w:tcPr>
          <w:p w14:paraId="3F7E17C3"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2019.CSR2.1</w:t>
            </w:r>
            <w:r w:rsidRPr="00B3111E">
              <w:rPr>
                <w:rFonts w:ascii="Arial Narrow" w:eastAsia="Times New Roman" w:hAnsi="Arial Narrow" w:cs="Calibri"/>
                <w:sz w:val="16"/>
                <w:szCs w:val="16"/>
                <w:lang w:eastAsia="sk-SK"/>
              </w:rPr>
              <w:br/>
              <w:t>2019.CSR2.2</w:t>
            </w:r>
            <w:r w:rsidRPr="00B3111E">
              <w:rPr>
                <w:rFonts w:ascii="Arial Narrow" w:eastAsia="Times New Roman" w:hAnsi="Arial Narrow" w:cs="Calibri"/>
                <w:sz w:val="16"/>
                <w:szCs w:val="16"/>
                <w:lang w:eastAsia="sk-SK"/>
              </w:rPr>
              <w:br/>
              <w:t>2019.CSR2.3</w:t>
            </w:r>
            <w:r w:rsidRPr="00B3111E">
              <w:rPr>
                <w:rFonts w:ascii="Arial Narrow" w:eastAsia="Times New Roman" w:hAnsi="Arial Narrow" w:cs="Calibri"/>
                <w:sz w:val="16"/>
                <w:szCs w:val="16"/>
                <w:lang w:eastAsia="sk-SK"/>
              </w:rPr>
              <w:br/>
              <w:t>2020.CSR2.4</w:t>
            </w:r>
            <w:r w:rsidRPr="00B3111E">
              <w:rPr>
                <w:rFonts w:ascii="Arial Narrow" w:eastAsia="Times New Roman" w:hAnsi="Arial Narrow" w:cs="Calibri"/>
                <w:sz w:val="16"/>
                <w:szCs w:val="16"/>
                <w:lang w:eastAsia="sk-SK"/>
              </w:rPr>
              <w:br/>
              <w:t>2024.CSR3.4</w:t>
            </w:r>
            <w:r w:rsidRPr="00B3111E">
              <w:rPr>
                <w:rFonts w:ascii="Arial Narrow" w:eastAsia="Times New Roman" w:hAnsi="Arial Narrow" w:cs="Calibri"/>
                <w:sz w:val="16"/>
                <w:szCs w:val="16"/>
                <w:lang w:eastAsia="sk-SK"/>
              </w:rPr>
              <w:br/>
              <w:t>2024.CSR3.3 (MIP)</w:t>
            </w:r>
            <w:r w:rsidRPr="00B3111E">
              <w:rPr>
                <w:rFonts w:ascii="Arial Narrow" w:eastAsia="Times New Roman" w:hAnsi="Arial Narrow" w:cs="Calibri"/>
                <w:sz w:val="16"/>
                <w:szCs w:val="16"/>
                <w:lang w:eastAsia="sk-SK"/>
              </w:rPr>
              <w:br/>
              <w:t>2024.CSR3.5</w:t>
            </w:r>
            <w:r w:rsidRPr="00B3111E">
              <w:rPr>
                <w:rFonts w:ascii="Arial Narrow" w:eastAsia="Times New Roman" w:hAnsi="Arial Narrow" w:cs="Calibri"/>
                <w:sz w:val="16"/>
                <w:szCs w:val="16"/>
                <w:lang w:eastAsia="sk-SK"/>
              </w:rPr>
              <w:br/>
              <w:t>2024.CSR3.6</w:t>
            </w:r>
          </w:p>
        </w:tc>
        <w:tc>
          <w:tcPr>
            <w:tcW w:w="1562" w:type="dxa"/>
            <w:tcBorders>
              <w:top w:val="nil"/>
              <w:left w:val="nil"/>
              <w:bottom w:val="nil"/>
              <w:right w:val="nil"/>
            </w:tcBorders>
            <w:shd w:val="clear" w:color="auto" w:fill="DEEAF6" w:themeFill="accent5" w:themeFillTint="33"/>
            <w:vAlign w:val="center"/>
            <w:hideMark/>
          </w:tcPr>
          <w:p w14:paraId="636266A2"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Posilnenie sociálnej a hospodárskej odolnosti</w:t>
            </w:r>
          </w:p>
        </w:tc>
      </w:tr>
      <w:tr w:rsidR="00C1228B" w:rsidRPr="00B3111E" w14:paraId="061A5FE9" w14:textId="77777777" w:rsidTr="00A22C01">
        <w:trPr>
          <w:trHeight w:val="1537"/>
        </w:trPr>
        <w:tc>
          <w:tcPr>
            <w:tcW w:w="460" w:type="dxa"/>
            <w:tcBorders>
              <w:top w:val="nil"/>
              <w:left w:val="nil"/>
              <w:bottom w:val="nil"/>
              <w:right w:val="nil"/>
            </w:tcBorders>
            <w:shd w:val="clear" w:color="auto" w:fill="auto"/>
            <w:vAlign w:val="center"/>
            <w:hideMark/>
          </w:tcPr>
          <w:p w14:paraId="460D3EC5"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16</w:t>
            </w:r>
          </w:p>
        </w:tc>
        <w:tc>
          <w:tcPr>
            <w:tcW w:w="3842" w:type="dxa"/>
            <w:tcBorders>
              <w:top w:val="nil"/>
              <w:left w:val="nil"/>
              <w:bottom w:val="nil"/>
              <w:right w:val="nil"/>
            </w:tcBorders>
            <w:shd w:val="clear" w:color="auto" w:fill="auto"/>
            <w:vAlign w:val="center"/>
            <w:hideMark/>
          </w:tcPr>
          <w:p w14:paraId="052DDCF1" w14:textId="1754218A" w:rsidR="00C1228B" w:rsidRPr="00B3111E" w:rsidRDefault="00C1228B">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Reforma 1</w:t>
            </w:r>
            <w:r w:rsidR="00304C52">
              <w:rPr>
                <w:rFonts w:ascii="Arial Narrow" w:eastAsia="Times New Roman" w:hAnsi="Arial Narrow" w:cs="Calibri"/>
                <w:b/>
                <w:bCs/>
                <w:sz w:val="16"/>
                <w:szCs w:val="16"/>
                <w:lang w:eastAsia="sk-SK"/>
              </w:rPr>
              <w:t>3</w:t>
            </w:r>
            <w:r w:rsidRPr="00B3111E">
              <w:rPr>
                <w:rFonts w:ascii="Arial Narrow" w:eastAsia="Times New Roman" w:hAnsi="Arial Narrow" w:cs="Calibri"/>
                <w:b/>
                <w:bCs/>
                <w:sz w:val="16"/>
                <w:szCs w:val="16"/>
                <w:lang w:eastAsia="sk-SK"/>
              </w:rPr>
              <w:t>: Redefinícia špeciálnych výchovno-vzdelávacích potrieb a príprava metodických materiálov.</w:t>
            </w:r>
          </w:p>
        </w:tc>
        <w:tc>
          <w:tcPr>
            <w:tcW w:w="1051" w:type="dxa"/>
            <w:tcBorders>
              <w:top w:val="nil"/>
              <w:left w:val="nil"/>
              <w:bottom w:val="nil"/>
              <w:right w:val="nil"/>
            </w:tcBorders>
            <w:shd w:val="clear" w:color="auto" w:fill="auto"/>
            <w:vAlign w:val="center"/>
            <w:hideMark/>
          </w:tcPr>
          <w:p w14:paraId="4B81C711" w14:textId="79646D6B"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POO</w:t>
            </w:r>
            <w:r w:rsidR="000A657B">
              <w:rPr>
                <w:rFonts w:ascii="Arial Narrow" w:eastAsia="Times New Roman" w:hAnsi="Arial Narrow" w:cs="Calibri"/>
                <w:sz w:val="16"/>
                <w:szCs w:val="16"/>
                <w:lang w:eastAsia="sk-SK"/>
              </w:rPr>
              <w:br/>
            </w:r>
            <w:r w:rsidR="000A657B" w:rsidRPr="00AC4853">
              <w:rPr>
                <w:rFonts w:ascii="Arial Narrow" w:hAnsi="Arial Narrow"/>
                <w:sz w:val="12"/>
                <w:szCs w:val="12"/>
              </w:rPr>
              <w:t>SK-C[C6]-R[R2]</w:t>
            </w:r>
          </w:p>
        </w:tc>
        <w:tc>
          <w:tcPr>
            <w:tcW w:w="2140" w:type="dxa"/>
            <w:tcBorders>
              <w:top w:val="nil"/>
              <w:left w:val="nil"/>
              <w:bottom w:val="nil"/>
              <w:right w:val="nil"/>
            </w:tcBorders>
            <w:shd w:val="clear" w:color="auto" w:fill="auto"/>
            <w:vAlign w:val="center"/>
            <w:hideMark/>
          </w:tcPr>
          <w:p w14:paraId="4CBEB5E2"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2019.CSR2.1</w:t>
            </w:r>
            <w:r w:rsidRPr="00B3111E">
              <w:rPr>
                <w:rFonts w:ascii="Arial Narrow" w:eastAsia="Times New Roman" w:hAnsi="Arial Narrow" w:cs="Calibri"/>
                <w:sz w:val="16"/>
                <w:szCs w:val="16"/>
                <w:lang w:eastAsia="sk-SK"/>
              </w:rPr>
              <w:br/>
              <w:t>2019.CSR2.3</w:t>
            </w:r>
            <w:r w:rsidRPr="00B3111E">
              <w:rPr>
                <w:rFonts w:ascii="Arial Narrow" w:eastAsia="Times New Roman" w:hAnsi="Arial Narrow" w:cs="Calibri"/>
                <w:sz w:val="16"/>
                <w:szCs w:val="16"/>
                <w:lang w:eastAsia="sk-SK"/>
              </w:rPr>
              <w:br/>
              <w:t>2020.CSR2.4</w:t>
            </w:r>
            <w:r w:rsidRPr="00B3111E">
              <w:rPr>
                <w:rFonts w:ascii="Arial Narrow" w:eastAsia="Times New Roman" w:hAnsi="Arial Narrow" w:cs="Calibri"/>
                <w:sz w:val="16"/>
                <w:szCs w:val="16"/>
                <w:lang w:eastAsia="sk-SK"/>
              </w:rPr>
              <w:br/>
              <w:t>2024.CSR3.4</w:t>
            </w:r>
            <w:r w:rsidRPr="00B3111E">
              <w:rPr>
                <w:rFonts w:ascii="Arial Narrow" w:eastAsia="Times New Roman" w:hAnsi="Arial Narrow" w:cs="Calibri"/>
                <w:sz w:val="16"/>
                <w:szCs w:val="16"/>
                <w:lang w:eastAsia="sk-SK"/>
              </w:rPr>
              <w:br/>
              <w:t>2024.CSR3.5</w:t>
            </w:r>
          </w:p>
        </w:tc>
        <w:tc>
          <w:tcPr>
            <w:tcW w:w="1562" w:type="dxa"/>
            <w:tcBorders>
              <w:top w:val="nil"/>
              <w:left w:val="nil"/>
              <w:bottom w:val="nil"/>
              <w:right w:val="nil"/>
            </w:tcBorders>
            <w:shd w:val="clear" w:color="auto" w:fill="auto"/>
            <w:vAlign w:val="center"/>
            <w:hideMark/>
          </w:tcPr>
          <w:p w14:paraId="4B548FB8"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Posilnenie sociálnej a hospodárskej odolnosti</w:t>
            </w:r>
          </w:p>
        </w:tc>
      </w:tr>
      <w:tr w:rsidR="00E26937" w:rsidRPr="00B3111E" w14:paraId="4D4DD0CD" w14:textId="77777777" w:rsidTr="00E26937">
        <w:trPr>
          <w:trHeight w:val="1563"/>
        </w:trPr>
        <w:tc>
          <w:tcPr>
            <w:tcW w:w="460" w:type="dxa"/>
            <w:tcBorders>
              <w:top w:val="nil"/>
              <w:left w:val="nil"/>
              <w:bottom w:val="nil"/>
              <w:right w:val="nil"/>
            </w:tcBorders>
            <w:shd w:val="clear" w:color="auto" w:fill="DEEAF6" w:themeFill="accent5" w:themeFillTint="33"/>
            <w:vAlign w:val="center"/>
            <w:hideMark/>
          </w:tcPr>
          <w:p w14:paraId="3CDE2DDC"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17</w:t>
            </w:r>
          </w:p>
        </w:tc>
        <w:tc>
          <w:tcPr>
            <w:tcW w:w="3842" w:type="dxa"/>
            <w:tcBorders>
              <w:top w:val="nil"/>
              <w:left w:val="nil"/>
              <w:bottom w:val="nil"/>
              <w:right w:val="nil"/>
            </w:tcBorders>
            <w:shd w:val="clear" w:color="auto" w:fill="DEEAF6" w:themeFill="accent5" w:themeFillTint="33"/>
            <w:vAlign w:val="center"/>
            <w:hideMark/>
          </w:tcPr>
          <w:p w14:paraId="32921DF3" w14:textId="119757DE" w:rsidR="00C1228B" w:rsidRPr="00B3111E" w:rsidRDefault="00C1228B">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Reforma 1</w:t>
            </w:r>
            <w:r w:rsidR="00304C52">
              <w:rPr>
                <w:rFonts w:ascii="Arial Narrow" w:eastAsia="Times New Roman" w:hAnsi="Arial Narrow" w:cs="Calibri"/>
                <w:b/>
                <w:bCs/>
                <w:sz w:val="16"/>
                <w:szCs w:val="16"/>
                <w:lang w:eastAsia="sk-SK"/>
              </w:rPr>
              <w:t>4</w:t>
            </w:r>
            <w:r w:rsidRPr="00B3111E">
              <w:rPr>
                <w:rFonts w:ascii="Arial Narrow" w:eastAsia="Times New Roman" w:hAnsi="Arial Narrow" w:cs="Calibri"/>
                <w:b/>
                <w:bCs/>
                <w:sz w:val="16"/>
                <w:szCs w:val="16"/>
                <w:lang w:eastAsia="sk-SK"/>
              </w:rPr>
              <w:t>: Kurikulárna reforma v základnom vzdelávaní</w:t>
            </w:r>
          </w:p>
        </w:tc>
        <w:tc>
          <w:tcPr>
            <w:tcW w:w="1051" w:type="dxa"/>
            <w:tcBorders>
              <w:top w:val="nil"/>
              <w:left w:val="nil"/>
              <w:bottom w:val="nil"/>
              <w:right w:val="nil"/>
            </w:tcBorders>
            <w:shd w:val="clear" w:color="auto" w:fill="DEEAF6" w:themeFill="accent5" w:themeFillTint="33"/>
            <w:vAlign w:val="center"/>
            <w:hideMark/>
          </w:tcPr>
          <w:p w14:paraId="2A93C2A1" w14:textId="6B421F4C"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POO</w:t>
            </w:r>
            <w:r w:rsidR="000A657B">
              <w:rPr>
                <w:rFonts w:ascii="Arial Narrow" w:eastAsia="Times New Roman" w:hAnsi="Arial Narrow" w:cs="Calibri"/>
                <w:sz w:val="16"/>
                <w:szCs w:val="16"/>
                <w:lang w:eastAsia="sk-SK"/>
              </w:rPr>
              <w:br/>
            </w:r>
            <w:r w:rsidR="000A657B" w:rsidRPr="00AC4853">
              <w:rPr>
                <w:rFonts w:ascii="Arial Narrow" w:hAnsi="Arial Narrow"/>
                <w:sz w:val="12"/>
                <w:szCs w:val="12"/>
              </w:rPr>
              <w:t>SK-C[C7]-R[R1]</w:t>
            </w:r>
          </w:p>
        </w:tc>
        <w:tc>
          <w:tcPr>
            <w:tcW w:w="2140" w:type="dxa"/>
            <w:tcBorders>
              <w:top w:val="nil"/>
              <w:left w:val="nil"/>
              <w:bottom w:val="nil"/>
              <w:right w:val="nil"/>
            </w:tcBorders>
            <w:shd w:val="clear" w:color="auto" w:fill="DEEAF6" w:themeFill="accent5" w:themeFillTint="33"/>
            <w:vAlign w:val="center"/>
            <w:hideMark/>
          </w:tcPr>
          <w:p w14:paraId="019E5BAE"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2019.CSR2.1</w:t>
            </w:r>
            <w:r w:rsidRPr="00B3111E">
              <w:rPr>
                <w:rFonts w:ascii="Arial Narrow" w:eastAsia="Times New Roman" w:hAnsi="Arial Narrow" w:cs="Calibri"/>
                <w:sz w:val="16"/>
                <w:szCs w:val="16"/>
                <w:lang w:eastAsia="sk-SK"/>
              </w:rPr>
              <w:br/>
              <w:t>2020.CSR2.4</w:t>
            </w:r>
            <w:r w:rsidRPr="00B3111E">
              <w:rPr>
                <w:rFonts w:ascii="Arial Narrow" w:eastAsia="Times New Roman" w:hAnsi="Arial Narrow" w:cs="Calibri"/>
                <w:sz w:val="16"/>
                <w:szCs w:val="16"/>
                <w:lang w:eastAsia="sk-SK"/>
              </w:rPr>
              <w:br/>
              <w:t>2020.CSR2.3</w:t>
            </w:r>
            <w:r w:rsidRPr="00B3111E">
              <w:rPr>
                <w:rFonts w:ascii="Arial Narrow" w:eastAsia="Times New Roman" w:hAnsi="Arial Narrow" w:cs="Calibri"/>
                <w:sz w:val="16"/>
                <w:szCs w:val="16"/>
                <w:lang w:eastAsia="sk-SK"/>
              </w:rPr>
              <w:br/>
              <w:t>2024.CSR3.3 (MIP)</w:t>
            </w:r>
            <w:r w:rsidRPr="00B3111E">
              <w:rPr>
                <w:rFonts w:ascii="Arial Narrow" w:eastAsia="Times New Roman" w:hAnsi="Arial Narrow" w:cs="Calibri"/>
                <w:sz w:val="16"/>
                <w:szCs w:val="16"/>
                <w:lang w:eastAsia="sk-SK"/>
              </w:rPr>
              <w:br/>
              <w:t>2024.CSR3.4</w:t>
            </w:r>
            <w:r w:rsidRPr="00B3111E">
              <w:rPr>
                <w:rFonts w:ascii="Arial Narrow" w:eastAsia="Times New Roman" w:hAnsi="Arial Narrow" w:cs="Calibri"/>
                <w:sz w:val="16"/>
                <w:szCs w:val="16"/>
                <w:lang w:eastAsia="sk-SK"/>
              </w:rPr>
              <w:br/>
              <w:t>2024.CSR3.5</w:t>
            </w:r>
          </w:p>
        </w:tc>
        <w:tc>
          <w:tcPr>
            <w:tcW w:w="1562" w:type="dxa"/>
            <w:tcBorders>
              <w:top w:val="nil"/>
              <w:left w:val="nil"/>
              <w:bottom w:val="nil"/>
              <w:right w:val="nil"/>
            </w:tcBorders>
            <w:shd w:val="clear" w:color="auto" w:fill="DEEAF6" w:themeFill="accent5" w:themeFillTint="33"/>
            <w:vAlign w:val="center"/>
            <w:hideMark/>
          </w:tcPr>
          <w:p w14:paraId="332FD6BD"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Posilnenie sociálnej a hospodárskej odolnosti</w:t>
            </w:r>
          </w:p>
        </w:tc>
      </w:tr>
      <w:tr w:rsidR="00C1228B" w:rsidRPr="00B3111E" w14:paraId="5F4B0397" w14:textId="77777777" w:rsidTr="00A22C01">
        <w:trPr>
          <w:trHeight w:val="1693"/>
        </w:trPr>
        <w:tc>
          <w:tcPr>
            <w:tcW w:w="460" w:type="dxa"/>
            <w:tcBorders>
              <w:top w:val="nil"/>
              <w:left w:val="nil"/>
              <w:bottom w:val="nil"/>
              <w:right w:val="nil"/>
            </w:tcBorders>
            <w:shd w:val="clear" w:color="auto" w:fill="auto"/>
            <w:vAlign w:val="center"/>
            <w:hideMark/>
          </w:tcPr>
          <w:p w14:paraId="3D501A08"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18</w:t>
            </w:r>
          </w:p>
        </w:tc>
        <w:tc>
          <w:tcPr>
            <w:tcW w:w="3842" w:type="dxa"/>
            <w:tcBorders>
              <w:top w:val="nil"/>
              <w:left w:val="nil"/>
              <w:bottom w:val="nil"/>
              <w:right w:val="nil"/>
            </w:tcBorders>
            <w:shd w:val="clear" w:color="auto" w:fill="auto"/>
            <w:vAlign w:val="center"/>
            <w:hideMark/>
          </w:tcPr>
          <w:p w14:paraId="45038710" w14:textId="7612A3FB"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Reforma 1</w:t>
            </w:r>
            <w:r w:rsidR="00304C52">
              <w:rPr>
                <w:rFonts w:ascii="Arial Narrow" w:eastAsia="Times New Roman" w:hAnsi="Arial Narrow" w:cs="Calibri"/>
                <w:b/>
                <w:bCs/>
                <w:sz w:val="16"/>
                <w:szCs w:val="16"/>
                <w:lang w:eastAsia="sk-SK"/>
              </w:rPr>
              <w:t>5</w:t>
            </w:r>
            <w:r w:rsidRPr="00B3111E">
              <w:rPr>
                <w:rFonts w:ascii="Arial Narrow" w:eastAsia="Times New Roman" w:hAnsi="Arial Narrow" w:cs="Calibri"/>
                <w:b/>
                <w:bCs/>
                <w:sz w:val="16"/>
                <w:szCs w:val="16"/>
                <w:lang w:eastAsia="sk-SK"/>
              </w:rPr>
              <w:t>: Reforma riadenia, hodnotenia a podpory v oblasti vedy, výskumu a inovácií</w:t>
            </w:r>
          </w:p>
        </w:tc>
        <w:tc>
          <w:tcPr>
            <w:tcW w:w="1051" w:type="dxa"/>
            <w:tcBorders>
              <w:top w:val="nil"/>
              <w:left w:val="nil"/>
              <w:bottom w:val="nil"/>
              <w:right w:val="nil"/>
            </w:tcBorders>
            <w:shd w:val="clear" w:color="auto" w:fill="auto"/>
            <w:vAlign w:val="center"/>
            <w:hideMark/>
          </w:tcPr>
          <w:p w14:paraId="336148B4" w14:textId="129CD3C8"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POO</w:t>
            </w:r>
            <w:r w:rsidR="000A657B">
              <w:rPr>
                <w:rFonts w:ascii="Arial Narrow" w:eastAsia="Times New Roman" w:hAnsi="Arial Narrow" w:cs="Calibri"/>
                <w:sz w:val="16"/>
                <w:szCs w:val="16"/>
                <w:lang w:eastAsia="sk-SK"/>
              </w:rPr>
              <w:br/>
            </w:r>
            <w:r w:rsidR="000A657B" w:rsidRPr="00AC4853">
              <w:rPr>
                <w:rFonts w:ascii="Arial Narrow" w:hAnsi="Arial Narrow"/>
                <w:sz w:val="12"/>
                <w:szCs w:val="12"/>
              </w:rPr>
              <w:t>SK-C[C9]-R[R1]</w:t>
            </w:r>
          </w:p>
        </w:tc>
        <w:tc>
          <w:tcPr>
            <w:tcW w:w="2140" w:type="dxa"/>
            <w:tcBorders>
              <w:top w:val="nil"/>
              <w:left w:val="nil"/>
              <w:bottom w:val="nil"/>
              <w:right w:val="nil"/>
            </w:tcBorders>
            <w:shd w:val="clear" w:color="auto" w:fill="auto"/>
            <w:vAlign w:val="center"/>
            <w:hideMark/>
          </w:tcPr>
          <w:p w14:paraId="362EFDB4"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2019.CSR3.2</w:t>
            </w:r>
            <w:r w:rsidRPr="00B3111E">
              <w:rPr>
                <w:rFonts w:ascii="Arial Narrow" w:eastAsia="Times New Roman" w:hAnsi="Arial Narrow" w:cs="Calibri"/>
                <w:sz w:val="16"/>
                <w:szCs w:val="16"/>
                <w:lang w:eastAsia="sk-SK"/>
              </w:rPr>
              <w:br/>
              <w:t>2019.CSR3.6</w:t>
            </w:r>
            <w:r w:rsidRPr="00B3111E">
              <w:rPr>
                <w:rFonts w:ascii="Arial Narrow" w:eastAsia="Times New Roman" w:hAnsi="Arial Narrow" w:cs="Calibri"/>
                <w:sz w:val="16"/>
                <w:szCs w:val="16"/>
                <w:lang w:eastAsia="sk-SK"/>
              </w:rPr>
              <w:br/>
              <w:t>2020.CSR4.2</w:t>
            </w:r>
            <w:r w:rsidRPr="00B3111E">
              <w:rPr>
                <w:rFonts w:ascii="Arial Narrow" w:eastAsia="Times New Roman" w:hAnsi="Arial Narrow" w:cs="Calibri"/>
                <w:sz w:val="16"/>
                <w:szCs w:val="16"/>
                <w:lang w:eastAsia="sk-SK"/>
              </w:rPr>
              <w:br/>
              <w:t>2024.CSR1.4 (MIP)</w:t>
            </w:r>
            <w:r w:rsidRPr="00B3111E">
              <w:rPr>
                <w:rFonts w:ascii="Arial Narrow" w:eastAsia="Times New Roman" w:hAnsi="Arial Narrow" w:cs="Calibri"/>
                <w:sz w:val="16"/>
                <w:szCs w:val="16"/>
                <w:lang w:eastAsia="sk-SK"/>
              </w:rPr>
              <w:br/>
              <w:t>2024.CSR2.1</w:t>
            </w:r>
            <w:r w:rsidRPr="00B3111E">
              <w:rPr>
                <w:rFonts w:ascii="Arial Narrow" w:eastAsia="Times New Roman" w:hAnsi="Arial Narrow" w:cs="Calibri"/>
                <w:sz w:val="16"/>
                <w:szCs w:val="16"/>
                <w:lang w:eastAsia="sk-SK"/>
              </w:rPr>
              <w:br/>
              <w:t>2024.CSR3.3 (MIP)</w:t>
            </w:r>
          </w:p>
        </w:tc>
        <w:tc>
          <w:tcPr>
            <w:tcW w:w="1562" w:type="dxa"/>
            <w:tcBorders>
              <w:top w:val="nil"/>
              <w:left w:val="nil"/>
              <w:bottom w:val="nil"/>
              <w:right w:val="nil"/>
            </w:tcBorders>
            <w:shd w:val="clear" w:color="auto" w:fill="auto"/>
            <w:vAlign w:val="center"/>
            <w:hideMark/>
          </w:tcPr>
          <w:p w14:paraId="43C7B3D6"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Posilnenie sociálnej a hospodárskej odolnosti</w:t>
            </w:r>
          </w:p>
        </w:tc>
      </w:tr>
      <w:tr w:rsidR="00E26937" w:rsidRPr="00B3111E" w14:paraId="460D2BDC" w14:textId="77777777" w:rsidTr="00E26937">
        <w:trPr>
          <w:trHeight w:val="1576"/>
        </w:trPr>
        <w:tc>
          <w:tcPr>
            <w:tcW w:w="460" w:type="dxa"/>
            <w:tcBorders>
              <w:top w:val="nil"/>
              <w:left w:val="nil"/>
              <w:bottom w:val="nil"/>
              <w:right w:val="nil"/>
            </w:tcBorders>
            <w:shd w:val="clear" w:color="auto" w:fill="DEEAF6" w:themeFill="accent5" w:themeFillTint="33"/>
            <w:vAlign w:val="center"/>
            <w:hideMark/>
          </w:tcPr>
          <w:p w14:paraId="5BD59271"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19</w:t>
            </w:r>
          </w:p>
        </w:tc>
        <w:tc>
          <w:tcPr>
            <w:tcW w:w="3842" w:type="dxa"/>
            <w:tcBorders>
              <w:top w:val="nil"/>
              <w:left w:val="nil"/>
              <w:bottom w:val="nil"/>
              <w:right w:val="nil"/>
            </w:tcBorders>
            <w:shd w:val="clear" w:color="auto" w:fill="DEEAF6" w:themeFill="accent5" w:themeFillTint="33"/>
            <w:vAlign w:val="center"/>
            <w:hideMark/>
          </w:tcPr>
          <w:p w14:paraId="2B5FEA0B" w14:textId="77777777"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Investícia 6:  Podpora spolupráce medzi firmami, akademickým sektorom a výskumnými organizáciami</w:t>
            </w:r>
          </w:p>
        </w:tc>
        <w:tc>
          <w:tcPr>
            <w:tcW w:w="1051" w:type="dxa"/>
            <w:tcBorders>
              <w:top w:val="nil"/>
              <w:left w:val="nil"/>
              <w:bottom w:val="nil"/>
              <w:right w:val="nil"/>
            </w:tcBorders>
            <w:shd w:val="clear" w:color="auto" w:fill="DEEAF6" w:themeFill="accent5" w:themeFillTint="33"/>
            <w:vAlign w:val="center"/>
            <w:hideMark/>
          </w:tcPr>
          <w:p w14:paraId="19A27E8A" w14:textId="3A9A8283"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POO</w:t>
            </w:r>
            <w:r w:rsidR="000A657B">
              <w:rPr>
                <w:rFonts w:ascii="Arial Narrow" w:eastAsia="Times New Roman" w:hAnsi="Arial Narrow" w:cs="Calibri"/>
                <w:sz w:val="16"/>
                <w:szCs w:val="16"/>
                <w:lang w:eastAsia="sk-SK"/>
              </w:rPr>
              <w:br/>
            </w:r>
            <w:r w:rsidR="000A657B" w:rsidRPr="00AC4853">
              <w:rPr>
                <w:rFonts w:ascii="Arial Narrow" w:hAnsi="Arial Narrow"/>
                <w:sz w:val="12"/>
                <w:szCs w:val="12"/>
              </w:rPr>
              <w:t>SK-C[C9]-I[I2]</w:t>
            </w:r>
          </w:p>
        </w:tc>
        <w:tc>
          <w:tcPr>
            <w:tcW w:w="2140" w:type="dxa"/>
            <w:tcBorders>
              <w:top w:val="nil"/>
              <w:left w:val="nil"/>
              <w:bottom w:val="nil"/>
              <w:right w:val="nil"/>
            </w:tcBorders>
            <w:shd w:val="clear" w:color="auto" w:fill="DEEAF6" w:themeFill="accent5" w:themeFillTint="33"/>
            <w:vAlign w:val="center"/>
            <w:hideMark/>
          </w:tcPr>
          <w:p w14:paraId="09DD461C"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2024.CSR3.3 (MIP)</w:t>
            </w:r>
            <w:r w:rsidRPr="00B3111E">
              <w:rPr>
                <w:rFonts w:ascii="Arial Narrow" w:eastAsia="Times New Roman" w:hAnsi="Arial Narrow" w:cs="Calibri"/>
                <w:sz w:val="16"/>
                <w:szCs w:val="16"/>
                <w:lang w:eastAsia="sk-SK"/>
              </w:rPr>
              <w:br/>
              <w:t>2020.CSR3.4</w:t>
            </w:r>
            <w:r w:rsidRPr="00B3111E">
              <w:rPr>
                <w:rFonts w:ascii="Arial Narrow" w:eastAsia="Times New Roman" w:hAnsi="Arial Narrow" w:cs="Calibri"/>
                <w:sz w:val="16"/>
                <w:szCs w:val="16"/>
                <w:lang w:eastAsia="sk-SK"/>
              </w:rPr>
              <w:br/>
              <w:t>2019.CSR3.6</w:t>
            </w:r>
            <w:r w:rsidRPr="00B3111E">
              <w:rPr>
                <w:rFonts w:ascii="Arial Narrow" w:eastAsia="Times New Roman" w:hAnsi="Arial Narrow" w:cs="Calibri"/>
                <w:sz w:val="16"/>
                <w:szCs w:val="16"/>
                <w:lang w:eastAsia="sk-SK"/>
              </w:rPr>
              <w:br/>
              <w:t>2019.CSR3.2</w:t>
            </w:r>
            <w:r w:rsidRPr="00B3111E">
              <w:rPr>
                <w:rFonts w:ascii="Arial Narrow" w:eastAsia="Times New Roman" w:hAnsi="Arial Narrow" w:cs="Calibri"/>
                <w:sz w:val="16"/>
                <w:szCs w:val="16"/>
                <w:lang w:eastAsia="sk-SK"/>
              </w:rPr>
              <w:br/>
              <w:t>2019.CSR3.4</w:t>
            </w:r>
          </w:p>
        </w:tc>
        <w:tc>
          <w:tcPr>
            <w:tcW w:w="1562" w:type="dxa"/>
            <w:tcBorders>
              <w:top w:val="nil"/>
              <w:left w:val="nil"/>
              <w:bottom w:val="nil"/>
              <w:right w:val="nil"/>
            </w:tcBorders>
            <w:shd w:val="clear" w:color="auto" w:fill="DEEAF6" w:themeFill="accent5" w:themeFillTint="33"/>
            <w:vAlign w:val="center"/>
            <w:hideMark/>
          </w:tcPr>
          <w:p w14:paraId="08D748B6"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Posilnenie sociálnej a hospodárskej odolnosti; Spravodlivá digitálna transformácia</w:t>
            </w:r>
          </w:p>
        </w:tc>
      </w:tr>
      <w:tr w:rsidR="00C1228B" w:rsidRPr="00B3111E" w14:paraId="5EEAA1AF" w14:textId="77777777" w:rsidTr="00A22C01">
        <w:trPr>
          <w:trHeight w:val="1432"/>
        </w:trPr>
        <w:tc>
          <w:tcPr>
            <w:tcW w:w="460" w:type="dxa"/>
            <w:tcBorders>
              <w:top w:val="nil"/>
              <w:left w:val="nil"/>
              <w:bottom w:val="nil"/>
              <w:right w:val="nil"/>
            </w:tcBorders>
            <w:shd w:val="clear" w:color="auto" w:fill="auto"/>
            <w:vAlign w:val="center"/>
            <w:hideMark/>
          </w:tcPr>
          <w:p w14:paraId="0258642D"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lastRenderedPageBreak/>
              <w:t>20</w:t>
            </w:r>
          </w:p>
        </w:tc>
        <w:tc>
          <w:tcPr>
            <w:tcW w:w="3842" w:type="dxa"/>
            <w:tcBorders>
              <w:top w:val="nil"/>
              <w:left w:val="nil"/>
              <w:bottom w:val="nil"/>
              <w:right w:val="nil"/>
            </w:tcBorders>
            <w:shd w:val="clear" w:color="auto" w:fill="auto"/>
            <w:vAlign w:val="center"/>
            <w:hideMark/>
          </w:tcPr>
          <w:p w14:paraId="1407D03E" w14:textId="77777777"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Investícia 7: Projekty na riešenie výziev zelenej transformácie</w:t>
            </w:r>
          </w:p>
        </w:tc>
        <w:tc>
          <w:tcPr>
            <w:tcW w:w="1051" w:type="dxa"/>
            <w:tcBorders>
              <w:top w:val="nil"/>
              <w:left w:val="nil"/>
              <w:bottom w:val="nil"/>
              <w:right w:val="nil"/>
            </w:tcBorders>
            <w:shd w:val="clear" w:color="auto" w:fill="auto"/>
            <w:vAlign w:val="center"/>
            <w:hideMark/>
          </w:tcPr>
          <w:p w14:paraId="0ACC8F5B" w14:textId="311F5020"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POO</w:t>
            </w:r>
            <w:r w:rsidR="000A657B">
              <w:rPr>
                <w:rFonts w:ascii="Arial Narrow" w:eastAsia="Times New Roman" w:hAnsi="Arial Narrow" w:cs="Calibri"/>
                <w:sz w:val="16"/>
                <w:szCs w:val="16"/>
                <w:lang w:eastAsia="sk-SK"/>
              </w:rPr>
              <w:br/>
            </w:r>
            <w:r w:rsidR="000A657B" w:rsidRPr="00AC4853">
              <w:rPr>
                <w:rFonts w:ascii="Arial Narrow" w:hAnsi="Arial Narrow"/>
                <w:sz w:val="12"/>
                <w:szCs w:val="12"/>
              </w:rPr>
              <w:t>SK-C[C9]-I[I4]</w:t>
            </w:r>
          </w:p>
        </w:tc>
        <w:tc>
          <w:tcPr>
            <w:tcW w:w="2140" w:type="dxa"/>
            <w:tcBorders>
              <w:top w:val="nil"/>
              <w:left w:val="nil"/>
              <w:bottom w:val="nil"/>
              <w:right w:val="nil"/>
            </w:tcBorders>
            <w:shd w:val="clear" w:color="auto" w:fill="auto"/>
            <w:vAlign w:val="center"/>
            <w:hideMark/>
          </w:tcPr>
          <w:p w14:paraId="64A43C58"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2019.CSR3.2</w:t>
            </w:r>
            <w:r w:rsidRPr="00B3111E">
              <w:rPr>
                <w:rFonts w:ascii="Arial Narrow" w:eastAsia="Times New Roman" w:hAnsi="Arial Narrow" w:cs="Calibri"/>
                <w:sz w:val="16"/>
                <w:szCs w:val="16"/>
                <w:lang w:eastAsia="sk-SK"/>
              </w:rPr>
              <w:br/>
              <w:t>2020.CSR3.5</w:t>
            </w:r>
            <w:r w:rsidRPr="00B3111E">
              <w:rPr>
                <w:rFonts w:ascii="Arial Narrow" w:eastAsia="Times New Roman" w:hAnsi="Arial Narrow" w:cs="Calibri"/>
                <w:sz w:val="16"/>
                <w:szCs w:val="16"/>
                <w:lang w:eastAsia="sk-SK"/>
              </w:rPr>
              <w:br/>
              <w:t>2022.CSR3.1</w:t>
            </w:r>
            <w:r w:rsidRPr="00B3111E">
              <w:rPr>
                <w:rFonts w:ascii="Arial Narrow" w:eastAsia="Times New Roman" w:hAnsi="Arial Narrow" w:cs="Calibri"/>
                <w:sz w:val="16"/>
                <w:szCs w:val="16"/>
                <w:lang w:eastAsia="sk-SK"/>
              </w:rPr>
              <w:br/>
              <w:t>2022.CSR3.4</w:t>
            </w:r>
            <w:r w:rsidRPr="00B3111E">
              <w:rPr>
                <w:rFonts w:ascii="Arial Narrow" w:eastAsia="Times New Roman" w:hAnsi="Arial Narrow" w:cs="Calibri"/>
                <w:sz w:val="16"/>
                <w:szCs w:val="16"/>
                <w:lang w:eastAsia="sk-SK"/>
              </w:rPr>
              <w:br/>
              <w:t>2023.CSR3.1</w:t>
            </w:r>
          </w:p>
        </w:tc>
        <w:tc>
          <w:tcPr>
            <w:tcW w:w="1562" w:type="dxa"/>
            <w:tcBorders>
              <w:top w:val="nil"/>
              <w:left w:val="nil"/>
              <w:bottom w:val="nil"/>
              <w:right w:val="nil"/>
            </w:tcBorders>
            <w:shd w:val="clear" w:color="auto" w:fill="auto"/>
            <w:vAlign w:val="center"/>
            <w:hideMark/>
          </w:tcPr>
          <w:p w14:paraId="0BABF535"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Spravodlivá zelená transformácia</w:t>
            </w:r>
          </w:p>
        </w:tc>
      </w:tr>
      <w:tr w:rsidR="00E26937" w:rsidRPr="00B3111E" w14:paraId="3F2B9F2B" w14:textId="77777777" w:rsidTr="00E26937">
        <w:trPr>
          <w:trHeight w:val="1576"/>
        </w:trPr>
        <w:tc>
          <w:tcPr>
            <w:tcW w:w="460" w:type="dxa"/>
            <w:tcBorders>
              <w:top w:val="nil"/>
              <w:left w:val="nil"/>
              <w:bottom w:val="nil"/>
              <w:right w:val="nil"/>
            </w:tcBorders>
            <w:shd w:val="clear" w:color="auto" w:fill="DEEAF6" w:themeFill="accent5" w:themeFillTint="33"/>
            <w:vAlign w:val="center"/>
            <w:hideMark/>
          </w:tcPr>
          <w:p w14:paraId="6A498F96"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21</w:t>
            </w:r>
          </w:p>
        </w:tc>
        <w:tc>
          <w:tcPr>
            <w:tcW w:w="3842" w:type="dxa"/>
            <w:tcBorders>
              <w:top w:val="nil"/>
              <w:left w:val="nil"/>
              <w:bottom w:val="nil"/>
              <w:right w:val="nil"/>
            </w:tcBorders>
            <w:shd w:val="clear" w:color="auto" w:fill="DEEAF6" w:themeFill="accent5" w:themeFillTint="33"/>
            <w:vAlign w:val="center"/>
            <w:hideMark/>
          </w:tcPr>
          <w:p w14:paraId="2316659B" w14:textId="77777777"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Investícia 8: Výskum a inovácie pre digitálnu transformáciu</w:t>
            </w:r>
          </w:p>
        </w:tc>
        <w:tc>
          <w:tcPr>
            <w:tcW w:w="1051" w:type="dxa"/>
            <w:tcBorders>
              <w:top w:val="nil"/>
              <w:left w:val="nil"/>
              <w:bottom w:val="nil"/>
              <w:right w:val="nil"/>
            </w:tcBorders>
            <w:shd w:val="clear" w:color="auto" w:fill="DEEAF6" w:themeFill="accent5" w:themeFillTint="33"/>
            <w:vAlign w:val="center"/>
            <w:hideMark/>
          </w:tcPr>
          <w:p w14:paraId="2D44A54E" w14:textId="10B5AC30"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POO</w:t>
            </w:r>
            <w:r w:rsidR="000A657B">
              <w:rPr>
                <w:rFonts w:ascii="Arial Narrow" w:eastAsia="Times New Roman" w:hAnsi="Arial Narrow" w:cs="Calibri"/>
                <w:sz w:val="16"/>
                <w:szCs w:val="16"/>
                <w:lang w:eastAsia="sk-SK"/>
              </w:rPr>
              <w:br/>
            </w:r>
            <w:r w:rsidR="000A657B" w:rsidRPr="00AC4853">
              <w:rPr>
                <w:rFonts w:ascii="Arial Narrow" w:hAnsi="Arial Narrow"/>
                <w:sz w:val="12"/>
                <w:szCs w:val="12"/>
              </w:rPr>
              <w:t>SK-C[C9]-I[I5]</w:t>
            </w:r>
          </w:p>
        </w:tc>
        <w:tc>
          <w:tcPr>
            <w:tcW w:w="2140" w:type="dxa"/>
            <w:tcBorders>
              <w:top w:val="nil"/>
              <w:left w:val="nil"/>
              <w:bottom w:val="nil"/>
              <w:right w:val="nil"/>
            </w:tcBorders>
            <w:shd w:val="clear" w:color="auto" w:fill="DEEAF6" w:themeFill="accent5" w:themeFillTint="33"/>
            <w:vAlign w:val="center"/>
            <w:hideMark/>
          </w:tcPr>
          <w:p w14:paraId="3D866B71"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2019.CSR3.2</w:t>
            </w:r>
            <w:r w:rsidRPr="00B3111E">
              <w:rPr>
                <w:rFonts w:ascii="Arial Narrow" w:eastAsia="Times New Roman" w:hAnsi="Arial Narrow" w:cs="Calibri"/>
                <w:sz w:val="16"/>
                <w:szCs w:val="16"/>
                <w:lang w:eastAsia="sk-SK"/>
              </w:rPr>
              <w:br/>
              <w:t>2019.CSR3.4</w:t>
            </w:r>
            <w:r w:rsidRPr="00B3111E">
              <w:rPr>
                <w:rFonts w:ascii="Arial Narrow" w:eastAsia="Times New Roman" w:hAnsi="Arial Narrow" w:cs="Calibri"/>
                <w:sz w:val="16"/>
                <w:szCs w:val="16"/>
                <w:lang w:eastAsia="sk-SK"/>
              </w:rPr>
              <w:br/>
              <w:t>2019.CSR3.6</w:t>
            </w:r>
            <w:r w:rsidRPr="00B3111E">
              <w:rPr>
                <w:rFonts w:ascii="Arial Narrow" w:eastAsia="Times New Roman" w:hAnsi="Arial Narrow" w:cs="Calibri"/>
                <w:sz w:val="16"/>
                <w:szCs w:val="16"/>
                <w:lang w:eastAsia="sk-SK"/>
              </w:rPr>
              <w:br/>
              <w:t>2020.CSR3.5</w:t>
            </w:r>
            <w:r w:rsidRPr="00B3111E">
              <w:rPr>
                <w:rFonts w:ascii="Arial Narrow" w:eastAsia="Times New Roman" w:hAnsi="Arial Narrow" w:cs="Calibri"/>
                <w:sz w:val="16"/>
                <w:szCs w:val="16"/>
                <w:lang w:eastAsia="sk-SK"/>
              </w:rPr>
              <w:br/>
              <w:t>2024.CSR3.3 (MIP)</w:t>
            </w:r>
          </w:p>
        </w:tc>
        <w:tc>
          <w:tcPr>
            <w:tcW w:w="1562" w:type="dxa"/>
            <w:tcBorders>
              <w:top w:val="nil"/>
              <w:left w:val="nil"/>
              <w:bottom w:val="nil"/>
              <w:right w:val="nil"/>
            </w:tcBorders>
            <w:shd w:val="clear" w:color="auto" w:fill="DEEAF6" w:themeFill="accent5" w:themeFillTint="33"/>
            <w:vAlign w:val="center"/>
            <w:hideMark/>
          </w:tcPr>
          <w:p w14:paraId="68D49A2D"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Spravodlivá digitálna transformácia</w:t>
            </w:r>
          </w:p>
        </w:tc>
      </w:tr>
      <w:tr w:rsidR="00C1228B" w:rsidRPr="00B3111E" w14:paraId="60FCB22E" w14:textId="77777777" w:rsidTr="00A22C01">
        <w:trPr>
          <w:trHeight w:val="1303"/>
        </w:trPr>
        <w:tc>
          <w:tcPr>
            <w:tcW w:w="460" w:type="dxa"/>
            <w:tcBorders>
              <w:top w:val="nil"/>
              <w:left w:val="nil"/>
              <w:bottom w:val="nil"/>
              <w:right w:val="nil"/>
            </w:tcBorders>
            <w:shd w:val="clear" w:color="auto" w:fill="auto"/>
            <w:vAlign w:val="center"/>
            <w:hideMark/>
          </w:tcPr>
          <w:p w14:paraId="078600E7"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22</w:t>
            </w:r>
          </w:p>
        </w:tc>
        <w:tc>
          <w:tcPr>
            <w:tcW w:w="3842" w:type="dxa"/>
            <w:tcBorders>
              <w:top w:val="nil"/>
              <w:left w:val="nil"/>
              <w:bottom w:val="nil"/>
              <w:right w:val="nil"/>
            </w:tcBorders>
            <w:shd w:val="clear" w:color="auto" w:fill="auto"/>
            <w:vAlign w:val="center"/>
            <w:hideMark/>
          </w:tcPr>
          <w:p w14:paraId="3ADD4DF3" w14:textId="4429C733"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Reforma 1</w:t>
            </w:r>
            <w:r w:rsidR="00304C52">
              <w:rPr>
                <w:rFonts w:ascii="Arial Narrow" w:eastAsia="Times New Roman" w:hAnsi="Arial Narrow" w:cs="Calibri"/>
                <w:b/>
                <w:bCs/>
                <w:sz w:val="16"/>
                <w:szCs w:val="16"/>
                <w:lang w:eastAsia="sk-SK"/>
              </w:rPr>
              <w:t>6</w:t>
            </w:r>
            <w:r w:rsidRPr="00B3111E">
              <w:rPr>
                <w:rFonts w:ascii="Arial Narrow" w:eastAsia="Times New Roman" w:hAnsi="Arial Narrow" w:cs="Calibri"/>
                <w:b/>
                <w:bCs/>
                <w:sz w:val="16"/>
                <w:szCs w:val="16"/>
                <w:lang w:eastAsia="sk-SK"/>
              </w:rPr>
              <w:t>: Centrálny systém riadenia nemocníc</w:t>
            </w:r>
          </w:p>
        </w:tc>
        <w:tc>
          <w:tcPr>
            <w:tcW w:w="1051" w:type="dxa"/>
            <w:tcBorders>
              <w:top w:val="nil"/>
              <w:left w:val="nil"/>
              <w:bottom w:val="nil"/>
              <w:right w:val="nil"/>
            </w:tcBorders>
            <w:shd w:val="clear" w:color="auto" w:fill="auto"/>
            <w:vAlign w:val="center"/>
            <w:hideMark/>
          </w:tcPr>
          <w:p w14:paraId="57042750" w14:textId="55127D02"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POO</w:t>
            </w:r>
            <w:r w:rsidR="000A657B">
              <w:rPr>
                <w:rFonts w:ascii="Arial Narrow" w:eastAsia="Times New Roman" w:hAnsi="Arial Narrow" w:cs="Calibri"/>
                <w:sz w:val="16"/>
                <w:szCs w:val="16"/>
                <w:lang w:eastAsia="sk-SK"/>
              </w:rPr>
              <w:br/>
            </w:r>
            <w:r w:rsidR="000A657B" w:rsidRPr="00AC4853">
              <w:rPr>
                <w:rFonts w:ascii="Arial Narrow" w:hAnsi="Arial Narrow"/>
                <w:sz w:val="12"/>
                <w:szCs w:val="12"/>
              </w:rPr>
              <w:t>SK-C[C11]-R[R3]</w:t>
            </w:r>
          </w:p>
        </w:tc>
        <w:tc>
          <w:tcPr>
            <w:tcW w:w="2140" w:type="dxa"/>
            <w:tcBorders>
              <w:top w:val="nil"/>
              <w:left w:val="nil"/>
              <w:bottom w:val="nil"/>
              <w:right w:val="nil"/>
            </w:tcBorders>
            <w:shd w:val="clear" w:color="auto" w:fill="auto"/>
            <w:vAlign w:val="center"/>
            <w:hideMark/>
          </w:tcPr>
          <w:p w14:paraId="5564FF34"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2019.CSR1.2</w:t>
            </w:r>
            <w:r w:rsidRPr="00B3111E">
              <w:rPr>
                <w:rFonts w:ascii="Arial Narrow" w:eastAsia="Times New Roman" w:hAnsi="Arial Narrow" w:cs="Calibri"/>
                <w:sz w:val="16"/>
                <w:szCs w:val="16"/>
                <w:lang w:eastAsia="sk-SK"/>
              </w:rPr>
              <w:br/>
              <w:t>2020.CSR1.2</w:t>
            </w:r>
            <w:r w:rsidRPr="00B3111E">
              <w:rPr>
                <w:rFonts w:ascii="Arial Narrow" w:eastAsia="Times New Roman" w:hAnsi="Arial Narrow" w:cs="Calibri"/>
                <w:sz w:val="16"/>
                <w:szCs w:val="16"/>
                <w:lang w:eastAsia="sk-SK"/>
              </w:rPr>
              <w:br/>
              <w:t>2020.CSR1.3</w:t>
            </w:r>
            <w:r w:rsidRPr="00B3111E">
              <w:rPr>
                <w:rFonts w:ascii="Arial Narrow" w:eastAsia="Times New Roman" w:hAnsi="Arial Narrow" w:cs="Calibri"/>
                <w:sz w:val="16"/>
                <w:szCs w:val="16"/>
                <w:lang w:eastAsia="sk-SK"/>
              </w:rPr>
              <w:br/>
              <w:t>2020.CSR4.3</w:t>
            </w:r>
          </w:p>
        </w:tc>
        <w:tc>
          <w:tcPr>
            <w:tcW w:w="1562" w:type="dxa"/>
            <w:tcBorders>
              <w:top w:val="nil"/>
              <w:left w:val="nil"/>
              <w:bottom w:val="nil"/>
              <w:right w:val="nil"/>
            </w:tcBorders>
            <w:shd w:val="clear" w:color="auto" w:fill="auto"/>
            <w:vAlign w:val="center"/>
            <w:hideMark/>
          </w:tcPr>
          <w:p w14:paraId="1E9F513F"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Žiadne</w:t>
            </w:r>
          </w:p>
        </w:tc>
      </w:tr>
      <w:tr w:rsidR="00E26937" w:rsidRPr="00B3111E" w14:paraId="116A8DFC" w14:textId="77777777" w:rsidTr="00E26937">
        <w:trPr>
          <w:trHeight w:val="950"/>
        </w:trPr>
        <w:tc>
          <w:tcPr>
            <w:tcW w:w="460" w:type="dxa"/>
            <w:tcBorders>
              <w:top w:val="nil"/>
              <w:left w:val="nil"/>
              <w:bottom w:val="nil"/>
              <w:right w:val="nil"/>
            </w:tcBorders>
            <w:shd w:val="clear" w:color="auto" w:fill="DEEAF6" w:themeFill="accent5" w:themeFillTint="33"/>
            <w:vAlign w:val="center"/>
            <w:hideMark/>
          </w:tcPr>
          <w:p w14:paraId="594C75D0"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23</w:t>
            </w:r>
          </w:p>
        </w:tc>
        <w:tc>
          <w:tcPr>
            <w:tcW w:w="3842" w:type="dxa"/>
            <w:tcBorders>
              <w:top w:val="nil"/>
              <w:left w:val="nil"/>
              <w:bottom w:val="nil"/>
              <w:right w:val="nil"/>
            </w:tcBorders>
            <w:shd w:val="clear" w:color="auto" w:fill="DEEAF6" w:themeFill="accent5" w:themeFillTint="33"/>
            <w:vAlign w:val="center"/>
            <w:hideMark/>
          </w:tcPr>
          <w:p w14:paraId="65508400" w14:textId="11CBC27A"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Reforma 1</w:t>
            </w:r>
            <w:r w:rsidR="00304C52">
              <w:rPr>
                <w:rFonts w:ascii="Arial Narrow" w:eastAsia="Times New Roman" w:hAnsi="Arial Narrow" w:cs="Calibri"/>
                <w:b/>
                <w:bCs/>
                <w:sz w:val="16"/>
                <w:szCs w:val="16"/>
                <w:lang w:eastAsia="sk-SK"/>
              </w:rPr>
              <w:t>7</w:t>
            </w:r>
            <w:r w:rsidRPr="00B3111E">
              <w:rPr>
                <w:rFonts w:ascii="Arial Narrow" w:eastAsia="Times New Roman" w:hAnsi="Arial Narrow" w:cs="Calibri"/>
                <w:b/>
                <w:bCs/>
                <w:sz w:val="16"/>
                <w:szCs w:val="16"/>
                <w:lang w:eastAsia="sk-SK"/>
              </w:rPr>
              <w:t>: Zavedenie novej siete súdov</w:t>
            </w:r>
          </w:p>
        </w:tc>
        <w:tc>
          <w:tcPr>
            <w:tcW w:w="1051" w:type="dxa"/>
            <w:tcBorders>
              <w:top w:val="nil"/>
              <w:left w:val="nil"/>
              <w:bottom w:val="nil"/>
              <w:right w:val="nil"/>
            </w:tcBorders>
            <w:shd w:val="clear" w:color="auto" w:fill="DEEAF6" w:themeFill="accent5" w:themeFillTint="33"/>
            <w:vAlign w:val="center"/>
            <w:hideMark/>
          </w:tcPr>
          <w:p w14:paraId="5CE4F33A" w14:textId="42CD0FB9"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POO</w:t>
            </w:r>
            <w:r w:rsidR="000A657B">
              <w:rPr>
                <w:rFonts w:ascii="Arial Narrow" w:eastAsia="Times New Roman" w:hAnsi="Arial Narrow" w:cs="Calibri"/>
                <w:sz w:val="16"/>
                <w:szCs w:val="16"/>
                <w:lang w:eastAsia="sk-SK"/>
              </w:rPr>
              <w:br/>
            </w:r>
            <w:r w:rsidR="000A657B" w:rsidRPr="00AC4853">
              <w:rPr>
                <w:rFonts w:ascii="Arial Narrow" w:hAnsi="Arial Narrow"/>
                <w:sz w:val="12"/>
                <w:szCs w:val="12"/>
              </w:rPr>
              <w:t>SK-C[C15]-R[R1]</w:t>
            </w:r>
          </w:p>
        </w:tc>
        <w:tc>
          <w:tcPr>
            <w:tcW w:w="2140" w:type="dxa"/>
            <w:tcBorders>
              <w:top w:val="nil"/>
              <w:left w:val="nil"/>
              <w:bottom w:val="nil"/>
              <w:right w:val="nil"/>
            </w:tcBorders>
            <w:shd w:val="clear" w:color="auto" w:fill="DEEAF6" w:themeFill="accent5" w:themeFillTint="33"/>
            <w:vAlign w:val="center"/>
            <w:hideMark/>
          </w:tcPr>
          <w:p w14:paraId="5653E23E"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2019.CSR4.1</w:t>
            </w:r>
            <w:r w:rsidRPr="00B3111E">
              <w:rPr>
                <w:rFonts w:ascii="Arial Narrow" w:eastAsia="Times New Roman" w:hAnsi="Arial Narrow" w:cs="Calibri"/>
                <w:sz w:val="16"/>
                <w:szCs w:val="16"/>
                <w:lang w:eastAsia="sk-SK"/>
              </w:rPr>
              <w:br/>
              <w:t>2020.CSR4.4</w:t>
            </w:r>
            <w:r w:rsidRPr="00B3111E">
              <w:rPr>
                <w:rFonts w:ascii="Arial Narrow" w:eastAsia="Times New Roman" w:hAnsi="Arial Narrow" w:cs="Calibri"/>
                <w:sz w:val="16"/>
                <w:szCs w:val="16"/>
                <w:lang w:eastAsia="sk-SK"/>
              </w:rPr>
              <w:br/>
              <w:t>2024.CSR3.1</w:t>
            </w:r>
          </w:p>
        </w:tc>
        <w:tc>
          <w:tcPr>
            <w:tcW w:w="1562" w:type="dxa"/>
            <w:tcBorders>
              <w:top w:val="nil"/>
              <w:left w:val="nil"/>
              <w:bottom w:val="nil"/>
              <w:right w:val="nil"/>
            </w:tcBorders>
            <w:shd w:val="clear" w:color="auto" w:fill="DEEAF6" w:themeFill="accent5" w:themeFillTint="33"/>
            <w:vAlign w:val="center"/>
            <w:hideMark/>
          </w:tcPr>
          <w:p w14:paraId="6B1B4D1F"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Žiadne</w:t>
            </w:r>
          </w:p>
        </w:tc>
      </w:tr>
      <w:tr w:rsidR="00C1228B" w:rsidRPr="00B3111E" w14:paraId="2DD3CB17" w14:textId="77777777" w:rsidTr="00A22C01">
        <w:trPr>
          <w:trHeight w:val="976"/>
        </w:trPr>
        <w:tc>
          <w:tcPr>
            <w:tcW w:w="460" w:type="dxa"/>
            <w:tcBorders>
              <w:top w:val="nil"/>
              <w:left w:val="nil"/>
              <w:bottom w:val="nil"/>
              <w:right w:val="nil"/>
            </w:tcBorders>
            <w:shd w:val="clear" w:color="auto" w:fill="auto"/>
            <w:vAlign w:val="center"/>
            <w:hideMark/>
          </w:tcPr>
          <w:p w14:paraId="3FD5A96E"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24</w:t>
            </w:r>
          </w:p>
        </w:tc>
        <w:tc>
          <w:tcPr>
            <w:tcW w:w="3842" w:type="dxa"/>
            <w:tcBorders>
              <w:top w:val="nil"/>
              <w:left w:val="nil"/>
              <w:bottom w:val="nil"/>
              <w:right w:val="nil"/>
            </w:tcBorders>
            <w:shd w:val="clear" w:color="auto" w:fill="auto"/>
            <w:vAlign w:val="center"/>
            <w:hideMark/>
          </w:tcPr>
          <w:p w14:paraId="02D1B33C" w14:textId="77777777"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Investícia 9: Zriadenie centier zdieľaných služieb</w:t>
            </w:r>
          </w:p>
        </w:tc>
        <w:tc>
          <w:tcPr>
            <w:tcW w:w="1051" w:type="dxa"/>
            <w:tcBorders>
              <w:top w:val="nil"/>
              <w:left w:val="nil"/>
              <w:bottom w:val="nil"/>
              <w:right w:val="nil"/>
            </w:tcBorders>
            <w:shd w:val="clear" w:color="auto" w:fill="auto"/>
            <w:vAlign w:val="center"/>
            <w:hideMark/>
          </w:tcPr>
          <w:p w14:paraId="41D5C935" w14:textId="3FEFCEA6"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POO</w:t>
            </w:r>
            <w:r w:rsidR="006D5279">
              <w:rPr>
                <w:rFonts w:ascii="Arial Narrow" w:eastAsia="Times New Roman" w:hAnsi="Arial Narrow" w:cs="Calibri"/>
                <w:sz w:val="16"/>
                <w:szCs w:val="16"/>
                <w:lang w:eastAsia="sk-SK"/>
              </w:rPr>
              <w:t>/EŠIF</w:t>
            </w:r>
            <w:r w:rsidR="000A657B">
              <w:rPr>
                <w:rFonts w:ascii="Arial Narrow" w:eastAsia="Times New Roman" w:hAnsi="Arial Narrow" w:cs="Calibri"/>
                <w:sz w:val="16"/>
                <w:szCs w:val="16"/>
                <w:lang w:eastAsia="sk-SK"/>
              </w:rPr>
              <w:br/>
            </w:r>
            <w:r w:rsidR="000A657B" w:rsidRPr="00BD1D3D">
              <w:rPr>
                <w:rFonts w:ascii="Arial Narrow" w:hAnsi="Arial Narrow"/>
                <w:sz w:val="12"/>
                <w:szCs w:val="12"/>
              </w:rPr>
              <w:t>SK-C[C16]-I[I4]</w:t>
            </w:r>
          </w:p>
        </w:tc>
        <w:tc>
          <w:tcPr>
            <w:tcW w:w="2140" w:type="dxa"/>
            <w:tcBorders>
              <w:top w:val="nil"/>
              <w:left w:val="nil"/>
              <w:bottom w:val="nil"/>
              <w:right w:val="nil"/>
            </w:tcBorders>
            <w:shd w:val="clear" w:color="auto" w:fill="auto"/>
            <w:vAlign w:val="center"/>
            <w:hideMark/>
          </w:tcPr>
          <w:p w14:paraId="4194C9E0"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2020.CSR4.3</w:t>
            </w:r>
            <w:r w:rsidRPr="00B3111E">
              <w:rPr>
                <w:rFonts w:ascii="Arial Narrow" w:eastAsia="Times New Roman" w:hAnsi="Arial Narrow" w:cs="Calibri"/>
                <w:sz w:val="16"/>
                <w:szCs w:val="16"/>
                <w:lang w:eastAsia="sk-SK"/>
              </w:rPr>
              <w:br/>
              <w:t>2024.CSR2.1</w:t>
            </w:r>
            <w:r w:rsidRPr="00B3111E">
              <w:rPr>
                <w:rFonts w:ascii="Arial Narrow" w:eastAsia="Times New Roman" w:hAnsi="Arial Narrow" w:cs="Calibri"/>
                <w:sz w:val="16"/>
                <w:szCs w:val="16"/>
                <w:lang w:eastAsia="sk-SK"/>
              </w:rPr>
              <w:br/>
              <w:t>2024.CSR3.3 (MIP)</w:t>
            </w:r>
          </w:p>
        </w:tc>
        <w:tc>
          <w:tcPr>
            <w:tcW w:w="1562" w:type="dxa"/>
            <w:tcBorders>
              <w:top w:val="nil"/>
              <w:left w:val="nil"/>
              <w:bottom w:val="nil"/>
              <w:right w:val="nil"/>
            </w:tcBorders>
            <w:shd w:val="clear" w:color="auto" w:fill="auto"/>
            <w:vAlign w:val="center"/>
            <w:hideMark/>
          </w:tcPr>
          <w:p w14:paraId="04117C22"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Žiadne</w:t>
            </w:r>
          </w:p>
        </w:tc>
      </w:tr>
      <w:tr w:rsidR="00E26937" w:rsidRPr="00B3111E" w14:paraId="1A3BC1B2" w14:textId="77777777" w:rsidTr="00E26937">
        <w:trPr>
          <w:trHeight w:val="976"/>
        </w:trPr>
        <w:tc>
          <w:tcPr>
            <w:tcW w:w="460" w:type="dxa"/>
            <w:tcBorders>
              <w:top w:val="nil"/>
              <w:left w:val="nil"/>
              <w:bottom w:val="nil"/>
              <w:right w:val="nil"/>
            </w:tcBorders>
            <w:shd w:val="clear" w:color="auto" w:fill="DEEAF6" w:themeFill="accent5" w:themeFillTint="33"/>
            <w:vAlign w:val="center"/>
            <w:hideMark/>
          </w:tcPr>
          <w:p w14:paraId="312307AD"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25</w:t>
            </w:r>
          </w:p>
        </w:tc>
        <w:tc>
          <w:tcPr>
            <w:tcW w:w="3842" w:type="dxa"/>
            <w:tcBorders>
              <w:top w:val="nil"/>
              <w:left w:val="nil"/>
              <w:bottom w:val="nil"/>
              <w:right w:val="nil"/>
            </w:tcBorders>
            <w:shd w:val="clear" w:color="auto" w:fill="DEEAF6" w:themeFill="accent5" w:themeFillTint="33"/>
            <w:vAlign w:val="center"/>
            <w:hideMark/>
          </w:tcPr>
          <w:p w14:paraId="27EA34EA" w14:textId="50F078B8"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Reforma 1</w:t>
            </w:r>
            <w:r w:rsidR="00304C52">
              <w:rPr>
                <w:rFonts w:ascii="Arial Narrow" w:eastAsia="Times New Roman" w:hAnsi="Arial Narrow" w:cs="Calibri"/>
                <w:b/>
                <w:bCs/>
                <w:sz w:val="16"/>
                <w:szCs w:val="16"/>
                <w:lang w:eastAsia="sk-SK"/>
              </w:rPr>
              <w:t>8</w:t>
            </w:r>
            <w:r w:rsidRPr="00B3111E">
              <w:rPr>
                <w:rFonts w:ascii="Arial Narrow" w:eastAsia="Times New Roman" w:hAnsi="Arial Narrow" w:cs="Calibri"/>
                <w:b/>
                <w:bCs/>
                <w:sz w:val="16"/>
                <w:szCs w:val="16"/>
                <w:lang w:eastAsia="sk-SK"/>
              </w:rPr>
              <w:t>: Digitálne trhovisko</w:t>
            </w:r>
          </w:p>
        </w:tc>
        <w:tc>
          <w:tcPr>
            <w:tcW w:w="1051" w:type="dxa"/>
            <w:tcBorders>
              <w:top w:val="nil"/>
              <w:left w:val="nil"/>
              <w:bottom w:val="nil"/>
              <w:right w:val="nil"/>
            </w:tcBorders>
            <w:shd w:val="clear" w:color="auto" w:fill="DEEAF6" w:themeFill="accent5" w:themeFillTint="33"/>
            <w:vAlign w:val="center"/>
            <w:hideMark/>
          </w:tcPr>
          <w:p w14:paraId="5EFCD045" w14:textId="65EB241D"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POO</w:t>
            </w:r>
            <w:r w:rsidR="000A657B">
              <w:rPr>
                <w:rFonts w:ascii="Arial Narrow" w:eastAsia="Times New Roman" w:hAnsi="Arial Narrow" w:cs="Calibri"/>
                <w:sz w:val="16"/>
                <w:szCs w:val="16"/>
                <w:lang w:eastAsia="sk-SK"/>
              </w:rPr>
              <w:br/>
            </w:r>
            <w:r w:rsidR="000A657B" w:rsidRPr="00AC4853">
              <w:rPr>
                <w:rFonts w:ascii="Arial Narrow" w:hAnsi="Arial Narrow"/>
                <w:sz w:val="12"/>
                <w:szCs w:val="12"/>
              </w:rPr>
              <w:t>SK-C[C17]-R[R2]</w:t>
            </w:r>
          </w:p>
        </w:tc>
        <w:tc>
          <w:tcPr>
            <w:tcW w:w="2140" w:type="dxa"/>
            <w:tcBorders>
              <w:top w:val="nil"/>
              <w:left w:val="nil"/>
              <w:bottom w:val="nil"/>
              <w:right w:val="nil"/>
            </w:tcBorders>
            <w:shd w:val="clear" w:color="auto" w:fill="DEEAF6" w:themeFill="accent5" w:themeFillTint="33"/>
            <w:vAlign w:val="center"/>
            <w:hideMark/>
          </w:tcPr>
          <w:p w14:paraId="23CECA0C"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2019.CSR3.4</w:t>
            </w:r>
            <w:r w:rsidRPr="00B3111E">
              <w:rPr>
                <w:rFonts w:ascii="Arial Narrow" w:eastAsia="Times New Roman" w:hAnsi="Arial Narrow" w:cs="Calibri"/>
                <w:sz w:val="16"/>
                <w:szCs w:val="16"/>
                <w:lang w:eastAsia="sk-SK"/>
              </w:rPr>
              <w:br/>
              <w:t>2020.CSR4.3</w:t>
            </w:r>
            <w:r w:rsidRPr="00B3111E">
              <w:rPr>
                <w:rFonts w:ascii="Arial Narrow" w:eastAsia="Times New Roman" w:hAnsi="Arial Narrow" w:cs="Calibri"/>
                <w:sz w:val="16"/>
                <w:szCs w:val="16"/>
                <w:lang w:eastAsia="sk-SK"/>
              </w:rPr>
              <w:br/>
              <w:t>2020.CSR3.2</w:t>
            </w:r>
          </w:p>
        </w:tc>
        <w:tc>
          <w:tcPr>
            <w:tcW w:w="1562" w:type="dxa"/>
            <w:tcBorders>
              <w:top w:val="nil"/>
              <w:left w:val="nil"/>
              <w:bottom w:val="nil"/>
              <w:right w:val="nil"/>
            </w:tcBorders>
            <w:shd w:val="clear" w:color="auto" w:fill="DEEAF6" w:themeFill="accent5" w:themeFillTint="33"/>
            <w:vAlign w:val="center"/>
            <w:hideMark/>
          </w:tcPr>
          <w:p w14:paraId="4F2A062D"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Spravodlivá digitálna transformácia</w:t>
            </w:r>
          </w:p>
        </w:tc>
      </w:tr>
      <w:tr w:rsidR="00C1228B" w:rsidRPr="00B3111E" w14:paraId="43185739" w14:textId="77777777" w:rsidTr="00A22C01">
        <w:trPr>
          <w:trHeight w:val="1641"/>
        </w:trPr>
        <w:tc>
          <w:tcPr>
            <w:tcW w:w="460" w:type="dxa"/>
            <w:tcBorders>
              <w:top w:val="nil"/>
              <w:left w:val="nil"/>
              <w:bottom w:val="nil"/>
              <w:right w:val="nil"/>
            </w:tcBorders>
            <w:shd w:val="clear" w:color="auto" w:fill="auto"/>
            <w:vAlign w:val="center"/>
            <w:hideMark/>
          </w:tcPr>
          <w:p w14:paraId="018278DF"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26</w:t>
            </w:r>
          </w:p>
        </w:tc>
        <w:tc>
          <w:tcPr>
            <w:tcW w:w="3842" w:type="dxa"/>
            <w:tcBorders>
              <w:top w:val="nil"/>
              <w:left w:val="nil"/>
              <w:bottom w:val="nil"/>
              <w:right w:val="nil"/>
            </w:tcBorders>
            <w:shd w:val="clear" w:color="auto" w:fill="auto"/>
            <w:vAlign w:val="center"/>
            <w:hideMark/>
          </w:tcPr>
          <w:p w14:paraId="0563C720" w14:textId="77777777"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Investícia 10:  Investície do modernizácie distribučných systémov</w:t>
            </w:r>
          </w:p>
        </w:tc>
        <w:tc>
          <w:tcPr>
            <w:tcW w:w="1051" w:type="dxa"/>
            <w:tcBorders>
              <w:top w:val="nil"/>
              <w:left w:val="nil"/>
              <w:bottom w:val="nil"/>
              <w:right w:val="nil"/>
            </w:tcBorders>
            <w:shd w:val="clear" w:color="auto" w:fill="auto"/>
            <w:vAlign w:val="center"/>
            <w:hideMark/>
          </w:tcPr>
          <w:p w14:paraId="5FDACE5F" w14:textId="74A266B9"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POO</w:t>
            </w:r>
            <w:r w:rsidR="000A657B">
              <w:rPr>
                <w:rFonts w:ascii="Arial Narrow" w:eastAsia="Times New Roman" w:hAnsi="Arial Narrow" w:cs="Calibri"/>
                <w:sz w:val="16"/>
                <w:szCs w:val="16"/>
                <w:lang w:eastAsia="sk-SK"/>
              </w:rPr>
              <w:br/>
            </w:r>
            <w:r w:rsidR="000A657B" w:rsidRPr="00BD1D3D">
              <w:rPr>
                <w:rFonts w:ascii="Arial Narrow" w:hAnsi="Arial Narrow"/>
                <w:sz w:val="12"/>
                <w:szCs w:val="12"/>
              </w:rPr>
              <w:t>SK-C[C19]-I[I1]</w:t>
            </w:r>
          </w:p>
        </w:tc>
        <w:tc>
          <w:tcPr>
            <w:tcW w:w="2140" w:type="dxa"/>
            <w:tcBorders>
              <w:top w:val="nil"/>
              <w:left w:val="nil"/>
              <w:bottom w:val="nil"/>
              <w:right w:val="nil"/>
            </w:tcBorders>
            <w:shd w:val="clear" w:color="auto" w:fill="auto"/>
            <w:vAlign w:val="center"/>
            <w:hideMark/>
          </w:tcPr>
          <w:p w14:paraId="682BFD3E"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2020.CSR3.5</w:t>
            </w:r>
            <w:r w:rsidRPr="00B3111E">
              <w:rPr>
                <w:rFonts w:ascii="Arial Narrow" w:eastAsia="Times New Roman" w:hAnsi="Arial Narrow" w:cs="Calibri"/>
                <w:sz w:val="16"/>
                <w:szCs w:val="16"/>
                <w:lang w:eastAsia="sk-SK"/>
              </w:rPr>
              <w:br/>
              <w:t xml:space="preserve">2022.CSR3.1 </w:t>
            </w:r>
            <w:r w:rsidRPr="00B3111E">
              <w:rPr>
                <w:rFonts w:ascii="Arial Narrow" w:eastAsia="Times New Roman" w:hAnsi="Arial Narrow" w:cs="Calibri"/>
                <w:sz w:val="16"/>
                <w:szCs w:val="16"/>
                <w:lang w:eastAsia="sk-SK"/>
              </w:rPr>
              <w:br/>
              <w:t xml:space="preserve">2022.CSR3.2 </w:t>
            </w:r>
            <w:r w:rsidRPr="00B3111E">
              <w:rPr>
                <w:rFonts w:ascii="Arial Narrow" w:eastAsia="Times New Roman" w:hAnsi="Arial Narrow" w:cs="Calibri"/>
                <w:sz w:val="16"/>
                <w:szCs w:val="16"/>
                <w:lang w:eastAsia="sk-SK"/>
              </w:rPr>
              <w:br/>
              <w:t>2022.CSR3.3</w:t>
            </w:r>
            <w:r w:rsidRPr="00B3111E">
              <w:rPr>
                <w:rFonts w:ascii="Arial Narrow" w:eastAsia="Times New Roman" w:hAnsi="Arial Narrow" w:cs="Calibri"/>
                <w:sz w:val="16"/>
                <w:szCs w:val="16"/>
                <w:lang w:eastAsia="sk-SK"/>
              </w:rPr>
              <w:br/>
              <w:t xml:space="preserve">2023.CSR3.4 </w:t>
            </w:r>
            <w:r w:rsidRPr="00B3111E">
              <w:rPr>
                <w:rFonts w:ascii="Arial Narrow" w:eastAsia="Times New Roman" w:hAnsi="Arial Narrow" w:cs="Calibri"/>
                <w:sz w:val="16"/>
                <w:szCs w:val="16"/>
                <w:lang w:eastAsia="sk-SK"/>
              </w:rPr>
              <w:br/>
              <w:t>2023.CSR3.1</w:t>
            </w:r>
          </w:p>
        </w:tc>
        <w:tc>
          <w:tcPr>
            <w:tcW w:w="1562" w:type="dxa"/>
            <w:tcBorders>
              <w:top w:val="nil"/>
              <w:left w:val="nil"/>
              <w:bottom w:val="nil"/>
              <w:right w:val="nil"/>
            </w:tcBorders>
            <w:shd w:val="clear" w:color="auto" w:fill="auto"/>
            <w:vAlign w:val="center"/>
            <w:hideMark/>
          </w:tcPr>
          <w:p w14:paraId="7A9F0F3B"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Zabezpečenie energetickej bezpečnosti</w:t>
            </w:r>
          </w:p>
        </w:tc>
      </w:tr>
      <w:tr w:rsidR="00E26937" w:rsidRPr="00B3111E" w14:paraId="2E8A1F18" w14:textId="77777777" w:rsidTr="00E26937">
        <w:trPr>
          <w:trHeight w:val="2097"/>
        </w:trPr>
        <w:tc>
          <w:tcPr>
            <w:tcW w:w="460" w:type="dxa"/>
            <w:tcBorders>
              <w:top w:val="nil"/>
              <w:left w:val="nil"/>
              <w:bottom w:val="nil"/>
              <w:right w:val="nil"/>
            </w:tcBorders>
            <w:shd w:val="clear" w:color="auto" w:fill="DEEAF6" w:themeFill="accent5" w:themeFillTint="33"/>
            <w:vAlign w:val="center"/>
            <w:hideMark/>
          </w:tcPr>
          <w:p w14:paraId="17D70B3D"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27</w:t>
            </w:r>
          </w:p>
        </w:tc>
        <w:tc>
          <w:tcPr>
            <w:tcW w:w="3842" w:type="dxa"/>
            <w:tcBorders>
              <w:top w:val="nil"/>
              <w:left w:val="nil"/>
              <w:bottom w:val="nil"/>
              <w:right w:val="nil"/>
            </w:tcBorders>
            <w:shd w:val="clear" w:color="auto" w:fill="DEEAF6" w:themeFill="accent5" w:themeFillTint="33"/>
            <w:vAlign w:val="center"/>
            <w:hideMark/>
          </w:tcPr>
          <w:p w14:paraId="2FD6DB5C" w14:textId="77777777" w:rsidR="00C1228B" w:rsidRPr="00B3111E" w:rsidRDefault="00C1228B" w:rsidP="00616580">
            <w:pPr>
              <w:spacing w:after="0" w:line="240" w:lineRule="auto"/>
              <w:rPr>
                <w:rFonts w:ascii="Arial Narrow" w:eastAsia="Times New Roman" w:hAnsi="Arial Narrow" w:cs="Calibri"/>
                <w:b/>
                <w:bCs/>
                <w:sz w:val="16"/>
                <w:szCs w:val="16"/>
                <w:lang w:eastAsia="sk-SK"/>
              </w:rPr>
            </w:pPr>
            <w:r w:rsidRPr="00B3111E">
              <w:rPr>
                <w:rFonts w:ascii="Arial Narrow" w:eastAsia="Times New Roman" w:hAnsi="Arial Narrow" w:cs="Calibri"/>
                <w:b/>
                <w:bCs/>
                <w:sz w:val="16"/>
                <w:szCs w:val="16"/>
                <w:lang w:eastAsia="sk-SK"/>
              </w:rPr>
              <w:t>Investícia 11: Obnova domov pre energeticky chudobné domácnosti</w:t>
            </w:r>
          </w:p>
        </w:tc>
        <w:tc>
          <w:tcPr>
            <w:tcW w:w="1051" w:type="dxa"/>
            <w:tcBorders>
              <w:top w:val="nil"/>
              <w:left w:val="nil"/>
              <w:bottom w:val="nil"/>
              <w:right w:val="nil"/>
            </w:tcBorders>
            <w:shd w:val="clear" w:color="auto" w:fill="DEEAF6" w:themeFill="accent5" w:themeFillTint="33"/>
            <w:vAlign w:val="center"/>
            <w:hideMark/>
          </w:tcPr>
          <w:p w14:paraId="60AA14BD" w14:textId="0E384E11"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POO</w:t>
            </w:r>
            <w:r w:rsidR="000A657B">
              <w:rPr>
                <w:rFonts w:ascii="Arial Narrow" w:eastAsia="Times New Roman" w:hAnsi="Arial Narrow" w:cs="Calibri"/>
                <w:sz w:val="16"/>
                <w:szCs w:val="16"/>
                <w:lang w:eastAsia="sk-SK"/>
              </w:rPr>
              <w:br/>
            </w:r>
            <w:r w:rsidR="000A657B" w:rsidRPr="00BD1D3D">
              <w:rPr>
                <w:rFonts w:ascii="Arial Narrow" w:hAnsi="Arial Narrow"/>
                <w:sz w:val="12"/>
                <w:szCs w:val="12"/>
              </w:rPr>
              <w:t>SK-C[C19]-I[I4]</w:t>
            </w:r>
          </w:p>
        </w:tc>
        <w:tc>
          <w:tcPr>
            <w:tcW w:w="2140" w:type="dxa"/>
            <w:tcBorders>
              <w:top w:val="nil"/>
              <w:left w:val="nil"/>
              <w:bottom w:val="nil"/>
              <w:right w:val="nil"/>
            </w:tcBorders>
            <w:shd w:val="clear" w:color="auto" w:fill="DEEAF6" w:themeFill="accent5" w:themeFillTint="33"/>
            <w:vAlign w:val="center"/>
            <w:hideMark/>
          </w:tcPr>
          <w:p w14:paraId="77EA78F7" w14:textId="77777777"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2019.CSR3.5</w:t>
            </w:r>
            <w:r w:rsidRPr="00B3111E">
              <w:rPr>
                <w:rFonts w:ascii="Arial Narrow" w:eastAsia="Times New Roman" w:hAnsi="Arial Narrow" w:cs="Calibri"/>
                <w:sz w:val="16"/>
                <w:szCs w:val="16"/>
                <w:lang w:eastAsia="sk-SK"/>
              </w:rPr>
              <w:br/>
              <w:t>2020.CSR3.5</w:t>
            </w:r>
            <w:r w:rsidRPr="00B3111E">
              <w:rPr>
                <w:rFonts w:ascii="Arial Narrow" w:eastAsia="Times New Roman" w:hAnsi="Arial Narrow" w:cs="Calibri"/>
                <w:sz w:val="16"/>
                <w:szCs w:val="16"/>
                <w:lang w:eastAsia="sk-SK"/>
              </w:rPr>
              <w:br/>
              <w:t>2022.CSR3.5</w:t>
            </w:r>
            <w:r w:rsidRPr="00B3111E">
              <w:rPr>
                <w:rFonts w:ascii="Arial Narrow" w:eastAsia="Times New Roman" w:hAnsi="Arial Narrow" w:cs="Calibri"/>
                <w:sz w:val="16"/>
                <w:szCs w:val="16"/>
                <w:lang w:eastAsia="sk-SK"/>
              </w:rPr>
              <w:br/>
              <w:t>2022.CSR3.1</w:t>
            </w:r>
            <w:r w:rsidRPr="00B3111E">
              <w:rPr>
                <w:rFonts w:ascii="Arial Narrow" w:eastAsia="Times New Roman" w:hAnsi="Arial Narrow" w:cs="Calibri"/>
                <w:sz w:val="16"/>
                <w:szCs w:val="16"/>
                <w:lang w:eastAsia="sk-SK"/>
              </w:rPr>
              <w:br/>
              <w:t xml:space="preserve">2023.CSR3.6 </w:t>
            </w:r>
            <w:r w:rsidRPr="00B3111E">
              <w:rPr>
                <w:rFonts w:ascii="Arial Narrow" w:eastAsia="Times New Roman" w:hAnsi="Arial Narrow" w:cs="Calibri"/>
                <w:sz w:val="16"/>
                <w:szCs w:val="16"/>
                <w:lang w:eastAsia="sk-SK"/>
              </w:rPr>
              <w:br/>
              <w:t xml:space="preserve">2023.CSR3.1 </w:t>
            </w:r>
            <w:r w:rsidRPr="00B3111E">
              <w:rPr>
                <w:rFonts w:ascii="Arial Narrow" w:eastAsia="Times New Roman" w:hAnsi="Arial Narrow" w:cs="Calibri"/>
                <w:sz w:val="16"/>
                <w:szCs w:val="16"/>
                <w:lang w:eastAsia="sk-SK"/>
              </w:rPr>
              <w:br/>
              <w:t>2023.CSR3.5</w:t>
            </w:r>
          </w:p>
        </w:tc>
        <w:tc>
          <w:tcPr>
            <w:tcW w:w="1562" w:type="dxa"/>
            <w:tcBorders>
              <w:top w:val="nil"/>
              <w:left w:val="nil"/>
              <w:bottom w:val="nil"/>
              <w:right w:val="nil"/>
            </w:tcBorders>
            <w:shd w:val="clear" w:color="auto" w:fill="DEEAF6" w:themeFill="accent5" w:themeFillTint="33"/>
            <w:vAlign w:val="center"/>
            <w:hideMark/>
          </w:tcPr>
          <w:p w14:paraId="792F818E" w14:textId="5B33DE83" w:rsidR="00C1228B" w:rsidRPr="00B3111E" w:rsidRDefault="00C1228B" w:rsidP="00616580">
            <w:pPr>
              <w:spacing w:after="0" w:line="240" w:lineRule="auto"/>
              <w:jc w:val="center"/>
              <w:rPr>
                <w:rFonts w:ascii="Arial Narrow" w:eastAsia="Times New Roman" w:hAnsi="Arial Narrow" w:cs="Calibri"/>
                <w:sz w:val="16"/>
                <w:szCs w:val="16"/>
                <w:lang w:eastAsia="sk-SK"/>
              </w:rPr>
            </w:pPr>
            <w:r w:rsidRPr="00B3111E">
              <w:rPr>
                <w:rFonts w:ascii="Arial Narrow" w:eastAsia="Times New Roman" w:hAnsi="Arial Narrow" w:cs="Calibri"/>
                <w:sz w:val="16"/>
                <w:szCs w:val="16"/>
                <w:lang w:eastAsia="sk-SK"/>
              </w:rPr>
              <w:t xml:space="preserve">Posilnenie sociálnej a hospodárskej odolnosti; </w:t>
            </w:r>
            <w:r w:rsidR="00BB23DB">
              <w:rPr>
                <w:rFonts w:ascii="Arial Narrow" w:eastAsia="Times New Roman" w:hAnsi="Arial Narrow" w:cs="Calibri"/>
                <w:sz w:val="16"/>
                <w:szCs w:val="16"/>
                <w:lang w:eastAsia="sk-SK"/>
              </w:rPr>
              <w:t>S</w:t>
            </w:r>
            <w:r w:rsidRPr="00B3111E">
              <w:rPr>
                <w:rFonts w:ascii="Arial Narrow" w:eastAsia="Times New Roman" w:hAnsi="Arial Narrow" w:cs="Calibri"/>
                <w:sz w:val="16"/>
                <w:szCs w:val="16"/>
                <w:lang w:eastAsia="sk-SK"/>
              </w:rPr>
              <w:t>pravodlivá zelená transformácia</w:t>
            </w:r>
          </w:p>
        </w:tc>
      </w:tr>
    </w:tbl>
    <w:p w14:paraId="03D7B4F6" w14:textId="6FEC3C53" w:rsidR="00C1228B" w:rsidRDefault="00E26937" w:rsidP="00A22C01">
      <w:pPr>
        <w:widowControl w:val="0"/>
        <w:spacing w:before="40" w:after="40"/>
        <w:ind w:left="7080" w:right="-851"/>
        <w:jc w:val="center"/>
        <w:rPr>
          <w:rFonts w:ascii="Arial Narrow" w:eastAsia="Times New Roman" w:hAnsi="Arial Narrow"/>
          <w:b/>
          <w:bCs/>
        </w:rPr>
      </w:pPr>
      <w:r>
        <w:rPr>
          <w:rFonts w:ascii="Arial Narrow" w:eastAsia="NeueHaasGroteskText W02" w:hAnsi="Arial Narrow" w:cs="Arial"/>
          <w:i/>
          <w:iCs/>
          <w:color w:val="000000" w:themeColor="text1"/>
          <w:sz w:val="16"/>
          <w:szCs w:val="16"/>
          <w:u w:color="2C9ADC"/>
        </w:rPr>
        <w:t xml:space="preserve">               </w:t>
      </w:r>
      <w:r w:rsidR="00D62E8F" w:rsidRPr="00135823">
        <w:rPr>
          <w:rFonts w:ascii="Arial Narrow" w:eastAsia="NeueHaasGroteskText W02" w:hAnsi="Arial Narrow" w:cs="Arial"/>
          <w:i/>
          <w:iCs/>
          <w:color w:val="000000" w:themeColor="text1"/>
          <w:sz w:val="16"/>
          <w:szCs w:val="16"/>
          <w:u w:color="2C9ADC"/>
        </w:rPr>
        <w:t xml:space="preserve">Zdroj: </w:t>
      </w:r>
      <w:r w:rsidR="00D62E8F">
        <w:rPr>
          <w:rFonts w:ascii="Arial Narrow" w:eastAsia="NeueHaasGroteskText W02" w:hAnsi="Arial Narrow" w:cs="Arial"/>
          <w:i/>
          <w:iCs/>
          <w:color w:val="000000" w:themeColor="text1"/>
          <w:sz w:val="16"/>
          <w:szCs w:val="16"/>
          <w:u w:color="2C9ADC"/>
        </w:rPr>
        <w:t>MF SR</w:t>
      </w:r>
    </w:p>
    <w:p w14:paraId="74237425" w14:textId="58C156C7" w:rsidR="00C1228B" w:rsidRDefault="00E26937" w:rsidP="00A22C01">
      <w:pPr>
        <w:rPr>
          <w:rFonts w:ascii="Arial Narrow" w:eastAsia="Times New Roman" w:hAnsi="Arial Narrow"/>
          <w:b/>
          <w:bCs/>
        </w:rPr>
      </w:pPr>
      <w:r>
        <w:rPr>
          <w:rFonts w:ascii="Arial Narrow" w:eastAsia="Times New Roman" w:hAnsi="Arial Narrow"/>
          <w:b/>
          <w:bCs/>
        </w:rPr>
        <w:br w:type="page"/>
      </w:r>
    </w:p>
    <w:p w14:paraId="69BA5E06" w14:textId="6A9188BA" w:rsidR="00C1228B" w:rsidRDefault="00D476B6" w:rsidP="00C1228B">
      <w:pPr>
        <w:spacing w:after="0" w:line="276" w:lineRule="auto"/>
        <w:jc w:val="both"/>
        <w:rPr>
          <w:rFonts w:ascii="Arial Narrow" w:eastAsia="Times New Roman" w:hAnsi="Arial Narrow"/>
          <w:b/>
          <w:bCs/>
        </w:rPr>
      </w:pPr>
      <w:r w:rsidRPr="00B3111E">
        <w:rPr>
          <w:rFonts w:ascii="Arial Narrow" w:eastAsia="Times New Roman" w:hAnsi="Arial Narrow" w:cs="Calibri"/>
          <w:b/>
          <w:bCs/>
          <w:color w:val="2C9ADC"/>
          <w:sz w:val="18"/>
          <w:szCs w:val="18"/>
          <w:lang w:eastAsia="sk-SK"/>
        </w:rPr>
        <w:lastRenderedPageBreak/>
        <w:t xml:space="preserve">TABUĽKA </w:t>
      </w:r>
      <w:r>
        <w:rPr>
          <w:rFonts w:ascii="Arial Narrow" w:eastAsia="Times New Roman" w:hAnsi="Arial Narrow" w:cs="Calibri"/>
          <w:b/>
          <w:bCs/>
          <w:color w:val="2C9ADC"/>
          <w:sz w:val="18"/>
          <w:szCs w:val="18"/>
          <w:lang w:eastAsia="sk-SK"/>
        </w:rPr>
        <w:t>10</w:t>
      </w:r>
      <w:r w:rsidRPr="00B3111E">
        <w:rPr>
          <w:rFonts w:ascii="Arial Narrow" w:eastAsia="Times New Roman" w:hAnsi="Arial Narrow" w:cs="Calibri"/>
          <w:b/>
          <w:bCs/>
          <w:color w:val="2C9ADC"/>
          <w:sz w:val="18"/>
          <w:szCs w:val="18"/>
          <w:lang w:eastAsia="sk-SK"/>
        </w:rPr>
        <w:t xml:space="preserve"> – </w:t>
      </w:r>
      <w:r>
        <w:rPr>
          <w:rFonts w:ascii="Arial Narrow" w:eastAsia="Times New Roman" w:hAnsi="Arial Narrow" w:cs="Calibri"/>
          <w:b/>
          <w:bCs/>
          <w:color w:val="2C9ADC"/>
          <w:sz w:val="18"/>
          <w:szCs w:val="18"/>
          <w:lang w:eastAsia="sk-SK"/>
        </w:rPr>
        <w:t>Investičné potreby</w:t>
      </w:r>
    </w:p>
    <w:tbl>
      <w:tblPr>
        <w:tblStyle w:val="Mriekatabuky"/>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520"/>
      </w:tblGrid>
      <w:tr w:rsidR="00A11A4C" w:rsidRPr="000D09AE" w14:paraId="39F62525" w14:textId="77777777" w:rsidTr="00A22C01">
        <w:trPr>
          <w:trHeight w:val="422"/>
        </w:trPr>
        <w:tc>
          <w:tcPr>
            <w:tcW w:w="2689" w:type="dxa"/>
            <w:tcBorders>
              <w:top w:val="single" w:sz="6" w:space="0" w:color="auto"/>
              <w:bottom w:val="single" w:sz="6" w:space="0" w:color="auto"/>
            </w:tcBorders>
            <w:shd w:val="clear" w:color="auto" w:fill="auto"/>
            <w:vAlign w:val="center"/>
            <w:hideMark/>
          </w:tcPr>
          <w:p w14:paraId="490353DA" w14:textId="77777777" w:rsidR="00D476B6" w:rsidRPr="00A22C01" w:rsidRDefault="00D476B6" w:rsidP="00ED2945">
            <w:pPr>
              <w:jc w:val="center"/>
              <w:rPr>
                <w:rFonts w:ascii="Arial Narrow" w:hAnsi="Arial Narrow"/>
                <w:b/>
                <w:color w:val="000000" w:themeColor="text1"/>
                <w:sz w:val="18"/>
                <w:szCs w:val="20"/>
              </w:rPr>
            </w:pPr>
            <w:r w:rsidRPr="00A22C01">
              <w:rPr>
                <w:rFonts w:ascii="Arial Narrow" w:hAnsi="Arial Narrow"/>
                <w:b/>
                <w:color w:val="000000" w:themeColor="text1"/>
                <w:sz w:val="18"/>
                <w:szCs w:val="20"/>
              </w:rPr>
              <w:t>Spoločné priority</w:t>
            </w:r>
          </w:p>
        </w:tc>
        <w:tc>
          <w:tcPr>
            <w:tcW w:w="6520" w:type="dxa"/>
            <w:tcBorders>
              <w:top w:val="single" w:sz="6" w:space="0" w:color="auto"/>
              <w:bottom w:val="single" w:sz="6" w:space="0" w:color="auto"/>
            </w:tcBorders>
            <w:shd w:val="clear" w:color="auto" w:fill="auto"/>
            <w:vAlign w:val="center"/>
            <w:hideMark/>
          </w:tcPr>
          <w:p w14:paraId="1FB4B34E" w14:textId="77777777" w:rsidR="00D476B6" w:rsidRPr="00A22C01" w:rsidRDefault="00D476B6" w:rsidP="00ED2945">
            <w:pPr>
              <w:jc w:val="center"/>
              <w:rPr>
                <w:rFonts w:ascii="Arial Narrow" w:hAnsi="Arial Narrow"/>
                <w:b/>
                <w:color w:val="000000" w:themeColor="text1"/>
                <w:sz w:val="18"/>
                <w:szCs w:val="20"/>
              </w:rPr>
            </w:pPr>
            <w:r w:rsidRPr="00A22C01">
              <w:rPr>
                <w:rFonts w:ascii="Arial Narrow" w:hAnsi="Arial Narrow"/>
                <w:b/>
                <w:color w:val="000000" w:themeColor="text1"/>
                <w:sz w:val="18"/>
                <w:szCs w:val="20"/>
              </w:rPr>
              <w:t>Opis investičných potrieb</w:t>
            </w:r>
          </w:p>
        </w:tc>
      </w:tr>
      <w:tr w:rsidR="00D476B6" w:rsidRPr="000D09AE" w14:paraId="34A7FE67" w14:textId="77777777" w:rsidTr="00A22C01">
        <w:trPr>
          <w:trHeight w:val="4762"/>
        </w:trPr>
        <w:tc>
          <w:tcPr>
            <w:tcW w:w="2689" w:type="dxa"/>
            <w:tcBorders>
              <w:top w:val="single" w:sz="6" w:space="0" w:color="auto"/>
            </w:tcBorders>
            <w:shd w:val="clear" w:color="auto" w:fill="DEEAF6" w:themeFill="accent5" w:themeFillTint="33"/>
            <w:vAlign w:val="center"/>
            <w:hideMark/>
          </w:tcPr>
          <w:p w14:paraId="6E176455" w14:textId="77777777" w:rsidR="00D476B6" w:rsidRPr="000D09AE" w:rsidRDefault="00D476B6" w:rsidP="00ED2945">
            <w:pPr>
              <w:jc w:val="center"/>
              <w:rPr>
                <w:rFonts w:ascii="Arial Narrow" w:hAnsi="Arial Narrow"/>
                <w:sz w:val="16"/>
                <w:szCs w:val="16"/>
              </w:rPr>
            </w:pPr>
            <w:r w:rsidRPr="00277AA6">
              <w:rPr>
                <w:rFonts w:ascii="Arial Narrow" w:hAnsi="Arial Narrow"/>
                <w:sz w:val="16"/>
                <w:szCs w:val="16"/>
              </w:rPr>
              <w:t>Spravodlivá zelená a digitálna transformácia vrátane súladu s európskym právnym predpisom v oblasti klímy</w:t>
            </w:r>
          </w:p>
        </w:tc>
        <w:tc>
          <w:tcPr>
            <w:tcW w:w="6520" w:type="dxa"/>
            <w:tcBorders>
              <w:top w:val="single" w:sz="6" w:space="0" w:color="auto"/>
            </w:tcBorders>
            <w:shd w:val="clear" w:color="auto" w:fill="DEEAF6" w:themeFill="accent5" w:themeFillTint="33"/>
            <w:hideMark/>
          </w:tcPr>
          <w:p w14:paraId="12710399" w14:textId="77777777" w:rsidR="00D476B6" w:rsidRDefault="00D476B6" w:rsidP="00ED2945">
            <w:pPr>
              <w:jc w:val="both"/>
              <w:rPr>
                <w:rFonts w:ascii="Arial Narrow" w:hAnsi="Arial Narrow"/>
                <w:sz w:val="18"/>
                <w:szCs w:val="18"/>
              </w:rPr>
            </w:pPr>
            <w:r w:rsidRPr="00105BBA">
              <w:rPr>
                <w:rFonts w:ascii="Arial Narrow" w:hAnsi="Arial Narrow"/>
                <w:sz w:val="18"/>
                <w:szCs w:val="18"/>
              </w:rPr>
              <w:t xml:space="preserve">Zelená transformácia si bude vyžadovať </w:t>
            </w:r>
            <w:r>
              <w:rPr>
                <w:rFonts w:ascii="Arial Narrow" w:hAnsi="Arial Narrow"/>
                <w:sz w:val="18"/>
                <w:szCs w:val="18"/>
              </w:rPr>
              <w:t>dodatočné</w:t>
            </w:r>
            <w:r w:rsidRPr="00105BBA">
              <w:rPr>
                <w:rFonts w:ascii="Arial Narrow" w:hAnsi="Arial Narrow"/>
                <w:sz w:val="18"/>
                <w:szCs w:val="18"/>
              </w:rPr>
              <w:t xml:space="preserve"> investície naprieč rôznymi sektormi, ich cielenie opisuje napríklad Integrovaný národný energetický a klimatický plán na roky 2021 – 2030. Konkrétne opatrenia zahŕňajú napríklad zvyšovanie energetickej efektívnosti naprieč všetkými sektormi (sektor budov, priemyslu, dopravy a podobne) a nahr</w:t>
            </w:r>
            <w:r>
              <w:rPr>
                <w:rFonts w:ascii="Arial Narrow" w:hAnsi="Arial Narrow"/>
                <w:sz w:val="18"/>
                <w:szCs w:val="18"/>
              </w:rPr>
              <w:t>ádzanie</w:t>
            </w:r>
            <w:r w:rsidRPr="00105BBA">
              <w:rPr>
                <w:rFonts w:ascii="Arial Narrow" w:hAnsi="Arial Narrow"/>
                <w:sz w:val="18"/>
                <w:szCs w:val="18"/>
              </w:rPr>
              <w:t xml:space="preserve"> využívania fosílnych palív udržateľnejšími alternatívami, najmä elektrickou energiou.</w:t>
            </w:r>
            <w:r>
              <w:rPr>
                <w:rFonts w:ascii="Arial Narrow" w:hAnsi="Arial Narrow"/>
                <w:sz w:val="18"/>
                <w:szCs w:val="18"/>
              </w:rPr>
              <w:t xml:space="preserve"> </w:t>
            </w:r>
            <w:r w:rsidRPr="00105BBA">
              <w:rPr>
                <w:rFonts w:ascii="Arial Narrow" w:hAnsi="Arial Narrow"/>
                <w:sz w:val="18"/>
                <w:szCs w:val="18"/>
              </w:rPr>
              <w:t xml:space="preserve">Keďže sa očakáva rozsiahla elektrifikácia rôznych odvetví (budovy, priemysel, doprava a iné), je </w:t>
            </w:r>
            <w:r>
              <w:rPr>
                <w:rFonts w:ascii="Arial Narrow" w:hAnsi="Arial Narrow"/>
                <w:sz w:val="18"/>
                <w:szCs w:val="18"/>
              </w:rPr>
              <w:t xml:space="preserve">nutné </w:t>
            </w:r>
            <w:r w:rsidRPr="00105BBA">
              <w:rPr>
                <w:rFonts w:ascii="Arial Narrow" w:hAnsi="Arial Narrow"/>
                <w:sz w:val="18"/>
                <w:szCs w:val="18"/>
              </w:rPr>
              <w:t xml:space="preserve">zabezpečiť nízkouhlíkovú výrobu elektriny, čo si vyžiada </w:t>
            </w:r>
            <w:r>
              <w:rPr>
                <w:rFonts w:ascii="Arial Narrow" w:hAnsi="Arial Narrow"/>
                <w:sz w:val="18"/>
                <w:szCs w:val="18"/>
              </w:rPr>
              <w:t>dodatočné</w:t>
            </w:r>
            <w:r w:rsidRPr="00105BBA">
              <w:rPr>
                <w:rFonts w:ascii="Arial Narrow" w:hAnsi="Arial Narrow"/>
                <w:sz w:val="18"/>
                <w:szCs w:val="18"/>
              </w:rPr>
              <w:t xml:space="preserve"> investície. </w:t>
            </w:r>
            <w:r w:rsidRPr="00901646">
              <w:rPr>
                <w:rFonts w:ascii="Arial Narrow" w:hAnsi="Arial Narrow"/>
                <w:sz w:val="18"/>
                <w:szCs w:val="18"/>
              </w:rPr>
              <w:t>Slovensko má už dnes relatívne nízku emisnú náročnosť výroby elektriny, no vzhľadom na očakávaný nárast spotreby je potrebné zvyšovať produkciu z nízkouhlíkových zdrojov. To si vyžiada investície napríklad do jadrovej, solárnej a veternej energie, aby bolo možné pokryť rastúci dopyt bez zvýšenia produkcie skleníkových plynov. Okrem investícií do samotnej výroby bude nutné investovať aj do prenosových a distribučných elektrizačných sústav</w:t>
            </w:r>
          </w:p>
          <w:p w14:paraId="14A3BBA8" w14:textId="77777777" w:rsidR="00D476B6" w:rsidRDefault="00D476B6" w:rsidP="00ED2945">
            <w:pPr>
              <w:jc w:val="both"/>
              <w:rPr>
                <w:rFonts w:ascii="Arial Narrow" w:hAnsi="Arial Narrow"/>
                <w:sz w:val="18"/>
                <w:szCs w:val="18"/>
              </w:rPr>
            </w:pPr>
          </w:p>
          <w:p w14:paraId="6862E2E9" w14:textId="77777777" w:rsidR="00D476B6" w:rsidRPr="000D09AE" w:rsidRDefault="00D476B6" w:rsidP="00ED2945">
            <w:pPr>
              <w:jc w:val="both"/>
              <w:rPr>
                <w:rFonts w:ascii="Arial Narrow" w:hAnsi="Arial Narrow"/>
                <w:sz w:val="18"/>
                <w:szCs w:val="18"/>
              </w:rPr>
            </w:pPr>
            <w:r>
              <w:rPr>
                <w:rFonts w:ascii="Arial Narrow" w:hAnsi="Arial Narrow"/>
                <w:sz w:val="18"/>
                <w:szCs w:val="18"/>
              </w:rPr>
              <w:t xml:space="preserve">V súlade s </w:t>
            </w:r>
            <w:r w:rsidRPr="00581E2B">
              <w:rPr>
                <w:rFonts w:ascii="Arial Narrow" w:hAnsi="Arial Narrow"/>
                <w:sz w:val="18"/>
                <w:szCs w:val="18"/>
              </w:rPr>
              <w:t>Vnútroštátnym plánom digitálnej dekády Slovenskej republiky</w:t>
            </w:r>
            <w:r w:rsidRPr="00581E2B">
              <w:rPr>
                <w:rFonts w:ascii="Arial Narrow" w:hAnsi="Arial Narrow"/>
                <w:sz w:val="18"/>
                <w:szCs w:val="18"/>
                <w:vertAlign w:val="superscript"/>
              </w:rPr>
              <w:footnoteReference w:id="25"/>
            </w:r>
            <w:r>
              <w:rPr>
                <w:rFonts w:ascii="Arial Narrow" w:hAnsi="Arial Narrow"/>
                <w:sz w:val="18"/>
                <w:szCs w:val="18"/>
              </w:rPr>
              <w:t xml:space="preserve"> a </w:t>
            </w:r>
            <w:r w:rsidRPr="001401D9">
              <w:rPr>
                <w:rFonts w:ascii="Arial Narrow" w:hAnsi="Arial Narrow"/>
                <w:sz w:val="18"/>
                <w:szCs w:val="18"/>
              </w:rPr>
              <w:t>Národn</w:t>
            </w:r>
            <w:r>
              <w:rPr>
                <w:rFonts w:ascii="Arial Narrow" w:hAnsi="Arial Narrow"/>
                <w:sz w:val="18"/>
                <w:szCs w:val="18"/>
              </w:rPr>
              <w:t>ou</w:t>
            </w:r>
            <w:r w:rsidRPr="001401D9">
              <w:rPr>
                <w:rFonts w:ascii="Arial Narrow" w:hAnsi="Arial Narrow"/>
                <w:sz w:val="18"/>
                <w:szCs w:val="18"/>
              </w:rPr>
              <w:t xml:space="preserve"> koncepci</w:t>
            </w:r>
            <w:r>
              <w:rPr>
                <w:rFonts w:ascii="Arial Narrow" w:hAnsi="Arial Narrow"/>
                <w:sz w:val="18"/>
                <w:szCs w:val="18"/>
              </w:rPr>
              <w:t>ou</w:t>
            </w:r>
            <w:r w:rsidRPr="001401D9">
              <w:rPr>
                <w:rFonts w:ascii="Arial Narrow" w:hAnsi="Arial Narrow"/>
                <w:sz w:val="18"/>
                <w:szCs w:val="18"/>
              </w:rPr>
              <w:t xml:space="preserve"> informatizácie verejnej správy</w:t>
            </w:r>
            <w:r>
              <w:rPr>
                <w:rStyle w:val="Odkaznapoznmkupodiarou"/>
                <w:rFonts w:ascii="Arial Narrow" w:hAnsi="Arial Narrow"/>
                <w:sz w:val="18"/>
                <w:szCs w:val="18"/>
              </w:rPr>
              <w:footnoteReference w:id="26"/>
            </w:r>
            <w:r w:rsidRPr="001401D9">
              <w:rPr>
                <w:rFonts w:ascii="Arial Narrow" w:hAnsi="Arial Narrow"/>
                <w:sz w:val="18"/>
                <w:szCs w:val="18"/>
              </w:rPr>
              <w:t xml:space="preserve"> </w:t>
            </w:r>
            <w:r>
              <w:rPr>
                <w:rFonts w:ascii="Arial Narrow" w:hAnsi="Arial Narrow"/>
                <w:sz w:val="18"/>
                <w:szCs w:val="18"/>
              </w:rPr>
              <w:t xml:space="preserve">sa </w:t>
            </w:r>
            <w:r w:rsidRPr="006E4386">
              <w:rPr>
                <w:rFonts w:ascii="Arial Narrow" w:hAnsi="Arial Narrow"/>
                <w:sz w:val="18"/>
                <w:szCs w:val="18"/>
              </w:rPr>
              <w:t xml:space="preserve">investičné priority v rámci digitálnej transformácie zmeriavajú na 4 </w:t>
            </w:r>
            <w:r>
              <w:rPr>
                <w:rFonts w:ascii="Arial Narrow" w:hAnsi="Arial Narrow"/>
                <w:sz w:val="18"/>
                <w:szCs w:val="18"/>
              </w:rPr>
              <w:t xml:space="preserve">hlavné </w:t>
            </w:r>
            <w:r w:rsidRPr="006E4386">
              <w:rPr>
                <w:rFonts w:ascii="Arial Narrow" w:hAnsi="Arial Narrow"/>
                <w:sz w:val="18"/>
                <w:szCs w:val="18"/>
              </w:rPr>
              <w:t>oblasti: digitalizácia verejných služieb,  digitálna transformácia podnikov, digitálne zručnosti a bezpečná a udržateľná digitálna infraštruktúra</w:t>
            </w:r>
            <w:r>
              <w:rPr>
                <w:rFonts w:ascii="Arial Narrow" w:hAnsi="Arial Narrow"/>
                <w:sz w:val="18"/>
                <w:szCs w:val="18"/>
              </w:rPr>
              <w:t xml:space="preserve">. </w:t>
            </w:r>
            <w:r w:rsidRPr="00105BBA">
              <w:rPr>
                <w:rFonts w:ascii="Arial Narrow" w:hAnsi="Arial Narrow"/>
                <w:sz w:val="18"/>
                <w:szCs w:val="18"/>
              </w:rPr>
              <w:t xml:space="preserve">Konkrétne opatrenia sa zameriavajú najmä </w:t>
            </w:r>
            <w:r>
              <w:rPr>
                <w:rFonts w:ascii="Arial Narrow" w:hAnsi="Arial Narrow"/>
                <w:sz w:val="18"/>
                <w:szCs w:val="18"/>
              </w:rPr>
              <w:t xml:space="preserve">na </w:t>
            </w:r>
            <w:r w:rsidRPr="00105BBA">
              <w:rPr>
                <w:rFonts w:ascii="Arial Narrow" w:hAnsi="Arial Narrow"/>
                <w:sz w:val="18"/>
                <w:szCs w:val="18"/>
              </w:rPr>
              <w:t xml:space="preserve">zvyšovanie počtu používateľov digitálnych služieb štátu (eGovernment), kde štát pripravuje optimalizáciu digitálneho riešenia prioritných životných situácií ako napríklad narodenie dieťaťa alebo začatie podnikania. </w:t>
            </w:r>
            <w:r w:rsidRPr="00727770">
              <w:rPr>
                <w:rFonts w:ascii="Arial Narrow" w:hAnsi="Arial Narrow"/>
                <w:sz w:val="18"/>
                <w:szCs w:val="18"/>
              </w:rPr>
              <w:t xml:space="preserve">Väčšie využívanie digitálnych služieb štátu by mali podporiť </w:t>
            </w:r>
            <w:r>
              <w:rPr>
                <w:rFonts w:ascii="Arial Narrow" w:hAnsi="Arial Narrow"/>
                <w:sz w:val="18"/>
                <w:szCs w:val="18"/>
              </w:rPr>
              <w:t>práve</w:t>
            </w:r>
            <w:r w:rsidRPr="00727770">
              <w:rPr>
                <w:rFonts w:ascii="Arial Narrow" w:hAnsi="Arial Narrow"/>
                <w:sz w:val="18"/>
                <w:szCs w:val="18"/>
              </w:rPr>
              <w:t xml:space="preserve"> investície do vzdelávania v oblasti digitálnych technológií pre všetky vekové kategórie obyvateľov, ako aj zabezpečenie prístupu ku kvalitnému a rýchlemu internetovému pripojeniu na celom území Slovenska</w:t>
            </w:r>
            <w:r>
              <w:rPr>
                <w:rFonts w:ascii="Arial Narrow" w:hAnsi="Arial Narrow"/>
                <w:sz w:val="18"/>
                <w:szCs w:val="18"/>
              </w:rPr>
              <w:t>.</w:t>
            </w:r>
          </w:p>
        </w:tc>
      </w:tr>
      <w:tr w:rsidR="00D476B6" w:rsidRPr="000D09AE" w14:paraId="3076EA67" w14:textId="77777777" w:rsidTr="00A22C01">
        <w:trPr>
          <w:trHeight w:val="1644"/>
        </w:trPr>
        <w:tc>
          <w:tcPr>
            <w:tcW w:w="2689" w:type="dxa"/>
            <w:vAlign w:val="center"/>
            <w:hideMark/>
          </w:tcPr>
          <w:p w14:paraId="2BD795A1" w14:textId="77777777" w:rsidR="00D476B6" w:rsidRPr="000D09AE" w:rsidRDefault="00D476B6" w:rsidP="00ED2945">
            <w:pPr>
              <w:jc w:val="center"/>
              <w:rPr>
                <w:rFonts w:ascii="Arial Narrow" w:hAnsi="Arial Narrow"/>
                <w:sz w:val="16"/>
                <w:szCs w:val="16"/>
              </w:rPr>
            </w:pPr>
            <w:r w:rsidRPr="00277AA6">
              <w:rPr>
                <w:rFonts w:ascii="Arial Narrow" w:hAnsi="Arial Narrow"/>
                <w:sz w:val="16"/>
                <w:szCs w:val="16"/>
              </w:rPr>
              <w:t>Sociálna a hospodárska odolnosť vrátane Európskeho piliera sociálnych práv</w:t>
            </w:r>
          </w:p>
        </w:tc>
        <w:tc>
          <w:tcPr>
            <w:tcW w:w="6520" w:type="dxa"/>
            <w:hideMark/>
          </w:tcPr>
          <w:p w14:paraId="0893FDA9" w14:textId="7942A059" w:rsidR="00D476B6" w:rsidRPr="000D09AE" w:rsidRDefault="00D476B6" w:rsidP="00ED2945">
            <w:pPr>
              <w:jc w:val="both"/>
              <w:rPr>
                <w:rFonts w:ascii="Arial Narrow" w:hAnsi="Arial Narrow"/>
                <w:sz w:val="18"/>
                <w:szCs w:val="18"/>
              </w:rPr>
            </w:pPr>
            <w:r w:rsidRPr="00277AA6">
              <w:rPr>
                <w:rFonts w:ascii="Arial Narrow" w:hAnsi="Arial Narrow"/>
                <w:sz w:val="18"/>
                <w:szCs w:val="18"/>
              </w:rPr>
              <w:t xml:space="preserve">Z hľadiska rozvoja znalostnej ekonomiky potrebuje Slovensko zvýšiť objem financovania výskumu a inovácií, pričom toto zvýšenie musí byť spojené s úspešnou implementáciou prebiehajúcich reforiem. Slovensko plánuje postupne do roku 2030 </w:t>
            </w:r>
            <w:r>
              <w:rPr>
                <w:rFonts w:ascii="Arial Narrow" w:hAnsi="Arial Narrow"/>
                <w:sz w:val="18"/>
                <w:szCs w:val="18"/>
              </w:rPr>
              <w:t>zvýšiť</w:t>
            </w:r>
            <w:r w:rsidRPr="00277AA6">
              <w:rPr>
                <w:rFonts w:ascii="Arial Narrow" w:hAnsi="Arial Narrow"/>
                <w:sz w:val="18"/>
                <w:szCs w:val="18"/>
              </w:rPr>
              <w:t xml:space="preserve"> výdavky verejného sektora na výskum a</w:t>
            </w:r>
            <w:r>
              <w:rPr>
                <w:rFonts w:ascii="Arial Narrow" w:hAnsi="Arial Narrow"/>
                <w:sz w:val="18"/>
                <w:szCs w:val="18"/>
              </w:rPr>
              <w:t> </w:t>
            </w:r>
            <w:r w:rsidRPr="00277AA6">
              <w:rPr>
                <w:rFonts w:ascii="Arial Narrow" w:hAnsi="Arial Narrow"/>
                <w:sz w:val="18"/>
                <w:szCs w:val="18"/>
              </w:rPr>
              <w:t>vývoj</w:t>
            </w:r>
            <w:r>
              <w:rPr>
                <w:rFonts w:ascii="Arial Narrow" w:hAnsi="Arial Narrow"/>
                <w:sz w:val="18"/>
                <w:szCs w:val="18"/>
              </w:rPr>
              <w:t>.</w:t>
            </w:r>
            <w:r w:rsidRPr="00277AA6">
              <w:rPr>
                <w:rFonts w:ascii="Arial Narrow" w:hAnsi="Arial Narrow"/>
                <w:sz w:val="18"/>
                <w:szCs w:val="18"/>
              </w:rPr>
              <w:t xml:space="preserve"> Investície je potrebné zároveň zamerať na zlepšovanie kvality a modernizáciu vzdelávacieho systému na viacerých úrovniach. Je dôležité dobudovať chýbajúce kapacity a zabezpečiť dostatočný počet miest v predprimárnom vzdelávaní. Prioritne by sa mali podporiť opatrenia na zvýšenie inklúzie detí so špeciálnymi výchovno-vzdelávacími potrebami a detí z marginalizovaných rómskych komunít. </w:t>
            </w:r>
          </w:p>
        </w:tc>
      </w:tr>
      <w:tr w:rsidR="00D476B6" w:rsidRPr="000D09AE" w14:paraId="7B7372D1" w14:textId="77777777" w:rsidTr="00A22C01">
        <w:trPr>
          <w:trHeight w:val="426"/>
        </w:trPr>
        <w:tc>
          <w:tcPr>
            <w:tcW w:w="2689" w:type="dxa"/>
            <w:shd w:val="clear" w:color="auto" w:fill="DEEAF6" w:themeFill="accent5" w:themeFillTint="33"/>
            <w:vAlign w:val="center"/>
            <w:hideMark/>
          </w:tcPr>
          <w:p w14:paraId="5D0B391F" w14:textId="77777777" w:rsidR="00D476B6" w:rsidRPr="000D09AE" w:rsidRDefault="00D476B6" w:rsidP="00ED2945">
            <w:pPr>
              <w:jc w:val="center"/>
              <w:rPr>
                <w:rFonts w:ascii="Arial Narrow" w:hAnsi="Arial Narrow"/>
                <w:sz w:val="16"/>
                <w:szCs w:val="16"/>
              </w:rPr>
            </w:pPr>
            <w:r w:rsidRPr="00277AA6">
              <w:rPr>
                <w:rFonts w:ascii="Arial Narrow" w:hAnsi="Arial Narrow"/>
                <w:sz w:val="16"/>
                <w:szCs w:val="16"/>
              </w:rPr>
              <w:t>Energetická bezpečnosť</w:t>
            </w:r>
          </w:p>
        </w:tc>
        <w:tc>
          <w:tcPr>
            <w:tcW w:w="6520" w:type="dxa"/>
            <w:shd w:val="clear" w:color="auto" w:fill="DEEAF6" w:themeFill="accent5" w:themeFillTint="33"/>
            <w:hideMark/>
          </w:tcPr>
          <w:p w14:paraId="129B53F3" w14:textId="77777777" w:rsidR="00D476B6" w:rsidRPr="00C011F8" w:rsidRDefault="00D476B6" w:rsidP="00ED2945">
            <w:pPr>
              <w:pStyle w:val="Normlnywebov"/>
              <w:spacing w:after="0" w:afterAutospacing="0"/>
              <w:jc w:val="both"/>
              <w:rPr>
                <w:rFonts w:ascii="Arial Narrow" w:hAnsi="Arial Narrow" w:cstheme="minorBidi"/>
                <w:sz w:val="18"/>
                <w:szCs w:val="18"/>
                <w:lang w:eastAsia="en-US"/>
              </w:rPr>
            </w:pPr>
            <w:r w:rsidRPr="00065B1B">
              <w:rPr>
                <w:rFonts w:ascii="Arial Narrow" w:hAnsi="Arial Narrow" w:cstheme="minorBidi"/>
                <w:sz w:val="18"/>
                <w:szCs w:val="18"/>
                <w:lang w:eastAsia="en-US"/>
              </w:rPr>
              <w:t>Z</w:t>
            </w:r>
            <w:r w:rsidRPr="00C011F8">
              <w:rPr>
                <w:rFonts w:ascii="Arial Narrow" w:hAnsi="Arial Narrow" w:cstheme="minorBidi"/>
                <w:sz w:val="18"/>
                <w:szCs w:val="18"/>
                <w:lang w:eastAsia="en-US"/>
              </w:rPr>
              <w:t>vyšovanie energetickej bezpečnosti je pre Slovenskú republiku výzvou najmä z dôvodu nedostatku vlastných zdrojov energetických surovín a vnútrozemskej polohy, čo tiež reflektuje Integrovaný národný energetický a klimatický plán na roky 2021 – 2030. Strednodobým investičným riešením je najmä diverzifikácia dovozu rôznych typov energetických surovín budovaním nových prepojení, v plynárenstve najmä v smere sever – juh. Dlhodobým riešením je zvýšená produkcia energií z domácich zdrojov, najmä vo forme investícií do obnoviteľných zdrojov a jadrovej energetiky</w:t>
            </w:r>
            <w:r>
              <w:rPr>
                <w:rFonts w:ascii="Arial Narrow" w:hAnsi="Arial Narrow" w:cstheme="minorBidi"/>
                <w:sz w:val="18"/>
                <w:szCs w:val="18"/>
                <w:lang w:eastAsia="en-US"/>
              </w:rPr>
              <w:t>.</w:t>
            </w:r>
          </w:p>
          <w:p w14:paraId="6BF04427" w14:textId="77777777" w:rsidR="00D476B6" w:rsidRPr="000D09AE" w:rsidRDefault="00D476B6" w:rsidP="00ED2945">
            <w:pPr>
              <w:jc w:val="both"/>
              <w:rPr>
                <w:rFonts w:ascii="Arial Narrow" w:hAnsi="Arial Narrow"/>
                <w:sz w:val="18"/>
                <w:szCs w:val="18"/>
              </w:rPr>
            </w:pPr>
          </w:p>
        </w:tc>
      </w:tr>
      <w:tr w:rsidR="00D476B6" w:rsidRPr="000D09AE" w14:paraId="234F0FF7" w14:textId="77777777" w:rsidTr="00A22C01">
        <w:trPr>
          <w:trHeight w:val="1418"/>
        </w:trPr>
        <w:tc>
          <w:tcPr>
            <w:tcW w:w="2689" w:type="dxa"/>
            <w:vAlign w:val="center"/>
          </w:tcPr>
          <w:p w14:paraId="1708B670" w14:textId="77777777" w:rsidR="00D476B6" w:rsidRPr="000D09AE" w:rsidRDefault="00D476B6" w:rsidP="00ED2945">
            <w:pPr>
              <w:jc w:val="center"/>
              <w:rPr>
                <w:rFonts w:ascii="Arial Narrow" w:hAnsi="Arial Narrow"/>
                <w:sz w:val="16"/>
                <w:szCs w:val="16"/>
              </w:rPr>
            </w:pPr>
            <w:r w:rsidRPr="00277AA6">
              <w:rPr>
                <w:rFonts w:ascii="Arial Narrow" w:hAnsi="Arial Narrow"/>
                <w:sz w:val="16"/>
                <w:szCs w:val="16"/>
              </w:rPr>
              <w:t>V prípadne potreby budovania obranných kapacít</w:t>
            </w:r>
          </w:p>
        </w:tc>
        <w:tc>
          <w:tcPr>
            <w:tcW w:w="6520" w:type="dxa"/>
          </w:tcPr>
          <w:p w14:paraId="444B9990" w14:textId="736DBA2B" w:rsidR="00D476B6" w:rsidRPr="000D09AE" w:rsidRDefault="00D476B6" w:rsidP="00ED2945">
            <w:pPr>
              <w:jc w:val="both"/>
              <w:rPr>
                <w:rFonts w:ascii="Arial Narrow" w:hAnsi="Arial Narrow"/>
                <w:sz w:val="18"/>
                <w:szCs w:val="18"/>
              </w:rPr>
            </w:pPr>
            <w:r w:rsidRPr="007500B6">
              <w:rPr>
                <w:rFonts w:ascii="Arial Narrow" w:hAnsi="Arial Narrow"/>
                <w:sz w:val="18"/>
                <w:szCs w:val="18"/>
              </w:rPr>
              <w:t>S cieľom zaistenia bezpečnosti, plnenia záväzkov voči NATO, EÚ a udržania regionálnej stability pokračujú investície do modernizačných projektov. Realizácia vybraných projektov zahrnutých v Dlhodobom pláne rozvoja rezortu ministerstva obrany s výhľadom do roku 2035 predstavuje kľúčové iniciatívy zamerané na rozvoj obranných kapacít SR. Primárnym cieľom je zabezpečenie nového a moderného vojenského vybavenia plne kompatibilného s vybavením členských krajín NATO.</w:t>
            </w:r>
          </w:p>
        </w:tc>
      </w:tr>
    </w:tbl>
    <w:p w14:paraId="57849588" w14:textId="77777777" w:rsidR="00C1228B" w:rsidRDefault="00C1228B" w:rsidP="00AC0F39">
      <w:pPr>
        <w:spacing w:line="276" w:lineRule="auto"/>
        <w:jc w:val="both"/>
        <w:rPr>
          <w:rFonts w:ascii="Arial Narrow" w:hAnsi="Arial Narrow"/>
          <w:strike/>
        </w:rPr>
      </w:pPr>
    </w:p>
    <w:sectPr w:rsidR="00C1228B" w:rsidSect="006F371F">
      <w:footerReference w:type="default" r:id="rId5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6FC20" w14:textId="77777777" w:rsidR="009144C9" w:rsidRDefault="009144C9" w:rsidP="003838BE">
      <w:pPr>
        <w:spacing w:after="0" w:line="240" w:lineRule="auto"/>
      </w:pPr>
      <w:r>
        <w:separator/>
      </w:r>
    </w:p>
  </w:endnote>
  <w:endnote w:type="continuationSeparator" w:id="0">
    <w:p w14:paraId="44D5D95A" w14:textId="77777777" w:rsidR="009144C9" w:rsidRDefault="009144C9" w:rsidP="00383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NeueHaasGroteskText W02">
    <w:charset w:val="EE"/>
    <w:family w:val="swiss"/>
    <w:pitch w:val="variable"/>
    <w:sig w:usb0="800000AF" w:usb1="4000204A" w:usb2="00000000" w:usb3="00000000" w:csb0="00000093"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30A31" w14:textId="77777777" w:rsidR="004F1CE9" w:rsidRDefault="004F1CE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0FC0F" w14:textId="39E6D773" w:rsidR="006D5279" w:rsidRPr="00C84223" w:rsidRDefault="006D5279">
    <w:pPr>
      <w:pStyle w:val="Pta"/>
      <w:jc w:val="right"/>
      <w:rPr>
        <w:sz w:val="20"/>
        <w:szCs w:val="20"/>
      </w:rPr>
    </w:pPr>
  </w:p>
  <w:p w14:paraId="04C07656" w14:textId="77007DE9" w:rsidR="006D5279" w:rsidRDefault="006D527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317A6" w14:textId="77777777" w:rsidR="004F1CE9" w:rsidRDefault="004F1CE9">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rPr>
      <w:id w:val="985751649"/>
      <w:docPartObj>
        <w:docPartGallery w:val="Page Numbers (Bottom of Page)"/>
        <w:docPartUnique/>
      </w:docPartObj>
    </w:sdtPr>
    <w:sdtEndPr>
      <w:rPr>
        <w:sz w:val="20"/>
        <w:szCs w:val="20"/>
      </w:rPr>
    </w:sdtEndPr>
    <w:sdtContent>
      <w:p w14:paraId="10C7BFDA" w14:textId="4263BB50" w:rsidR="006D5279" w:rsidRPr="00C84223" w:rsidRDefault="006D5279">
        <w:pPr>
          <w:pStyle w:val="Pta"/>
          <w:jc w:val="right"/>
          <w:rPr>
            <w:rFonts w:ascii="Arial Narrow" w:hAnsi="Arial Narrow"/>
            <w:sz w:val="20"/>
            <w:szCs w:val="20"/>
          </w:rPr>
        </w:pPr>
        <w:r w:rsidRPr="00C84223">
          <w:rPr>
            <w:rFonts w:ascii="Arial Narrow" w:hAnsi="Arial Narrow"/>
            <w:noProof/>
            <w:lang w:eastAsia="sk-SK"/>
          </w:rPr>
          <mc:AlternateContent>
            <mc:Choice Requires="wps">
              <w:drawing>
                <wp:anchor distT="0" distB="0" distL="114300" distR="114300" simplePos="0" relativeHeight="251667456" behindDoc="0" locked="0" layoutInCell="1" allowOverlap="1" wp14:anchorId="603C2950" wp14:editId="7F09D1DA">
                  <wp:simplePos x="0" y="0"/>
                  <wp:positionH relativeFrom="margin">
                    <wp:posOffset>3320821</wp:posOffset>
                  </wp:positionH>
                  <wp:positionV relativeFrom="paragraph">
                    <wp:posOffset>-108255</wp:posOffset>
                  </wp:positionV>
                  <wp:extent cx="2190750" cy="368300"/>
                  <wp:effectExtent l="0" t="0" r="0" b="0"/>
                  <wp:wrapNone/>
                  <wp:docPr id="1629348895" name="Textové pole 1629348895"/>
                  <wp:cNvGraphicFramePr/>
                  <a:graphic xmlns:a="http://schemas.openxmlformats.org/drawingml/2006/main">
                    <a:graphicData uri="http://schemas.microsoft.com/office/word/2010/wordprocessingShape">
                      <wps:wsp>
                        <wps:cNvSpPr txBox="1"/>
                        <wps:spPr bwMode="auto">
                          <a:xfrm>
                            <a:off x="0" y="0"/>
                            <a:ext cx="2190750" cy="368300"/>
                          </a:xfrm>
                          <a:prstGeom prst="rect">
                            <a:avLst/>
                          </a:prstGeom>
                          <a:noFill/>
                          <a:ln w="9525">
                            <a:noFill/>
                            <a:miter lim="800000"/>
                            <a:headEnd/>
                            <a:tailEnd/>
                          </a:ln>
                        </wps:spPr>
                        <wps:txbx>
                          <w:txbxContent>
                            <w:p w14:paraId="5C559DD9" w14:textId="77777777" w:rsidR="006D5279" w:rsidRPr="00C84223" w:rsidRDefault="006D5279" w:rsidP="00760ED2">
                              <w:pPr>
                                <w:jc w:val="right"/>
                                <w:rPr>
                                  <w:rFonts w:ascii="Arial Narrow" w:hAnsi="Arial Narrow"/>
                                  <w:color w:val="7F7F7F" w:themeColor="text1" w:themeTint="80"/>
                                  <w:sz w:val="18"/>
                                  <w:szCs w:val="18"/>
                                </w:rPr>
                              </w:pPr>
                              <w:r w:rsidRPr="00C84223">
                                <w:rPr>
                                  <w:rFonts w:ascii="Arial Narrow" w:hAnsi="Arial Narrow"/>
                                  <w:color w:val="7F7F7F" w:themeColor="text1" w:themeTint="80"/>
                                  <w:sz w:val="18"/>
                                  <w:szCs w:val="18"/>
                                </w:rPr>
                                <w:t xml:space="preserve">Národný strednodobý fiškálno-štrukturálny </w:t>
                              </w:r>
                              <w:r>
                                <w:rPr>
                                  <w:rFonts w:ascii="Arial Narrow" w:hAnsi="Arial Narrow"/>
                                  <w:color w:val="7F7F7F" w:themeColor="text1" w:themeTint="80"/>
                                  <w:sz w:val="18"/>
                                  <w:szCs w:val="18"/>
                                </w:rPr>
                                <w:br/>
                              </w:r>
                              <w:r w:rsidRPr="00C84223">
                                <w:rPr>
                                  <w:rFonts w:ascii="Arial Narrow" w:hAnsi="Arial Narrow"/>
                                  <w:color w:val="7F7F7F" w:themeColor="text1" w:themeTint="80"/>
                                  <w:sz w:val="18"/>
                                  <w:szCs w:val="18"/>
                                </w:rPr>
                                <w:t>plán SR na roky 2025-2028</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03C2950" id="_x0000_t202" coordsize="21600,21600" o:spt="202" path="m,l,21600r21600,l21600,xe">
                  <v:stroke joinstyle="miter"/>
                  <v:path gradientshapeok="t" o:connecttype="rect"/>
                </v:shapetype>
                <v:shape id="Textové pole 1629348895" o:spid="_x0000_s1028" type="#_x0000_t202" style="position:absolute;left:0;text-align:left;margin-left:261.5pt;margin-top:-8.5pt;width:172.5pt;height:2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" filled="f" stroked="f">
                  <v:textbox>
                    <w:txbxContent>
                      <w:p w14:paraId="5C559DD9" w14:textId="77777777" w:rsidR="006D5279" w:rsidRPr="00C84223" w:rsidRDefault="006D5279" w:rsidP="00760ED2">
                        <w:pPr>
                          <w:jc w:val="right"/>
                          <w:rPr>
                            <w:rFonts w:ascii="Arial Narrow" w:hAnsi="Arial Narrow"/>
                            <w:color w:val="7F7F7F" w:themeColor="text1" w:themeTint="80"/>
                            <w:sz w:val="18"/>
                            <w:szCs w:val="18"/>
                          </w:rPr>
                        </w:pPr>
                        <w:r w:rsidRPr="00C84223">
                          <w:rPr>
                            <w:rFonts w:ascii="Arial Narrow" w:hAnsi="Arial Narrow"/>
                            <w:color w:val="7F7F7F" w:themeColor="text1" w:themeTint="80"/>
                            <w:sz w:val="18"/>
                            <w:szCs w:val="18"/>
                          </w:rPr>
                          <w:t xml:space="preserve">Národný strednodobý fiškálno-štrukturálny </w:t>
                        </w:r>
                        <w:r>
                          <w:rPr>
                            <w:rFonts w:ascii="Arial Narrow" w:hAnsi="Arial Narrow"/>
                            <w:color w:val="7F7F7F" w:themeColor="text1" w:themeTint="80"/>
                            <w:sz w:val="18"/>
                            <w:szCs w:val="18"/>
                          </w:rPr>
                          <w:br/>
                        </w:r>
                        <w:r w:rsidRPr="00C84223">
                          <w:rPr>
                            <w:rFonts w:ascii="Arial Narrow" w:hAnsi="Arial Narrow"/>
                            <w:color w:val="7F7F7F" w:themeColor="text1" w:themeTint="80"/>
                            <w:sz w:val="18"/>
                            <w:szCs w:val="18"/>
                          </w:rPr>
                          <w:t>plán SR na roky 2025-2028</w:t>
                        </w:r>
                      </w:p>
                    </w:txbxContent>
                  </v:textbox>
                  <w10:wrap anchorx="margin"/>
                </v:shape>
              </w:pict>
            </mc:Fallback>
          </mc:AlternateContent>
        </w:r>
        <w:r w:rsidRPr="00F817A2">
          <w:rPr>
            <w:rFonts w:ascii="Arial Narrow" w:hAnsi="Arial Narrow"/>
            <w:noProof/>
            <w:lang w:eastAsia="sk-SK"/>
          </w:rPr>
          <mc:AlternateContent>
            <mc:Choice Requires="wps">
              <w:drawing>
                <wp:anchor distT="0" distB="0" distL="114300" distR="114300" simplePos="0" relativeHeight="251668480" behindDoc="0" locked="0" layoutInCell="1" allowOverlap="1" wp14:anchorId="36C498B3" wp14:editId="2F22D249">
                  <wp:simplePos x="0" y="0"/>
                  <wp:positionH relativeFrom="column">
                    <wp:posOffset>5470245</wp:posOffset>
                  </wp:positionH>
                  <wp:positionV relativeFrom="paragraph">
                    <wp:posOffset>-55245</wp:posOffset>
                  </wp:positionV>
                  <wp:extent cx="89535" cy="274320"/>
                  <wp:effectExtent l="0" t="0" r="5715" b="0"/>
                  <wp:wrapNone/>
                  <wp:docPr id="16059080" name="Obdĺžnik 1"/>
                  <wp:cNvGraphicFramePr/>
                  <a:graphic xmlns:a="http://schemas.openxmlformats.org/drawingml/2006/main">
                    <a:graphicData uri="http://schemas.microsoft.com/office/word/2010/wordprocessingShape">
                      <wps:wsp>
                        <wps:cNvSpPr/>
                        <wps:spPr>
                          <a:xfrm flipH="1">
                            <a:off x="0" y="0"/>
                            <a:ext cx="89535" cy="274320"/>
                          </a:xfrm>
                          <a:prstGeom prst="rect">
                            <a:avLst/>
                          </a:prstGeom>
                          <a:solidFill>
                            <a:srgbClr val="2C9A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82951CA" id="Obdĺžnik 1" o:spid="_x0000_s1026" style="position:absolute;margin-left:430.75pt;margin-top:-4.35pt;width:7.05pt;height:21.6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" fillcolor="#2c9adc" stroked="f" strokeweight="1pt"/>
              </w:pict>
            </mc:Fallback>
          </mc:AlternateContent>
        </w:r>
        <w:r w:rsidRPr="00C84223">
          <w:rPr>
            <w:rFonts w:ascii="Arial Narrow" w:hAnsi="Arial Narrow"/>
            <w:sz w:val="20"/>
            <w:szCs w:val="20"/>
          </w:rPr>
          <w:fldChar w:fldCharType="begin"/>
        </w:r>
        <w:r w:rsidRPr="00C84223">
          <w:rPr>
            <w:rFonts w:ascii="Arial Narrow" w:hAnsi="Arial Narrow"/>
            <w:sz w:val="20"/>
            <w:szCs w:val="20"/>
          </w:rPr>
          <w:instrText>PAGE   \* MERGEFORMAT</w:instrText>
        </w:r>
        <w:r w:rsidRPr="00C84223">
          <w:rPr>
            <w:rFonts w:ascii="Arial Narrow" w:hAnsi="Arial Narrow"/>
            <w:sz w:val="20"/>
            <w:szCs w:val="20"/>
          </w:rPr>
          <w:fldChar w:fldCharType="separate"/>
        </w:r>
        <w:r w:rsidR="007A664D">
          <w:rPr>
            <w:rFonts w:ascii="Arial Narrow" w:hAnsi="Arial Narrow"/>
            <w:noProof/>
            <w:sz w:val="20"/>
            <w:szCs w:val="20"/>
          </w:rPr>
          <w:t>4</w:t>
        </w:r>
        <w:r w:rsidRPr="00C84223">
          <w:rPr>
            <w:rFonts w:ascii="Arial Narrow" w:hAnsi="Arial Narrow"/>
            <w:sz w:val="20"/>
            <w:szCs w:val="20"/>
          </w:rPr>
          <w:fldChar w:fldCharType="end"/>
        </w:r>
      </w:p>
    </w:sdtContent>
  </w:sdt>
  <w:p w14:paraId="5A17DB12" w14:textId="77777777" w:rsidR="006D5279" w:rsidRDefault="006D5279">
    <w:pPr>
      <w:pStyle w:val="Pt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E84FA" w14:textId="17B2D174" w:rsidR="006D5279" w:rsidRPr="00C36AA2" w:rsidRDefault="006D5279">
    <w:pPr>
      <w:pStyle w:val="Pta"/>
      <w:jc w:val="right"/>
      <w:rPr>
        <w:rFonts w:ascii="Arial Narrow" w:hAnsi="Arial Narrow"/>
        <w:sz w:val="20"/>
        <w:szCs w:val="20"/>
      </w:rPr>
    </w:pPr>
    <w:r>
      <w:rPr>
        <w:rFonts w:ascii="Arial Narrow" w:hAnsi="Arial Narrow"/>
        <w:noProof/>
        <w:lang w:eastAsia="sk-SK"/>
      </w:rPr>
      <mc:AlternateContent>
        <mc:Choice Requires="wps">
          <w:drawing>
            <wp:anchor distT="0" distB="0" distL="114300" distR="114300" simplePos="0" relativeHeight="251661312" behindDoc="0" locked="0" layoutInCell="1" allowOverlap="1" wp14:anchorId="6A7BC87F" wp14:editId="7A07B941">
              <wp:simplePos x="0" y="0"/>
              <wp:positionH relativeFrom="column">
                <wp:posOffset>5516657</wp:posOffset>
              </wp:positionH>
              <wp:positionV relativeFrom="paragraph">
                <wp:posOffset>-62865</wp:posOffset>
              </wp:positionV>
              <wp:extent cx="89535" cy="274320"/>
              <wp:effectExtent l="0" t="0" r="5715" b="0"/>
              <wp:wrapNone/>
              <wp:docPr id="235650203" name="Obdĺžnik 1"/>
              <wp:cNvGraphicFramePr/>
              <a:graphic xmlns:a="http://schemas.openxmlformats.org/drawingml/2006/main">
                <a:graphicData uri="http://schemas.microsoft.com/office/word/2010/wordprocessingShape">
                  <wps:wsp>
                    <wps:cNvSpPr/>
                    <wps:spPr>
                      <a:xfrm flipH="1">
                        <a:off x="0" y="0"/>
                        <a:ext cx="89535" cy="274320"/>
                      </a:xfrm>
                      <a:prstGeom prst="rect">
                        <a:avLst/>
                      </a:prstGeom>
                      <a:solidFill>
                        <a:srgbClr val="2C9A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D6E2656" id="Obdĺžnik 1" o:spid="_x0000_s1026" style="position:absolute;margin-left:434.4pt;margin-top:-4.95pt;width:7.05pt;height:21.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" fillcolor="#2c9adc" stroked="f" strokeweight="1pt"/>
          </w:pict>
        </mc:Fallback>
      </mc:AlternateContent>
    </w:r>
    <w:r w:rsidRPr="00C36AA2">
      <w:rPr>
        <w:rFonts w:ascii="Arial Narrow" w:hAnsi="Arial Narrow"/>
        <w:noProof/>
        <w:lang w:eastAsia="sk-SK"/>
      </w:rPr>
      <mc:AlternateContent>
        <mc:Choice Requires="wps">
          <w:drawing>
            <wp:anchor distT="0" distB="0" distL="114300" distR="114300" simplePos="0" relativeHeight="251659264" behindDoc="0" locked="0" layoutInCell="1" allowOverlap="1" wp14:anchorId="738FC745" wp14:editId="1AD66EDA">
              <wp:simplePos x="0" y="0"/>
              <wp:positionH relativeFrom="margin">
                <wp:posOffset>3366325</wp:posOffset>
              </wp:positionH>
              <wp:positionV relativeFrom="paragraph">
                <wp:posOffset>-124460</wp:posOffset>
              </wp:positionV>
              <wp:extent cx="2190750" cy="368300"/>
              <wp:effectExtent l="0" t="0" r="0" b="0"/>
              <wp:wrapNone/>
              <wp:docPr id="158957134" name="Textové pole 158957134"/>
              <wp:cNvGraphicFramePr/>
              <a:graphic xmlns:a="http://schemas.openxmlformats.org/drawingml/2006/main">
                <a:graphicData uri="http://schemas.microsoft.com/office/word/2010/wordprocessingShape">
                  <wps:wsp>
                    <wps:cNvSpPr txBox="1"/>
                    <wps:spPr bwMode="auto">
                      <a:xfrm>
                        <a:off x="0" y="0"/>
                        <a:ext cx="2190750" cy="368300"/>
                      </a:xfrm>
                      <a:prstGeom prst="rect">
                        <a:avLst/>
                      </a:prstGeom>
                      <a:noFill/>
                      <a:ln w="9525">
                        <a:noFill/>
                        <a:miter lim="800000"/>
                        <a:headEnd/>
                        <a:tailEnd/>
                      </a:ln>
                    </wps:spPr>
                    <wps:txbx>
                      <w:txbxContent>
                        <w:p w14:paraId="4F588F4D" w14:textId="77777777" w:rsidR="006D5279" w:rsidRPr="00C36AA2" w:rsidRDefault="006D5279" w:rsidP="00631EA3">
                          <w:pPr>
                            <w:jc w:val="right"/>
                            <w:rPr>
                              <w:rFonts w:ascii="Arial Narrow" w:hAnsi="Arial Narrow"/>
                              <w:color w:val="7F7F7F" w:themeColor="text1" w:themeTint="80"/>
                              <w:sz w:val="18"/>
                              <w:szCs w:val="18"/>
                            </w:rPr>
                          </w:pPr>
                          <w:r w:rsidRPr="00C36AA2">
                            <w:rPr>
                              <w:rFonts w:ascii="Arial Narrow" w:hAnsi="Arial Narrow"/>
                              <w:color w:val="7F7F7F" w:themeColor="text1" w:themeTint="80"/>
                              <w:sz w:val="18"/>
                              <w:szCs w:val="18"/>
                            </w:rPr>
                            <w:t xml:space="preserve">Národný strednodobý fiškálno-štrukturálny </w:t>
                          </w:r>
                          <w:r>
                            <w:rPr>
                              <w:rFonts w:ascii="Arial Narrow" w:hAnsi="Arial Narrow"/>
                              <w:color w:val="7F7F7F" w:themeColor="text1" w:themeTint="80"/>
                              <w:sz w:val="18"/>
                              <w:szCs w:val="18"/>
                            </w:rPr>
                            <w:br/>
                          </w:r>
                          <w:r w:rsidRPr="00C36AA2">
                            <w:rPr>
                              <w:rFonts w:ascii="Arial Narrow" w:hAnsi="Arial Narrow"/>
                              <w:color w:val="7F7F7F" w:themeColor="text1" w:themeTint="80"/>
                              <w:sz w:val="18"/>
                              <w:szCs w:val="18"/>
                            </w:rPr>
                            <w:t>plán SR na roky 2025-2028</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38FC745" id="_x0000_t202" coordsize="21600,21600" o:spt="202" path="m,l,21600r21600,l21600,xe">
              <v:stroke joinstyle="miter"/>
              <v:path gradientshapeok="t" o:connecttype="rect"/>
            </v:shapetype>
            <v:shape id="Textové pole 158957134" o:spid="_x0000_s1029" type="#_x0000_t202" style="position:absolute;left:0;text-align:left;margin-left:265.05pt;margin-top:-9.8pt;width:172.5pt;height:2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" filled="f" stroked="f">
              <v:textbox>
                <w:txbxContent>
                  <w:p w14:paraId="4F588F4D" w14:textId="77777777" w:rsidR="006D5279" w:rsidRPr="00C36AA2" w:rsidRDefault="006D5279" w:rsidP="00631EA3">
                    <w:pPr>
                      <w:jc w:val="right"/>
                      <w:rPr>
                        <w:rFonts w:ascii="Arial Narrow" w:hAnsi="Arial Narrow"/>
                        <w:color w:val="7F7F7F" w:themeColor="text1" w:themeTint="80"/>
                        <w:sz w:val="18"/>
                        <w:szCs w:val="18"/>
                      </w:rPr>
                    </w:pPr>
                    <w:r w:rsidRPr="00C36AA2">
                      <w:rPr>
                        <w:rFonts w:ascii="Arial Narrow" w:hAnsi="Arial Narrow"/>
                        <w:color w:val="7F7F7F" w:themeColor="text1" w:themeTint="80"/>
                        <w:sz w:val="18"/>
                        <w:szCs w:val="18"/>
                      </w:rPr>
                      <w:t xml:space="preserve">Národný strednodobý fiškálno-štrukturálny </w:t>
                    </w:r>
                    <w:r>
                      <w:rPr>
                        <w:rFonts w:ascii="Arial Narrow" w:hAnsi="Arial Narrow"/>
                        <w:color w:val="7F7F7F" w:themeColor="text1" w:themeTint="80"/>
                        <w:sz w:val="18"/>
                        <w:szCs w:val="18"/>
                      </w:rPr>
                      <w:br/>
                    </w:r>
                    <w:r w:rsidRPr="00C36AA2">
                      <w:rPr>
                        <w:rFonts w:ascii="Arial Narrow" w:hAnsi="Arial Narrow"/>
                        <w:color w:val="7F7F7F" w:themeColor="text1" w:themeTint="80"/>
                        <w:sz w:val="18"/>
                        <w:szCs w:val="18"/>
                      </w:rPr>
                      <w:t>plán SR na roky 2025-2028</w:t>
                    </w:r>
                  </w:p>
                </w:txbxContent>
              </v:textbox>
              <w10:wrap anchorx="margin"/>
            </v:shape>
          </w:pict>
        </mc:Fallback>
      </mc:AlternateContent>
    </w:r>
    <w:sdt>
      <w:sdtPr>
        <w:id w:val="935950419"/>
        <w:docPartObj>
          <w:docPartGallery w:val="Page Numbers (Bottom of Page)"/>
          <w:docPartUnique/>
        </w:docPartObj>
      </w:sdtPr>
      <w:sdtEndPr>
        <w:rPr>
          <w:rFonts w:ascii="Arial Narrow" w:hAnsi="Arial Narrow"/>
          <w:sz w:val="20"/>
          <w:szCs w:val="20"/>
        </w:rPr>
      </w:sdtEndPr>
      <w:sdtContent>
        <w:r w:rsidRPr="00C36AA2">
          <w:rPr>
            <w:rFonts w:ascii="Arial Narrow" w:hAnsi="Arial Narrow"/>
            <w:sz w:val="20"/>
            <w:szCs w:val="20"/>
          </w:rPr>
          <w:fldChar w:fldCharType="begin"/>
        </w:r>
        <w:r w:rsidRPr="00C36AA2">
          <w:rPr>
            <w:rFonts w:ascii="Arial Narrow" w:hAnsi="Arial Narrow"/>
            <w:sz w:val="20"/>
            <w:szCs w:val="20"/>
          </w:rPr>
          <w:instrText>PAGE   \* MERGEFORMAT</w:instrText>
        </w:r>
        <w:r w:rsidRPr="00C36AA2">
          <w:rPr>
            <w:rFonts w:ascii="Arial Narrow" w:hAnsi="Arial Narrow"/>
            <w:sz w:val="20"/>
            <w:szCs w:val="20"/>
          </w:rPr>
          <w:fldChar w:fldCharType="separate"/>
        </w:r>
        <w:r w:rsidR="007A664D">
          <w:rPr>
            <w:rFonts w:ascii="Arial Narrow" w:hAnsi="Arial Narrow"/>
            <w:noProof/>
            <w:sz w:val="20"/>
            <w:szCs w:val="20"/>
          </w:rPr>
          <w:t>41</w:t>
        </w:r>
        <w:r w:rsidRPr="00C36AA2">
          <w:rPr>
            <w:rFonts w:ascii="Arial Narrow" w:hAnsi="Arial Narrow"/>
            <w:sz w:val="20"/>
            <w:szCs w:val="20"/>
          </w:rPr>
          <w:fldChar w:fldCharType="end"/>
        </w:r>
      </w:sdtContent>
    </w:sdt>
  </w:p>
  <w:p w14:paraId="30ECADD1" w14:textId="4EDF6478" w:rsidR="006D5279" w:rsidRDefault="006D527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7670C" w14:textId="77777777" w:rsidR="009144C9" w:rsidRDefault="009144C9" w:rsidP="003838BE">
      <w:pPr>
        <w:spacing w:after="0" w:line="240" w:lineRule="auto"/>
      </w:pPr>
      <w:r>
        <w:separator/>
      </w:r>
    </w:p>
  </w:footnote>
  <w:footnote w:type="continuationSeparator" w:id="0">
    <w:p w14:paraId="61A87ED1" w14:textId="77777777" w:rsidR="009144C9" w:rsidRDefault="009144C9" w:rsidP="003838BE">
      <w:pPr>
        <w:spacing w:after="0" w:line="240" w:lineRule="auto"/>
      </w:pPr>
      <w:r>
        <w:continuationSeparator/>
      </w:r>
    </w:p>
  </w:footnote>
  <w:footnote w:id="1">
    <w:p w14:paraId="6AE12B02" w14:textId="4E89D659" w:rsidR="006D5279" w:rsidRPr="00EC0FB5" w:rsidRDefault="006D5279" w:rsidP="000B1E5D">
      <w:pPr>
        <w:pStyle w:val="Textpoznmkypodiarou"/>
        <w:jc w:val="both"/>
        <w:rPr>
          <w:rFonts w:ascii="Arial Narrow" w:hAnsi="Arial Narrow"/>
          <w:sz w:val="16"/>
          <w:szCs w:val="16"/>
        </w:rPr>
      </w:pPr>
      <w:r w:rsidRPr="00EC0FB5">
        <w:rPr>
          <w:rStyle w:val="Odkaznapoznmkupodiarou"/>
          <w:rFonts w:ascii="Arial Narrow" w:hAnsi="Arial Narrow"/>
          <w:sz w:val="16"/>
          <w:szCs w:val="16"/>
        </w:rPr>
        <w:footnoteRef/>
      </w:r>
      <w:r w:rsidRPr="00EC0FB5">
        <w:rPr>
          <w:rFonts w:ascii="Arial Narrow" w:hAnsi="Arial Narrow"/>
          <w:sz w:val="16"/>
          <w:szCs w:val="16"/>
        </w:rPr>
        <w:t xml:space="preserve"> </w:t>
      </w:r>
      <w:r>
        <w:rPr>
          <w:rFonts w:ascii="Arial Narrow" w:hAnsi="Arial Narrow"/>
          <w:sz w:val="16"/>
          <w:szCs w:val="16"/>
        </w:rPr>
        <w:t>Okrem plného znenia sa</w:t>
      </w:r>
      <w:r w:rsidRPr="00EC0FB5">
        <w:rPr>
          <w:rFonts w:ascii="Arial Narrow" w:hAnsi="Arial Narrow"/>
          <w:sz w:val="16"/>
          <w:szCs w:val="16"/>
        </w:rPr>
        <w:t xml:space="preserve"> ďalej v dokumente používajú</w:t>
      </w:r>
      <w:r>
        <w:rPr>
          <w:rFonts w:ascii="Arial Narrow" w:hAnsi="Arial Narrow"/>
          <w:sz w:val="16"/>
          <w:szCs w:val="16"/>
        </w:rPr>
        <w:t xml:space="preserve"> aj</w:t>
      </w:r>
      <w:r w:rsidRPr="00EC0FB5">
        <w:rPr>
          <w:rFonts w:ascii="Arial Narrow" w:hAnsi="Arial Narrow"/>
          <w:sz w:val="16"/>
          <w:szCs w:val="16"/>
        </w:rPr>
        <w:t xml:space="preserve"> skrátené tvary</w:t>
      </w:r>
      <w:r>
        <w:rPr>
          <w:rFonts w:ascii="Arial Narrow" w:hAnsi="Arial Narrow"/>
          <w:sz w:val="16"/>
          <w:szCs w:val="16"/>
        </w:rPr>
        <w:t>,</w:t>
      </w:r>
      <w:r w:rsidRPr="00EC0FB5">
        <w:rPr>
          <w:rFonts w:ascii="Arial Narrow" w:hAnsi="Arial Narrow"/>
          <w:sz w:val="16"/>
          <w:szCs w:val="16"/>
        </w:rPr>
        <w:t xml:space="preserve"> ako</w:t>
      </w:r>
      <w:r>
        <w:rPr>
          <w:rFonts w:ascii="Arial Narrow" w:hAnsi="Arial Narrow"/>
          <w:sz w:val="16"/>
          <w:szCs w:val="16"/>
        </w:rPr>
        <w:t xml:space="preserve"> n</w:t>
      </w:r>
      <w:r w:rsidRPr="000022D9">
        <w:rPr>
          <w:rFonts w:ascii="Arial Narrow" w:hAnsi="Arial Narrow"/>
          <w:sz w:val="16"/>
          <w:szCs w:val="16"/>
        </w:rPr>
        <w:t>árodný strednodobý fiškálno-štrukturálny plán</w:t>
      </w:r>
      <w:r>
        <w:rPr>
          <w:rFonts w:ascii="Arial Narrow" w:hAnsi="Arial Narrow"/>
          <w:sz w:val="16"/>
          <w:szCs w:val="16"/>
        </w:rPr>
        <w:t>,</w:t>
      </w:r>
      <w:r w:rsidRPr="00EC0FB5">
        <w:rPr>
          <w:rFonts w:ascii="Arial Narrow" w:hAnsi="Arial Narrow"/>
          <w:sz w:val="16"/>
          <w:szCs w:val="16"/>
        </w:rPr>
        <w:t xml:space="preserve"> strednodobý plán alebo plán.</w:t>
      </w:r>
    </w:p>
  </w:footnote>
  <w:footnote w:id="2">
    <w:p w14:paraId="23D1FB4A" w14:textId="77777777" w:rsidR="006D5279" w:rsidRPr="004B3BF8" w:rsidRDefault="006D5279" w:rsidP="00C01132">
      <w:pPr>
        <w:pStyle w:val="Textpoznmkypodiarou"/>
        <w:jc w:val="both"/>
        <w:rPr>
          <w:rFonts w:ascii="Arial Narrow" w:hAnsi="Arial Narrow"/>
          <w:sz w:val="16"/>
          <w:szCs w:val="16"/>
        </w:rPr>
      </w:pPr>
      <w:r w:rsidRPr="006E0D33">
        <w:rPr>
          <w:rStyle w:val="Odkaznapoznmkupodiarou"/>
          <w:rFonts w:ascii="Arial Narrow" w:hAnsi="Arial Narrow"/>
          <w:sz w:val="16"/>
          <w:szCs w:val="16"/>
        </w:rPr>
        <w:footnoteRef/>
      </w:r>
      <w:r w:rsidRPr="006E0D33">
        <w:rPr>
          <w:rFonts w:ascii="Arial Narrow" w:hAnsi="Arial Narrow"/>
          <w:sz w:val="16"/>
          <w:szCs w:val="16"/>
        </w:rPr>
        <w:t xml:space="preserve"> </w:t>
      </w:r>
      <w:r w:rsidRPr="006E0D33">
        <w:rPr>
          <w:rFonts w:ascii="Arial Narrow" w:eastAsia="Times New Roman" w:hAnsi="Arial Narrow"/>
          <w:sz w:val="16"/>
          <w:szCs w:val="16"/>
        </w:rPr>
        <w:t>Netto efekt konsolidácie po zohľadnení nových výdavkových politík a vytvorenej rezervy na riešenie negatívnych vplyvov vývoja rozpočtového hospodárenia.</w:t>
      </w:r>
      <w:r>
        <w:rPr>
          <w:rFonts w:ascii="Arial Narrow" w:eastAsia="Times New Roman" w:hAnsi="Arial Narrow"/>
          <w:sz w:val="16"/>
          <w:szCs w:val="16"/>
        </w:rPr>
        <w:t xml:space="preserve"> V roku 2028 je vplyv 1,6 % HDP.</w:t>
      </w:r>
    </w:p>
  </w:footnote>
  <w:footnote w:id="3">
    <w:p w14:paraId="1C79FBD7" w14:textId="77777777" w:rsidR="006D5279" w:rsidRPr="00EC0FB5" w:rsidRDefault="006D5279" w:rsidP="00BE580B">
      <w:pPr>
        <w:spacing w:after="0" w:line="276" w:lineRule="auto"/>
        <w:jc w:val="both"/>
        <w:rPr>
          <w:rFonts w:ascii="Arial Narrow" w:hAnsi="Arial Narrow"/>
          <w:sz w:val="16"/>
          <w:szCs w:val="16"/>
        </w:rPr>
      </w:pPr>
      <w:r w:rsidRPr="00EC0FB5">
        <w:rPr>
          <w:rStyle w:val="Odkaznapoznmkupodiarou"/>
          <w:rFonts w:ascii="Arial Narrow" w:hAnsi="Arial Narrow"/>
          <w:sz w:val="16"/>
          <w:szCs w:val="16"/>
        </w:rPr>
        <w:footnoteRef/>
      </w:r>
      <w:r w:rsidRPr="00EC0FB5">
        <w:rPr>
          <w:rFonts w:ascii="Arial Narrow" w:hAnsi="Arial Narrow"/>
          <w:sz w:val="16"/>
          <w:szCs w:val="16"/>
        </w:rPr>
        <w:t xml:space="preserve"> Strednodobý plán je v prípade makroekonomických a rozpočtových predpokladov postavený na prognóze Európskej komisie zo začiatku leta. Nasledovný text je potrebné vnímať len ako aktualizáciu vývoja, ktorá však nemení základné parametre strednodobého plánu, najmä rast čistých výdavkov vychádzajúci z analýzy udržateľnosti dlhu (rovnako postavenej na </w:t>
      </w:r>
      <w:r>
        <w:rPr>
          <w:rFonts w:ascii="Arial Narrow" w:hAnsi="Arial Narrow"/>
          <w:sz w:val="16"/>
          <w:szCs w:val="16"/>
        </w:rPr>
        <w:t>letnej</w:t>
      </w:r>
      <w:r w:rsidRPr="00EC0FB5">
        <w:rPr>
          <w:rFonts w:ascii="Arial Narrow" w:hAnsi="Arial Narrow"/>
          <w:sz w:val="16"/>
          <w:szCs w:val="16"/>
        </w:rPr>
        <w:t xml:space="preserve"> prognóze EK).</w:t>
      </w:r>
    </w:p>
    <w:p w14:paraId="0EBF39FB" w14:textId="77777777" w:rsidR="006D5279" w:rsidRDefault="006D5279" w:rsidP="00BE580B">
      <w:pPr>
        <w:pStyle w:val="Textpoznmkypodiarou"/>
      </w:pPr>
    </w:p>
  </w:footnote>
  <w:footnote w:id="4">
    <w:p w14:paraId="4056D036" w14:textId="326E05F2" w:rsidR="006D5279" w:rsidRPr="00EA4403" w:rsidRDefault="006D5279" w:rsidP="002A0289">
      <w:pPr>
        <w:pStyle w:val="Textpoznmkypodiarou"/>
        <w:jc w:val="both"/>
        <w:rPr>
          <w:rFonts w:ascii="Arial Narrow" w:hAnsi="Arial Narrow"/>
          <w:sz w:val="16"/>
          <w:szCs w:val="16"/>
        </w:rPr>
      </w:pPr>
      <w:r w:rsidRPr="001B5FDC">
        <w:rPr>
          <w:rStyle w:val="Odkaznapoznmkupodiarou"/>
          <w:rFonts w:ascii="Arial Narrow" w:hAnsi="Arial Narrow"/>
          <w:sz w:val="16"/>
          <w:szCs w:val="16"/>
        </w:rPr>
        <w:footnoteRef/>
      </w:r>
      <w:r w:rsidRPr="001B5FDC">
        <w:rPr>
          <w:rFonts w:ascii="Arial Narrow" w:hAnsi="Arial Narrow"/>
          <w:sz w:val="16"/>
          <w:szCs w:val="16"/>
        </w:rPr>
        <w:t xml:space="preserve"> Viac o komplexnosti </w:t>
      </w:r>
      <w:r>
        <w:rPr>
          <w:rFonts w:ascii="Arial Narrow" w:hAnsi="Arial Narrow"/>
          <w:sz w:val="16"/>
          <w:szCs w:val="16"/>
        </w:rPr>
        <w:t>pôvodného</w:t>
      </w:r>
      <w:r w:rsidRPr="001B5FDC">
        <w:rPr>
          <w:rFonts w:ascii="Arial Narrow" w:hAnsi="Arial Narrow"/>
          <w:sz w:val="16"/>
          <w:szCs w:val="16"/>
        </w:rPr>
        <w:t xml:space="preserve"> rámca pravidiel v</w:t>
      </w:r>
      <w:r>
        <w:rPr>
          <w:rFonts w:ascii="Arial Narrow" w:hAnsi="Arial Narrow"/>
          <w:sz w:val="16"/>
          <w:szCs w:val="16"/>
        </w:rPr>
        <w:t> </w:t>
      </w:r>
      <w:r w:rsidRPr="001B5FDC">
        <w:rPr>
          <w:rFonts w:ascii="Arial Narrow" w:hAnsi="Arial Narrow"/>
          <w:sz w:val="16"/>
          <w:szCs w:val="16"/>
        </w:rPr>
        <w:t>komentári</w:t>
      </w:r>
      <w:r>
        <w:rPr>
          <w:rFonts w:ascii="Arial Narrow" w:hAnsi="Arial Narrow"/>
          <w:sz w:val="16"/>
          <w:szCs w:val="16"/>
        </w:rPr>
        <w:t>:</w:t>
      </w:r>
      <w:r w:rsidRPr="001B5FDC">
        <w:rPr>
          <w:rFonts w:ascii="Arial Narrow" w:hAnsi="Arial Narrow"/>
          <w:sz w:val="16"/>
          <w:szCs w:val="16"/>
        </w:rPr>
        <w:t xml:space="preserve"> </w:t>
      </w:r>
      <w:hyperlink r:id="rId1" w:history="1">
        <w:r w:rsidRPr="000E1AB3">
          <w:rPr>
            <w:rStyle w:val="Hypertextovprepojenie"/>
            <w:rFonts w:ascii="Arial Narrow" w:hAnsi="Arial Narrow"/>
            <w:sz w:val="16"/>
            <w:szCs w:val="16"/>
            <w:u w:val="none"/>
          </w:rPr>
          <w:t>Na väčšiu potrebu šetrenia ukazujú aj nové pravidlá EU</w:t>
        </w:r>
      </w:hyperlink>
      <w:r w:rsidRPr="007740F1">
        <w:rPr>
          <w:rFonts w:ascii="Arial Narrow" w:hAnsi="Arial Narrow"/>
          <w:sz w:val="16"/>
          <w:szCs w:val="16"/>
        </w:rPr>
        <w:t>.</w:t>
      </w:r>
    </w:p>
  </w:footnote>
  <w:footnote w:id="5">
    <w:p w14:paraId="5D7E7E15" w14:textId="00ACF18A" w:rsidR="006D5279" w:rsidRDefault="006D5279" w:rsidP="002A0289">
      <w:pPr>
        <w:pStyle w:val="Textpoznmkypodiarou"/>
        <w:jc w:val="both"/>
      </w:pPr>
      <w:r w:rsidRPr="0007706D">
        <w:rPr>
          <w:rStyle w:val="Odkaznapoznmkupodiarou"/>
          <w:rFonts w:ascii="Arial Narrow" w:hAnsi="Arial Narrow"/>
          <w:sz w:val="16"/>
          <w:szCs w:val="16"/>
        </w:rPr>
        <w:footnoteRef/>
      </w:r>
      <w:r w:rsidRPr="0007706D">
        <w:rPr>
          <w:rFonts w:ascii="Arial Narrow" w:hAnsi="Arial Narrow"/>
          <w:sz w:val="16"/>
          <w:szCs w:val="16"/>
        </w:rPr>
        <w:t xml:space="preserve"> Pri reforme sa nemenili zakladajúce zmluvy EÚ </w:t>
      </w:r>
      <w:r>
        <w:rPr>
          <w:rFonts w:ascii="Arial Narrow" w:hAnsi="Arial Narrow"/>
          <w:sz w:val="16"/>
          <w:szCs w:val="16"/>
        </w:rPr>
        <w:t>ustanovujúce</w:t>
      </w:r>
      <w:r w:rsidRPr="0007706D">
        <w:rPr>
          <w:rFonts w:ascii="Arial Narrow" w:hAnsi="Arial Narrow"/>
          <w:sz w:val="16"/>
          <w:szCs w:val="16"/>
        </w:rPr>
        <w:t xml:space="preserve"> referenčné hranice deficitu 3 % HDP a dlhu 60 % HDP.</w:t>
      </w:r>
      <w:r>
        <w:rPr>
          <w:rFonts w:ascii="Arial Narrow" w:hAnsi="Arial Narrow"/>
          <w:sz w:val="16"/>
          <w:szCs w:val="16"/>
        </w:rPr>
        <w:t xml:space="preserve"> Oba parametre preto ostávajú ústredným prvkom aj v reformovanom rámci pravidiel EÚ.</w:t>
      </w:r>
    </w:p>
  </w:footnote>
  <w:footnote w:id="6">
    <w:p w14:paraId="58B7DCFF" w14:textId="4F9115F0" w:rsidR="006D5279" w:rsidRPr="00275DEC" w:rsidRDefault="006D5279" w:rsidP="002A0289">
      <w:pPr>
        <w:pStyle w:val="Textpoznmkypodiarou"/>
        <w:jc w:val="both"/>
        <w:rPr>
          <w:rFonts w:ascii="Arial Narrow" w:hAnsi="Arial Narrow"/>
          <w:sz w:val="16"/>
          <w:szCs w:val="16"/>
        </w:rPr>
      </w:pPr>
      <w:r w:rsidRPr="001B5FDC">
        <w:rPr>
          <w:rStyle w:val="Odkaznapoznmkupodiarou"/>
          <w:rFonts w:ascii="Arial Narrow" w:hAnsi="Arial Narrow"/>
          <w:sz w:val="16"/>
          <w:szCs w:val="16"/>
        </w:rPr>
        <w:footnoteRef/>
      </w:r>
      <w:r w:rsidRPr="001B5FDC">
        <w:rPr>
          <w:rFonts w:ascii="Arial Narrow" w:hAnsi="Arial Narrow"/>
          <w:sz w:val="16"/>
          <w:szCs w:val="16"/>
        </w:rPr>
        <w:t xml:space="preserve"> Štvorročný plán predpokladá </w:t>
      </w:r>
      <w:r>
        <w:rPr>
          <w:rFonts w:ascii="Arial Narrow" w:hAnsi="Arial Narrow"/>
          <w:sz w:val="16"/>
          <w:szCs w:val="16"/>
        </w:rPr>
        <w:t>štyri</w:t>
      </w:r>
      <w:r w:rsidRPr="001B5FDC">
        <w:rPr>
          <w:rFonts w:ascii="Arial Narrow" w:hAnsi="Arial Narrow"/>
          <w:sz w:val="16"/>
          <w:szCs w:val="16"/>
        </w:rPr>
        <w:t xml:space="preserve"> roky </w:t>
      </w:r>
      <w:r>
        <w:rPr>
          <w:rFonts w:ascii="Arial Narrow" w:hAnsi="Arial Narrow"/>
          <w:sz w:val="16"/>
          <w:szCs w:val="16"/>
        </w:rPr>
        <w:t>konsolidácie</w:t>
      </w:r>
      <w:r w:rsidRPr="001B5FDC">
        <w:rPr>
          <w:rFonts w:ascii="Arial Narrow" w:hAnsi="Arial Narrow"/>
          <w:sz w:val="16"/>
          <w:szCs w:val="16"/>
        </w:rPr>
        <w:t xml:space="preserve"> a následne 10-ročný scenár bez zmeny politík. Sedemročný plán konsolidáciu v priebehu </w:t>
      </w:r>
      <w:r>
        <w:rPr>
          <w:rFonts w:ascii="Arial Narrow" w:hAnsi="Arial Narrow"/>
          <w:sz w:val="16"/>
          <w:szCs w:val="16"/>
        </w:rPr>
        <w:t>siedmich</w:t>
      </w:r>
      <w:r w:rsidRPr="001B5FDC">
        <w:rPr>
          <w:rFonts w:ascii="Arial Narrow" w:hAnsi="Arial Narrow"/>
          <w:sz w:val="16"/>
          <w:szCs w:val="16"/>
        </w:rPr>
        <w:t xml:space="preserve"> rokov </w:t>
      </w:r>
      <w:r w:rsidRPr="00275DEC">
        <w:rPr>
          <w:rFonts w:ascii="Arial Narrow" w:hAnsi="Arial Narrow"/>
          <w:sz w:val="16"/>
          <w:szCs w:val="16"/>
        </w:rPr>
        <w:t>a 10-ročný scenár bez zmeny politík. Kritérium deficitu a dlhu musí byť dodržané aj v rizikových scenároch analýzy dlhovej udržateľnosti (DSA).</w:t>
      </w:r>
    </w:p>
  </w:footnote>
  <w:footnote w:id="7">
    <w:p w14:paraId="20A5F5A9" w14:textId="77777777" w:rsidR="006D5279" w:rsidRPr="00275DEC" w:rsidRDefault="006D5279" w:rsidP="002A0289">
      <w:pPr>
        <w:pStyle w:val="Textpoznmkypodiarou"/>
        <w:jc w:val="both"/>
        <w:rPr>
          <w:rFonts w:ascii="Arial Narrow" w:hAnsi="Arial Narrow"/>
          <w:sz w:val="16"/>
          <w:szCs w:val="16"/>
        </w:rPr>
      </w:pPr>
      <w:r w:rsidRPr="00275DEC">
        <w:rPr>
          <w:rStyle w:val="Odkaznapoznmkupodiarou"/>
          <w:rFonts w:ascii="Arial Narrow" w:hAnsi="Arial Narrow"/>
          <w:sz w:val="16"/>
          <w:szCs w:val="16"/>
        </w:rPr>
        <w:footnoteRef/>
      </w:r>
      <w:r w:rsidRPr="00275DEC">
        <w:rPr>
          <w:rFonts w:ascii="Arial Narrow" w:hAnsi="Arial Narrow"/>
          <w:sz w:val="16"/>
          <w:szCs w:val="16"/>
        </w:rPr>
        <w:t xml:space="preserve"> Pri predložení štvorročného plánu je potrebné v rámci štrukturálnej časti reagovať záväznými reformami a investíciami na špecifické odporúčania Európskej komisie pre krajinu a spoločné priority EÚ.</w:t>
      </w:r>
    </w:p>
  </w:footnote>
  <w:footnote w:id="8">
    <w:p w14:paraId="19CE11C3" w14:textId="4D836CAF" w:rsidR="006D5279" w:rsidRPr="00275DEC" w:rsidRDefault="006D5279" w:rsidP="002A0289">
      <w:pPr>
        <w:pStyle w:val="Textpoznmkypodiarou"/>
        <w:jc w:val="both"/>
        <w:rPr>
          <w:rFonts w:ascii="Arial Narrow" w:hAnsi="Arial Narrow"/>
          <w:sz w:val="16"/>
          <w:szCs w:val="16"/>
        </w:rPr>
      </w:pPr>
      <w:r w:rsidRPr="00275DEC">
        <w:rPr>
          <w:rStyle w:val="Odkaznapoznmkupodiarou"/>
          <w:rFonts w:ascii="Arial Narrow" w:hAnsi="Arial Narrow"/>
          <w:sz w:val="16"/>
          <w:szCs w:val="16"/>
        </w:rPr>
        <w:footnoteRef/>
      </w:r>
      <w:r w:rsidRPr="00275DEC">
        <w:rPr>
          <w:rFonts w:ascii="Arial Narrow" w:hAnsi="Arial Narrow"/>
          <w:sz w:val="16"/>
          <w:szCs w:val="16"/>
        </w:rPr>
        <w:t xml:space="preserve"> Čisté výdavky zodpovedajú celkovým výdavkom verejnej správy očisteným o úrokové náklady, cyklické výdavky v nezamestnanosti, európske štrukturálne fondy a zdroje z Plánu obnovy, zdroje na spolufinancovanie projektov EÚ, jednorazové opatrenia v zmysle metodiky EK a diskrečné príjmové opatrenia vlády. Ide o jediný záväzný fiškálny indikátor, ktorého plnenie sa následne bude vyhodnocovať.</w:t>
      </w:r>
    </w:p>
  </w:footnote>
  <w:footnote w:id="9">
    <w:p w14:paraId="118C369E" w14:textId="05BAEB9E" w:rsidR="006D5279" w:rsidRDefault="006D5279" w:rsidP="002A0289">
      <w:pPr>
        <w:pStyle w:val="Textpoznmkypodiarou"/>
        <w:jc w:val="both"/>
      </w:pPr>
      <w:r w:rsidRPr="000B6A31">
        <w:rPr>
          <w:rStyle w:val="Odkaznapoznmkupodiarou"/>
          <w:rFonts w:ascii="Arial Narrow" w:hAnsi="Arial Narrow"/>
          <w:sz w:val="16"/>
          <w:szCs w:val="16"/>
        </w:rPr>
        <w:footnoteRef/>
      </w:r>
      <w:r w:rsidRPr="000B6A31">
        <w:rPr>
          <w:rFonts w:ascii="Arial Narrow" w:hAnsi="Arial Narrow"/>
          <w:sz w:val="16"/>
          <w:szCs w:val="16"/>
        </w:rPr>
        <w:t xml:space="preserve"> Pravidlo totiž umožňuje čistým výdavkom rásť tempom nominálneho potenciálneho produktu zníženého o požadovan</w:t>
      </w:r>
      <w:r>
        <w:rPr>
          <w:rFonts w:ascii="Arial Narrow" w:hAnsi="Arial Narrow"/>
          <w:sz w:val="16"/>
          <w:szCs w:val="16"/>
        </w:rPr>
        <w:t>ú</w:t>
      </w:r>
      <w:r w:rsidRPr="000B6A31">
        <w:rPr>
          <w:rFonts w:ascii="Arial Narrow" w:hAnsi="Arial Narrow"/>
          <w:sz w:val="16"/>
          <w:szCs w:val="16"/>
        </w:rPr>
        <w:t xml:space="preserve"> zmenu primárneho štrukturálneho deficitu.</w:t>
      </w:r>
    </w:p>
  </w:footnote>
  <w:footnote w:id="10">
    <w:p w14:paraId="4B17F788" w14:textId="77777777" w:rsidR="006D5279" w:rsidRPr="001B5FDC" w:rsidRDefault="006D5279" w:rsidP="002A0289">
      <w:pPr>
        <w:pStyle w:val="Textpoznmkypodiarou"/>
        <w:jc w:val="both"/>
        <w:rPr>
          <w:rFonts w:ascii="Arial Narrow" w:hAnsi="Arial Narrow"/>
          <w:sz w:val="16"/>
          <w:szCs w:val="16"/>
        </w:rPr>
      </w:pPr>
      <w:r w:rsidRPr="001B5FDC">
        <w:rPr>
          <w:rStyle w:val="Odkaznapoznmkupodiarou"/>
          <w:rFonts w:ascii="Arial Narrow" w:hAnsi="Arial Narrow"/>
          <w:sz w:val="16"/>
          <w:szCs w:val="16"/>
        </w:rPr>
        <w:footnoteRef/>
      </w:r>
      <w:r w:rsidRPr="001B5FDC">
        <w:rPr>
          <w:rFonts w:ascii="Arial Narrow" w:hAnsi="Arial Narrow"/>
          <w:sz w:val="16"/>
          <w:szCs w:val="16"/>
        </w:rPr>
        <w:t xml:space="preserve"> Úrovne deficitu a dlhu sa posudzujú v úvodnom procese </w:t>
      </w:r>
      <w:r>
        <w:rPr>
          <w:rFonts w:ascii="Arial Narrow" w:hAnsi="Arial Narrow"/>
          <w:sz w:val="16"/>
          <w:szCs w:val="16"/>
        </w:rPr>
        <w:t xml:space="preserve">určenia veľkosti potrebnej </w:t>
      </w:r>
      <w:r w:rsidRPr="001B5FDC">
        <w:rPr>
          <w:rFonts w:ascii="Arial Narrow" w:hAnsi="Arial Narrow"/>
          <w:sz w:val="16"/>
          <w:szCs w:val="16"/>
        </w:rPr>
        <w:t xml:space="preserve">konsolidácie, počas </w:t>
      </w:r>
      <w:r>
        <w:rPr>
          <w:rFonts w:ascii="Arial Narrow" w:hAnsi="Arial Narrow"/>
          <w:sz w:val="16"/>
          <w:szCs w:val="16"/>
        </w:rPr>
        <w:t xml:space="preserve">cyklu </w:t>
      </w:r>
      <w:r w:rsidRPr="001B5FDC">
        <w:rPr>
          <w:rFonts w:ascii="Arial Narrow" w:hAnsi="Arial Narrow"/>
          <w:sz w:val="16"/>
          <w:szCs w:val="16"/>
        </w:rPr>
        <w:t>strednodobého plánu už ich reálny</w:t>
      </w:r>
      <w:r>
        <w:rPr>
          <w:rFonts w:ascii="Arial Narrow" w:hAnsi="Arial Narrow"/>
          <w:sz w:val="16"/>
          <w:szCs w:val="16"/>
        </w:rPr>
        <w:t xml:space="preserve"> vývoj neovplyvňuje konsolidačné úsilie pre nasledujúce rozpočtové obdobie a hodnotí sa len rast čistých výdavkov a jeho odchýlenia.</w:t>
      </w:r>
    </w:p>
  </w:footnote>
  <w:footnote w:id="11">
    <w:p w14:paraId="09F9EDA5" w14:textId="1EE697CF" w:rsidR="006D5279" w:rsidRDefault="006D5279" w:rsidP="000043A0">
      <w:pPr>
        <w:pStyle w:val="Textpoznmkypodiarou"/>
        <w:jc w:val="both"/>
      </w:pPr>
      <w:r w:rsidRPr="009336BD">
        <w:rPr>
          <w:rStyle w:val="Odkaznapoznmkupodiarou"/>
          <w:rFonts w:ascii="Arial Narrow" w:hAnsi="Arial Narrow"/>
          <w:sz w:val="16"/>
          <w:szCs w:val="16"/>
        </w:rPr>
        <w:footnoteRef/>
      </w:r>
      <w:r w:rsidRPr="009336BD">
        <w:rPr>
          <w:rFonts w:ascii="Arial Narrow" w:hAnsi="Arial Narrow"/>
          <w:sz w:val="16"/>
          <w:szCs w:val="16"/>
        </w:rPr>
        <w:t xml:space="preserve"> Metodika EK využitá v rámci analýzy udržateľnosti dlhu</w:t>
      </w:r>
      <w:r>
        <w:rPr>
          <w:rFonts w:ascii="Arial Narrow" w:hAnsi="Arial Narrow"/>
          <w:sz w:val="16"/>
          <w:szCs w:val="16"/>
        </w:rPr>
        <w:t xml:space="preserve"> (tzv. DSA)</w:t>
      </w:r>
      <w:r w:rsidRPr="009336BD">
        <w:rPr>
          <w:rFonts w:ascii="Arial Narrow" w:hAnsi="Arial Narrow"/>
          <w:sz w:val="16"/>
          <w:szCs w:val="16"/>
        </w:rPr>
        <w:t>, na základe ktorej sa stanovuje maximálny povolený rast čistých výdavkov používa</w:t>
      </w:r>
      <w:r>
        <w:rPr>
          <w:rFonts w:ascii="Arial Narrow" w:hAnsi="Arial Narrow"/>
          <w:sz w:val="16"/>
          <w:szCs w:val="16"/>
        </w:rPr>
        <w:t xml:space="preserve"> </w:t>
      </w:r>
      <w:r w:rsidRPr="009336BD">
        <w:rPr>
          <w:rFonts w:ascii="Arial Narrow" w:hAnsi="Arial Narrow"/>
          <w:sz w:val="16"/>
          <w:szCs w:val="16"/>
        </w:rPr>
        <w:t>niektoré zjednodušujúce predpoklady, ktoré sa líšia od aktuálnej projekcie daňových príjmov (ide najmä o jednotkovú elasticitu príjmov, či iný vývoj úrokových</w:t>
      </w:r>
      <w:r>
        <w:rPr>
          <w:rFonts w:ascii="Arial Narrow" w:hAnsi="Arial Narrow"/>
          <w:sz w:val="16"/>
          <w:szCs w:val="16"/>
        </w:rPr>
        <w:t xml:space="preserve"> </w:t>
      </w:r>
      <w:r w:rsidRPr="009336BD">
        <w:rPr>
          <w:rFonts w:ascii="Arial Narrow" w:hAnsi="Arial Narrow"/>
          <w:sz w:val="16"/>
          <w:szCs w:val="16"/>
        </w:rPr>
        <w:t>nákladov). V dôsledku toho</w:t>
      </w:r>
      <w:r>
        <w:rPr>
          <w:rFonts w:ascii="Arial Narrow" w:hAnsi="Arial Narrow"/>
          <w:sz w:val="16"/>
          <w:szCs w:val="16"/>
        </w:rPr>
        <w:t xml:space="preserve"> sa </w:t>
      </w:r>
      <w:r w:rsidRPr="009336BD">
        <w:rPr>
          <w:rFonts w:ascii="Arial Narrow" w:hAnsi="Arial Narrow"/>
          <w:sz w:val="16"/>
          <w:szCs w:val="16"/>
        </w:rPr>
        <w:t>vývoj dlhu a deficit prezentovaný v ďalších častiach mierne odlišuje od očakávaného vývoja podľa MFSR</w:t>
      </w:r>
      <w:r>
        <w:rPr>
          <w:rFonts w:ascii="Arial Narrow" w:hAnsi="Arial Narrow"/>
          <w:sz w:val="16"/>
          <w:szCs w:val="16"/>
        </w:rPr>
        <w:t>.</w:t>
      </w:r>
    </w:p>
  </w:footnote>
  <w:footnote w:id="12">
    <w:p w14:paraId="541E90D5" w14:textId="77777777" w:rsidR="006D5279" w:rsidRPr="009336BD" w:rsidRDefault="006D5279" w:rsidP="007740F1">
      <w:pPr>
        <w:pStyle w:val="Textpoznmkypodiarou"/>
        <w:jc w:val="both"/>
        <w:rPr>
          <w:rFonts w:ascii="Arial Narrow" w:hAnsi="Arial Narrow"/>
          <w:sz w:val="16"/>
          <w:szCs w:val="16"/>
        </w:rPr>
      </w:pPr>
      <w:r w:rsidRPr="009336BD">
        <w:rPr>
          <w:rStyle w:val="Odkaznapoznmkupodiarou"/>
          <w:rFonts w:ascii="Arial Narrow" w:hAnsi="Arial Narrow"/>
          <w:sz w:val="16"/>
          <w:szCs w:val="16"/>
        </w:rPr>
        <w:footnoteRef/>
      </w:r>
      <w:r w:rsidRPr="009336BD">
        <w:rPr>
          <w:rFonts w:ascii="Arial Narrow" w:hAnsi="Arial Narrow"/>
          <w:sz w:val="16"/>
          <w:szCs w:val="16"/>
        </w:rPr>
        <w:t xml:space="preserve"> Presná kategorizácia rizík je dostupná v </w:t>
      </w:r>
      <w:hyperlink r:id="rId2" w:anchor="page=79" w:history="1">
        <w:r w:rsidRPr="000E1AB3">
          <w:rPr>
            <w:rStyle w:val="Hypertextovprepojenie1"/>
            <w:rFonts w:ascii="Arial Narrow" w:hAnsi="Arial Narrow"/>
            <w:sz w:val="16"/>
            <w:szCs w:val="16"/>
            <w:u w:val="none"/>
          </w:rPr>
          <w:t>Tabuľke 1 Boxu I.3.1 najnovšieho vydania Debt Sustainability Monitoru</w:t>
        </w:r>
      </w:hyperlink>
      <w:r w:rsidRPr="007740F1">
        <w:rPr>
          <w:rFonts w:ascii="Arial Narrow" w:hAnsi="Arial Narrow"/>
          <w:sz w:val="16"/>
          <w:szCs w:val="16"/>
        </w:rPr>
        <w:t>.</w:t>
      </w:r>
    </w:p>
  </w:footnote>
  <w:footnote w:id="13">
    <w:p w14:paraId="50756A34" w14:textId="77777777" w:rsidR="006D5279" w:rsidRPr="00DC299B" w:rsidRDefault="006D5279" w:rsidP="007740F1">
      <w:pPr>
        <w:pStyle w:val="Textpoznmkypodiarou"/>
        <w:jc w:val="both"/>
        <w:rPr>
          <w:sz w:val="16"/>
          <w:szCs w:val="16"/>
        </w:rPr>
      </w:pPr>
      <w:r w:rsidRPr="002A0289">
        <w:rPr>
          <w:rStyle w:val="Odkaznapoznmkupodiarou"/>
          <w:rFonts w:ascii="Arial Narrow" w:hAnsi="Arial Narrow"/>
          <w:sz w:val="16"/>
          <w:szCs w:val="16"/>
        </w:rPr>
        <w:footnoteRef/>
      </w:r>
      <w:r w:rsidRPr="002A0289">
        <w:rPr>
          <w:rFonts w:ascii="Arial Narrow" w:hAnsi="Arial Narrow"/>
          <w:sz w:val="16"/>
          <w:szCs w:val="16"/>
        </w:rPr>
        <w:t xml:space="preserve"> Výpočty indikátorov S1 a S2 MF SR sa líšia od výpočtov Európskej komisie kvôli rozdielnym metodickým postupom. Pre bližšie informácie o metodických rozdieloch konzultujte </w:t>
      </w:r>
      <w:hyperlink r:id="rId3" w:anchor="page=30" w:history="1">
        <w:r w:rsidRPr="00924635">
          <w:rPr>
            <w:rStyle w:val="Hypertextovprepojenie1"/>
            <w:rFonts w:ascii="Arial Narrow" w:hAnsi="Arial Narrow"/>
            <w:sz w:val="16"/>
            <w:szCs w:val="16"/>
            <w:u w:val="none"/>
          </w:rPr>
          <w:t>Box 6 Programu Stability 2023</w:t>
        </w:r>
      </w:hyperlink>
      <w:r w:rsidRPr="002A0289">
        <w:rPr>
          <w:rFonts w:ascii="Arial Narrow" w:hAnsi="Arial Narrow"/>
          <w:sz w:val="16"/>
          <w:szCs w:val="16"/>
        </w:rPr>
        <w:t xml:space="preserve"> a pre metodické postupy komisie najnovšie vydanie </w:t>
      </w:r>
      <w:hyperlink r:id="rId4" w:anchor="page=77" w:history="1">
        <w:r w:rsidRPr="00924635">
          <w:rPr>
            <w:rStyle w:val="Hypertextovprepojenie1"/>
            <w:rFonts w:ascii="Arial Narrow" w:hAnsi="Arial Narrow"/>
            <w:sz w:val="16"/>
            <w:szCs w:val="16"/>
            <w:u w:val="none"/>
          </w:rPr>
          <w:t>Debt Sustainability Monitoru</w:t>
        </w:r>
      </w:hyperlink>
      <w:r w:rsidRPr="007740F1">
        <w:rPr>
          <w:rFonts w:ascii="Arial Narrow" w:hAnsi="Arial Narrow"/>
          <w:sz w:val="16"/>
          <w:szCs w:val="16"/>
        </w:rPr>
        <w:t>.</w:t>
      </w:r>
    </w:p>
  </w:footnote>
  <w:footnote w:id="14">
    <w:p w14:paraId="38D6314E" w14:textId="204F0CCE" w:rsidR="006D5279" w:rsidRDefault="006D5279" w:rsidP="00C36AA2">
      <w:pPr>
        <w:pStyle w:val="Textpoznmkypodiarou"/>
        <w:rPr>
          <w:rFonts w:ascii="Arial Narrow" w:hAnsi="Arial Narrow"/>
          <w:sz w:val="16"/>
          <w:szCs w:val="16"/>
        </w:rPr>
      </w:pPr>
      <w:r>
        <w:rPr>
          <w:rStyle w:val="Odkaznapoznmkupodiarou"/>
          <w:rFonts w:ascii="Arial Narrow" w:hAnsi="Arial Narrow"/>
          <w:sz w:val="16"/>
          <w:szCs w:val="16"/>
        </w:rPr>
        <w:footnoteRef/>
      </w:r>
      <w:r>
        <w:rPr>
          <w:rFonts w:ascii="Arial Narrow" w:hAnsi="Arial Narrow"/>
          <w:sz w:val="16"/>
          <w:szCs w:val="16"/>
        </w:rPr>
        <w:t xml:space="preserve"> Je to spôsobené najmä tým, že časť daní, hlavne spotrebných, nie je pravidelne indexovaná a ich podiel na HDP tak automaticky klesá.</w:t>
      </w:r>
    </w:p>
  </w:footnote>
  <w:footnote w:id="15">
    <w:p w14:paraId="16DFBBC8" w14:textId="599EDE68" w:rsidR="006D5279" w:rsidRDefault="006D5279" w:rsidP="00C36AA2">
      <w:pPr>
        <w:pStyle w:val="Textpoznmkypodiarou"/>
        <w:jc w:val="both"/>
        <w:rPr>
          <w:rFonts w:ascii="Arial Narrow" w:hAnsi="Arial Narrow"/>
          <w:sz w:val="16"/>
          <w:szCs w:val="16"/>
        </w:rPr>
      </w:pPr>
      <w:r>
        <w:rPr>
          <w:rStyle w:val="Odkaznapoznmkupodiarou"/>
          <w:rFonts w:ascii="Arial Narrow" w:hAnsi="Arial Narrow"/>
          <w:sz w:val="16"/>
          <w:szCs w:val="16"/>
        </w:rPr>
        <w:footnoteRef/>
      </w:r>
      <w:r>
        <w:rPr>
          <w:rFonts w:ascii="Arial Narrow" w:hAnsi="Arial Narrow"/>
          <w:sz w:val="16"/>
          <w:szCs w:val="16"/>
        </w:rPr>
        <w:t xml:space="preserve"> Konsolidačné opatrenia boli už schválené v NR SR dňa 3. 10. 2024.  Uvedený  je čistý vplyv opatrení, pričom vplyv v roku 2025 je nižší z dôvodu, že časť opatrení sa týka len časti roka 2025 (daň z finančných transakcií, zmeny v mýte). Zoznam opatrení obsahuje aj kompenzujúce opatrenia (v DPH, či na podporu podnikania).</w:t>
      </w:r>
    </w:p>
  </w:footnote>
  <w:footnote w:id="16">
    <w:p w14:paraId="47799E4C" w14:textId="028037C9" w:rsidR="006D5279" w:rsidRPr="00F6360F" w:rsidRDefault="006D5279" w:rsidP="00F6360F">
      <w:pPr>
        <w:pStyle w:val="Textpoznmkypodiarou"/>
        <w:jc w:val="both"/>
        <w:rPr>
          <w:rFonts w:ascii="Arial Narrow" w:hAnsi="Arial Narrow"/>
          <w:sz w:val="16"/>
          <w:szCs w:val="16"/>
        </w:rPr>
      </w:pPr>
      <w:r w:rsidRPr="00F6360F">
        <w:rPr>
          <w:rStyle w:val="Odkaznapoznmkupodiarou"/>
          <w:rFonts w:ascii="Arial Narrow" w:hAnsi="Arial Narrow"/>
          <w:sz w:val="16"/>
          <w:szCs w:val="16"/>
        </w:rPr>
        <w:footnoteRef/>
      </w:r>
      <w:r w:rsidRPr="00F6360F">
        <w:rPr>
          <w:rFonts w:ascii="Arial Narrow" w:hAnsi="Arial Narrow"/>
          <w:sz w:val="16"/>
          <w:szCs w:val="16"/>
        </w:rPr>
        <w:t xml:space="preserve"> </w:t>
      </w:r>
      <w:r>
        <w:rPr>
          <w:rFonts w:ascii="Arial Narrow" w:hAnsi="Arial Narrow" w:cs="Times New Roman"/>
          <w:sz w:val="16"/>
          <w:szCs w:val="16"/>
        </w:rPr>
        <w:t>Z</w:t>
      </w:r>
      <w:r w:rsidRPr="00F6360F">
        <w:rPr>
          <w:rFonts w:ascii="Arial Narrow" w:hAnsi="Arial Narrow" w:cs="Times New Roman"/>
          <w:sz w:val="16"/>
          <w:szCs w:val="16"/>
        </w:rPr>
        <w:t xml:space="preserve">ákladná sadzba DPH </w:t>
      </w:r>
      <w:r>
        <w:rPr>
          <w:rFonts w:ascii="Arial Narrow" w:hAnsi="Arial Narrow" w:cs="Times New Roman"/>
          <w:sz w:val="16"/>
          <w:szCs w:val="16"/>
        </w:rPr>
        <w:t xml:space="preserve">sa zvyšuje </w:t>
      </w:r>
      <w:r w:rsidRPr="00F6360F">
        <w:rPr>
          <w:rFonts w:ascii="Arial Narrow" w:hAnsi="Arial Narrow" w:cs="Times New Roman"/>
          <w:sz w:val="16"/>
          <w:szCs w:val="16"/>
        </w:rPr>
        <w:t>z 20 % na 23 % a na vybrané tovary a služby sa zavádzajú znížené sadzby</w:t>
      </w:r>
      <w:r>
        <w:rPr>
          <w:rFonts w:ascii="Arial Narrow" w:hAnsi="Arial Narrow" w:cs="Times New Roman"/>
          <w:sz w:val="16"/>
          <w:szCs w:val="16"/>
        </w:rPr>
        <w:t xml:space="preserve">. </w:t>
      </w:r>
      <w:r w:rsidRPr="00F6360F">
        <w:rPr>
          <w:rFonts w:ascii="Arial Narrow" w:hAnsi="Arial Narrow" w:cs="Times New Roman"/>
          <w:sz w:val="16"/>
          <w:szCs w:val="16"/>
        </w:rPr>
        <w:t xml:space="preserve">19 % </w:t>
      </w:r>
      <w:r>
        <w:rPr>
          <w:rFonts w:ascii="Arial Narrow" w:hAnsi="Arial Narrow" w:cs="Times New Roman"/>
          <w:sz w:val="16"/>
          <w:szCs w:val="16"/>
        </w:rPr>
        <w:t xml:space="preserve">sadzba </w:t>
      </w:r>
      <w:r w:rsidRPr="00F6360F">
        <w:rPr>
          <w:rFonts w:ascii="Arial Narrow" w:hAnsi="Arial Narrow" w:cs="Times New Roman"/>
          <w:sz w:val="16"/>
          <w:szCs w:val="16"/>
        </w:rPr>
        <w:t xml:space="preserve">na potraviny (okrem vybraných základných potravín v sadzbe  5 %), dodanie elektriny, služby spojené s podávaním nápojov v reštauračných a stravovacích zariadeniach s výnimkou podávania alkoholických nápojov a 5 % </w:t>
      </w:r>
      <w:r>
        <w:rPr>
          <w:rFonts w:ascii="Arial Narrow" w:hAnsi="Arial Narrow" w:cs="Times New Roman"/>
          <w:sz w:val="16"/>
          <w:szCs w:val="16"/>
        </w:rPr>
        <w:t xml:space="preserve">sadzba </w:t>
      </w:r>
      <w:r w:rsidRPr="00F6360F">
        <w:rPr>
          <w:rFonts w:ascii="Arial Narrow" w:hAnsi="Arial Narrow" w:cs="Times New Roman"/>
          <w:sz w:val="16"/>
          <w:szCs w:val="16"/>
        </w:rPr>
        <w:t>na lieky, vybraný okruh zdravotníckych pomôcok, vybraný okruh základných potravín, edukačné publikácie, knihy, noviny, tlač, hudobniny, vstupné na športoviská a do fitnescentier, služby spojené s podávaním jedál v reštauračných a stravovacích zariadeniach, tovary a služby poskytované sociálnym podnikom a pre ubytovacie služby</w:t>
      </w:r>
      <w:r>
        <w:rPr>
          <w:rFonts w:ascii="Arial Narrow" w:hAnsi="Arial Narrow" w:cs="Times New Roman"/>
          <w:sz w:val="16"/>
          <w:szCs w:val="16"/>
        </w:rPr>
        <w:t>.</w:t>
      </w:r>
    </w:p>
  </w:footnote>
  <w:footnote w:id="17">
    <w:p w14:paraId="7CDCAB34" w14:textId="77777777" w:rsidR="006D5279" w:rsidRDefault="006D5279" w:rsidP="00C84223">
      <w:pPr>
        <w:pStyle w:val="Textpoznmkypodiarou"/>
        <w:rPr>
          <w:rFonts w:ascii="Arial Narrow" w:hAnsi="Arial Narrow"/>
          <w:sz w:val="16"/>
          <w:szCs w:val="16"/>
        </w:rPr>
      </w:pPr>
      <w:r>
        <w:rPr>
          <w:rStyle w:val="Odkaznapoznmkupodiarou"/>
          <w:rFonts w:ascii="Arial Narrow" w:hAnsi="Arial Narrow"/>
          <w:sz w:val="16"/>
          <w:szCs w:val="16"/>
        </w:rPr>
        <w:footnoteRef/>
      </w:r>
      <w:r>
        <w:rPr>
          <w:rFonts w:ascii="Arial Narrow" w:hAnsi="Arial Narrow"/>
          <w:sz w:val="16"/>
          <w:szCs w:val="16"/>
        </w:rPr>
        <w:t xml:space="preserve"> Podrobnejšie uvedené v Návrhu rozpočtového plánu.</w:t>
      </w:r>
    </w:p>
  </w:footnote>
  <w:footnote w:id="18">
    <w:p w14:paraId="2FA06602" w14:textId="6758A37F" w:rsidR="006D5279" w:rsidRPr="00C36AA2" w:rsidRDefault="006D5279">
      <w:pPr>
        <w:pStyle w:val="Textpoznmkypodiarou"/>
        <w:rPr>
          <w:rFonts w:ascii="Arial Narrow" w:hAnsi="Arial Narrow"/>
          <w:sz w:val="16"/>
          <w:szCs w:val="16"/>
        </w:rPr>
      </w:pPr>
      <w:r w:rsidRPr="00C36AA2">
        <w:rPr>
          <w:rStyle w:val="Odkaznapoznmkupodiarou"/>
          <w:rFonts w:ascii="Arial Narrow" w:hAnsi="Arial Narrow"/>
          <w:sz w:val="16"/>
          <w:szCs w:val="16"/>
        </w:rPr>
        <w:footnoteRef/>
      </w:r>
      <w:r w:rsidRPr="00C36AA2">
        <w:rPr>
          <w:rFonts w:ascii="Arial Narrow" w:hAnsi="Arial Narrow"/>
          <w:sz w:val="16"/>
          <w:szCs w:val="16"/>
        </w:rPr>
        <w:t xml:space="preserve"> Za jedno dieťa do 15 rokov. </w:t>
      </w:r>
    </w:p>
  </w:footnote>
  <w:footnote w:id="19">
    <w:p w14:paraId="63BF5A82" w14:textId="77777777" w:rsidR="006D5279" w:rsidRPr="004B3BF8" w:rsidRDefault="006D5279" w:rsidP="002A0289">
      <w:pPr>
        <w:pStyle w:val="Textpoznmkypodiarou"/>
        <w:jc w:val="both"/>
        <w:rPr>
          <w:rFonts w:ascii="Arial Narrow" w:hAnsi="Arial Narrow"/>
        </w:rPr>
      </w:pPr>
      <w:r w:rsidRPr="004B3BF8">
        <w:rPr>
          <w:rStyle w:val="Odkaznapoznmkupodiarou"/>
          <w:rFonts w:ascii="Arial Narrow" w:hAnsi="Arial Narrow"/>
          <w:sz w:val="16"/>
          <w:szCs w:val="16"/>
        </w:rPr>
        <w:footnoteRef/>
      </w:r>
      <w:r w:rsidRPr="004B3BF8">
        <w:rPr>
          <w:rStyle w:val="Odkaznapoznmkupodiarou"/>
          <w:rFonts w:ascii="Arial Narrow" w:hAnsi="Arial Narrow"/>
          <w:sz w:val="16"/>
          <w:szCs w:val="16"/>
        </w:rPr>
        <w:t xml:space="preserve"> </w:t>
      </w:r>
      <w:r w:rsidRPr="004B3BF8">
        <w:rPr>
          <w:rFonts w:ascii="Arial Narrow" w:hAnsi="Arial Narrow"/>
          <w:sz w:val="16"/>
          <w:szCs w:val="16"/>
        </w:rPr>
        <w:t>Podmienené záväzky sú definované prostredníctvom účtovnej legislatívy ako potenciálne záväzky, ktoré vznikli v dôsledku minulej udalosti a povinnosť ich zrealizovania v budúcnosti nie je istá. Vykazujú sa v poznámkach účtovných závierok a nie v súvahe z dôvodu neistôt týkajúcich sa načasovania alebo výšky budúceho vysporiadania záväzku. Vzhľadom na uvedené sa ako podmienené záväzky vykazujú napríklad poskytnuté záruky, záväzky z právnych/súdnych sporov, budúce záväzky zo všeobecne platných právnych predpisov, alebo sú to iné finančné povinnosti, zákonná alebo zmluvná povinnosť odobrať určité produkty, povinnosti z nájomných zmlúv, a podobne. Zdrojom údajov sú ročné účtovné závierky subjektov verejnej správy a subjektov pod kontrolou vlády, predložené za posledné účtovné obdobie. Vzhľadom na dostupnosť údajov len na ročnej báze za predchádzajúce obdobie, môže dochádzať k časovému oneskoreniu vývoja podmienených záväzkov v bežnom roku a najbližším rozpočtovaným obdobím.</w:t>
      </w:r>
    </w:p>
  </w:footnote>
  <w:footnote w:id="20">
    <w:p w14:paraId="3F000E8F" w14:textId="77777777" w:rsidR="006D5279" w:rsidRPr="004B3BF8" w:rsidRDefault="006D5279" w:rsidP="002A0289">
      <w:pPr>
        <w:pStyle w:val="Textpoznmkypodiarou"/>
        <w:rPr>
          <w:rFonts w:ascii="Arial Narrow" w:hAnsi="Arial Narrow"/>
        </w:rPr>
      </w:pPr>
      <w:r w:rsidRPr="004B3BF8">
        <w:rPr>
          <w:rStyle w:val="Odkaznapoznmkupodiarou"/>
          <w:rFonts w:ascii="Arial Narrow" w:hAnsi="Arial Narrow"/>
          <w:sz w:val="16"/>
          <w:szCs w:val="16"/>
        </w:rPr>
        <w:footnoteRef/>
      </w:r>
      <w:r w:rsidRPr="004B3BF8">
        <w:rPr>
          <w:rStyle w:val="Odkaznapoznmkupodiarou"/>
          <w:rFonts w:ascii="Arial Narrow" w:hAnsi="Arial Narrow"/>
          <w:sz w:val="16"/>
          <w:szCs w:val="16"/>
        </w:rPr>
        <w:t xml:space="preserve"> </w:t>
      </w:r>
      <w:r w:rsidRPr="004B3BF8">
        <w:rPr>
          <w:rFonts w:ascii="Arial Narrow" w:hAnsi="Arial Narrow"/>
          <w:sz w:val="16"/>
          <w:szCs w:val="16"/>
        </w:rPr>
        <w:t>Iba Európsky nástroj finančnej stability (EFSF) a Európsky mechanizmus pre stabilitu (ESM) predstavujú približne 6,9% HDP.</w:t>
      </w:r>
    </w:p>
  </w:footnote>
  <w:footnote w:id="21">
    <w:p w14:paraId="003B5BEB" w14:textId="77777777" w:rsidR="006D5279" w:rsidRPr="004B3BF8" w:rsidRDefault="006D5279" w:rsidP="002A0289">
      <w:pPr>
        <w:pStyle w:val="Textpoznmkypodiarou"/>
        <w:rPr>
          <w:rFonts w:ascii="Arial Narrow" w:hAnsi="Arial Narrow"/>
        </w:rPr>
      </w:pPr>
      <w:r w:rsidRPr="004B3BF8">
        <w:rPr>
          <w:rStyle w:val="Odkaznapoznmkupodiarou"/>
          <w:rFonts w:ascii="Arial Narrow" w:hAnsi="Arial Narrow"/>
          <w:sz w:val="16"/>
          <w:szCs w:val="16"/>
        </w:rPr>
        <w:footnoteRef/>
      </w:r>
      <w:r w:rsidRPr="004B3BF8">
        <w:rPr>
          <w:rStyle w:val="Odkaznapoznmkupodiarou"/>
          <w:rFonts w:ascii="Arial Narrow" w:hAnsi="Arial Narrow"/>
          <w:sz w:val="16"/>
          <w:szCs w:val="16"/>
        </w:rPr>
        <w:t xml:space="preserve"> </w:t>
      </w:r>
      <w:r w:rsidRPr="004B3BF8">
        <w:rPr>
          <w:rFonts w:ascii="Arial Narrow" w:hAnsi="Arial Narrow"/>
          <w:sz w:val="16"/>
          <w:szCs w:val="16"/>
        </w:rPr>
        <w:t>Ministerstvo financií a Ministerstvo vnútra sú najviac ohrozené, pričom každé z nich čelí právnym sporom presahujúcim 0,8% HDP.</w:t>
      </w:r>
    </w:p>
  </w:footnote>
  <w:footnote w:id="22">
    <w:p w14:paraId="0042034B" w14:textId="77777777" w:rsidR="006D5279" w:rsidRPr="004B3BF8" w:rsidRDefault="006D5279" w:rsidP="002A0289">
      <w:pPr>
        <w:pStyle w:val="Textpoznmkypodiarou"/>
        <w:jc w:val="both"/>
        <w:rPr>
          <w:rFonts w:ascii="Arial Narrow" w:hAnsi="Arial Narrow"/>
        </w:rPr>
      </w:pPr>
      <w:r w:rsidRPr="004B3BF8">
        <w:rPr>
          <w:rStyle w:val="Odkaznapoznmkupodiarou"/>
          <w:rFonts w:ascii="Arial Narrow" w:hAnsi="Arial Narrow"/>
          <w:sz w:val="16"/>
          <w:szCs w:val="16"/>
        </w:rPr>
        <w:footnoteRef/>
      </w:r>
      <w:r w:rsidRPr="004B3BF8">
        <w:rPr>
          <w:rStyle w:val="Odkaznapoznmkupodiarou"/>
          <w:rFonts w:ascii="Arial Narrow" w:hAnsi="Arial Narrow"/>
          <w:sz w:val="16"/>
          <w:szCs w:val="16"/>
        </w:rPr>
        <w:t xml:space="preserve"> </w:t>
      </w:r>
      <w:r w:rsidRPr="004B3BF8">
        <w:rPr>
          <w:rFonts w:ascii="Arial Narrow" w:hAnsi="Arial Narrow"/>
          <w:sz w:val="16"/>
          <w:szCs w:val="16"/>
        </w:rPr>
        <w:t xml:space="preserve">Definícia implicitných záväzkov podľa zákona č. 493/2011 o rozpočtovej zodpovednosti vychádza z koncepcie čistých implicitných záväzkov, čo znamená, že okrem budúcich výdavkov zahŕňa aj budúce príjmy. Pri použití konečného horizontu ide teda o odlišnú definíciu v porovnaní s </w:t>
      </w:r>
      <w:hyperlink r:id="rId5" w:history="1">
        <w:r w:rsidRPr="004B3BF8">
          <w:rPr>
            <w:rFonts w:ascii="Arial Narrow" w:hAnsi="Arial Narrow"/>
            <w:sz w:val="16"/>
            <w:szCs w:val="16"/>
          </w:rPr>
          <w:t>definíciou implicitných záväzkov v národných účtoch</w:t>
        </w:r>
      </w:hyperlink>
      <w:r w:rsidRPr="004B3BF8">
        <w:rPr>
          <w:rFonts w:ascii="Arial Narrow" w:hAnsi="Arial Narrow"/>
          <w:sz w:val="16"/>
          <w:szCs w:val="16"/>
        </w:rPr>
        <w:t>, ktorá v tomto horizonte zohľadňuje iba budúce výdavky (hrubé implicitné záväzky).</w:t>
      </w:r>
    </w:p>
  </w:footnote>
  <w:footnote w:id="23">
    <w:p w14:paraId="7F84FB35" w14:textId="77777777" w:rsidR="006D5279" w:rsidRDefault="006D5279" w:rsidP="002A0289">
      <w:pPr>
        <w:pStyle w:val="Textpoznmkypodiarou"/>
        <w:jc w:val="both"/>
      </w:pPr>
      <w:r w:rsidRPr="004B3BF8">
        <w:rPr>
          <w:rStyle w:val="Odkaznapoznmkupodiarou"/>
          <w:rFonts w:ascii="Arial Narrow" w:hAnsi="Arial Narrow"/>
          <w:sz w:val="16"/>
          <w:szCs w:val="16"/>
        </w:rPr>
        <w:footnoteRef/>
      </w:r>
      <w:r w:rsidRPr="004B3BF8">
        <w:rPr>
          <w:rStyle w:val="Odkaznapoznmkupodiarou"/>
          <w:rFonts w:ascii="Arial Narrow" w:hAnsi="Arial Narrow"/>
          <w:sz w:val="16"/>
          <w:szCs w:val="16"/>
        </w:rPr>
        <w:t xml:space="preserve"> </w:t>
      </w:r>
      <w:r w:rsidRPr="004B3BF8">
        <w:rPr>
          <w:rFonts w:ascii="Arial Narrow" w:hAnsi="Arial Narrow"/>
          <w:sz w:val="16"/>
          <w:szCs w:val="16"/>
        </w:rPr>
        <w:t xml:space="preserve">Z dôvodu ich problematického oceňovania a absencie vykazovania v súvahe subjektov verejnej správy sa implicitné záväzky odhadujú pomocou analytického postupu po zohľadnení legislatívneho vývoja. Vyjadrené sú ako percento aktuálneho HDP v roku 2024. Podrobnejší postup výpočtu popisuje </w:t>
      </w:r>
      <w:hyperlink r:id="rId6" w:history="1">
        <w:r w:rsidRPr="004B3BF8">
          <w:rPr>
            <w:rStyle w:val="Hypertextovprepojenie"/>
            <w:rFonts w:ascii="Arial Narrow" w:hAnsi="Arial Narrow"/>
            <w:sz w:val="16"/>
            <w:szCs w:val="16"/>
          </w:rPr>
          <w:t>Metodika MF SR pre výpočet implicitných záväzkov</w:t>
        </w:r>
      </w:hyperlink>
      <w:r w:rsidRPr="004B3BF8">
        <w:rPr>
          <w:rFonts w:ascii="Arial Narrow" w:hAnsi="Arial Narrow"/>
          <w:sz w:val="16"/>
          <w:szCs w:val="16"/>
        </w:rPr>
        <w:t>.</w:t>
      </w:r>
    </w:p>
  </w:footnote>
  <w:footnote w:id="24">
    <w:p w14:paraId="554D27B6" w14:textId="77777777" w:rsidR="006D5279" w:rsidRPr="004F2D61" w:rsidRDefault="006D5279" w:rsidP="00AC0F39">
      <w:pPr>
        <w:pStyle w:val="Textpoznmkypodiarou"/>
        <w:jc w:val="both"/>
        <w:rPr>
          <w:rFonts w:ascii="Arial Narrow" w:hAnsi="Arial Narrow"/>
          <w:sz w:val="16"/>
          <w:szCs w:val="16"/>
        </w:rPr>
      </w:pPr>
      <w:r w:rsidRPr="004F2D61">
        <w:rPr>
          <w:rStyle w:val="Odkaznapoznmkupodiarou"/>
          <w:rFonts w:ascii="Arial Narrow" w:hAnsi="Arial Narrow"/>
          <w:sz w:val="16"/>
          <w:szCs w:val="16"/>
        </w:rPr>
        <w:footnoteRef/>
      </w:r>
      <w:r w:rsidRPr="004F2D61">
        <w:rPr>
          <w:rFonts w:ascii="Arial Narrow" w:hAnsi="Arial Narrow"/>
          <w:sz w:val="16"/>
          <w:szCs w:val="16"/>
        </w:rPr>
        <w:t xml:space="preserve"> Nominálny produkt v zmysle rastu potenciálneho HDP a deflátora HDP.</w:t>
      </w:r>
    </w:p>
  </w:footnote>
  <w:footnote w:id="25">
    <w:p w14:paraId="2B244ABA" w14:textId="77777777" w:rsidR="00D476B6" w:rsidRPr="00FF1867" w:rsidRDefault="00D476B6" w:rsidP="00D476B6">
      <w:pPr>
        <w:pStyle w:val="Textpoznmkypodiarou"/>
        <w:rPr>
          <w:rFonts w:ascii="Arial Narrow" w:hAnsi="Arial Narrow"/>
          <w:sz w:val="16"/>
          <w:szCs w:val="16"/>
        </w:rPr>
      </w:pPr>
      <w:r w:rsidRPr="00FF1867">
        <w:rPr>
          <w:rStyle w:val="Odkaznapoznmkupodiarou"/>
          <w:rFonts w:ascii="Arial Narrow" w:hAnsi="Arial Narrow"/>
          <w:sz w:val="16"/>
          <w:szCs w:val="16"/>
        </w:rPr>
        <w:footnoteRef/>
      </w:r>
      <w:r w:rsidRPr="00FF1867">
        <w:rPr>
          <w:rFonts w:ascii="Arial Narrow" w:hAnsi="Arial Narrow"/>
          <w:sz w:val="16"/>
          <w:szCs w:val="16"/>
        </w:rPr>
        <w:t xml:space="preserve"> </w:t>
      </w:r>
      <w:hyperlink r:id="rId7" w:history="1">
        <w:r w:rsidRPr="0063035A">
          <w:rPr>
            <w:rStyle w:val="Hypertextovprepojenie"/>
            <w:rFonts w:ascii="Arial Narrow" w:hAnsi="Arial Narrow"/>
            <w:sz w:val="16"/>
            <w:szCs w:val="16"/>
          </w:rPr>
          <w:t>Vnútroštátny plán digitálnej dekády Slovenskej republiky</w:t>
        </w:r>
      </w:hyperlink>
    </w:p>
  </w:footnote>
  <w:footnote w:id="26">
    <w:p w14:paraId="2A538CCD" w14:textId="77777777" w:rsidR="00D476B6" w:rsidRPr="0098507A" w:rsidRDefault="00D476B6" w:rsidP="00D476B6">
      <w:pPr>
        <w:pStyle w:val="Textpoznmkypodiarou"/>
        <w:rPr>
          <w:rFonts w:ascii="Arial Narrow" w:hAnsi="Arial Narrow"/>
          <w:sz w:val="16"/>
          <w:szCs w:val="16"/>
        </w:rPr>
      </w:pPr>
      <w:r w:rsidRPr="0098507A">
        <w:rPr>
          <w:rStyle w:val="Odkaznapoznmkupodiarou"/>
          <w:rFonts w:ascii="Arial Narrow" w:hAnsi="Arial Narrow"/>
          <w:sz w:val="16"/>
          <w:szCs w:val="16"/>
        </w:rPr>
        <w:footnoteRef/>
      </w:r>
      <w:r w:rsidRPr="0098507A">
        <w:rPr>
          <w:rFonts w:ascii="Arial Narrow" w:hAnsi="Arial Narrow"/>
          <w:sz w:val="16"/>
          <w:szCs w:val="16"/>
        </w:rPr>
        <w:t xml:space="preserve"> </w:t>
      </w:r>
      <w:hyperlink r:id="rId8" w:history="1">
        <w:r w:rsidRPr="00AE6343">
          <w:rPr>
            <w:rStyle w:val="Hypertextovprepojenie"/>
            <w:rFonts w:ascii="Arial Narrow" w:hAnsi="Arial Narrow"/>
            <w:sz w:val="16"/>
            <w:szCs w:val="16"/>
          </w:rPr>
          <w:t>Národná koncepcia informatizácie verejnej správy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5C6C1" w14:textId="77777777" w:rsidR="004F1CE9" w:rsidRDefault="004F1CE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35C11" w14:textId="77777777" w:rsidR="004F1CE9" w:rsidRDefault="004F1CE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378FF" w14:textId="77777777" w:rsidR="004F1CE9" w:rsidRDefault="004F1CE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801FA"/>
    <w:multiLevelType w:val="hybridMultilevel"/>
    <w:tmpl w:val="F61E92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3833918"/>
    <w:multiLevelType w:val="hybridMultilevel"/>
    <w:tmpl w:val="16BA2340"/>
    <w:lvl w:ilvl="0" w:tplc="95A0A4D0">
      <w:start w:val="1"/>
      <w:numFmt w:val="decimal"/>
      <w:lvlText w:val="%1)"/>
      <w:lvlJc w:val="left"/>
      <w:pPr>
        <w:ind w:left="720" w:hanging="360"/>
      </w:pPr>
      <w:rPr>
        <w:b/>
        <w:bCs/>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67F3AED"/>
    <w:multiLevelType w:val="hybridMultilevel"/>
    <w:tmpl w:val="8CE47BF2"/>
    <w:lvl w:ilvl="0" w:tplc="97C6F608">
      <w:start w:val="1"/>
      <w:numFmt w:val="bullet"/>
      <w:lvlText w:val=""/>
      <w:lvlJc w:val="left"/>
      <w:pPr>
        <w:ind w:left="1440" w:hanging="360"/>
      </w:pPr>
      <w:rPr>
        <w:rFonts w:ascii="Symbol" w:hAnsi="Symbol"/>
      </w:rPr>
    </w:lvl>
    <w:lvl w:ilvl="1" w:tplc="1542CD8A">
      <w:start w:val="1"/>
      <w:numFmt w:val="bullet"/>
      <w:lvlText w:val=""/>
      <w:lvlJc w:val="left"/>
      <w:pPr>
        <w:ind w:left="1440" w:hanging="360"/>
      </w:pPr>
      <w:rPr>
        <w:rFonts w:ascii="Symbol" w:hAnsi="Symbol"/>
      </w:rPr>
    </w:lvl>
    <w:lvl w:ilvl="2" w:tplc="D090CCD4">
      <w:start w:val="1"/>
      <w:numFmt w:val="bullet"/>
      <w:lvlText w:val=""/>
      <w:lvlJc w:val="left"/>
      <w:pPr>
        <w:ind w:left="1440" w:hanging="360"/>
      </w:pPr>
      <w:rPr>
        <w:rFonts w:ascii="Symbol" w:hAnsi="Symbol"/>
      </w:rPr>
    </w:lvl>
    <w:lvl w:ilvl="3" w:tplc="8BCE09CE">
      <w:start w:val="1"/>
      <w:numFmt w:val="bullet"/>
      <w:lvlText w:val=""/>
      <w:lvlJc w:val="left"/>
      <w:pPr>
        <w:ind w:left="1440" w:hanging="360"/>
      </w:pPr>
      <w:rPr>
        <w:rFonts w:ascii="Symbol" w:hAnsi="Symbol"/>
      </w:rPr>
    </w:lvl>
    <w:lvl w:ilvl="4" w:tplc="9CB2035A">
      <w:start w:val="1"/>
      <w:numFmt w:val="bullet"/>
      <w:lvlText w:val=""/>
      <w:lvlJc w:val="left"/>
      <w:pPr>
        <w:ind w:left="1440" w:hanging="360"/>
      </w:pPr>
      <w:rPr>
        <w:rFonts w:ascii="Symbol" w:hAnsi="Symbol"/>
      </w:rPr>
    </w:lvl>
    <w:lvl w:ilvl="5" w:tplc="EF04EF12">
      <w:start w:val="1"/>
      <w:numFmt w:val="bullet"/>
      <w:lvlText w:val=""/>
      <w:lvlJc w:val="left"/>
      <w:pPr>
        <w:ind w:left="1440" w:hanging="360"/>
      </w:pPr>
      <w:rPr>
        <w:rFonts w:ascii="Symbol" w:hAnsi="Symbol"/>
      </w:rPr>
    </w:lvl>
    <w:lvl w:ilvl="6" w:tplc="11F07628">
      <w:start w:val="1"/>
      <w:numFmt w:val="bullet"/>
      <w:lvlText w:val=""/>
      <w:lvlJc w:val="left"/>
      <w:pPr>
        <w:ind w:left="1440" w:hanging="360"/>
      </w:pPr>
      <w:rPr>
        <w:rFonts w:ascii="Symbol" w:hAnsi="Symbol"/>
      </w:rPr>
    </w:lvl>
    <w:lvl w:ilvl="7" w:tplc="570E461E">
      <w:start w:val="1"/>
      <w:numFmt w:val="bullet"/>
      <w:lvlText w:val=""/>
      <w:lvlJc w:val="left"/>
      <w:pPr>
        <w:ind w:left="1440" w:hanging="360"/>
      </w:pPr>
      <w:rPr>
        <w:rFonts w:ascii="Symbol" w:hAnsi="Symbol"/>
      </w:rPr>
    </w:lvl>
    <w:lvl w:ilvl="8" w:tplc="55147260">
      <w:start w:val="1"/>
      <w:numFmt w:val="bullet"/>
      <w:lvlText w:val=""/>
      <w:lvlJc w:val="left"/>
      <w:pPr>
        <w:ind w:left="1440" w:hanging="360"/>
      </w:pPr>
      <w:rPr>
        <w:rFonts w:ascii="Symbol" w:hAnsi="Symbol"/>
      </w:rPr>
    </w:lvl>
  </w:abstractNum>
  <w:abstractNum w:abstractNumId="3" w15:restartNumberingAfterBreak="0">
    <w:nsid w:val="45C567AF"/>
    <w:multiLevelType w:val="hybridMultilevel"/>
    <w:tmpl w:val="EE9C74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AA44C97"/>
    <w:multiLevelType w:val="hybridMultilevel"/>
    <w:tmpl w:val="27321AA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571E5204"/>
    <w:multiLevelType w:val="hybridMultilevel"/>
    <w:tmpl w:val="70A4D066"/>
    <w:lvl w:ilvl="0" w:tplc="62085F1A">
      <w:start w:val="1"/>
      <w:numFmt w:val="decimal"/>
      <w:lvlText w:val="%1."/>
      <w:lvlJc w:val="left"/>
      <w:pPr>
        <w:ind w:left="1020" w:hanging="360"/>
      </w:pPr>
    </w:lvl>
    <w:lvl w:ilvl="1" w:tplc="DC8431DC">
      <w:start w:val="1"/>
      <w:numFmt w:val="decimal"/>
      <w:lvlText w:val="%2."/>
      <w:lvlJc w:val="left"/>
      <w:pPr>
        <w:ind w:left="1020" w:hanging="360"/>
      </w:pPr>
    </w:lvl>
    <w:lvl w:ilvl="2" w:tplc="36AE3F64">
      <w:start w:val="1"/>
      <w:numFmt w:val="decimal"/>
      <w:lvlText w:val="%3."/>
      <w:lvlJc w:val="left"/>
      <w:pPr>
        <w:ind w:left="1020" w:hanging="360"/>
      </w:pPr>
    </w:lvl>
    <w:lvl w:ilvl="3" w:tplc="5CDE2106">
      <w:start w:val="1"/>
      <w:numFmt w:val="decimal"/>
      <w:lvlText w:val="%4."/>
      <w:lvlJc w:val="left"/>
      <w:pPr>
        <w:ind w:left="1020" w:hanging="360"/>
      </w:pPr>
    </w:lvl>
    <w:lvl w:ilvl="4" w:tplc="43882ED2">
      <w:start w:val="1"/>
      <w:numFmt w:val="decimal"/>
      <w:lvlText w:val="%5."/>
      <w:lvlJc w:val="left"/>
      <w:pPr>
        <w:ind w:left="1020" w:hanging="360"/>
      </w:pPr>
    </w:lvl>
    <w:lvl w:ilvl="5" w:tplc="89786A8E">
      <w:start w:val="1"/>
      <w:numFmt w:val="decimal"/>
      <w:lvlText w:val="%6."/>
      <w:lvlJc w:val="left"/>
      <w:pPr>
        <w:ind w:left="1020" w:hanging="360"/>
      </w:pPr>
    </w:lvl>
    <w:lvl w:ilvl="6" w:tplc="3410BD36">
      <w:start w:val="1"/>
      <w:numFmt w:val="decimal"/>
      <w:lvlText w:val="%7."/>
      <w:lvlJc w:val="left"/>
      <w:pPr>
        <w:ind w:left="1020" w:hanging="360"/>
      </w:pPr>
    </w:lvl>
    <w:lvl w:ilvl="7" w:tplc="4FCE1A5E">
      <w:start w:val="1"/>
      <w:numFmt w:val="decimal"/>
      <w:lvlText w:val="%8."/>
      <w:lvlJc w:val="left"/>
      <w:pPr>
        <w:ind w:left="1020" w:hanging="360"/>
      </w:pPr>
    </w:lvl>
    <w:lvl w:ilvl="8" w:tplc="09BCBF6C">
      <w:start w:val="1"/>
      <w:numFmt w:val="decimal"/>
      <w:lvlText w:val="%9."/>
      <w:lvlJc w:val="left"/>
      <w:pPr>
        <w:ind w:left="1020" w:hanging="360"/>
      </w:pPr>
    </w:lvl>
  </w:abstractNum>
  <w:abstractNum w:abstractNumId="6" w15:restartNumberingAfterBreak="0">
    <w:nsid w:val="65971671"/>
    <w:multiLevelType w:val="hybridMultilevel"/>
    <w:tmpl w:val="5AA6E9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9275888"/>
    <w:multiLevelType w:val="hybridMultilevel"/>
    <w:tmpl w:val="F9C45F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C2A4862"/>
    <w:multiLevelType w:val="hybridMultilevel"/>
    <w:tmpl w:val="49B4073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D5C27E6"/>
    <w:multiLevelType w:val="hybridMultilevel"/>
    <w:tmpl w:val="A978F9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EE76825"/>
    <w:multiLevelType w:val="hybridMultilevel"/>
    <w:tmpl w:val="24228F40"/>
    <w:lvl w:ilvl="0" w:tplc="30CC5326">
      <w:start w:val="1"/>
      <w:numFmt w:val="upperLetter"/>
      <w:lvlText w:val="%1)"/>
      <w:lvlJc w:val="left"/>
      <w:pPr>
        <w:ind w:left="1020" w:hanging="360"/>
      </w:pPr>
    </w:lvl>
    <w:lvl w:ilvl="1" w:tplc="5C1AAF64">
      <w:start w:val="1"/>
      <w:numFmt w:val="upperLetter"/>
      <w:lvlText w:val="%2)"/>
      <w:lvlJc w:val="left"/>
      <w:pPr>
        <w:ind w:left="1020" w:hanging="360"/>
      </w:pPr>
    </w:lvl>
    <w:lvl w:ilvl="2" w:tplc="1E2CE720">
      <w:start w:val="1"/>
      <w:numFmt w:val="upperLetter"/>
      <w:lvlText w:val="%3)"/>
      <w:lvlJc w:val="left"/>
      <w:pPr>
        <w:ind w:left="1020" w:hanging="360"/>
      </w:pPr>
    </w:lvl>
    <w:lvl w:ilvl="3" w:tplc="6A107D1C">
      <w:start w:val="1"/>
      <w:numFmt w:val="upperLetter"/>
      <w:lvlText w:val="%4)"/>
      <w:lvlJc w:val="left"/>
      <w:pPr>
        <w:ind w:left="1020" w:hanging="360"/>
      </w:pPr>
    </w:lvl>
    <w:lvl w:ilvl="4" w:tplc="10DAF89C">
      <w:start w:val="1"/>
      <w:numFmt w:val="upperLetter"/>
      <w:lvlText w:val="%5)"/>
      <w:lvlJc w:val="left"/>
      <w:pPr>
        <w:ind w:left="1020" w:hanging="360"/>
      </w:pPr>
    </w:lvl>
    <w:lvl w:ilvl="5" w:tplc="2098E3AC">
      <w:start w:val="1"/>
      <w:numFmt w:val="upperLetter"/>
      <w:lvlText w:val="%6)"/>
      <w:lvlJc w:val="left"/>
      <w:pPr>
        <w:ind w:left="1020" w:hanging="360"/>
      </w:pPr>
    </w:lvl>
    <w:lvl w:ilvl="6" w:tplc="DD686CAE">
      <w:start w:val="1"/>
      <w:numFmt w:val="upperLetter"/>
      <w:lvlText w:val="%7)"/>
      <w:lvlJc w:val="left"/>
      <w:pPr>
        <w:ind w:left="1020" w:hanging="360"/>
      </w:pPr>
    </w:lvl>
    <w:lvl w:ilvl="7" w:tplc="DE0E38CE">
      <w:start w:val="1"/>
      <w:numFmt w:val="upperLetter"/>
      <w:lvlText w:val="%8)"/>
      <w:lvlJc w:val="left"/>
      <w:pPr>
        <w:ind w:left="1020" w:hanging="360"/>
      </w:pPr>
    </w:lvl>
    <w:lvl w:ilvl="8" w:tplc="BA7CD08E">
      <w:start w:val="1"/>
      <w:numFmt w:val="upperLetter"/>
      <w:lvlText w:val="%9)"/>
      <w:lvlJc w:val="left"/>
      <w:pPr>
        <w:ind w:left="1020" w:hanging="360"/>
      </w:pPr>
    </w:lvl>
  </w:abstractNum>
  <w:abstractNum w:abstractNumId="11" w15:restartNumberingAfterBreak="0">
    <w:nsid w:val="7A893FB9"/>
    <w:multiLevelType w:val="hybridMultilevel"/>
    <w:tmpl w:val="D270BE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8"/>
  </w:num>
  <w:num w:numId="4">
    <w:abstractNumId w:val="3"/>
  </w:num>
  <w:num w:numId="5">
    <w:abstractNumId w:val="11"/>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0"/>
  </w:num>
  <w:num w:numId="10">
    <w:abstractNumId w:val="5"/>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F4B"/>
    <w:rsid w:val="000022D9"/>
    <w:rsid w:val="000024F2"/>
    <w:rsid w:val="000043A0"/>
    <w:rsid w:val="00006708"/>
    <w:rsid w:val="00013E86"/>
    <w:rsid w:val="00015BD5"/>
    <w:rsid w:val="000171C7"/>
    <w:rsid w:val="00017F91"/>
    <w:rsid w:val="00021F37"/>
    <w:rsid w:val="000249D8"/>
    <w:rsid w:val="0002528C"/>
    <w:rsid w:val="000257D4"/>
    <w:rsid w:val="00025B2F"/>
    <w:rsid w:val="000275AB"/>
    <w:rsid w:val="000344F7"/>
    <w:rsid w:val="00036928"/>
    <w:rsid w:val="00045B3A"/>
    <w:rsid w:val="00057AE5"/>
    <w:rsid w:val="00064161"/>
    <w:rsid w:val="00065877"/>
    <w:rsid w:val="00066513"/>
    <w:rsid w:val="00066C60"/>
    <w:rsid w:val="00072111"/>
    <w:rsid w:val="00076F11"/>
    <w:rsid w:val="00082CCA"/>
    <w:rsid w:val="00086E64"/>
    <w:rsid w:val="000A5124"/>
    <w:rsid w:val="000A657B"/>
    <w:rsid w:val="000A73D3"/>
    <w:rsid w:val="000B1E5D"/>
    <w:rsid w:val="000B6627"/>
    <w:rsid w:val="000C08F6"/>
    <w:rsid w:val="000D03C1"/>
    <w:rsid w:val="000D2A34"/>
    <w:rsid w:val="000E1AB3"/>
    <w:rsid w:val="000E3E9A"/>
    <w:rsid w:val="000E4B29"/>
    <w:rsid w:val="000E4E9A"/>
    <w:rsid w:val="000E6749"/>
    <w:rsid w:val="000F0D1E"/>
    <w:rsid w:val="000F194B"/>
    <w:rsid w:val="000F1A49"/>
    <w:rsid w:val="000F1B61"/>
    <w:rsid w:val="000F583F"/>
    <w:rsid w:val="000F7A1F"/>
    <w:rsid w:val="001049F1"/>
    <w:rsid w:val="00110C5F"/>
    <w:rsid w:val="00113566"/>
    <w:rsid w:val="001161A1"/>
    <w:rsid w:val="00123471"/>
    <w:rsid w:val="00126234"/>
    <w:rsid w:val="001343E8"/>
    <w:rsid w:val="001353F5"/>
    <w:rsid w:val="001426CE"/>
    <w:rsid w:val="0014444A"/>
    <w:rsid w:val="001467E7"/>
    <w:rsid w:val="00147058"/>
    <w:rsid w:val="00162308"/>
    <w:rsid w:val="001638E6"/>
    <w:rsid w:val="001676FE"/>
    <w:rsid w:val="001708C5"/>
    <w:rsid w:val="00177DFB"/>
    <w:rsid w:val="00183DAE"/>
    <w:rsid w:val="00183F9A"/>
    <w:rsid w:val="00186BC1"/>
    <w:rsid w:val="00187DB8"/>
    <w:rsid w:val="0019411E"/>
    <w:rsid w:val="001A5CBE"/>
    <w:rsid w:val="001B24B9"/>
    <w:rsid w:val="001B4C7F"/>
    <w:rsid w:val="001C29C3"/>
    <w:rsid w:val="001C311F"/>
    <w:rsid w:val="001C3AE9"/>
    <w:rsid w:val="001D34B1"/>
    <w:rsid w:val="001D5A2C"/>
    <w:rsid w:val="001F2153"/>
    <w:rsid w:val="001F6281"/>
    <w:rsid w:val="001F6CD9"/>
    <w:rsid w:val="002076A4"/>
    <w:rsid w:val="002160CA"/>
    <w:rsid w:val="00255A27"/>
    <w:rsid w:val="00257ED0"/>
    <w:rsid w:val="0026044A"/>
    <w:rsid w:val="00265A08"/>
    <w:rsid w:val="00271C8D"/>
    <w:rsid w:val="00276881"/>
    <w:rsid w:val="00280C74"/>
    <w:rsid w:val="0028190E"/>
    <w:rsid w:val="00284E0C"/>
    <w:rsid w:val="00287ED5"/>
    <w:rsid w:val="002909A5"/>
    <w:rsid w:val="00296C09"/>
    <w:rsid w:val="002974FB"/>
    <w:rsid w:val="002A0289"/>
    <w:rsid w:val="002A1BD5"/>
    <w:rsid w:val="002A2C03"/>
    <w:rsid w:val="002A5C0B"/>
    <w:rsid w:val="002B0F4A"/>
    <w:rsid w:val="002C04B8"/>
    <w:rsid w:val="002C1717"/>
    <w:rsid w:val="002C738E"/>
    <w:rsid w:val="002D063B"/>
    <w:rsid w:val="002D392E"/>
    <w:rsid w:val="002D629E"/>
    <w:rsid w:val="002E01F9"/>
    <w:rsid w:val="002E0D4C"/>
    <w:rsid w:val="002E18EF"/>
    <w:rsid w:val="002E433C"/>
    <w:rsid w:val="002E4455"/>
    <w:rsid w:val="002E5D82"/>
    <w:rsid w:val="00300020"/>
    <w:rsid w:val="00304C52"/>
    <w:rsid w:val="00304DD4"/>
    <w:rsid w:val="003059E8"/>
    <w:rsid w:val="0031040E"/>
    <w:rsid w:val="003240A9"/>
    <w:rsid w:val="00334CD6"/>
    <w:rsid w:val="00342424"/>
    <w:rsid w:val="003437F8"/>
    <w:rsid w:val="00343EAE"/>
    <w:rsid w:val="00345193"/>
    <w:rsid w:val="00346C61"/>
    <w:rsid w:val="00353DDE"/>
    <w:rsid w:val="00356394"/>
    <w:rsid w:val="003609CE"/>
    <w:rsid w:val="0036334E"/>
    <w:rsid w:val="0037707F"/>
    <w:rsid w:val="00382D5E"/>
    <w:rsid w:val="00383225"/>
    <w:rsid w:val="00383797"/>
    <w:rsid w:val="003838BE"/>
    <w:rsid w:val="00385D46"/>
    <w:rsid w:val="003922D5"/>
    <w:rsid w:val="003A6665"/>
    <w:rsid w:val="003B1A36"/>
    <w:rsid w:val="003B2D27"/>
    <w:rsid w:val="003C3BC0"/>
    <w:rsid w:val="003C6820"/>
    <w:rsid w:val="003E4566"/>
    <w:rsid w:val="003E568D"/>
    <w:rsid w:val="003E5EEF"/>
    <w:rsid w:val="003F34D2"/>
    <w:rsid w:val="0040016D"/>
    <w:rsid w:val="004037B6"/>
    <w:rsid w:val="00406023"/>
    <w:rsid w:val="00413CB7"/>
    <w:rsid w:val="004214F6"/>
    <w:rsid w:val="00423530"/>
    <w:rsid w:val="00426EDD"/>
    <w:rsid w:val="00431E48"/>
    <w:rsid w:val="00434729"/>
    <w:rsid w:val="00436914"/>
    <w:rsid w:val="004522B1"/>
    <w:rsid w:val="00452FA1"/>
    <w:rsid w:val="00453D50"/>
    <w:rsid w:val="004540D8"/>
    <w:rsid w:val="0046176A"/>
    <w:rsid w:val="00462BE5"/>
    <w:rsid w:val="00465E04"/>
    <w:rsid w:val="004721CE"/>
    <w:rsid w:val="004800AB"/>
    <w:rsid w:val="00491C62"/>
    <w:rsid w:val="004927F6"/>
    <w:rsid w:val="00497D9A"/>
    <w:rsid w:val="004B2CA4"/>
    <w:rsid w:val="004B3BF8"/>
    <w:rsid w:val="004C026C"/>
    <w:rsid w:val="004C1920"/>
    <w:rsid w:val="004C65CD"/>
    <w:rsid w:val="004C7A3B"/>
    <w:rsid w:val="004D12CB"/>
    <w:rsid w:val="004D12E0"/>
    <w:rsid w:val="004F1CE9"/>
    <w:rsid w:val="004F727A"/>
    <w:rsid w:val="005004E2"/>
    <w:rsid w:val="00510ECB"/>
    <w:rsid w:val="00512627"/>
    <w:rsid w:val="00516B1F"/>
    <w:rsid w:val="00520520"/>
    <w:rsid w:val="00524827"/>
    <w:rsid w:val="00525C87"/>
    <w:rsid w:val="00530B4F"/>
    <w:rsid w:val="0053299F"/>
    <w:rsid w:val="005370B4"/>
    <w:rsid w:val="00543B94"/>
    <w:rsid w:val="0054775F"/>
    <w:rsid w:val="005516F4"/>
    <w:rsid w:val="00556062"/>
    <w:rsid w:val="005612C0"/>
    <w:rsid w:val="005733D5"/>
    <w:rsid w:val="0057743E"/>
    <w:rsid w:val="005774C5"/>
    <w:rsid w:val="00577C4F"/>
    <w:rsid w:val="00580A95"/>
    <w:rsid w:val="0058320A"/>
    <w:rsid w:val="005876BE"/>
    <w:rsid w:val="00594B38"/>
    <w:rsid w:val="00597DEF"/>
    <w:rsid w:val="005A5E94"/>
    <w:rsid w:val="005A75F6"/>
    <w:rsid w:val="005B2016"/>
    <w:rsid w:val="005B3BA6"/>
    <w:rsid w:val="005B65DE"/>
    <w:rsid w:val="005C0BAA"/>
    <w:rsid w:val="005C1EE6"/>
    <w:rsid w:val="005C3367"/>
    <w:rsid w:val="005C5355"/>
    <w:rsid w:val="005D1F64"/>
    <w:rsid w:val="005E5241"/>
    <w:rsid w:val="005F2066"/>
    <w:rsid w:val="005F24AD"/>
    <w:rsid w:val="005F6B2F"/>
    <w:rsid w:val="00606B3C"/>
    <w:rsid w:val="00611C7B"/>
    <w:rsid w:val="0061368E"/>
    <w:rsid w:val="00615B22"/>
    <w:rsid w:val="00616580"/>
    <w:rsid w:val="00624332"/>
    <w:rsid w:val="0062464C"/>
    <w:rsid w:val="00624986"/>
    <w:rsid w:val="00631EA3"/>
    <w:rsid w:val="0064035C"/>
    <w:rsid w:val="00654729"/>
    <w:rsid w:val="00661B1D"/>
    <w:rsid w:val="00672016"/>
    <w:rsid w:val="00672433"/>
    <w:rsid w:val="00683425"/>
    <w:rsid w:val="00683AEF"/>
    <w:rsid w:val="006854E2"/>
    <w:rsid w:val="00687B6C"/>
    <w:rsid w:val="00696988"/>
    <w:rsid w:val="006974FA"/>
    <w:rsid w:val="00697953"/>
    <w:rsid w:val="00697D84"/>
    <w:rsid w:val="006A0A56"/>
    <w:rsid w:val="006A2F21"/>
    <w:rsid w:val="006B057E"/>
    <w:rsid w:val="006B7250"/>
    <w:rsid w:val="006D5279"/>
    <w:rsid w:val="006D5888"/>
    <w:rsid w:val="006D5FDD"/>
    <w:rsid w:val="006E0566"/>
    <w:rsid w:val="006E0D33"/>
    <w:rsid w:val="006E2847"/>
    <w:rsid w:val="006E28C6"/>
    <w:rsid w:val="006F017E"/>
    <w:rsid w:val="006F371F"/>
    <w:rsid w:val="006F3D7A"/>
    <w:rsid w:val="006F5149"/>
    <w:rsid w:val="006F5609"/>
    <w:rsid w:val="006F56A8"/>
    <w:rsid w:val="007061AE"/>
    <w:rsid w:val="00712099"/>
    <w:rsid w:val="00713F4B"/>
    <w:rsid w:val="0071717B"/>
    <w:rsid w:val="007251AF"/>
    <w:rsid w:val="007305DA"/>
    <w:rsid w:val="00730F59"/>
    <w:rsid w:val="00740A27"/>
    <w:rsid w:val="00741F9A"/>
    <w:rsid w:val="00745A4F"/>
    <w:rsid w:val="00750DCA"/>
    <w:rsid w:val="00751B73"/>
    <w:rsid w:val="00753FA5"/>
    <w:rsid w:val="00760ED2"/>
    <w:rsid w:val="00766C1A"/>
    <w:rsid w:val="00770484"/>
    <w:rsid w:val="007740F1"/>
    <w:rsid w:val="007812ED"/>
    <w:rsid w:val="0078171E"/>
    <w:rsid w:val="00786EB3"/>
    <w:rsid w:val="0078738A"/>
    <w:rsid w:val="007876AC"/>
    <w:rsid w:val="00790F57"/>
    <w:rsid w:val="00794849"/>
    <w:rsid w:val="00797DC1"/>
    <w:rsid w:val="007A05F8"/>
    <w:rsid w:val="007A1219"/>
    <w:rsid w:val="007A225E"/>
    <w:rsid w:val="007A47C0"/>
    <w:rsid w:val="007A664D"/>
    <w:rsid w:val="007A7664"/>
    <w:rsid w:val="007B1158"/>
    <w:rsid w:val="007B2164"/>
    <w:rsid w:val="007B345A"/>
    <w:rsid w:val="007C16BD"/>
    <w:rsid w:val="007C268F"/>
    <w:rsid w:val="007C40BC"/>
    <w:rsid w:val="007D0EC3"/>
    <w:rsid w:val="007D2D1D"/>
    <w:rsid w:val="007E024D"/>
    <w:rsid w:val="007E06AC"/>
    <w:rsid w:val="007E1AB0"/>
    <w:rsid w:val="007E22C6"/>
    <w:rsid w:val="007E274F"/>
    <w:rsid w:val="007E2BAD"/>
    <w:rsid w:val="007E2F53"/>
    <w:rsid w:val="007F040D"/>
    <w:rsid w:val="007F23BD"/>
    <w:rsid w:val="007F4285"/>
    <w:rsid w:val="007F7DCE"/>
    <w:rsid w:val="008022DA"/>
    <w:rsid w:val="00806118"/>
    <w:rsid w:val="00810C59"/>
    <w:rsid w:val="0081428B"/>
    <w:rsid w:val="008147E3"/>
    <w:rsid w:val="00822399"/>
    <w:rsid w:val="00826A8E"/>
    <w:rsid w:val="00832FAF"/>
    <w:rsid w:val="00833013"/>
    <w:rsid w:val="00834379"/>
    <w:rsid w:val="00844B1B"/>
    <w:rsid w:val="008461F2"/>
    <w:rsid w:val="008479D3"/>
    <w:rsid w:val="008528B9"/>
    <w:rsid w:val="008538A0"/>
    <w:rsid w:val="00854157"/>
    <w:rsid w:val="008646FC"/>
    <w:rsid w:val="008728A9"/>
    <w:rsid w:val="00887877"/>
    <w:rsid w:val="0089619D"/>
    <w:rsid w:val="008976D8"/>
    <w:rsid w:val="008A126D"/>
    <w:rsid w:val="008A5EF2"/>
    <w:rsid w:val="008B37E7"/>
    <w:rsid w:val="008C45D9"/>
    <w:rsid w:val="008D1F94"/>
    <w:rsid w:val="008D4272"/>
    <w:rsid w:val="008E356F"/>
    <w:rsid w:val="008E46DA"/>
    <w:rsid w:val="008F2A41"/>
    <w:rsid w:val="00900B18"/>
    <w:rsid w:val="00903AC2"/>
    <w:rsid w:val="00910C04"/>
    <w:rsid w:val="009115B5"/>
    <w:rsid w:val="009144C9"/>
    <w:rsid w:val="009204C9"/>
    <w:rsid w:val="00922AFA"/>
    <w:rsid w:val="00924635"/>
    <w:rsid w:val="00925B9B"/>
    <w:rsid w:val="009311E4"/>
    <w:rsid w:val="00937734"/>
    <w:rsid w:val="00937762"/>
    <w:rsid w:val="00942C4D"/>
    <w:rsid w:val="0095008F"/>
    <w:rsid w:val="00951C4A"/>
    <w:rsid w:val="00953640"/>
    <w:rsid w:val="00960159"/>
    <w:rsid w:val="0096032C"/>
    <w:rsid w:val="00964806"/>
    <w:rsid w:val="009657B2"/>
    <w:rsid w:val="00977C48"/>
    <w:rsid w:val="00983D09"/>
    <w:rsid w:val="0098720D"/>
    <w:rsid w:val="0099173E"/>
    <w:rsid w:val="009A0345"/>
    <w:rsid w:val="009A37E3"/>
    <w:rsid w:val="009A3861"/>
    <w:rsid w:val="009A572E"/>
    <w:rsid w:val="009A79B4"/>
    <w:rsid w:val="009B081E"/>
    <w:rsid w:val="009B17B6"/>
    <w:rsid w:val="009B4584"/>
    <w:rsid w:val="009C4B7A"/>
    <w:rsid w:val="009C56F1"/>
    <w:rsid w:val="009D2D3D"/>
    <w:rsid w:val="009D7E34"/>
    <w:rsid w:val="009E2CB6"/>
    <w:rsid w:val="009E6607"/>
    <w:rsid w:val="009F0C17"/>
    <w:rsid w:val="00A01CA4"/>
    <w:rsid w:val="00A02B25"/>
    <w:rsid w:val="00A02E17"/>
    <w:rsid w:val="00A055A4"/>
    <w:rsid w:val="00A1176E"/>
    <w:rsid w:val="00A11A4C"/>
    <w:rsid w:val="00A12CB8"/>
    <w:rsid w:val="00A22C01"/>
    <w:rsid w:val="00A276A2"/>
    <w:rsid w:val="00A31BDA"/>
    <w:rsid w:val="00A32781"/>
    <w:rsid w:val="00A347D8"/>
    <w:rsid w:val="00A372D1"/>
    <w:rsid w:val="00A441F7"/>
    <w:rsid w:val="00A45E75"/>
    <w:rsid w:val="00A45FBE"/>
    <w:rsid w:val="00A47975"/>
    <w:rsid w:val="00A50873"/>
    <w:rsid w:val="00A531DD"/>
    <w:rsid w:val="00A53510"/>
    <w:rsid w:val="00A551E6"/>
    <w:rsid w:val="00A55A0D"/>
    <w:rsid w:val="00A5624E"/>
    <w:rsid w:val="00A56626"/>
    <w:rsid w:val="00A5702A"/>
    <w:rsid w:val="00A578D7"/>
    <w:rsid w:val="00A60F4E"/>
    <w:rsid w:val="00A61B0F"/>
    <w:rsid w:val="00A61E37"/>
    <w:rsid w:val="00A64B11"/>
    <w:rsid w:val="00A65CC8"/>
    <w:rsid w:val="00A741A8"/>
    <w:rsid w:val="00A7650A"/>
    <w:rsid w:val="00A81791"/>
    <w:rsid w:val="00A84537"/>
    <w:rsid w:val="00A864A4"/>
    <w:rsid w:val="00A870B4"/>
    <w:rsid w:val="00AA02A6"/>
    <w:rsid w:val="00AA2CDE"/>
    <w:rsid w:val="00AA5A1F"/>
    <w:rsid w:val="00AB4050"/>
    <w:rsid w:val="00AB63E2"/>
    <w:rsid w:val="00AC0F39"/>
    <w:rsid w:val="00AC4853"/>
    <w:rsid w:val="00AC4EBB"/>
    <w:rsid w:val="00AE00A8"/>
    <w:rsid w:val="00AF161E"/>
    <w:rsid w:val="00AF162B"/>
    <w:rsid w:val="00AF28A1"/>
    <w:rsid w:val="00AF6FD6"/>
    <w:rsid w:val="00AF7224"/>
    <w:rsid w:val="00B01809"/>
    <w:rsid w:val="00B101E4"/>
    <w:rsid w:val="00B16B7A"/>
    <w:rsid w:val="00B16BFF"/>
    <w:rsid w:val="00B218F9"/>
    <w:rsid w:val="00B31878"/>
    <w:rsid w:val="00B36A71"/>
    <w:rsid w:val="00B40BDC"/>
    <w:rsid w:val="00B41E71"/>
    <w:rsid w:val="00B42A17"/>
    <w:rsid w:val="00B43EB4"/>
    <w:rsid w:val="00B5173E"/>
    <w:rsid w:val="00B526EF"/>
    <w:rsid w:val="00B5719A"/>
    <w:rsid w:val="00B57A59"/>
    <w:rsid w:val="00B600F9"/>
    <w:rsid w:val="00B6168D"/>
    <w:rsid w:val="00B62F84"/>
    <w:rsid w:val="00B7197F"/>
    <w:rsid w:val="00B757A8"/>
    <w:rsid w:val="00B76AD9"/>
    <w:rsid w:val="00B82E95"/>
    <w:rsid w:val="00B90A37"/>
    <w:rsid w:val="00B92966"/>
    <w:rsid w:val="00B93236"/>
    <w:rsid w:val="00BA2ECD"/>
    <w:rsid w:val="00BA57D2"/>
    <w:rsid w:val="00BB0C39"/>
    <w:rsid w:val="00BB21E8"/>
    <w:rsid w:val="00BB23DB"/>
    <w:rsid w:val="00BB3711"/>
    <w:rsid w:val="00BB5FC1"/>
    <w:rsid w:val="00BD010C"/>
    <w:rsid w:val="00BD1D3D"/>
    <w:rsid w:val="00BD2066"/>
    <w:rsid w:val="00BE075B"/>
    <w:rsid w:val="00BE24B0"/>
    <w:rsid w:val="00BE2B63"/>
    <w:rsid w:val="00BE380D"/>
    <w:rsid w:val="00BE580B"/>
    <w:rsid w:val="00BE65E4"/>
    <w:rsid w:val="00C004D6"/>
    <w:rsid w:val="00C01132"/>
    <w:rsid w:val="00C02EA9"/>
    <w:rsid w:val="00C05621"/>
    <w:rsid w:val="00C06CF4"/>
    <w:rsid w:val="00C1228B"/>
    <w:rsid w:val="00C243A3"/>
    <w:rsid w:val="00C2453C"/>
    <w:rsid w:val="00C261BE"/>
    <w:rsid w:val="00C26298"/>
    <w:rsid w:val="00C34313"/>
    <w:rsid w:val="00C345F0"/>
    <w:rsid w:val="00C36AA2"/>
    <w:rsid w:val="00C456C7"/>
    <w:rsid w:val="00C46C2E"/>
    <w:rsid w:val="00C47164"/>
    <w:rsid w:val="00C52A90"/>
    <w:rsid w:val="00C53722"/>
    <w:rsid w:val="00C55039"/>
    <w:rsid w:val="00C574FF"/>
    <w:rsid w:val="00C577C9"/>
    <w:rsid w:val="00C73384"/>
    <w:rsid w:val="00C733CF"/>
    <w:rsid w:val="00C7734C"/>
    <w:rsid w:val="00C84223"/>
    <w:rsid w:val="00C8681B"/>
    <w:rsid w:val="00C91697"/>
    <w:rsid w:val="00C96816"/>
    <w:rsid w:val="00CA2DCE"/>
    <w:rsid w:val="00CA4034"/>
    <w:rsid w:val="00CA770E"/>
    <w:rsid w:val="00CB5FC7"/>
    <w:rsid w:val="00CC10A0"/>
    <w:rsid w:val="00CD1FCF"/>
    <w:rsid w:val="00CD47EC"/>
    <w:rsid w:val="00CD5857"/>
    <w:rsid w:val="00CE52DC"/>
    <w:rsid w:val="00CE73F5"/>
    <w:rsid w:val="00CE76EF"/>
    <w:rsid w:val="00CF072B"/>
    <w:rsid w:val="00CF7B4F"/>
    <w:rsid w:val="00D06142"/>
    <w:rsid w:val="00D07A7F"/>
    <w:rsid w:val="00D177E5"/>
    <w:rsid w:val="00D20C84"/>
    <w:rsid w:val="00D215DF"/>
    <w:rsid w:val="00D25978"/>
    <w:rsid w:val="00D273E7"/>
    <w:rsid w:val="00D33B5C"/>
    <w:rsid w:val="00D37509"/>
    <w:rsid w:val="00D377FE"/>
    <w:rsid w:val="00D37B74"/>
    <w:rsid w:val="00D418AA"/>
    <w:rsid w:val="00D44B3A"/>
    <w:rsid w:val="00D46EBF"/>
    <w:rsid w:val="00D476B6"/>
    <w:rsid w:val="00D54F12"/>
    <w:rsid w:val="00D62E8F"/>
    <w:rsid w:val="00D6384D"/>
    <w:rsid w:val="00D64CBE"/>
    <w:rsid w:val="00D65A76"/>
    <w:rsid w:val="00D6716A"/>
    <w:rsid w:val="00D67FBB"/>
    <w:rsid w:val="00D72F35"/>
    <w:rsid w:val="00D7640B"/>
    <w:rsid w:val="00D80038"/>
    <w:rsid w:val="00D976CB"/>
    <w:rsid w:val="00DB069C"/>
    <w:rsid w:val="00DB1100"/>
    <w:rsid w:val="00DC05DB"/>
    <w:rsid w:val="00DC4FD6"/>
    <w:rsid w:val="00DC76E2"/>
    <w:rsid w:val="00DD3A0B"/>
    <w:rsid w:val="00DE2142"/>
    <w:rsid w:val="00DE4E81"/>
    <w:rsid w:val="00DE5383"/>
    <w:rsid w:val="00DE69B6"/>
    <w:rsid w:val="00DE783C"/>
    <w:rsid w:val="00DF0C8F"/>
    <w:rsid w:val="00DF5B16"/>
    <w:rsid w:val="00DF5CA1"/>
    <w:rsid w:val="00DF62B6"/>
    <w:rsid w:val="00DF6707"/>
    <w:rsid w:val="00E01EC5"/>
    <w:rsid w:val="00E04B0D"/>
    <w:rsid w:val="00E100BA"/>
    <w:rsid w:val="00E12D48"/>
    <w:rsid w:val="00E15393"/>
    <w:rsid w:val="00E17140"/>
    <w:rsid w:val="00E20A72"/>
    <w:rsid w:val="00E226FE"/>
    <w:rsid w:val="00E229CF"/>
    <w:rsid w:val="00E26937"/>
    <w:rsid w:val="00E30350"/>
    <w:rsid w:val="00E440BC"/>
    <w:rsid w:val="00E53425"/>
    <w:rsid w:val="00E559A8"/>
    <w:rsid w:val="00E60315"/>
    <w:rsid w:val="00E64A39"/>
    <w:rsid w:val="00E6575B"/>
    <w:rsid w:val="00E71F3B"/>
    <w:rsid w:val="00E750AF"/>
    <w:rsid w:val="00E84622"/>
    <w:rsid w:val="00E867D2"/>
    <w:rsid w:val="00E9335F"/>
    <w:rsid w:val="00E95013"/>
    <w:rsid w:val="00EA4403"/>
    <w:rsid w:val="00EA5F08"/>
    <w:rsid w:val="00EA7CA3"/>
    <w:rsid w:val="00EB5624"/>
    <w:rsid w:val="00EC0FB5"/>
    <w:rsid w:val="00EC1BDE"/>
    <w:rsid w:val="00EC4411"/>
    <w:rsid w:val="00EC595B"/>
    <w:rsid w:val="00EC7873"/>
    <w:rsid w:val="00ED5DE4"/>
    <w:rsid w:val="00ED7648"/>
    <w:rsid w:val="00EE01F2"/>
    <w:rsid w:val="00EF1B3F"/>
    <w:rsid w:val="00EF6E2F"/>
    <w:rsid w:val="00F07532"/>
    <w:rsid w:val="00F12F5E"/>
    <w:rsid w:val="00F255A4"/>
    <w:rsid w:val="00F25FA4"/>
    <w:rsid w:val="00F32508"/>
    <w:rsid w:val="00F328C4"/>
    <w:rsid w:val="00F3615F"/>
    <w:rsid w:val="00F36E10"/>
    <w:rsid w:val="00F41131"/>
    <w:rsid w:val="00F44849"/>
    <w:rsid w:val="00F50708"/>
    <w:rsid w:val="00F50964"/>
    <w:rsid w:val="00F50A6F"/>
    <w:rsid w:val="00F514FE"/>
    <w:rsid w:val="00F51661"/>
    <w:rsid w:val="00F53C49"/>
    <w:rsid w:val="00F54F1C"/>
    <w:rsid w:val="00F5650B"/>
    <w:rsid w:val="00F6276C"/>
    <w:rsid w:val="00F6360F"/>
    <w:rsid w:val="00F674FB"/>
    <w:rsid w:val="00F67FC8"/>
    <w:rsid w:val="00F74088"/>
    <w:rsid w:val="00F75847"/>
    <w:rsid w:val="00F817A2"/>
    <w:rsid w:val="00F81FFD"/>
    <w:rsid w:val="00F853A5"/>
    <w:rsid w:val="00F85B8B"/>
    <w:rsid w:val="00F91C7C"/>
    <w:rsid w:val="00F93EAE"/>
    <w:rsid w:val="00F951EC"/>
    <w:rsid w:val="00FA3F47"/>
    <w:rsid w:val="00FA6124"/>
    <w:rsid w:val="00FA77D9"/>
    <w:rsid w:val="00FB1334"/>
    <w:rsid w:val="00FB1A54"/>
    <w:rsid w:val="00FB1F28"/>
    <w:rsid w:val="00FB3D5C"/>
    <w:rsid w:val="00FB43CE"/>
    <w:rsid w:val="00FC22DB"/>
    <w:rsid w:val="00FC247E"/>
    <w:rsid w:val="00FC30B1"/>
    <w:rsid w:val="00FC3465"/>
    <w:rsid w:val="00FC6157"/>
    <w:rsid w:val="00FC7B75"/>
    <w:rsid w:val="00FD0824"/>
    <w:rsid w:val="00FD40F6"/>
    <w:rsid w:val="00FD7C64"/>
    <w:rsid w:val="00FE3C5C"/>
    <w:rsid w:val="00FE48BF"/>
    <w:rsid w:val="00FE5E25"/>
    <w:rsid w:val="00FE7E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44A260"/>
  <w15:chartTrackingRefBased/>
  <w15:docId w15:val="{A32C9E45-5C7D-4AF1-B453-CD54FDC3A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aliases w:val="Char"/>
    <w:basedOn w:val="Normlny"/>
    <w:next w:val="Normlny"/>
    <w:link w:val="Nadpis1Char"/>
    <w:uiPriority w:val="99"/>
    <w:qFormat/>
    <w:rsid w:val="00F3615F"/>
    <w:pPr>
      <w:keepNext/>
      <w:spacing w:after="120" w:line="240" w:lineRule="auto"/>
      <w:outlineLvl w:val="0"/>
    </w:pPr>
    <w:rPr>
      <w:rFonts w:ascii="Arial Narrow" w:eastAsia="Times New Roman" w:hAnsi="Arial Narrow" w:cs="Book Antiqua"/>
      <w:b/>
      <w:bCs/>
      <w:sz w:val="28"/>
      <w:lang w:eastAsia="sk-SK"/>
    </w:rPr>
  </w:style>
  <w:style w:type="paragraph" w:styleId="Nadpis2">
    <w:name w:val="heading 2"/>
    <w:basedOn w:val="Normlny"/>
    <w:next w:val="Normlny"/>
    <w:link w:val="Nadpis2Char"/>
    <w:uiPriority w:val="9"/>
    <w:unhideWhenUsed/>
    <w:qFormat/>
    <w:rsid w:val="006E2847"/>
    <w:pPr>
      <w:keepNext/>
      <w:keepLines/>
      <w:spacing w:before="40" w:after="0"/>
      <w:outlineLvl w:val="1"/>
    </w:pPr>
    <w:rPr>
      <w:rFonts w:asciiTheme="majorHAnsi" w:eastAsiaTheme="majorEastAsia" w:hAnsiTheme="majorHAnsi" w:cstheme="majorBidi"/>
      <w:color w:val="2F5496" w:themeColor="accent1" w:themeShade="BF"/>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FD7C64"/>
    <w:rPr>
      <w:sz w:val="16"/>
      <w:szCs w:val="16"/>
    </w:rPr>
  </w:style>
  <w:style w:type="paragraph" w:styleId="Textkomentra">
    <w:name w:val="annotation text"/>
    <w:basedOn w:val="Normlny"/>
    <w:link w:val="TextkomentraChar"/>
    <w:uiPriority w:val="99"/>
    <w:unhideWhenUsed/>
    <w:rsid w:val="00FD7C64"/>
    <w:pPr>
      <w:spacing w:line="240" w:lineRule="auto"/>
    </w:pPr>
    <w:rPr>
      <w:sz w:val="20"/>
      <w:szCs w:val="20"/>
    </w:rPr>
  </w:style>
  <w:style w:type="character" w:customStyle="1" w:styleId="TextkomentraChar">
    <w:name w:val="Text komentára Char"/>
    <w:basedOn w:val="Predvolenpsmoodseku"/>
    <w:link w:val="Textkomentra"/>
    <w:uiPriority w:val="99"/>
    <w:rsid w:val="00FD7C64"/>
    <w:rPr>
      <w:sz w:val="20"/>
      <w:szCs w:val="20"/>
    </w:rPr>
  </w:style>
  <w:style w:type="paragraph" w:styleId="Predmetkomentra">
    <w:name w:val="annotation subject"/>
    <w:basedOn w:val="Textkomentra"/>
    <w:next w:val="Textkomentra"/>
    <w:link w:val="PredmetkomentraChar"/>
    <w:uiPriority w:val="99"/>
    <w:semiHidden/>
    <w:unhideWhenUsed/>
    <w:rsid w:val="00FD7C64"/>
    <w:rPr>
      <w:b/>
      <w:bCs/>
    </w:rPr>
  </w:style>
  <w:style w:type="character" w:customStyle="1" w:styleId="PredmetkomentraChar">
    <w:name w:val="Predmet komentára Char"/>
    <w:basedOn w:val="TextkomentraChar"/>
    <w:link w:val="Predmetkomentra"/>
    <w:uiPriority w:val="99"/>
    <w:semiHidden/>
    <w:rsid w:val="00FD7C64"/>
    <w:rPr>
      <w:b/>
      <w:bCs/>
      <w:sz w:val="20"/>
      <w:szCs w:val="20"/>
    </w:rPr>
  </w:style>
  <w:style w:type="paragraph" w:styleId="Revzia">
    <w:name w:val="Revision"/>
    <w:hidden/>
    <w:uiPriority w:val="99"/>
    <w:semiHidden/>
    <w:rsid w:val="000E4E9A"/>
    <w:pPr>
      <w:spacing w:after="0" w:line="240" w:lineRule="auto"/>
    </w:pPr>
  </w:style>
  <w:style w:type="paragraph" w:styleId="Odsekzoznamu">
    <w:name w:val="List Paragraph"/>
    <w:basedOn w:val="Normlny"/>
    <w:uiPriority w:val="34"/>
    <w:qFormat/>
    <w:rsid w:val="005E5241"/>
    <w:pPr>
      <w:ind w:left="720"/>
      <w:contextualSpacing/>
    </w:pPr>
  </w:style>
  <w:style w:type="paragraph" w:customStyle="1" w:styleId="Box">
    <w:name w:val="Box"/>
    <w:qFormat/>
    <w:rsid w:val="00383225"/>
    <w:pPr>
      <w:spacing w:before="120" w:after="240" w:line="240" w:lineRule="auto"/>
    </w:pPr>
    <w:rPr>
      <w:rFonts w:ascii="Arial Narrow" w:eastAsiaTheme="majorEastAsia" w:hAnsi="Arial Narrow" w:cstheme="majorBidi"/>
      <w:b/>
      <w:bCs/>
      <w:sz w:val="20"/>
      <w:szCs w:val="36"/>
    </w:rPr>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 Char Char Char Char Char,f,Plonk"/>
    <w:basedOn w:val="Normlny"/>
    <w:link w:val="TextpoznmkypodiarouChar"/>
    <w:uiPriority w:val="99"/>
    <w:unhideWhenUsed/>
    <w:qFormat/>
    <w:rsid w:val="003838BE"/>
    <w:pPr>
      <w:spacing w:after="0" w:line="240" w:lineRule="auto"/>
    </w:pPr>
    <w:rPr>
      <w:sz w:val="20"/>
      <w:szCs w:val="20"/>
    </w:rPr>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f Char,Plonk Char"/>
    <w:basedOn w:val="Predvolenpsmoodseku"/>
    <w:link w:val="Textpoznmkypodiarou"/>
    <w:uiPriority w:val="99"/>
    <w:rsid w:val="003838BE"/>
    <w:rPr>
      <w:sz w:val="20"/>
      <w:szCs w:val="20"/>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link w:val="Char2"/>
    <w:uiPriority w:val="99"/>
    <w:unhideWhenUsed/>
    <w:qFormat/>
    <w:rsid w:val="003838BE"/>
    <w:rPr>
      <w:vertAlign w:val="superscript"/>
    </w:rPr>
  </w:style>
  <w:style w:type="character" w:styleId="Hypertextovprepojenie">
    <w:name w:val="Hyperlink"/>
    <w:basedOn w:val="Predvolenpsmoodseku"/>
    <w:uiPriority w:val="99"/>
    <w:unhideWhenUsed/>
    <w:rsid w:val="00D46EBF"/>
    <w:rPr>
      <w:color w:val="0563C1" w:themeColor="hyperlink"/>
      <w:u w:val="single"/>
    </w:rPr>
  </w:style>
  <w:style w:type="character" w:customStyle="1" w:styleId="Nevyrieenzmienka1">
    <w:name w:val="Nevyriešená zmienka1"/>
    <w:basedOn w:val="Predvolenpsmoodseku"/>
    <w:uiPriority w:val="99"/>
    <w:semiHidden/>
    <w:unhideWhenUsed/>
    <w:rsid w:val="00D46EBF"/>
    <w:rPr>
      <w:color w:val="605E5C"/>
      <w:shd w:val="clear" w:color="auto" w:fill="E1DFDD"/>
    </w:rPr>
  </w:style>
  <w:style w:type="character" w:customStyle="1" w:styleId="Nadpis1Char">
    <w:name w:val="Nadpis 1 Char"/>
    <w:aliases w:val="Char Char"/>
    <w:basedOn w:val="Predvolenpsmoodseku"/>
    <w:link w:val="Nadpis1"/>
    <w:uiPriority w:val="99"/>
    <w:rsid w:val="00F3615F"/>
    <w:rPr>
      <w:rFonts w:ascii="Arial Narrow" w:eastAsia="Times New Roman" w:hAnsi="Arial Narrow" w:cs="Book Antiqua"/>
      <w:b/>
      <w:bCs/>
      <w:sz w:val="28"/>
      <w:lang w:eastAsia="sk-SK"/>
    </w:rPr>
  </w:style>
  <w:style w:type="paragraph" w:customStyle="1" w:styleId="Char2">
    <w:name w:val="Char2"/>
    <w:basedOn w:val="Normlny"/>
    <w:link w:val="Odkaznapoznmkupodiarou"/>
    <w:uiPriority w:val="99"/>
    <w:rsid w:val="006E2847"/>
    <w:pPr>
      <w:spacing w:after="0" w:line="240" w:lineRule="exact"/>
    </w:pPr>
    <w:rPr>
      <w:vertAlign w:val="superscript"/>
    </w:rPr>
  </w:style>
  <w:style w:type="paragraph" w:styleId="Bezriadkovania">
    <w:name w:val="No Spacing"/>
    <w:qFormat/>
    <w:rsid w:val="006E2847"/>
    <w:pPr>
      <w:spacing w:after="0" w:line="240" w:lineRule="auto"/>
    </w:pPr>
    <w:rPr>
      <w:rFonts w:ascii="Arial Narrow" w:eastAsia="Times New Roman" w:hAnsi="Arial Narrow" w:cs="Times New Roman"/>
      <w:szCs w:val="36"/>
    </w:rPr>
  </w:style>
  <w:style w:type="character" w:customStyle="1" w:styleId="Nadpis2Char">
    <w:name w:val="Nadpis 2 Char"/>
    <w:basedOn w:val="Predvolenpsmoodseku"/>
    <w:link w:val="Nadpis2"/>
    <w:uiPriority w:val="9"/>
    <w:rsid w:val="006E2847"/>
    <w:rPr>
      <w:rFonts w:asciiTheme="majorHAnsi" w:eastAsiaTheme="majorEastAsia" w:hAnsiTheme="majorHAnsi" w:cstheme="majorBidi"/>
      <w:color w:val="2F5496" w:themeColor="accent1" w:themeShade="BF"/>
      <w:sz w:val="26"/>
      <w:szCs w:val="26"/>
      <w:lang w:eastAsia="sk-SK"/>
    </w:rPr>
  </w:style>
  <w:style w:type="table" w:styleId="Mriekatabuky">
    <w:name w:val="Table Grid"/>
    <w:basedOn w:val="Normlnatabuka"/>
    <w:uiPriority w:val="39"/>
    <w:rsid w:val="006E2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obrzkov">
    <w:name w:val="table of figures"/>
    <w:basedOn w:val="Normlny"/>
    <w:next w:val="Normlny"/>
    <w:uiPriority w:val="99"/>
    <w:unhideWhenUsed/>
    <w:rsid w:val="006E2847"/>
    <w:pPr>
      <w:spacing w:after="0" w:line="276" w:lineRule="auto"/>
    </w:pPr>
    <w:rPr>
      <w:rFonts w:ascii="Arial Narrow" w:hAnsi="Arial Narrow"/>
      <w:szCs w:val="36"/>
    </w:rPr>
  </w:style>
  <w:style w:type="character" w:customStyle="1" w:styleId="Hypertextovprepojenie1">
    <w:name w:val="Hypertextové prepojenie1"/>
    <w:basedOn w:val="Predvolenpsmoodseku"/>
    <w:uiPriority w:val="99"/>
    <w:unhideWhenUsed/>
    <w:rsid w:val="002A0289"/>
    <w:rPr>
      <w:color w:val="0000FF"/>
      <w:u w:val="single"/>
    </w:rPr>
  </w:style>
  <w:style w:type="paragraph" w:styleId="Obsah1">
    <w:name w:val="toc 1"/>
    <w:basedOn w:val="Normlny"/>
    <w:next w:val="Normlny"/>
    <w:autoRedefine/>
    <w:uiPriority w:val="39"/>
    <w:rsid w:val="00BE24B0"/>
    <w:pPr>
      <w:tabs>
        <w:tab w:val="left" w:pos="284"/>
        <w:tab w:val="right" w:leader="dot" w:pos="9062"/>
      </w:tabs>
      <w:spacing w:after="100" w:line="240" w:lineRule="auto"/>
    </w:pPr>
    <w:rPr>
      <w:rFonts w:ascii="Arial Narrow" w:eastAsia="Times New Roman" w:hAnsi="Arial Narrow" w:cs="Arial Narrow"/>
      <w:b/>
      <w:noProof/>
      <w:lang w:eastAsia="sk-SK"/>
    </w:rPr>
  </w:style>
  <w:style w:type="paragraph" w:styleId="Obsah2">
    <w:name w:val="toc 2"/>
    <w:basedOn w:val="Normlny"/>
    <w:next w:val="Normlny"/>
    <w:autoRedefine/>
    <w:uiPriority w:val="39"/>
    <w:rsid w:val="00BE24B0"/>
    <w:pPr>
      <w:tabs>
        <w:tab w:val="left" w:pos="709"/>
        <w:tab w:val="right" w:leader="dot" w:pos="9060"/>
      </w:tabs>
      <w:spacing w:after="100" w:line="240" w:lineRule="auto"/>
      <w:ind w:left="220"/>
    </w:pPr>
    <w:rPr>
      <w:rFonts w:ascii="Arial Narrow" w:eastAsia="Times New Roman" w:hAnsi="Arial Narrow" w:cs="Arial Narrow"/>
      <w:noProof/>
      <w:lang w:eastAsia="sk-SK"/>
    </w:rPr>
  </w:style>
  <w:style w:type="paragraph" w:styleId="Hlavikaobsahu">
    <w:name w:val="TOC Heading"/>
    <w:basedOn w:val="Nadpis1"/>
    <w:next w:val="Normlny"/>
    <w:uiPriority w:val="39"/>
    <w:unhideWhenUsed/>
    <w:qFormat/>
    <w:rsid w:val="00BE24B0"/>
    <w:pPr>
      <w:keepLines/>
      <w:spacing w:before="240" w:after="0" w:line="259" w:lineRule="auto"/>
      <w:outlineLvl w:val="9"/>
    </w:pPr>
    <w:rPr>
      <w:rFonts w:asciiTheme="majorHAnsi" w:eastAsiaTheme="majorEastAsia" w:hAnsiTheme="majorHAnsi" w:cstheme="majorBidi"/>
      <w:b w:val="0"/>
      <w:bCs w:val="0"/>
      <w:color w:val="2F5496" w:themeColor="accent1" w:themeShade="BF"/>
      <w:sz w:val="32"/>
      <w:szCs w:val="32"/>
    </w:rPr>
  </w:style>
  <w:style w:type="character" w:customStyle="1" w:styleId="Zmienka1">
    <w:name w:val="Zmienka1"/>
    <w:basedOn w:val="Predvolenpsmoodseku"/>
    <w:uiPriority w:val="99"/>
    <w:unhideWhenUsed/>
    <w:rsid w:val="00672016"/>
    <w:rPr>
      <w:color w:val="2B579A"/>
      <w:shd w:val="clear" w:color="auto" w:fill="E1DFDD"/>
    </w:rPr>
  </w:style>
  <w:style w:type="paragraph" w:styleId="Textbubliny">
    <w:name w:val="Balloon Text"/>
    <w:basedOn w:val="Normlny"/>
    <w:link w:val="TextbublinyChar"/>
    <w:uiPriority w:val="99"/>
    <w:semiHidden/>
    <w:unhideWhenUsed/>
    <w:rsid w:val="0078738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8738A"/>
    <w:rPr>
      <w:rFonts w:ascii="Segoe UI" w:hAnsi="Segoe UI" w:cs="Segoe UI"/>
      <w:sz w:val="18"/>
      <w:szCs w:val="18"/>
    </w:rPr>
  </w:style>
  <w:style w:type="paragraph" w:styleId="Hlavika">
    <w:name w:val="header"/>
    <w:basedOn w:val="Normlny"/>
    <w:link w:val="HlavikaChar"/>
    <w:uiPriority w:val="99"/>
    <w:unhideWhenUsed/>
    <w:rsid w:val="000F194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F194B"/>
  </w:style>
  <w:style w:type="paragraph" w:styleId="Pta">
    <w:name w:val="footer"/>
    <w:basedOn w:val="Normlny"/>
    <w:link w:val="PtaChar"/>
    <w:uiPriority w:val="99"/>
    <w:unhideWhenUsed/>
    <w:rsid w:val="000F194B"/>
    <w:pPr>
      <w:tabs>
        <w:tab w:val="center" w:pos="4536"/>
        <w:tab w:val="right" w:pos="9072"/>
      </w:tabs>
      <w:spacing w:after="0" w:line="240" w:lineRule="auto"/>
    </w:pPr>
  </w:style>
  <w:style w:type="character" w:customStyle="1" w:styleId="PtaChar">
    <w:name w:val="Päta Char"/>
    <w:basedOn w:val="Predvolenpsmoodseku"/>
    <w:link w:val="Pta"/>
    <w:uiPriority w:val="99"/>
    <w:rsid w:val="000F194B"/>
  </w:style>
  <w:style w:type="paragraph" w:customStyle="1" w:styleId="pf0">
    <w:name w:val="pf0"/>
    <w:basedOn w:val="Normlny"/>
    <w:rsid w:val="00F674F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F674FB"/>
    <w:rPr>
      <w:rFonts w:ascii="Segoe UI" w:hAnsi="Segoe UI" w:cs="Segoe UI" w:hint="default"/>
      <w:sz w:val="18"/>
      <w:szCs w:val="18"/>
      <w:shd w:val="clear" w:color="auto" w:fill="FFFF00"/>
    </w:rPr>
  </w:style>
  <w:style w:type="paragraph" w:styleId="Normlnywebov">
    <w:name w:val="Normal (Web)"/>
    <w:basedOn w:val="Normlny"/>
    <w:uiPriority w:val="99"/>
    <w:semiHidden/>
    <w:unhideWhenUsed/>
    <w:rsid w:val="00D476B6"/>
    <w:pPr>
      <w:spacing w:before="100" w:beforeAutospacing="1" w:after="100" w:afterAutospacing="1" w:line="240" w:lineRule="auto"/>
    </w:pPr>
    <w:rPr>
      <w:rFonts w:ascii="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688120">
      <w:bodyDiv w:val="1"/>
      <w:marLeft w:val="0"/>
      <w:marRight w:val="0"/>
      <w:marTop w:val="0"/>
      <w:marBottom w:val="0"/>
      <w:divBdr>
        <w:top w:val="none" w:sz="0" w:space="0" w:color="auto"/>
        <w:left w:val="none" w:sz="0" w:space="0" w:color="auto"/>
        <w:bottom w:val="none" w:sz="0" w:space="0" w:color="auto"/>
        <w:right w:val="none" w:sz="0" w:space="0" w:color="auto"/>
      </w:divBdr>
    </w:div>
    <w:div w:id="210967867">
      <w:bodyDiv w:val="1"/>
      <w:marLeft w:val="0"/>
      <w:marRight w:val="0"/>
      <w:marTop w:val="0"/>
      <w:marBottom w:val="0"/>
      <w:divBdr>
        <w:top w:val="none" w:sz="0" w:space="0" w:color="auto"/>
        <w:left w:val="none" w:sz="0" w:space="0" w:color="auto"/>
        <w:bottom w:val="none" w:sz="0" w:space="0" w:color="auto"/>
        <w:right w:val="none" w:sz="0" w:space="0" w:color="auto"/>
      </w:divBdr>
    </w:div>
    <w:div w:id="685667493">
      <w:bodyDiv w:val="1"/>
      <w:marLeft w:val="0"/>
      <w:marRight w:val="0"/>
      <w:marTop w:val="0"/>
      <w:marBottom w:val="0"/>
      <w:divBdr>
        <w:top w:val="none" w:sz="0" w:space="0" w:color="auto"/>
        <w:left w:val="none" w:sz="0" w:space="0" w:color="auto"/>
        <w:bottom w:val="none" w:sz="0" w:space="0" w:color="auto"/>
        <w:right w:val="none" w:sz="0" w:space="0" w:color="auto"/>
      </w:divBdr>
    </w:div>
    <w:div w:id="1162548504">
      <w:bodyDiv w:val="1"/>
      <w:marLeft w:val="0"/>
      <w:marRight w:val="0"/>
      <w:marTop w:val="0"/>
      <w:marBottom w:val="0"/>
      <w:divBdr>
        <w:top w:val="none" w:sz="0" w:space="0" w:color="auto"/>
        <w:left w:val="none" w:sz="0" w:space="0" w:color="auto"/>
        <w:bottom w:val="none" w:sz="0" w:space="0" w:color="auto"/>
        <w:right w:val="none" w:sz="0" w:space="0" w:color="auto"/>
      </w:divBdr>
    </w:div>
    <w:div w:id="1172068345">
      <w:bodyDiv w:val="1"/>
      <w:marLeft w:val="0"/>
      <w:marRight w:val="0"/>
      <w:marTop w:val="0"/>
      <w:marBottom w:val="0"/>
      <w:divBdr>
        <w:top w:val="none" w:sz="0" w:space="0" w:color="auto"/>
        <w:left w:val="none" w:sz="0" w:space="0" w:color="auto"/>
        <w:bottom w:val="none" w:sz="0" w:space="0" w:color="auto"/>
        <w:right w:val="none" w:sz="0" w:space="0" w:color="auto"/>
      </w:divBdr>
    </w:div>
    <w:div w:id="1180965737">
      <w:bodyDiv w:val="1"/>
      <w:marLeft w:val="0"/>
      <w:marRight w:val="0"/>
      <w:marTop w:val="0"/>
      <w:marBottom w:val="0"/>
      <w:divBdr>
        <w:top w:val="none" w:sz="0" w:space="0" w:color="auto"/>
        <w:left w:val="none" w:sz="0" w:space="0" w:color="auto"/>
        <w:bottom w:val="none" w:sz="0" w:space="0" w:color="auto"/>
        <w:right w:val="none" w:sz="0" w:space="0" w:color="auto"/>
      </w:divBdr>
    </w:div>
    <w:div w:id="1267351348">
      <w:bodyDiv w:val="1"/>
      <w:marLeft w:val="0"/>
      <w:marRight w:val="0"/>
      <w:marTop w:val="0"/>
      <w:marBottom w:val="0"/>
      <w:divBdr>
        <w:top w:val="none" w:sz="0" w:space="0" w:color="auto"/>
        <w:left w:val="none" w:sz="0" w:space="0" w:color="auto"/>
        <w:bottom w:val="none" w:sz="0" w:space="0" w:color="auto"/>
        <w:right w:val="none" w:sz="0" w:space="0" w:color="auto"/>
      </w:divBdr>
    </w:div>
    <w:div w:id="1385055639">
      <w:bodyDiv w:val="1"/>
      <w:marLeft w:val="0"/>
      <w:marRight w:val="0"/>
      <w:marTop w:val="0"/>
      <w:marBottom w:val="0"/>
      <w:divBdr>
        <w:top w:val="none" w:sz="0" w:space="0" w:color="auto"/>
        <w:left w:val="none" w:sz="0" w:space="0" w:color="auto"/>
        <w:bottom w:val="none" w:sz="0" w:space="0" w:color="auto"/>
        <w:right w:val="none" w:sz="0" w:space="0" w:color="auto"/>
      </w:divBdr>
    </w:div>
    <w:div w:id="1406339163">
      <w:bodyDiv w:val="1"/>
      <w:marLeft w:val="0"/>
      <w:marRight w:val="0"/>
      <w:marTop w:val="0"/>
      <w:marBottom w:val="0"/>
      <w:divBdr>
        <w:top w:val="none" w:sz="0" w:space="0" w:color="auto"/>
        <w:left w:val="none" w:sz="0" w:space="0" w:color="auto"/>
        <w:bottom w:val="none" w:sz="0" w:space="0" w:color="auto"/>
        <w:right w:val="none" w:sz="0" w:space="0" w:color="auto"/>
      </w:divBdr>
    </w:div>
    <w:div w:id="1481120549">
      <w:bodyDiv w:val="1"/>
      <w:marLeft w:val="0"/>
      <w:marRight w:val="0"/>
      <w:marTop w:val="0"/>
      <w:marBottom w:val="0"/>
      <w:divBdr>
        <w:top w:val="none" w:sz="0" w:space="0" w:color="auto"/>
        <w:left w:val="none" w:sz="0" w:space="0" w:color="auto"/>
        <w:bottom w:val="none" w:sz="0" w:space="0" w:color="auto"/>
        <w:right w:val="none" w:sz="0" w:space="0" w:color="auto"/>
      </w:divBdr>
      <w:divsChild>
        <w:div w:id="72090299">
          <w:marLeft w:val="0"/>
          <w:marRight w:val="0"/>
          <w:marTop w:val="0"/>
          <w:marBottom w:val="0"/>
          <w:divBdr>
            <w:top w:val="none" w:sz="0" w:space="0" w:color="auto"/>
            <w:left w:val="none" w:sz="0" w:space="0" w:color="auto"/>
            <w:bottom w:val="none" w:sz="0" w:space="0" w:color="auto"/>
            <w:right w:val="none" w:sz="0" w:space="0" w:color="auto"/>
          </w:divBdr>
          <w:divsChild>
            <w:div w:id="1017388558">
              <w:marLeft w:val="0"/>
              <w:marRight w:val="0"/>
              <w:marTop w:val="0"/>
              <w:marBottom w:val="0"/>
              <w:divBdr>
                <w:top w:val="none" w:sz="0" w:space="0" w:color="auto"/>
                <w:left w:val="none" w:sz="0" w:space="0" w:color="auto"/>
                <w:bottom w:val="none" w:sz="0" w:space="0" w:color="auto"/>
                <w:right w:val="none" w:sz="0" w:space="0" w:color="auto"/>
              </w:divBdr>
              <w:divsChild>
                <w:div w:id="569581788">
                  <w:marLeft w:val="0"/>
                  <w:marRight w:val="0"/>
                  <w:marTop w:val="0"/>
                  <w:marBottom w:val="0"/>
                  <w:divBdr>
                    <w:top w:val="none" w:sz="0" w:space="0" w:color="auto"/>
                    <w:left w:val="none" w:sz="0" w:space="0" w:color="auto"/>
                    <w:bottom w:val="none" w:sz="0" w:space="0" w:color="auto"/>
                    <w:right w:val="none" w:sz="0" w:space="0" w:color="auto"/>
                  </w:divBdr>
                  <w:divsChild>
                    <w:div w:id="1540359886">
                      <w:marLeft w:val="0"/>
                      <w:marRight w:val="0"/>
                      <w:marTop w:val="0"/>
                      <w:marBottom w:val="0"/>
                      <w:divBdr>
                        <w:top w:val="none" w:sz="0" w:space="0" w:color="auto"/>
                        <w:left w:val="none" w:sz="0" w:space="0" w:color="auto"/>
                        <w:bottom w:val="none" w:sz="0" w:space="0" w:color="auto"/>
                        <w:right w:val="none" w:sz="0" w:space="0" w:color="auto"/>
                      </w:divBdr>
                      <w:divsChild>
                        <w:div w:id="1037119203">
                          <w:marLeft w:val="0"/>
                          <w:marRight w:val="0"/>
                          <w:marTop w:val="0"/>
                          <w:marBottom w:val="0"/>
                          <w:divBdr>
                            <w:top w:val="none" w:sz="0" w:space="0" w:color="auto"/>
                            <w:left w:val="none" w:sz="0" w:space="0" w:color="auto"/>
                            <w:bottom w:val="none" w:sz="0" w:space="0" w:color="auto"/>
                            <w:right w:val="none" w:sz="0" w:space="0" w:color="auto"/>
                          </w:divBdr>
                          <w:divsChild>
                            <w:div w:id="195566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988230">
      <w:bodyDiv w:val="1"/>
      <w:marLeft w:val="0"/>
      <w:marRight w:val="0"/>
      <w:marTop w:val="0"/>
      <w:marBottom w:val="0"/>
      <w:divBdr>
        <w:top w:val="none" w:sz="0" w:space="0" w:color="auto"/>
        <w:left w:val="none" w:sz="0" w:space="0" w:color="auto"/>
        <w:bottom w:val="none" w:sz="0" w:space="0" w:color="auto"/>
        <w:right w:val="none" w:sz="0" w:space="0" w:color="auto"/>
      </w:divBdr>
    </w:div>
    <w:div w:id="1795252269">
      <w:bodyDiv w:val="1"/>
      <w:marLeft w:val="0"/>
      <w:marRight w:val="0"/>
      <w:marTop w:val="0"/>
      <w:marBottom w:val="0"/>
      <w:divBdr>
        <w:top w:val="none" w:sz="0" w:space="0" w:color="auto"/>
        <w:left w:val="none" w:sz="0" w:space="0" w:color="auto"/>
        <w:bottom w:val="none" w:sz="0" w:space="0" w:color="auto"/>
        <w:right w:val="none" w:sz="0" w:space="0" w:color="auto"/>
      </w:divBdr>
    </w:div>
    <w:div w:id="202377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diagramLayout" Target="diagrams/layout1.xml"/><Relationship Id="rId26" Type="http://schemas.microsoft.com/office/2007/relationships/diagramDrawing" Target="diagrams/drawing2.xml"/><Relationship Id="rId39" Type="http://schemas.openxmlformats.org/officeDocument/2006/relationships/chart" Target="charts/chart5.xml"/><Relationship Id="rId21" Type="http://schemas.microsoft.com/office/2007/relationships/diagramDrawing" Target="diagrams/drawing1.xml"/><Relationship Id="rId34" Type="http://schemas.openxmlformats.org/officeDocument/2006/relationships/diagramQuickStyle" Target="diagrams/quickStyle4.xml"/><Relationship Id="rId42" Type="http://schemas.openxmlformats.org/officeDocument/2006/relationships/chart" Target="charts/chart8.xml"/><Relationship Id="rId47" Type="http://schemas.openxmlformats.org/officeDocument/2006/relationships/chart" Target="charts/chart13.xml"/><Relationship Id="rId50" Type="http://schemas.openxmlformats.org/officeDocument/2006/relationships/chart" Target="charts/chart16.xml"/><Relationship Id="rId55"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diagramLayout" Target="diagrams/layout4.xml"/><Relationship Id="rId38" Type="http://schemas.openxmlformats.org/officeDocument/2006/relationships/chart" Target="charts/chart4.xml"/><Relationship Id="rId46"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diagramColors" Target="diagrams/colors1.xml"/><Relationship Id="rId29" Type="http://schemas.openxmlformats.org/officeDocument/2006/relationships/diagramQuickStyle" Target="diagrams/quickStyle3.xml"/><Relationship Id="rId41" Type="http://schemas.openxmlformats.org/officeDocument/2006/relationships/chart" Target="charts/chart7.xml"/><Relationship Id="rId54"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QuickStyle" Target="diagrams/quickStyle2.xml"/><Relationship Id="rId32" Type="http://schemas.openxmlformats.org/officeDocument/2006/relationships/diagramData" Target="diagrams/data4.xml"/><Relationship Id="rId37" Type="http://schemas.openxmlformats.org/officeDocument/2006/relationships/chart" Target="charts/chart3.xml"/><Relationship Id="rId40" Type="http://schemas.openxmlformats.org/officeDocument/2006/relationships/chart" Target="charts/chart6.xml"/><Relationship Id="rId45" Type="http://schemas.openxmlformats.org/officeDocument/2006/relationships/chart" Target="charts/chart11.xml"/><Relationship Id="rId53" Type="http://schemas.openxmlformats.org/officeDocument/2006/relationships/chart" Target="charts/chart19.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microsoft.com/office/2007/relationships/diagramDrawing" Target="diagrams/drawing4.xml"/><Relationship Id="rId49" Type="http://schemas.openxmlformats.org/officeDocument/2006/relationships/chart" Target="charts/chart15.xml"/><Relationship Id="rId57"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diagramQuickStyle" Target="diagrams/quickStyle1.xml"/><Relationship Id="rId31" Type="http://schemas.microsoft.com/office/2007/relationships/diagramDrawing" Target="diagrams/drawing3.xml"/><Relationship Id="rId44" Type="http://schemas.openxmlformats.org/officeDocument/2006/relationships/chart" Target="charts/chart10.xml"/><Relationship Id="rId52" Type="http://schemas.openxmlformats.org/officeDocument/2006/relationships/chart" Target="charts/chart1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diagramColors" Target="diagrams/colors4.xml"/><Relationship Id="rId43" Type="http://schemas.openxmlformats.org/officeDocument/2006/relationships/chart" Target="charts/chart9.xml"/><Relationship Id="rId48" Type="http://schemas.openxmlformats.org/officeDocument/2006/relationships/chart" Target="charts/chart14.xml"/><Relationship Id="rId56" Type="http://schemas.openxmlformats.org/officeDocument/2006/relationships/footer" Target="footer5.xml"/><Relationship Id="rId8" Type="http://schemas.openxmlformats.org/officeDocument/2006/relationships/image" Target="media/image1.jpeg"/><Relationship Id="rId51" Type="http://schemas.openxmlformats.org/officeDocument/2006/relationships/chart" Target="charts/chart17.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mirri.gov.sk/sekcie/informatizacia/dokumenty/strategicke-dokumenty-2/narodna-koncepcia-informatizacie-verejnej-spravy-nikvs/" TargetMode="External"/><Relationship Id="rId3" Type="http://schemas.openxmlformats.org/officeDocument/2006/relationships/hyperlink" Target="https://www.mfsr.sk/files/sk/financie/institut-financnej-politiky/strategicke-materialy/program-stability/program-stability-slovenska-roky-2023-2026.pdf" TargetMode="External"/><Relationship Id="rId7" Type="http://schemas.openxmlformats.org/officeDocument/2006/relationships/hyperlink" Target="https://mirri.gov.sk/sekcie/informatizacia/digitalna-transformacia/vnutrostatny-plan-digitalnej-dekady-slovenskej-republiky/" TargetMode="External"/><Relationship Id="rId2" Type="http://schemas.openxmlformats.org/officeDocument/2006/relationships/hyperlink" Target="https://economy-finance.ec.europa.eu/document/download/e3a23fba-1402-4cc9-b571-7473b5e7842a_en?filename=ip271_en.pdf" TargetMode="External"/><Relationship Id="rId1" Type="http://schemas.openxmlformats.org/officeDocument/2006/relationships/hyperlink" Target="https://ulozisko.institutfinancnejpolitiky.sk/WEB_IFP/03_Publikacie/01_Komentare/2023/2023_07_Reforma_SGP.pdf" TargetMode="External"/><Relationship Id="rId6" Type="http://schemas.openxmlformats.org/officeDocument/2006/relationships/hyperlink" Target="https://www.mfsr.sk/sk/financie/institut-financnej-politiky/publikacie-ifp/manualy/metodika-vypoctu-implicitnych-zavazkov.html" TargetMode="External"/><Relationship Id="rId5" Type="http://schemas.openxmlformats.org/officeDocument/2006/relationships/hyperlink" Target="https://www.ecb.europa.eu/pub/pdf/other/techn_comp_gd_pens_dt_nat_accts_201201en.pdf" TargetMode="External"/><Relationship Id="rId4" Type="http://schemas.openxmlformats.org/officeDocument/2006/relationships/hyperlink" Target="https://economy-finance.ec.europa.eu/document/download/e3a23fba-1402-4cc9-b571-7473b5e7842a_en?filename=ip271_en.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VM-DFS.mf.mfsr.sk\FileShare\ADRESARE\IFP_NEW\5_MATERIALY\5_3_Strategicke_materialy\Narodny%20fiskalny%20a%20strukturalny%20plan\2024\NFPE_2024-2027_RT.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VM-DFS.mf.mfsr.sk\FileShare\ADRESARE\IFP_NEW\5_MATERIALY\5_3_Strategicke_materialy\Narodny%20fiskalny%20a%20strukturalny%20plan\2024\NFPE_2024-2027_RT.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3.xml"/><Relationship Id="rId4" Type="http://schemas.openxmlformats.org/officeDocument/2006/relationships/oleObject" Target="file:///\\VM-DFS.mf.mfsr.sk\FileShare\ADRESARE\IFP_NEW\5_MATERIALY\5_3_Strategicke_materialy\Narodny%20fiskalny%20a%20strukturalny%20plan\2024\Reference%20trajectory%20SK\EC%20Prior%20Guidance%20-%20June%202024%20-%20Calculation%20sheets%20-%20SK_4Y_extended.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4.xml"/><Relationship Id="rId4" Type="http://schemas.openxmlformats.org/officeDocument/2006/relationships/oleObject" Target="file:///\\VM-DFS.mf.mfsr.sk\FileShare\ADRESARE\IFP_NEW\5_MATERIALY\5_3_Strategicke_materialy\Narodny%20fiskalny%20a%20strukturalny%20plan\2024\Reference%20trajectory%20SK\EC%20Prior%20Guidance%20-%20June%202024%20-%20Calculation%20sheets%20-%20SK_4Y_extended.xlsx" TargetMode="External"/></Relationships>
</file>

<file path=word/charts/_rels/chart13.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Narodny%20fiskalny%20a%20strukturalny%20plan\2024\Vstupy\Obrana.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5.xml"/><Relationship Id="rId4" Type="http://schemas.openxmlformats.org/officeDocument/2006/relationships/oleObject" Target="file:///\\VM-DFS.mf.mfsr.sk\FileShare\ADRESARE\IFP_NEW\5_MATERIALY\5_3_Strategicke_materialy\Navrh%20rozpoctoveho%20planu%20DBP\2024\Vstupy\ESA_2010_GG_2025_2027_20241002.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VM-DFS.mf.mfsr.sk\FileShare\ADRESARE\IFP_NEW\5_MATERIALY\5_3_Strategicke_materialy\Navrh%20rozpoctoveho%20planu%20DBP\2024\Vstupy\ESA_2010_GG_2025_2027_20241002.xlsx" TargetMode="External"/></Relationships>
</file>

<file path=word/charts/_rels/chart16.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Navrh%20rozpoctoveho%20planu%20DBP\2024\Vstupy\Konsolidacia_new.xlsx"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VM-DFS.mf.mfsr.sk\FileShare\ADRESARE\IFP_NEW\5_MATERIALY\5_3_Strategicke_materialy\Navrh%20rozpoctoveho%20planu%20DBP\2024\Vstupy\Faktory_vysvetlujuce_medzirocnu_zmenu_deficitu.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VM-DFS.mf.mfsr.sk\FileShare\ADRESARE\IFP_NEW\5_MATERIALY\5_3_Strategicke_materialy\Narodny%20fiskalny%20a%20strukturalny%20plan\2024\NFPE_2024-2027_RT.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VM-DFS.mf.mfsr.sk\FileShare\ADRESARE\IFP_NEW\2_FISKAL\04_Konsolidacne_usilie_fis_impulz\01_Model\MASTER_FILE_sept_2024.xlsm"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xml"/><Relationship Id="rId4" Type="http://schemas.openxmlformats.org/officeDocument/2006/relationships/oleObject" Target="file:///\\VM-DFS.mf.mfsr.sk\FileShare\ADRESARE\IFP_NEW\5_MATERIALY\5_3_Strategicke_materialy\Narodny%20fiskalny%20a%20strukturalny%20plan\2024\NFPE_2024-2027_RT.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VM-DFS.mf.mfsr.sk\FileShare\ADRESARE\IFP_NEW\5_MATERIALY\5_3_Strategicke_materialy\Narodny%20fiskalny%20a%20strukturalny%20plan\2024\Vstupy\Narodne%20investicie_2020-2027.xlsx" TargetMode="External"/><Relationship Id="rId2" Type="http://schemas.microsoft.com/office/2011/relationships/chartColorStyle" Target="colors13.xml"/><Relationship Id="rId1" Type="http://schemas.microsoft.com/office/2011/relationships/chartStyle" Target="style13.xml"/></Relationships>
</file>

<file path=word/charts/_rels/chart3.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Narodny%20fiskalny%20a%20strukturalny%20plan\2024\Tabulky\MTP_2024_zdrojak.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Narodny%20fiskalny%20a%20strukturalny%20plan\2024\Tabulky\MTP_2024_zdrojak.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H_rok_programu_Microsoft_Excel.xlsx"/></Relationships>
</file>

<file path=word/charts/_rels/chart6.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Narodny%20fiskalny%20a%20strukturalny%20plan\2024\Tabulky\MTP_2024_zdrojak.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Narodny%20fiskalny%20a%20strukturalny%20plan\2024\Tabulky\MTP_2024_zdrojak.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VM-DFS.mf.mfsr.sk\FileShare\ADRESARE\IFP_NEW\5_MATERIALY\5_3_Strategicke_materialy\Narodny%20fiskalny%20a%20strukturalny%20plan\2024\Tabulky\MTP_2024_zdrojak.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VM-DFS.mf.mfsr.sk\FileShare\ADRESARE\IFP_NEW\5_MATERIALY\5_3_Strategicke_materialy\Narodny%20fiskalny%20a%20strukturalny%20plan\2024\NFPE_2024-2027_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171155407529211E-2"/>
          <c:y val="7.5532957877752729E-2"/>
          <c:w val="0.8700707891754198"/>
          <c:h val="0.76338698131941729"/>
        </c:manualLayout>
      </c:layout>
      <c:barChart>
        <c:barDir val="col"/>
        <c:grouping val="clustered"/>
        <c:varyColors val="0"/>
        <c:ser>
          <c:idx val="2"/>
          <c:order val="0"/>
          <c:tx>
            <c:strRef>
              <c:f>Dashboard!$B$4</c:f>
              <c:strCache>
                <c:ptCount val="1"/>
                <c:pt idx="0">
                  <c:v>Zvolená fiškálna trajektória</c:v>
                </c:pt>
              </c:strCache>
            </c:strRef>
          </c:tx>
          <c:spPr>
            <a:solidFill>
              <a:srgbClr val="2C9ADC"/>
            </a:solidFill>
            <a:ln>
              <a:noFill/>
            </a:ln>
            <a:effectLst/>
          </c:spPr>
          <c:invertIfNegative val="0"/>
          <c:dLbls>
            <c:dLbl>
              <c:idx val="1"/>
              <c:layout>
                <c:manualLayout>
                  <c:x val="-4.210638848770967E-17"/>
                  <c:y val="0.3873692474657676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74E-4EFD-B055-C6A3EC24D887}"/>
                </c:ext>
              </c:extLst>
            </c:dLbl>
            <c:spPr>
              <a:noFill/>
              <a:ln>
                <a:solidFill>
                  <a:srgbClr val="2C9ADC"/>
                </a:solidFill>
              </a:ln>
              <a:effectLst/>
            </c:spPr>
            <c:txPr>
              <a:bodyPr rot="0" spcFirstLastPara="1" vertOverflow="ellipsis" vert="horz" wrap="square" anchor="ctr" anchorCtr="1"/>
              <a:lstStyle/>
              <a:p>
                <a:pPr>
                  <a:defRPr sz="800" b="1" i="0" u="none" strike="noStrike" kern="1200" baseline="0">
                    <a:solidFill>
                      <a:schemeClr val="bg1"/>
                    </a:solidFill>
                    <a:latin typeface="Arial Narrow" panose="020B0606020202030204" pitchFamily="34" charset="0"/>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'MTP_2024 (sept 24)'!$AV$32:$BA$32</c:f>
              <c:numCache>
                <c:formatCode>General</c:formatCode>
                <c:ptCount val="6"/>
                <c:pt idx="0">
                  <c:v>2023</c:v>
                </c:pt>
                <c:pt idx="1">
                  <c:v>2024</c:v>
                </c:pt>
                <c:pt idx="2">
                  <c:v>2025</c:v>
                </c:pt>
                <c:pt idx="3">
                  <c:v>2026</c:v>
                </c:pt>
                <c:pt idx="4">
                  <c:v>2027</c:v>
                </c:pt>
                <c:pt idx="5">
                  <c:v>2028</c:v>
                </c:pt>
              </c:numCache>
            </c:numRef>
          </c:cat>
          <c:val>
            <c:numRef>
              <c:f>Dashboard!$C$4:$H$4</c:f>
              <c:numCache>
                <c:formatCode>0.0</c:formatCode>
                <c:ptCount val="6"/>
                <c:pt idx="0">
                  <c:v>4.8934746579132904</c:v>
                </c:pt>
                <c:pt idx="1">
                  <c:v>5.8036633106909878</c:v>
                </c:pt>
                <c:pt idx="2">
                  <c:v>4.7199999977126668</c:v>
                </c:pt>
                <c:pt idx="3">
                  <c:v>3.7225670218710594</c:v>
                </c:pt>
                <c:pt idx="4">
                  <c:v>3.0002252698199086</c:v>
                </c:pt>
                <c:pt idx="5">
                  <c:v>2.2143086122520614</c:v>
                </c:pt>
              </c:numCache>
            </c:numRef>
          </c:val>
          <c:extLst>
            <c:ext xmlns:c16="http://schemas.microsoft.com/office/drawing/2014/chart" uri="{C3380CC4-5D6E-409C-BE32-E72D297353CC}">
              <c16:uniqueId val="{00000000-1AB0-40B2-B7BF-3716CECEC9A4}"/>
            </c:ext>
          </c:extLst>
        </c:ser>
        <c:dLbls>
          <c:showLegendKey val="0"/>
          <c:showVal val="0"/>
          <c:showCatName val="0"/>
          <c:showSerName val="0"/>
          <c:showPercent val="0"/>
          <c:showBubbleSize val="0"/>
        </c:dLbls>
        <c:gapWidth val="50"/>
        <c:axId val="1291386143"/>
        <c:axId val="1379567903"/>
      </c:barChart>
      <c:catAx>
        <c:axId val="1291386143"/>
        <c:scaling>
          <c:orientation val="minMax"/>
        </c:scaling>
        <c:delete val="0"/>
        <c:axPos val="b"/>
        <c:numFmt formatCode="General" sourceLinked="1"/>
        <c:majorTickMark val="none"/>
        <c:minorTickMark val="none"/>
        <c:tickLblPos val="low"/>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crossAx val="1379567903"/>
        <c:crosses val="autoZero"/>
        <c:auto val="1"/>
        <c:lblAlgn val="ctr"/>
        <c:lblOffset val="100"/>
        <c:noMultiLvlLbl val="0"/>
      </c:catAx>
      <c:valAx>
        <c:axId val="1379567903"/>
        <c:scaling>
          <c:orientation val="minMax"/>
        </c:scaling>
        <c:delete val="0"/>
        <c:axPos val="l"/>
        <c:majorGridlines>
          <c:spPr>
            <a:ln w="3175" cap="flat" cmpd="sng" algn="ctr">
              <a:solidFill>
                <a:sysClr val="window" lastClr="FFFFFF">
                  <a:lumMod val="50000"/>
                  <a:alpha val="25000"/>
                </a:sysClr>
              </a:solidFill>
              <a:prstDash val="sysDot"/>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crossAx val="12913861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solidFill>
          <a:latin typeface="Arial Narrow" panose="020B0606020202030204" pitchFamily="34" charset="0"/>
        </a:defRPr>
      </a:pPr>
      <a:endParaRPr lang="sk-SK"/>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870707070707076E-2"/>
          <c:y val="4.0428939075610515E-2"/>
          <c:w val="0.88785151515151517"/>
          <c:h val="0.7115145432013712"/>
        </c:manualLayout>
      </c:layout>
      <c:areaChart>
        <c:grouping val="standard"/>
        <c:varyColors val="0"/>
        <c:ser>
          <c:idx val="2"/>
          <c:order val="2"/>
          <c:tx>
            <c:strRef>
              <c:f>Dashboard!$B$11</c:f>
              <c:strCache>
                <c:ptCount val="1"/>
                <c:pt idx="0">
                  <c:v>Plánované deficity vlády</c:v>
                </c:pt>
              </c:strCache>
            </c:strRef>
          </c:tx>
          <c:spPr>
            <a:solidFill>
              <a:srgbClr val="2C9ADC"/>
            </a:solidFill>
            <a:ln w="25400">
              <a:noFill/>
            </a:ln>
            <a:effectLst/>
          </c:spPr>
          <c:cat>
            <c:numRef>
              <c:f>Dashboard!$C$3:$H$3</c:f>
              <c:numCache>
                <c:formatCode>General</c:formatCode>
                <c:ptCount val="6"/>
                <c:pt idx="0">
                  <c:v>2023</c:v>
                </c:pt>
                <c:pt idx="1">
                  <c:v>2024</c:v>
                </c:pt>
                <c:pt idx="2">
                  <c:v>2025</c:v>
                </c:pt>
                <c:pt idx="3">
                  <c:v>2026</c:v>
                </c:pt>
                <c:pt idx="4">
                  <c:v>2027</c:v>
                </c:pt>
                <c:pt idx="5">
                  <c:v>2028</c:v>
                </c:pt>
              </c:numCache>
            </c:numRef>
          </c:cat>
          <c:val>
            <c:numRef>
              <c:f>Dashboard!$C$11:$H$11</c:f>
              <c:numCache>
                <c:formatCode>0.0</c:formatCode>
                <c:ptCount val="6"/>
                <c:pt idx="0">
                  <c:v>56.044684106407637</c:v>
                </c:pt>
                <c:pt idx="1">
                  <c:v>58.87298498328979</c:v>
                </c:pt>
                <c:pt idx="2">
                  <c:v>59.551286731767902</c:v>
                </c:pt>
                <c:pt idx="3">
                  <c:v>60.350269709305316</c:v>
                </c:pt>
                <c:pt idx="4">
                  <c:v>60.506868796181436</c:v>
                </c:pt>
                <c:pt idx="5">
                  <c:v>60.260626958878404</c:v>
                </c:pt>
              </c:numCache>
            </c:numRef>
          </c:val>
          <c:extLst>
            <c:ext xmlns:c16="http://schemas.microsoft.com/office/drawing/2014/chart" uri="{C3380CC4-5D6E-409C-BE32-E72D297353CC}">
              <c16:uniqueId val="{00000000-B781-4ED3-BEC5-ACEEF03736FA}"/>
            </c:ext>
          </c:extLst>
        </c:ser>
        <c:dLbls>
          <c:showLegendKey val="0"/>
          <c:showVal val="0"/>
          <c:showCatName val="0"/>
          <c:showSerName val="0"/>
          <c:showPercent val="0"/>
          <c:showBubbleSize val="0"/>
        </c:dLbls>
        <c:axId val="1291386143"/>
        <c:axId val="1379567903"/>
      </c:areaChart>
      <c:lineChart>
        <c:grouping val="standard"/>
        <c:varyColors val="0"/>
        <c:ser>
          <c:idx val="4"/>
          <c:order val="0"/>
          <c:tx>
            <c:strRef>
              <c:f>Dashboard!$B$12</c:f>
              <c:strCache>
                <c:ptCount val="1"/>
                <c:pt idx="0">
                  <c:v>Deficity podľa trajektórie čistých výdavkov (4-ročný plán)</c:v>
                </c:pt>
              </c:strCache>
            </c:strRef>
          </c:tx>
          <c:spPr>
            <a:ln w="19050" cap="rnd">
              <a:solidFill>
                <a:srgbClr val="FF0000"/>
              </a:solidFill>
              <a:prstDash val="sysDash"/>
              <a:round/>
            </a:ln>
            <a:effectLst/>
          </c:spPr>
          <c:marker>
            <c:symbol val="none"/>
          </c:marker>
          <c:dLbls>
            <c:dLbl>
              <c:idx val="5"/>
              <c:layout>
                <c:manualLayout>
                  <c:x val="-6.3491973332007984E-2"/>
                  <c:y val="-3.34862566219289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81-4ED3-BEC5-ACEEF03736FA}"/>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FF0000"/>
                    </a:solidFill>
                    <a:latin typeface="Arial Narrow" panose="020B0606020202030204" pitchFamily="34" charset="0"/>
                    <a:ea typeface="+mn-ea"/>
                    <a:cs typeface="+mn-cs"/>
                  </a:defRPr>
                </a:pPr>
                <a:endParaRPr lang="sk-SK"/>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Dashboard!$C$12:$H$12</c:f>
              <c:numCache>
                <c:formatCode>General</c:formatCode>
                <c:ptCount val="6"/>
                <c:pt idx="2" formatCode="0.0">
                  <c:v>59.563120513533605</c:v>
                </c:pt>
                <c:pt idx="3" formatCode="0.0">
                  <c:v>60.599110675997856</c:v>
                </c:pt>
                <c:pt idx="4" formatCode="0.0">
                  <c:v>61.40504169484953</c:v>
                </c:pt>
                <c:pt idx="5" formatCode="0.0">
                  <c:v>61.701611426432173</c:v>
                </c:pt>
              </c:numCache>
            </c:numRef>
          </c:val>
          <c:smooth val="0"/>
          <c:extLst>
            <c:ext xmlns:c16="http://schemas.microsoft.com/office/drawing/2014/chart" uri="{C3380CC4-5D6E-409C-BE32-E72D297353CC}">
              <c16:uniqueId val="{00000002-B781-4ED3-BEC5-ACEEF03736FA}"/>
            </c:ext>
          </c:extLst>
        </c:ser>
        <c:ser>
          <c:idx val="0"/>
          <c:order val="1"/>
          <c:tx>
            <c:strRef>
              <c:f>Dashboard!$B$13</c:f>
              <c:strCache>
                <c:ptCount val="1"/>
                <c:pt idx="0">
                  <c:v>Deficity podľa trajektórie 7-ročného plánu</c:v>
                </c:pt>
              </c:strCache>
            </c:strRef>
          </c:tx>
          <c:spPr>
            <a:ln w="19050" cap="rnd">
              <a:solidFill>
                <a:sysClr val="window" lastClr="FFFFFF">
                  <a:lumMod val="50000"/>
                </a:sysClr>
              </a:solidFill>
              <a:prstDash val="sysDash"/>
              <a:round/>
            </a:ln>
            <a:effectLst/>
          </c:spPr>
          <c:marker>
            <c:symbol val="none"/>
          </c:marker>
          <c:dLbls>
            <c:dLbl>
              <c:idx val="5"/>
              <c:layout>
                <c:manualLayout>
                  <c:x val="-3.9890161385372533E-2"/>
                  <c:y val="-5.3366722314969396E-2"/>
                </c:manualLayout>
              </c:layout>
              <c:tx>
                <c:rich>
                  <a:bodyPr/>
                  <a:lstStyle/>
                  <a:p>
                    <a:fld id="{DE4BEA3F-693B-4E64-95F7-7BF7E3DABCF1}" type="VALUE">
                      <a:rPr lang="en-US"/>
                      <a:pPr/>
                      <a:t>[HODNOTA]</a:t>
                    </a:fld>
                    <a:r>
                      <a:rPr lang="en-US"/>
                      <a:t>**</a:t>
                    </a:r>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781-4ED3-BEC5-ACEEF03736FA}"/>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lumMod val="50000"/>
                      </a:schemeClr>
                    </a:solidFill>
                    <a:latin typeface="Arial Narrow" panose="020B0606020202030204" pitchFamily="34" charset="0"/>
                    <a:ea typeface="+mn-ea"/>
                    <a:cs typeface="+mn-cs"/>
                  </a:defRPr>
                </a:pPr>
                <a:endParaRPr lang="sk-SK"/>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'MTP_2024 (sept 24)'!$Y$4:$AG$4</c:f>
              <c:numCache>
                <c:formatCode>General</c:formatCode>
                <c:ptCount val="9"/>
                <c:pt idx="0">
                  <c:v>2023</c:v>
                </c:pt>
                <c:pt idx="1">
                  <c:v>2024</c:v>
                </c:pt>
                <c:pt idx="2">
                  <c:v>2025</c:v>
                </c:pt>
                <c:pt idx="3">
                  <c:v>2026</c:v>
                </c:pt>
                <c:pt idx="4">
                  <c:v>2027</c:v>
                </c:pt>
                <c:pt idx="5">
                  <c:v>2028</c:v>
                </c:pt>
                <c:pt idx="6">
                  <c:v>2029</c:v>
                </c:pt>
                <c:pt idx="7">
                  <c:v>2030</c:v>
                </c:pt>
                <c:pt idx="8">
                  <c:v>2031</c:v>
                </c:pt>
              </c:numCache>
            </c:numRef>
          </c:cat>
          <c:val>
            <c:numRef>
              <c:f>Dashboard!$C$13:$H$13</c:f>
              <c:numCache>
                <c:formatCode>General</c:formatCode>
                <c:ptCount val="6"/>
                <c:pt idx="2" formatCode="0.0">
                  <c:v>59.551286731767895</c:v>
                </c:pt>
                <c:pt idx="3" formatCode="0.0">
                  <c:v>61.368563873905593</c:v>
                </c:pt>
                <c:pt idx="4" formatCode="0.0">
                  <c:v>63.595958298536125</c:v>
                </c:pt>
                <c:pt idx="5" formatCode="0.0">
                  <c:v>65.560193141171979</c:v>
                </c:pt>
              </c:numCache>
            </c:numRef>
          </c:val>
          <c:smooth val="0"/>
          <c:extLst>
            <c:ext xmlns:c16="http://schemas.microsoft.com/office/drawing/2014/chart" uri="{C3380CC4-5D6E-409C-BE32-E72D297353CC}">
              <c16:uniqueId val="{00000004-B781-4ED3-BEC5-ACEEF03736FA}"/>
            </c:ext>
          </c:extLst>
        </c:ser>
        <c:ser>
          <c:idx val="3"/>
          <c:order val="3"/>
          <c:spPr>
            <a:ln w="28575" cap="rnd">
              <a:noFill/>
              <a:round/>
            </a:ln>
            <a:effectLst/>
          </c:spPr>
          <c:marker>
            <c:symbol val="none"/>
          </c:marker>
          <c:dLbls>
            <c:numFmt formatCode="#,##0.0" sourceLinked="0"/>
            <c:spPr>
              <a:solidFill>
                <a:schemeClr val="bg1"/>
              </a:solidFill>
              <a:ln w="3175">
                <a:solidFill>
                  <a:srgbClr val="2C9ADC"/>
                </a:solid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2C9ADC"/>
                    </a:solidFill>
                    <a:latin typeface="Arial Narrow" panose="020B0606020202030204" pitchFamily="34" charset="0"/>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'MTP_2024 (sept 24)'!$Y$4:$AG$4</c:f>
              <c:numCache>
                <c:formatCode>General</c:formatCode>
                <c:ptCount val="9"/>
                <c:pt idx="0">
                  <c:v>2023</c:v>
                </c:pt>
                <c:pt idx="1">
                  <c:v>2024</c:v>
                </c:pt>
                <c:pt idx="2">
                  <c:v>2025</c:v>
                </c:pt>
                <c:pt idx="3">
                  <c:v>2026</c:v>
                </c:pt>
                <c:pt idx="4">
                  <c:v>2027</c:v>
                </c:pt>
                <c:pt idx="5">
                  <c:v>2028</c:v>
                </c:pt>
                <c:pt idx="6">
                  <c:v>2029</c:v>
                </c:pt>
                <c:pt idx="7">
                  <c:v>2030</c:v>
                </c:pt>
                <c:pt idx="8">
                  <c:v>2031</c:v>
                </c:pt>
              </c:numCache>
            </c:numRef>
          </c:cat>
          <c:val>
            <c:numRef>
              <c:f>Dashboard!$C$11:$H$11</c:f>
              <c:numCache>
                <c:formatCode>0.0</c:formatCode>
                <c:ptCount val="6"/>
                <c:pt idx="0">
                  <c:v>56.044684106407637</c:v>
                </c:pt>
                <c:pt idx="1">
                  <c:v>58.87298498328979</c:v>
                </c:pt>
                <c:pt idx="2">
                  <c:v>59.551286731767902</c:v>
                </c:pt>
                <c:pt idx="3">
                  <c:v>60.350269709305316</c:v>
                </c:pt>
                <c:pt idx="4">
                  <c:v>60.506868796181436</c:v>
                </c:pt>
                <c:pt idx="5">
                  <c:v>60.260626958878404</c:v>
                </c:pt>
              </c:numCache>
            </c:numRef>
          </c:val>
          <c:smooth val="0"/>
          <c:extLst>
            <c:ext xmlns:c16="http://schemas.microsoft.com/office/drawing/2014/chart" uri="{C3380CC4-5D6E-409C-BE32-E72D297353CC}">
              <c16:uniqueId val="{00000005-B781-4ED3-BEC5-ACEEF03736FA}"/>
            </c:ext>
          </c:extLst>
        </c:ser>
        <c:dLbls>
          <c:showLegendKey val="0"/>
          <c:showVal val="0"/>
          <c:showCatName val="0"/>
          <c:showSerName val="0"/>
          <c:showPercent val="0"/>
          <c:showBubbleSize val="0"/>
        </c:dLbls>
        <c:marker val="1"/>
        <c:smooth val="0"/>
        <c:axId val="1291386143"/>
        <c:axId val="1379567903"/>
      </c:lineChart>
      <c:catAx>
        <c:axId val="1291386143"/>
        <c:scaling>
          <c:orientation val="minMax"/>
        </c:scaling>
        <c:delete val="0"/>
        <c:axPos val="b"/>
        <c:numFmt formatCode="General" sourceLinked="1"/>
        <c:majorTickMark val="none"/>
        <c:minorTickMark val="none"/>
        <c:tickLblPos val="nextTo"/>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crossAx val="1379567903"/>
        <c:crosses val="autoZero"/>
        <c:auto val="1"/>
        <c:lblAlgn val="ctr"/>
        <c:lblOffset val="100"/>
        <c:noMultiLvlLbl val="0"/>
      </c:catAx>
      <c:valAx>
        <c:axId val="1379567903"/>
        <c:scaling>
          <c:orientation val="minMax"/>
          <c:min val="54"/>
        </c:scaling>
        <c:delete val="0"/>
        <c:axPos val="l"/>
        <c:majorGridlines>
          <c:spPr>
            <a:ln w="3175" cap="flat" cmpd="sng" algn="ctr">
              <a:solidFill>
                <a:sysClr val="window" lastClr="FFFFFF">
                  <a:lumMod val="50000"/>
                  <a:alpha val="25000"/>
                </a:sys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crossAx val="1291386143"/>
        <c:crosses val="autoZero"/>
        <c:crossBetween val="between"/>
      </c:valAx>
      <c:spPr>
        <a:noFill/>
        <a:ln>
          <a:noFill/>
        </a:ln>
        <a:effectLst/>
      </c:spPr>
    </c:plotArea>
    <c:legend>
      <c:legendPos val="b"/>
      <c:legendEntry>
        <c:idx val="3"/>
        <c:delete val="1"/>
      </c:legendEntry>
      <c:layout>
        <c:manualLayout>
          <c:xMode val="edge"/>
          <c:yMode val="edge"/>
          <c:x val="7.3751168125053097E-4"/>
          <c:y val="0.85360903342841743"/>
          <c:w val="0.97918415585516827"/>
          <c:h val="0.1463909665715825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solidFill>
          <a:latin typeface="Arial Narrow" panose="020B0606020202030204" pitchFamily="34" charset="0"/>
        </a:defRPr>
      </a:pPr>
      <a:endParaRPr lang="sk-SK"/>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61230619368456"/>
          <c:y val="7.1220459695694405E-2"/>
          <c:w val="0.84598677742601758"/>
          <c:h val="0.78623054118882596"/>
        </c:manualLayout>
      </c:layout>
      <c:barChart>
        <c:barDir val="col"/>
        <c:grouping val="clustered"/>
        <c:varyColors val="0"/>
        <c:ser>
          <c:idx val="0"/>
          <c:order val="0"/>
          <c:tx>
            <c:strRef>
              <c:f>'[1]Adjustment scenario'!$B$77</c:f>
              <c:strCache>
                <c:ptCount val="1"/>
                <c:pt idx="0">
                  <c:v>#ODKAZ!</c:v>
                </c:pt>
              </c:strCache>
            </c:strRef>
          </c:tx>
          <c:spPr>
            <a:solidFill>
              <a:srgbClr val="2C9ADC"/>
            </a:solidFill>
            <a:ln>
              <a:noFill/>
            </a:ln>
            <a:effectLst/>
          </c:spPr>
          <c:invertIfNegative val="0"/>
          <c:dPt>
            <c:idx val="15"/>
            <c:invertIfNegative val="0"/>
            <c:bubble3D val="0"/>
            <c:spPr>
              <a:solidFill>
                <a:srgbClr val="5B9BD5">
                  <a:lumMod val="20000"/>
                  <a:lumOff val="80000"/>
                </a:srgbClr>
              </a:solidFill>
              <a:ln>
                <a:noFill/>
              </a:ln>
              <a:effectLst/>
            </c:spPr>
            <c:extLst>
              <c:ext xmlns:c16="http://schemas.microsoft.com/office/drawing/2014/chart" uri="{C3380CC4-5D6E-409C-BE32-E72D297353CC}">
                <c16:uniqueId val="{00000001-128E-4AA9-B1F7-CE552FB1987C}"/>
              </c:ext>
            </c:extLst>
          </c:dPt>
          <c:dPt>
            <c:idx val="16"/>
            <c:invertIfNegative val="0"/>
            <c:bubble3D val="0"/>
            <c:spPr>
              <a:solidFill>
                <a:srgbClr val="5B9BD5">
                  <a:lumMod val="20000"/>
                  <a:lumOff val="80000"/>
                </a:srgbClr>
              </a:solidFill>
              <a:ln>
                <a:noFill/>
              </a:ln>
              <a:effectLst/>
            </c:spPr>
            <c:extLst>
              <c:ext xmlns:c16="http://schemas.microsoft.com/office/drawing/2014/chart" uri="{C3380CC4-5D6E-409C-BE32-E72D297353CC}">
                <c16:uniqueId val="{00000003-128E-4AA9-B1F7-CE552FB1987C}"/>
              </c:ext>
            </c:extLst>
          </c:dPt>
          <c:dPt>
            <c:idx val="17"/>
            <c:invertIfNegative val="0"/>
            <c:bubble3D val="0"/>
            <c:spPr>
              <a:solidFill>
                <a:srgbClr val="5B9BD5">
                  <a:lumMod val="20000"/>
                  <a:lumOff val="80000"/>
                </a:srgbClr>
              </a:solidFill>
              <a:ln>
                <a:noFill/>
              </a:ln>
              <a:effectLst/>
            </c:spPr>
            <c:extLst>
              <c:ext xmlns:c16="http://schemas.microsoft.com/office/drawing/2014/chart" uri="{C3380CC4-5D6E-409C-BE32-E72D297353CC}">
                <c16:uniqueId val="{00000005-128E-4AA9-B1F7-CE552FB1987C}"/>
              </c:ext>
            </c:extLst>
          </c:dPt>
          <c:dPt>
            <c:idx val="18"/>
            <c:invertIfNegative val="0"/>
            <c:bubble3D val="0"/>
            <c:spPr>
              <a:solidFill>
                <a:srgbClr val="5B9BD5">
                  <a:lumMod val="20000"/>
                  <a:lumOff val="80000"/>
                </a:srgbClr>
              </a:solidFill>
              <a:ln>
                <a:noFill/>
              </a:ln>
              <a:effectLst/>
            </c:spPr>
            <c:extLst>
              <c:ext xmlns:c16="http://schemas.microsoft.com/office/drawing/2014/chart" uri="{C3380CC4-5D6E-409C-BE32-E72D297353CC}">
                <c16:uniqueId val="{00000007-128E-4AA9-B1F7-CE552FB1987C}"/>
              </c:ext>
            </c:extLst>
          </c:dPt>
          <c:dLbls>
            <c:dLbl>
              <c:idx val="14"/>
              <c:layout>
                <c:manualLayout>
                  <c:x val="0"/>
                  <c:y val="2.5898348980252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28E-4AA9-B1F7-CE552FB1987C}"/>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2C9ADC"/>
                    </a:solidFill>
                    <a:latin typeface="Arial Narrow" panose="020B0606020202030204" pitchFamily="34" charset="0"/>
                    <a:ea typeface="+mn-ea"/>
                    <a:cs typeface="+mn-cs"/>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'Adjustment scenario'!$F$10:$X$10</c:f>
              <c:numCache>
                <c:formatCode>General</c:formatCode>
                <c:ptCount val="19"/>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numCache>
            </c:numRef>
          </c:cat>
          <c:val>
            <c:numRef>
              <c:f>'Adjustment scenario'!$F$81:$X$81</c:f>
              <c:numCache>
                <c:formatCode>0.0</c:formatCode>
                <c:ptCount val="19"/>
                <c:pt idx="0">
                  <c:v>5.8555183811543872</c:v>
                </c:pt>
                <c:pt idx="1">
                  <c:v>5.1443011095908346</c:v>
                </c:pt>
                <c:pt idx="2">
                  <c:v>3.9306865111007174</c:v>
                </c:pt>
                <c:pt idx="3">
                  <c:v>2.894118909433578</c:v>
                </c:pt>
                <c:pt idx="4">
                  <c:v>1.7687335411550424</c:v>
                </c:pt>
                <c:pt idx="5">
                  <c:v>1.6370592720870596</c:v>
                </c:pt>
                <c:pt idx="6">
                  <c:v>1.4709581374958387</c:v>
                </c:pt>
                <c:pt idx="7">
                  <c:v>1.3234547107624812</c:v>
                </c:pt>
                <c:pt idx="8">
                  <c:v>1.4719927904633958</c:v>
                </c:pt>
                <c:pt idx="9">
                  <c:v>1.6300653385888806</c:v>
                </c:pt>
                <c:pt idx="10">
                  <c:v>1.766555060864913</c:v>
                </c:pt>
                <c:pt idx="11">
                  <c:v>1.8969427002709114</c:v>
                </c:pt>
                <c:pt idx="12">
                  <c:v>2.0165495488483112</c:v>
                </c:pt>
                <c:pt idx="13">
                  <c:v>2.1443907034787042</c:v>
                </c:pt>
                <c:pt idx="14">
                  <c:v>2.2812806153215939</c:v>
                </c:pt>
                <c:pt idx="15">
                  <c:v>2.406526868917517</c:v>
                </c:pt>
                <c:pt idx="16">
                  <c:v>2.5882305343175274</c:v>
                </c:pt>
                <c:pt idx="17">
                  <c:v>2.7644069768275843</c:v>
                </c:pt>
                <c:pt idx="18">
                  <c:v>2.9764764375566157</c:v>
                </c:pt>
              </c:numCache>
            </c:numRef>
          </c:val>
          <c:extLst>
            <c:ext xmlns:c16="http://schemas.microsoft.com/office/drawing/2014/chart" uri="{C3380CC4-5D6E-409C-BE32-E72D297353CC}">
              <c16:uniqueId val="{00000008-128E-4AA9-B1F7-CE552FB1987C}"/>
            </c:ext>
          </c:extLst>
        </c:ser>
        <c:dLbls>
          <c:showLegendKey val="0"/>
          <c:showVal val="0"/>
          <c:showCatName val="0"/>
          <c:showSerName val="0"/>
          <c:showPercent val="0"/>
          <c:showBubbleSize val="0"/>
        </c:dLbls>
        <c:gapWidth val="50"/>
        <c:axId val="739405088"/>
        <c:axId val="714446144"/>
      </c:barChart>
      <c:lineChart>
        <c:grouping val="standard"/>
        <c:varyColors val="0"/>
        <c:ser>
          <c:idx val="1"/>
          <c:order val="1"/>
          <c:spPr>
            <a:ln w="12700" cap="sq">
              <a:solidFill>
                <a:srgbClr val="FF7979"/>
              </a:solidFill>
              <a:prstDash val="sysDash"/>
              <a:round/>
            </a:ln>
            <a:effectLst/>
          </c:spPr>
          <c:marker>
            <c:symbol val="none"/>
          </c:marker>
          <c:val>
            <c:numRef>
              <c:f>'Adjustment scenario'!$F$82:$X$82</c:f>
              <c:numCache>
                <c:formatCode>0.0</c:formatCode>
                <c:ptCount val="19"/>
                <c:pt idx="0">
                  <c:v>3</c:v>
                </c:pt>
                <c:pt idx="1">
                  <c:v>3</c:v>
                </c:pt>
                <c:pt idx="2">
                  <c:v>3</c:v>
                </c:pt>
                <c:pt idx="3">
                  <c:v>3</c:v>
                </c:pt>
                <c:pt idx="4">
                  <c:v>3</c:v>
                </c:pt>
                <c:pt idx="5">
                  <c:v>3</c:v>
                </c:pt>
                <c:pt idx="6">
                  <c:v>3</c:v>
                </c:pt>
                <c:pt idx="7">
                  <c:v>3</c:v>
                </c:pt>
                <c:pt idx="8">
                  <c:v>3</c:v>
                </c:pt>
                <c:pt idx="9">
                  <c:v>3</c:v>
                </c:pt>
                <c:pt idx="10">
                  <c:v>3</c:v>
                </c:pt>
                <c:pt idx="11">
                  <c:v>3</c:v>
                </c:pt>
                <c:pt idx="12">
                  <c:v>3</c:v>
                </c:pt>
                <c:pt idx="13">
                  <c:v>3</c:v>
                </c:pt>
                <c:pt idx="14">
                  <c:v>3</c:v>
                </c:pt>
                <c:pt idx="15">
                  <c:v>3</c:v>
                </c:pt>
                <c:pt idx="16">
                  <c:v>3</c:v>
                </c:pt>
                <c:pt idx="17">
                  <c:v>3</c:v>
                </c:pt>
                <c:pt idx="18">
                  <c:v>3</c:v>
                </c:pt>
              </c:numCache>
            </c:numRef>
          </c:val>
          <c:smooth val="0"/>
          <c:extLst>
            <c:ext xmlns:c16="http://schemas.microsoft.com/office/drawing/2014/chart" uri="{C3380CC4-5D6E-409C-BE32-E72D297353CC}">
              <c16:uniqueId val="{00000009-128E-4AA9-B1F7-CE552FB1987C}"/>
            </c:ext>
          </c:extLst>
        </c:ser>
        <c:dLbls>
          <c:showLegendKey val="0"/>
          <c:showVal val="0"/>
          <c:showCatName val="0"/>
          <c:showSerName val="0"/>
          <c:showPercent val="0"/>
          <c:showBubbleSize val="0"/>
        </c:dLbls>
        <c:marker val="1"/>
        <c:smooth val="0"/>
        <c:axId val="739405088"/>
        <c:axId val="714446144"/>
      </c:lineChart>
      <c:catAx>
        <c:axId val="739405088"/>
        <c:scaling>
          <c:orientation val="minMax"/>
        </c:scaling>
        <c:delete val="0"/>
        <c:axPos val="b"/>
        <c:numFmt formatCode="General" sourceLinked="1"/>
        <c:majorTickMark val="none"/>
        <c:minorTickMark val="none"/>
        <c:tickLblPos val="low"/>
        <c:spPr>
          <a:noFill/>
          <a:ln w="12700" cap="flat" cmpd="sng" algn="ctr">
            <a:solidFill>
              <a:schemeClr val="bg1">
                <a:lumMod val="50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crossAx val="714446144"/>
        <c:crosses val="autoZero"/>
        <c:auto val="1"/>
        <c:lblAlgn val="ctr"/>
        <c:lblOffset val="100"/>
        <c:noMultiLvlLbl val="0"/>
      </c:catAx>
      <c:valAx>
        <c:axId val="714446144"/>
        <c:scaling>
          <c:orientation val="minMax"/>
          <c:max val="7"/>
        </c:scaling>
        <c:delete val="0"/>
        <c:axPos val="l"/>
        <c:majorGridlines>
          <c:spPr>
            <a:ln w="3175" cap="flat" cmpd="sng" algn="ctr">
              <a:solidFill>
                <a:schemeClr val="bg1">
                  <a:lumMod val="50000"/>
                  <a:alpha val="25000"/>
                </a:schemeClr>
              </a:solidFill>
              <a:prstDash val="sysDot"/>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crossAx val="7394050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Arial Narrow" panose="020B0606020202030204" pitchFamily="34" charset="0"/>
        </a:defRPr>
      </a:pPr>
      <a:endParaRPr lang="sk-SK"/>
    </a:p>
  </c:txPr>
  <c:externalData r:id="rId4">
    <c:autoUpdate val="0"/>
  </c:externalData>
  <c:userShapes r:id="rId5"/>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223004204120501E-2"/>
          <c:y val="5.5837563451776651E-2"/>
          <c:w val="0.87621652381947834"/>
          <c:h val="0.80272999745999496"/>
        </c:manualLayout>
      </c:layout>
      <c:lineChart>
        <c:grouping val="standard"/>
        <c:varyColors val="0"/>
        <c:ser>
          <c:idx val="0"/>
          <c:order val="0"/>
          <c:tx>
            <c:v>Finančný stres</c:v>
          </c:tx>
          <c:spPr>
            <a:ln w="19050" cap="rnd">
              <a:solidFill>
                <a:schemeClr val="bg1">
                  <a:lumMod val="75000"/>
                </a:schemeClr>
              </a:solidFill>
              <a:prstDash val="sysDash"/>
              <a:round/>
            </a:ln>
            <a:effectLst/>
          </c:spPr>
          <c:marker>
            <c:symbol val="none"/>
          </c:marker>
          <c:dPt>
            <c:idx val="14"/>
            <c:marker>
              <c:symbol val="circle"/>
              <c:size val="4"/>
              <c:spPr>
                <a:solidFill>
                  <a:sysClr val="window" lastClr="FFFFFF">
                    <a:lumMod val="75000"/>
                  </a:sysClr>
                </a:solidFill>
                <a:ln w="9525">
                  <a:noFill/>
                </a:ln>
                <a:effectLst/>
              </c:spPr>
            </c:marker>
            <c:bubble3D val="0"/>
            <c:extLst>
              <c:ext xmlns:c16="http://schemas.microsoft.com/office/drawing/2014/chart" uri="{C3380CC4-5D6E-409C-BE32-E72D297353CC}">
                <c16:uniqueId val="{00000000-B164-4806-9550-E21CDEA8D702}"/>
              </c:ext>
            </c:extLst>
          </c:dPt>
          <c:dPt>
            <c:idx val="15"/>
            <c:marker>
              <c:symbol val="none"/>
            </c:marker>
            <c:bubble3D val="0"/>
            <c:spPr>
              <a:ln w="19050" cap="rnd">
                <a:solidFill>
                  <a:schemeClr val="bg1">
                    <a:lumMod val="95000"/>
                  </a:schemeClr>
                </a:solidFill>
                <a:prstDash val="sysDash"/>
                <a:round/>
              </a:ln>
              <a:effectLst/>
            </c:spPr>
            <c:extLst>
              <c:ext xmlns:c16="http://schemas.microsoft.com/office/drawing/2014/chart" uri="{C3380CC4-5D6E-409C-BE32-E72D297353CC}">
                <c16:uniqueId val="{00000002-B164-4806-9550-E21CDEA8D702}"/>
              </c:ext>
            </c:extLst>
          </c:dPt>
          <c:dPt>
            <c:idx val="16"/>
            <c:marker>
              <c:symbol val="none"/>
            </c:marker>
            <c:bubble3D val="0"/>
            <c:spPr>
              <a:ln w="19050" cap="rnd">
                <a:solidFill>
                  <a:schemeClr val="bg1">
                    <a:lumMod val="95000"/>
                  </a:schemeClr>
                </a:solidFill>
                <a:prstDash val="sysDash"/>
                <a:round/>
              </a:ln>
              <a:effectLst/>
            </c:spPr>
            <c:extLst>
              <c:ext xmlns:c16="http://schemas.microsoft.com/office/drawing/2014/chart" uri="{C3380CC4-5D6E-409C-BE32-E72D297353CC}">
                <c16:uniqueId val="{00000004-B164-4806-9550-E21CDEA8D702}"/>
              </c:ext>
            </c:extLst>
          </c:dPt>
          <c:dPt>
            <c:idx val="17"/>
            <c:marker>
              <c:symbol val="none"/>
            </c:marker>
            <c:bubble3D val="0"/>
            <c:spPr>
              <a:ln w="19050" cap="rnd">
                <a:solidFill>
                  <a:schemeClr val="bg1">
                    <a:lumMod val="95000"/>
                  </a:schemeClr>
                </a:solidFill>
                <a:prstDash val="sysDash"/>
                <a:round/>
              </a:ln>
              <a:effectLst/>
            </c:spPr>
            <c:extLst>
              <c:ext xmlns:c16="http://schemas.microsoft.com/office/drawing/2014/chart" uri="{C3380CC4-5D6E-409C-BE32-E72D297353CC}">
                <c16:uniqueId val="{00000006-B164-4806-9550-E21CDEA8D702}"/>
              </c:ext>
            </c:extLst>
          </c:dPt>
          <c:dPt>
            <c:idx val="18"/>
            <c:marker>
              <c:symbol val="none"/>
            </c:marker>
            <c:bubble3D val="0"/>
            <c:spPr>
              <a:ln w="19050" cap="rnd">
                <a:solidFill>
                  <a:schemeClr val="bg1">
                    <a:lumMod val="95000"/>
                  </a:schemeClr>
                </a:solidFill>
                <a:prstDash val="sysDash"/>
                <a:round/>
              </a:ln>
              <a:effectLst/>
            </c:spPr>
            <c:extLst>
              <c:ext xmlns:c16="http://schemas.microsoft.com/office/drawing/2014/chart" uri="{C3380CC4-5D6E-409C-BE32-E72D297353CC}">
                <c16:uniqueId val="{00000008-B164-4806-9550-E21CDEA8D702}"/>
              </c:ext>
            </c:extLst>
          </c:dPt>
          <c:dLbls>
            <c:dLbl>
              <c:idx val="14"/>
              <c:layout>
                <c:manualLayout>
                  <c:x val="-6.5408823432602917E-2"/>
                  <c:y val="-3.2370840741681423E-2"/>
                </c:manualLayout>
              </c:layout>
              <c:spPr>
                <a:noFill/>
                <a:ln>
                  <a:noFill/>
                </a:ln>
                <a:effectLst/>
              </c:spPr>
              <c:txPr>
                <a:bodyPr rot="0" spcFirstLastPara="1" vertOverflow="ellipsis" vert="horz" wrap="square" anchor="ctr" anchorCtr="1"/>
                <a:lstStyle/>
                <a:p>
                  <a:pPr>
                    <a:defRPr sz="700" b="1" i="0" u="none" strike="noStrike" kern="1200" baseline="0">
                      <a:solidFill>
                        <a:schemeClr val="bg1">
                          <a:lumMod val="65000"/>
                        </a:schemeClr>
                      </a:solidFill>
                      <a:latin typeface="Arial Narrow" panose="020B0606020202030204" pitchFamily="34" charset="0"/>
                      <a:ea typeface="+mn-ea"/>
                      <a:cs typeface="+mn-cs"/>
                    </a:defRPr>
                  </a:pPr>
                  <a:endParaRPr lang="sk-SK"/>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64-4806-9550-E21CDEA8D70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sk-SK"/>
              </a:p>
            </c:txPr>
            <c:dLblPos val="t"/>
            <c:showLegendKey val="0"/>
            <c:showVal val="0"/>
            <c:showCatName val="0"/>
            <c:showSerName val="0"/>
            <c:showPercent val="0"/>
            <c:showBubbleSize val="0"/>
            <c:extLst>
              <c:ext xmlns:c15="http://schemas.microsoft.com/office/drawing/2012/chart" uri="{CE6537A1-D6FC-4f65-9D91-7224C49458BB}">
                <c15:showLeaderLines val="0"/>
              </c:ext>
            </c:extLst>
          </c:dLbls>
          <c:cat>
            <c:numRef>
              <c:f>'Adjustment scenario'!$F$10:$X$10</c:f>
              <c:numCache>
                <c:formatCode>General</c:formatCode>
                <c:ptCount val="19"/>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numCache>
            </c:numRef>
          </c:cat>
          <c:val>
            <c:numRef>
              <c:f>'Financial stress'!$F$56:$X$56</c:f>
              <c:numCache>
                <c:formatCode>0.0</c:formatCode>
                <c:ptCount val="19"/>
                <c:pt idx="0">
                  <c:v>58.478930381041359</c:v>
                </c:pt>
                <c:pt idx="1">
                  <c:v>59.778001260378957</c:v>
                </c:pt>
                <c:pt idx="2">
                  <c:v>61.632128155979487</c:v>
                </c:pt>
                <c:pt idx="3">
                  <c:v>62.118668420206241</c:v>
                </c:pt>
                <c:pt idx="4">
                  <c:v>61.43352220332865</c:v>
                </c:pt>
                <c:pt idx="5">
                  <c:v>60.114391692418295</c:v>
                </c:pt>
                <c:pt idx="6">
                  <c:v>58.69432335592623</c:v>
                </c:pt>
                <c:pt idx="7">
                  <c:v>57.214934246603889</c:v>
                </c:pt>
                <c:pt idx="8">
                  <c:v>56.402526198808623</c:v>
                </c:pt>
                <c:pt idx="9">
                  <c:v>55.819250448606866</c:v>
                </c:pt>
                <c:pt idx="10">
                  <c:v>55.392159614731099</c:v>
                </c:pt>
                <c:pt idx="11">
                  <c:v>55.109097279191786</c:v>
                </c:pt>
                <c:pt idx="12">
                  <c:v>54.9536871575893</c:v>
                </c:pt>
                <c:pt idx="13">
                  <c:v>54.942202787438262</c:v>
                </c:pt>
                <c:pt idx="14">
                  <c:v>55.111307510194223</c:v>
                </c:pt>
                <c:pt idx="15">
                  <c:v>55.439079219660435</c:v>
                </c:pt>
                <c:pt idx="16">
                  <c:v>55.979236416953931</c:v>
                </c:pt>
                <c:pt idx="17">
                  <c:v>56.700316221416536</c:v>
                </c:pt>
                <c:pt idx="18">
                  <c:v>57.643123002042799</c:v>
                </c:pt>
              </c:numCache>
            </c:numRef>
          </c:val>
          <c:smooth val="1"/>
          <c:extLst>
            <c:ext xmlns:c16="http://schemas.microsoft.com/office/drawing/2014/chart" uri="{C3380CC4-5D6E-409C-BE32-E72D297353CC}">
              <c16:uniqueId val="{00000009-B164-4806-9550-E21CDEA8D702}"/>
            </c:ext>
          </c:extLst>
        </c:ser>
        <c:ser>
          <c:idx val="2"/>
          <c:order val="1"/>
          <c:tx>
            <c:v>Nepriaznivý vzťah (r-g)</c:v>
          </c:tx>
          <c:spPr>
            <a:ln w="19050" cap="rnd">
              <a:solidFill>
                <a:schemeClr val="bg1">
                  <a:lumMod val="50000"/>
                </a:schemeClr>
              </a:solidFill>
              <a:prstDash val="sysDash"/>
              <a:round/>
            </a:ln>
            <a:effectLst/>
          </c:spPr>
          <c:marker>
            <c:symbol val="none"/>
          </c:marker>
          <c:dPt>
            <c:idx val="14"/>
            <c:marker>
              <c:symbol val="circle"/>
              <c:size val="4"/>
              <c:spPr>
                <a:solidFill>
                  <a:sysClr val="window" lastClr="FFFFFF">
                    <a:lumMod val="50000"/>
                  </a:sysClr>
                </a:solidFill>
                <a:ln w="9525">
                  <a:noFill/>
                </a:ln>
                <a:effectLst/>
              </c:spPr>
            </c:marker>
            <c:bubble3D val="0"/>
            <c:extLst>
              <c:ext xmlns:c16="http://schemas.microsoft.com/office/drawing/2014/chart" uri="{C3380CC4-5D6E-409C-BE32-E72D297353CC}">
                <c16:uniqueId val="{0000000A-B164-4806-9550-E21CDEA8D702}"/>
              </c:ext>
            </c:extLst>
          </c:dPt>
          <c:dPt>
            <c:idx val="15"/>
            <c:marker>
              <c:symbol val="none"/>
            </c:marker>
            <c:bubble3D val="0"/>
            <c:spPr>
              <a:ln w="19050" cap="rnd">
                <a:solidFill>
                  <a:schemeClr val="bg1">
                    <a:lumMod val="85000"/>
                  </a:schemeClr>
                </a:solidFill>
                <a:prstDash val="sysDash"/>
                <a:round/>
              </a:ln>
              <a:effectLst/>
            </c:spPr>
            <c:extLst>
              <c:ext xmlns:c16="http://schemas.microsoft.com/office/drawing/2014/chart" uri="{C3380CC4-5D6E-409C-BE32-E72D297353CC}">
                <c16:uniqueId val="{0000000C-B164-4806-9550-E21CDEA8D702}"/>
              </c:ext>
            </c:extLst>
          </c:dPt>
          <c:dPt>
            <c:idx val="16"/>
            <c:marker>
              <c:symbol val="none"/>
            </c:marker>
            <c:bubble3D val="0"/>
            <c:spPr>
              <a:ln w="19050" cap="rnd">
                <a:solidFill>
                  <a:schemeClr val="bg1">
                    <a:lumMod val="85000"/>
                  </a:schemeClr>
                </a:solidFill>
                <a:prstDash val="sysDash"/>
                <a:round/>
              </a:ln>
              <a:effectLst/>
            </c:spPr>
            <c:extLst>
              <c:ext xmlns:c16="http://schemas.microsoft.com/office/drawing/2014/chart" uri="{C3380CC4-5D6E-409C-BE32-E72D297353CC}">
                <c16:uniqueId val="{0000000E-B164-4806-9550-E21CDEA8D702}"/>
              </c:ext>
            </c:extLst>
          </c:dPt>
          <c:dPt>
            <c:idx val="17"/>
            <c:marker>
              <c:symbol val="none"/>
            </c:marker>
            <c:bubble3D val="0"/>
            <c:spPr>
              <a:ln w="19050" cap="rnd">
                <a:solidFill>
                  <a:schemeClr val="bg1">
                    <a:lumMod val="85000"/>
                  </a:schemeClr>
                </a:solidFill>
                <a:prstDash val="sysDash"/>
                <a:round/>
              </a:ln>
              <a:effectLst/>
            </c:spPr>
            <c:extLst>
              <c:ext xmlns:c16="http://schemas.microsoft.com/office/drawing/2014/chart" uri="{C3380CC4-5D6E-409C-BE32-E72D297353CC}">
                <c16:uniqueId val="{00000010-B164-4806-9550-E21CDEA8D702}"/>
              </c:ext>
            </c:extLst>
          </c:dPt>
          <c:dPt>
            <c:idx val="18"/>
            <c:marker>
              <c:symbol val="none"/>
            </c:marker>
            <c:bubble3D val="0"/>
            <c:spPr>
              <a:ln w="19050" cap="rnd">
                <a:solidFill>
                  <a:schemeClr val="bg1">
                    <a:lumMod val="85000"/>
                  </a:schemeClr>
                </a:solidFill>
                <a:prstDash val="sysDash"/>
                <a:round/>
              </a:ln>
              <a:effectLst/>
            </c:spPr>
            <c:extLst>
              <c:ext xmlns:c16="http://schemas.microsoft.com/office/drawing/2014/chart" uri="{C3380CC4-5D6E-409C-BE32-E72D297353CC}">
                <c16:uniqueId val="{00000012-B164-4806-9550-E21CDEA8D702}"/>
              </c:ext>
            </c:extLst>
          </c:dPt>
          <c:dLbls>
            <c:dLbl>
              <c:idx val="14"/>
              <c:layout>
                <c:manualLayout>
                  <c:x val="-6.540882343260282E-2"/>
                  <c:y val="3.8596901193802387E-2"/>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lumMod val="50000"/>
                        </a:schemeClr>
                      </a:solidFill>
                      <a:latin typeface="Arial Narrow" panose="020B0606020202030204" pitchFamily="34" charset="0"/>
                      <a:ea typeface="+mn-ea"/>
                      <a:cs typeface="+mn-cs"/>
                    </a:defRPr>
                  </a:pPr>
                  <a:endParaRPr lang="sk-SK"/>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164-4806-9550-E21CDEA8D70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Narrow" panose="020B0606020202030204" pitchFamily="34" charset="0"/>
                    <a:ea typeface="+mn-ea"/>
                    <a:cs typeface="+mn-cs"/>
                  </a:defRPr>
                </a:pPr>
                <a:endParaRPr lang="sk-SK"/>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'Adjustment scenario'!$F$10:$X$10</c:f>
              <c:numCache>
                <c:formatCode>General</c:formatCode>
                <c:ptCount val="19"/>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numCache>
            </c:numRef>
          </c:cat>
          <c:val>
            <c:numRef>
              <c:f>'Adverse (r-g)'!$F$57:$X$57</c:f>
              <c:numCache>
                <c:formatCode>0.0</c:formatCode>
                <c:ptCount val="19"/>
                <c:pt idx="0">
                  <c:v>58.47893038104138</c:v>
                </c:pt>
                <c:pt idx="1">
                  <c:v>59.778001260378979</c:v>
                </c:pt>
                <c:pt idx="2">
                  <c:v>61.632128155979508</c:v>
                </c:pt>
                <c:pt idx="3">
                  <c:v>62.118668420206262</c:v>
                </c:pt>
                <c:pt idx="4">
                  <c:v>61.433522203328671</c:v>
                </c:pt>
                <c:pt idx="5">
                  <c:v>60.377806176632738</c:v>
                </c:pt>
                <c:pt idx="6">
                  <c:v>59.257389661944387</c:v>
                </c:pt>
                <c:pt idx="7">
                  <c:v>58.090542513434897</c:v>
                </c:pt>
                <c:pt idx="8">
                  <c:v>57.609647130197608</c:v>
                </c:pt>
                <c:pt idx="9">
                  <c:v>57.373216021505115</c:v>
                </c:pt>
                <c:pt idx="10">
                  <c:v>57.307472631354038</c:v>
                </c:pt>
                <c:pt idx="11">
                  <c:v>57.400533294941724</c:v>
                </c:pt>
                <c:pt idx="12">
                  <c:v>57.636270005265708</c:v>
                </c:pt>
                <c:pt idx="13">
                  <c:v>58.031963057837402</c:v>
                </c:pt>
                <c:pt idx="14">
                  <c:v>58.627265744826303</c:v>
                </c:pt>
                <c:pt idx="15">
                  <c:v>59.401530268888266</c:v>
                </c:pt>
                <c:pt idx="16">
                  <c:v>60.410174969106514</c:v>
                </c:pt>
                <c:pt idx="17">
                  <c:v>61.622094568800918</c:v>
                </c:pt>
                <c:pt idx="18">
                  <c:v>63.012751644083252</c:v>
                </c:pt>
              </c:numCache>
            </c:numRef>
          </c:val>
          <c:smooth val="1"/>
          <c:extLst>
            <c:ext xmlns:c16="http://schemas.microsoft.com/office/drawing/2014/chart" uri="{C3380CC4-5D6E-409C-BE32-E72D297353CC}">
              <c16:uniqueId val="{00000013-B164-4806-9550-E21CDEA8D702}"/>
            </c:ext>
          </c:extLst>
        </c:ser>
        <c:ser>
          <c:idx val="1"/>
          <c:order val="2"/>
          <c:tx>
            <c:v>Horšie primárne štrukturálne saldo</c:v>
          </c:tx>
          <c:spPr>
            <a:ln w="19050" cap="rnd">
              <a:solidFill>
                <a:srgbClr val="2C9ADC"/>
              </a:solidFill>
              <a:prstDash val="sysDash"/>
              <a:round/>
            </a:ln>
            <a:effectLst/>
          </c:spPr>
          <c:marker>
            <c:symbol val="none"/>
          </c:marker>
          <c:dPt>
            <c:idx val="14"/>
            <c:marker>
              <c:symbol val="circle"/>
              <c:size val="4"/>
              <c:spPr>
                <a:solidFill>
                  <a:srgbClr val="2C9ADC"/>
                </a:solidFill>
                <a:ln w="9525">
                  <a:noFill/>
                </a:ln>
                <a:effectLst/>
              </c:spPr>
            </c:marker>
            <c:bubble3D val="0"/>
            <c:extLst>
              <c:ext xmlns:c16="http://schemas.microsoft.com/office/drawing/2014/chart" uri="{C3380CC4-5D6E-409C-BE32-E72D297353CC}">
                <c16:uniqueId val="{00000014-B164-4806-9550-E21CDEA8D702}"/>
              </c:ext>
            </c:extLst>
          </c:dPt>
          <c:dPt>
            <c:idx val="15"/>
            <c:marker>
              <c:symbol val="none"/>
            </c:marker>
            <c:bubble3D val="0"/>
            <c:spPr>
              <a:ln w="19050" cap="rnd">
                <a:solidFill>
                  <a:schemeClr val="accent1">
                    <a:lumMod val="20000"/>
                    <a:lumOff val="80000"/>
                  </a:schemeClr>
                </a:solidFill>
                <a:prstDash val="sysDash"/>
                <a:round/>
              </a:ln>
              <a:effectLst/>
            </c:spPr>
            <c:extLst>
              <c:ext xmlns:c16="http://schemas.microsoft.com/office/drawing/2014/chart" uri="{C3380CC4-5D6E-409C-BE32-E72D297353CC}">
                <c16:uniqueId val="{00000016-B164-4806-9550-E21CDEA8D702}"/>
              </c:ext>
            </c:extLst>
          </c:dPt>
          <c:dPt>
            <c:idx val="16"/>
            <c:marker>
              <c:symbol val="none"/>
            </c:marker>
            <c:bubble3D val="0"/>
            <c:spPr>
              <a:ln w="19050" cap="rnd">
                <a:solidFill>
                  <a:schemeClr val="accent1">
                    <a:lumMod val="20000"/>
                    <a:lumOff val="80000"/>
                  </a:schemeClr>
                </a:solidFill>
                <a:prstDash val="sysDash"/>
                <a:round/>
              </a:ln>
              <a:effectLst/>
            </c:spPr>
            <c:extLst>
              <c:ext xmlns:c16="http://schemas.microsoft.com/office/drawing/2014/chart" uri="{C3380CC4-5D6E-409C-BE32-E72D297353CC}">
                <c16:uniqueId val="{00000018-B164-4806-9550-E21CDEA8D702}"/>
              </c:ext>
            </c:extLst>
          </c:dPt>
          <c:dPt>
            <c:idx val="17"/>
            <c:marker>
              <c:symbol val="none"/>
            </c:marker>
            <c:bubble3D val="0"/>
            <c:spPr>
              <a:ln w="19050" cap="rnd">
                <a:solidFill>
                  <a:schemeClr val="accent1">
                    <a:lumMod val="20000"/>
                    <a:lumOff val="80000"/>
                  </a:schemeClr>
                </a:solidFill>
                <a:prstDash val="sysDash"/>
                <a:round/>
              </a:ln>
              <a:effectLst/>
            </c:spPr>
            <c:extLst>
              <c:ext xmlns:c16="http://schemas.microsoft.com/office/drawing/2014/chart" uri="{C3380CC4-5D6E-409C-BE32-E72D297353CC}">
                <c16:uniqueId val="{0000001A-B164-4806-9550-E21CDEA8D702}"/>
              </c:ext>
            </c:extLst>
          </c:dPt>
          <c:dPt>
            <c:idx val="18"/>
            <c:marker>
              <c:symbol val="none"/>
            </c:marker>
            <c:bubble3D val="0"/>
            <c:spPr>
              <a:ln w="19050" cap="rnd">
                <a:solidFill>
                  <a:schemeClr val="accent1">
                    <a:lumMod val="20000"/>
                    <a:lumOff val="80000"/>
                  </a:schemeClr>
                </a:solidFill>
                <a:prstDash val="sysDash"/>
                <a:round/>
              </a:ln>
              <a:effectLst/>
            </c:spPr>
            <c:extLst>
              <c:ext xmlns:c16="http://schemas.microsoft.com/office/drawing/2014/chart" uri="{C3380CC4-5D6E-409C-BE32-E72D297353CC}">
                <c16:uniqueId val="{0000001C-B164-4806-9550-E21CDEA8D702}"/>
              </c:ext>
            </c:extLst>
          </c:dPt>
          <c:dLbls>
            <c:dLbl>
              <c:idx val="14"/>
              <c:layout>
                <c:manualLayout>
                  <c:x val="-6.5408823432602917E-2"/>
                  <c:y val="-3.2370840741681541E-2"/>
                </c:manualLayout>
              </c:layout>
              <c:spPr>
                <a:noFill/>
                <a:ln>
                  <a:noFill/>
                </a:ln>
                <a:effectLst/>
              </c:spPr>
              <c:txPr>
                <a:bodyPr rot="0" spcFirstLastPara="1" vertOverflow="ellipsis" vert="horz" wrap="square" anchor="ctr" anchorCtr="1"/>
                <a:lstStyle/>
                <a:p>
                  <a:pPr>
                    <a:defRPr sz="700" b="1" i="0" u="none" strike="noStrike" kern="1200" baseline="0">
                      <a:solidFill>
                        <a:srgbClr val="2C9ADC"/>
                      </a:solidFill>
                      <a:latin typeface="Arial Narrow" panose="020B0606020202030204" pitchFamily="34" charset="0"/>
                      <a:ea typeface="+mn-ea"/>
                      <a:cs typeface="+mn-cs"/>
                    </a:defRPr>
                  </a:pPr>
                  <a:endParaRPr lang="sk-SK"/>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164-4806-9550-E21CDEA8D70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sk-SK"/>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'Adjustment scenario'!$F$10:$X$10</c:f>
              <c:numCache>
                <c:formatCode>General</c:formatCode>
                <c:ptCount val="19"/>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numCache>
            </c:numRef>
          </c:cat>
          <c:val>
            <c:numRef>
              <c:f>'Lower SPB'!$F$56:$X$56</c:f>
              <c:numCache>
                <c:formatCode>0.0</c:formatCode>
                <c:ptCount val="19"/>
                <c:pt idx="0">
                  <c:v>58.47893038104138</c:v>
                </c:pt>
                <c:pt idx="1">
                  <c:v>59.778001260378979</c:v>
                </c:pt>
                <c:pt idx="2">
                  <c:v>61.632128155979508</c:v>
                </c:pt>
                <c:pt idx="3">
                  <c:v>62.118668420206262</c:v>
                </c:pt>
                <c:pt idx="4">
                  <c:v>61.433522203328671</c:v>
                </c:pt>
                <c:pt idx="5">
                  <c:v>60.11499281410881</c:v>
                </c:pt>
                <c:pt idx="6">
                  <c:v>59.212847822163702</c:v>
                </c:pt>
                <c:pt idx="7">
                  <c:v>58.679780642948913</c:v>
                </c:pt>
                <c:pt idx="8">
                  <c:v>58.277267313197449</c:v>
                </c:pt>
                <c:pt idx="9">
                  <c:v>58.018885737137431</c:v>
                </c:pt>
                <c:pt idx="10">
                  <c:v>58.059854883233577</c:v>
                </c:pt>
                <c:pt idx="11">
                  <c:v>58.247334129484706</c:v>
                </c:pt>
                <c:pt idx="12">
                  <c:v>58.564591156496554</c:v>
                </c:pt>
                <c:pt idx="13">
                  <c:v>59.028448157403233</c:v>
                </c:pt>
                <c:pt idx="14">
                  <c:v>59.678042418960423</c:v>
                </c:pt>
                <c:pt idx="15">
                  <c:v>60.491681756182608</c:v>
                </c:pt>
                <c:pt idx="16">
                  <c:v>61.523852883503231</c:v>
                </c:pt>
                <c:pt idx="17">
                  <c:v>62.741746453085035</c:v>
                </c:pt>
                <c:pt idx="18">
                  <c:v>64.192712387827029</c:v>
                </c:pt>
              </c:numCache>
            </c:numRef>
          </c:val>
          <c:smooth val="1"/>
          <c:extLst>
            <c:ext xmlns:c16="http://schemas.microsoft.com/office/drawing/2014/chart" uri="{C3380CC4-5D6E-409C-BE32-E72D297353CC}">
              <c16:uniqueId val="{0000001D-B164-4806-9550-E21CDEA8D702}"/>
            </c:ext>
          </c:extLst>
        </c:ser>
        <c:ser>
          <c:idx val="3"/>
          <c:order val="3"/>
          <c:tx>
            <c:v>Základný konsolidačný scenár</c:v>
          </c:tx>
          <c:spPr>
            <a:ln w="19050" cap="rnd">
              <a:solidFill>
                <a:srgbClr val="002060"/>
              </a:solidFill>
              <a:round/>
            </a:ln>
            <a:effectLst/>
          </c:spPr>
          <c:marker>
            <c:symbol val="none"/>
          </c:marker>
          <c:dPt>
            <c:idx val="14"/>
            <c:marker>
              <c:symbol val="circle"/>
              <c:size val="4"/>
              <c:spPr>
                <a:solidFill>
                  <a:srgbClr val="002060"/>
                </a:solidFill>
                <a:ln w="9525">
                  <a:noFill/>
                </a:ln>
                <a:effectLst/>
              </c:spPr>
            </c:marker>
            <c:bubble3D val="0"/>
            <c:extLst>
              <c:ext xmlns:c16="http://schemas.microsoft.com/office/drawing/2014/chart" uri="{C3380CC4-5D6E-409C-BE32-E72D297353CC}">
                <c16:uniqueId val="{0000001E-B164-4806-9550-E21CDEA8D702}"/>
              </c:ext>
            </c:extLst>
          </c:dPt>
          <c:dPt>
            <c:idx val="15"/>
            <c:marker>
              <c:symbol val="none"/>
            </c:marker>
            <c:bubble3D val="0"/>
            <c:spPr>
              <a:ln w="19050" cap="rnd">
                <a:solidFill>
                  <a:srgbClr val="5B9BD5">
                    <a:lumMod val="60000"/>
                    <a:lumOff val="40000"/>
                  </a:srgbClr>
                </a:solidFill>
                <a:round/>
              </a:ln>
              <a:effectLst/>
            </c:spPr>
            <c:extLst>
              <c:ext xmlns:c16="http://schemas.microsoft.com/office/drawing/2014/chart" uri="{C3380CC4-5D6E-409C-BE32-E72D297353CC}">
                <c16:uniqueId val="{00000020-B164-4806-9550-E21CDEA8D702}"/>
              </c:ext>
            </c:extLst>
          </c:dPt>
          <c:dPt>
            <c:idx val="16"/>
            <c:marker>
              <c:symbol val="none"/>
            </c:marker>
            <c:bubble3D val="0"/>
            <c:spPr>
              <a:ln w="19050" cap="rnd">
                <a:solidFill>
                  <a:srgbClr val="5B9BD5">
                    <a:lumMod val="60000"/>
                    <a:lumOff val="40000"/>
                  </a:srgbClr>
                </a:solidFill>
                <a:round/>
              </a:ln>
              <a:effectLst/>
            </c:spPr>
            <c:extLst>
              <c:ext xmlns:c16="http://schemas.microsoft.com/office/drawing/2014/chart" uri="{C3380CC4-5D6E-409C-BE32-E72D297353CC}">
                <c16:uniqueId val="{00000022-B164-4806-9550-E21CDEA8D702}"/>
              </c:ext>
            </c:extLst>
          </c:dPt>
          <c:dPt>
            <c:idx val="17"/>
            <c:marker>
              <c:symbol val="none"/>
            </c:marker>
            <c:bubble3D val="0"/>
            <c:spPr>
              <a:ln w="19050" cap="rnd">
                <a:solidFill>
                  <a:srgbClr val="5B9BD5">
                    <a:lumMod val="60000"/>
                    <a:lumOff val="40000"/>
                  </a:srgbClr>
                </a:solidFill>
                <a:round/>
              </a:ln>
              <a:effectLst/>
            </c:spPr>
            <c:extLst>
              <c:ext xmlns:c16="http://schemas.microsoft.com/office/drawing/2014/chart" uri="{C3380CC4-5D6E-409C-BE32-E72D297353CC}">
                <c16:uniqueId val="{00000024-B164-4806-9550-E21CDEA8D702}"/>
              </c:ext>
            </c:extLst>
          </c:dPt>
          <c:dPt>
            <c:idx val="18"/>
            <c:marker>
              <c:symbol val="none"/>
            </c:marker>
            <c:bubble3D val="0"/>
            <c:spPr>
              <a:ln w="19050" cap="rnd">
                <a:solidFill>
                  <a:srgbClr val="5B9BD5">
                    <a:lumMod val="60000"/>
                    <a:lumOff val="40000"/>
                  </a:srgbClr>
                </a:solidFill>
                <a:round/>
              </a:ln>
              <a:effectLst/>
            </c:spPr>
            <c:extLst>
              <c:ext xmlns:c16="http://schemas.microsoft.com/office/drawing/2014/chart" uri="{C3380CC4-5D6E-409C-BE32-E72D297353CC}">
                <c16:uniqueId val="{00000026-B164-4806-9550-E21CDEA8D702}"/>
              </c:ext>
            </c:extLst>
          </c:dPt>
          <c:dLbls>
            <c:dLbl>
              <c:idx val="14"/>
              <c:layout>
                <c:manualLayout>
                  <c:x val="-6.540882343260282E-2"/>
                  <c:y val="3.8822961645923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B164-4806-9550-E21CDEA8D702}"/>
                </c:ext>
              </c:extLst>
            </c:dLbl>
            <c:numFmt formatCode="#,##0.0" sourceLinked="0"/>
            <c:spPr>
              <a:noFill/>
              <a:ln>
                <a:noFill/>
              </a:ln>
              <a:effectLst/>
            </c:spPr>
            <c:txPr>
              <a:bodyPr rot="0" spcFirstLastPara="1" vertOverflow="ellipsis" vert="horz" wrap="square" anchor="ctr" anchorCtr="1"/>
              <a:lstStyle/>
              <a:p>
                <a:pPr>
                  <a:defRPr sz="700" b="1" i="0" u="none" strike="noStrike" kern="1200" baseline="0">
                    <a:solidFill>
                      <a:srgbClr val="002060"/>
                    </a:solidFill>
                    <a:latin typeface="Arial Narrow" panose="020B0606020202030204" pitchFamily="34" charset="0"/>
                    <a:ea typeface="+mn-ea"/>
                    <a:cs typeface="+mn-cs"/>
                  </a:defRPr>
                </a:pPr>
                <a:endParaRPr lang="sk-SK"/>
              </a:p>
            </c:txPr>
            <c:dLblPos val="b"/>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'Adjustment scenario'!$F$10:$X$10</c:f>
              <c:numCache>
                <c:formatCode>General</c:formatCode>
                <c:ptCount val="19"/>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numCache>
            </c:numRef>
          </c:cat>
          <c:val>
            <c:numRef>
              <c:f>'Adjustment scenario'!$F$57:$X$57</c:f>
              <c:numCache>
                <c:formatCode>0.0</c:formatCode>
                <c:ptCount val="19"/>
                <c:pt idx="0">
                  <c:v>58.478930381041359</c:v>
                </c:pt>
                <c:pt idx="1">
                  <c:v>59.778001260378957</c:v>
                </c:pt>
                <c:pt idx="2">
                  <c:v>61.632128155979487</c:v>
                </c:pt>
                <c:pt idx="3">
                  <c:v>62.118668420206241</c:v>
                </c:pt>
                <c:pt idx="4">
                  <c:v>61.43352220332865</c:v>
                </c:pt>
                <c:pt idx="5">
                  <c:v>60.044059175395915</c:v>
                </c:pt>
                <c:pt idx="6">
                  <c:v>58.578951693635624</c:v>
                </c:pt>
                <c:pt idx="7">
                  <c:v>57.059764275709199</c:v>
                </c:pt>
                <c:pt idx="8">
                  <c:v>56.210592569351711</c:v>
                </c:pt>
                <c:pt idx="9">
                  <c:v>55.593886839170167</c:v>
                </c:pt>
                <c:pt idx="10">
                  <c:v>55.136441126260891</c:v>
                </c:pt>
                <c:pt idx="11">
                  <c:v>54.825827309952501</c:v>
                </c:pt>
                <c:pt idx="12">
                  <c:v>54.645421829894651</c:v>
                </c:pt>
                <c:pt idx="13">
                  <c:v>54.611191652742882</c:v>
                </c:pt>
                <c:pt idx="14">
                  <c:v>54.759358551345244</c:v>
                </c:pt>
                <c:pt idx="15">
                  <c:v>55.067790171814629</c:v>
                </c:pt>
                <c:pt idx="16">
                  <c:v>55.589977964353473</c:v>
                </c:pt>
                <c:pt idx="17">
                  <c:v>56.294412794915466</c:v>
                </c:pt>
                <c:pt idx="18">
                  <c:v>57.222489150214891</c:v>
                </c:pt>
              </c:numCache>
            </c:numRef>
          </c:val>
          <c:smooth val="1"/>
          <c:extLst>
            <c:ext xmlns:c16="http://schemas.microsoft.com/office/drawing/2014/chart" uri="{C3380CC4-5D6E-409C-BE32-E72D297353CC}">
              <c16:uniqueId val="{00000027-B164-4806-9550-E21CDEA8D702}"/>
            </c:ext>
          </c:extLst>
        </c:ser>
        <c:ser>
          <c:idx val="4"/>
          <c:order val="4"/>
          <c:spPr>
            <a:ln w="12700" cap="sq">
              <a:solidFill>
                <a:srgbClr val="FF7979"/>
              </a:solidFill>
              <a:prstDash val="dash"/>
              <a:round/>
            </a:ln>
            <a:effectLst/>
          </c:spPr>
          <c:marker>
            <c:symbol val="none"/>
          </c:marker>
          <c:val>
            <c:numRef>
              <c:f>'Adjustment scenario'!$F$75:$X$75</c:f>
              <c:numCache>
                <c:formatCode>General</c:formatCode>
                <c:ptCount val="19"/>
                <c:pt idx="0">
                  <c:v>60</c:v>
                </c:pt>
                <c:pt idx="1">
                  <c:v>60</c:v>
                </c:pt>
                <c:pt idx="2">
                  <c:v>60</c:v>
                </c:pt>
                <c:pt idx="3">
                  <c:v>60</c:v>
                </c:pt>
                <c:pt idx="4">
                  <c:v>60</c:v>
                </c:pt>
                <c:pt idx="5">
                  <c:v>60</c:v>
                </c:pt>
                <c:pt idx="6">
                  <c:v>60</c:v>
                </c:pt>
                <c:pt idx="7">
                  <c:v>60</c:v>
                </c:pt>
                <c:pt idx="8">
                  <c:v>60</c:v>
                </c:pt>
                <c:pt idx="9">
                  <c:v>60</c:v>
                </c:pt>
                <c:pt idx="10">
                  <c:v>60</c:v>
                </c:pt>
                <c:pt idx="11">
                  <c:v>60</c:v>
                </c:pt>
                <c:pt idx="12">
                  <c:v>60</c:v>
                </c:pt>
                <c:pt idx="13">
                  <c:v>60</c:v>
                </c:pt>
                <c:pt idx="14">
                  <c:v>60</c:v>
                </c:pt>
                <c:pt idx="15">
                  <c:v>60</c:v>
                </c:pt>
                <c:pt idx="16">
                  <c:v>60</c:v>
                </c:pt>
                <c:pt idx="17">
                  <c:v>60</c:v>
                </c:pt>
                <c:pt idx="18">
                  <c:v>60</c:v>
                </c:pt>
              </c:numCache>
            </c:numRef>
          </c:val>
          <c:smooth val="0"/>
          <c:extLst>
            <c:ext xmlns:c16="http://schemas.microsoft.com/office/drawing/2014/chart" uri="{C3380CC4-5D6E-409C-BE32-E72D297353CC}">
              <c16:uniqueId val="{00000028-B164-4806-9550-E21CDEA8D702}"/>
            </c:ext>
          </c:extLst>
        </c:ser>
        <c:dLbls>
          <c:showLegendKey val="0"/>
          <c:showVal val="0"/>
          <c:showCatName val="0"/>
          <c:showSerName val="0"/>
          <c:showPercent val="0"/>
          <c:showBubbleSize val="0"/>
        </c:dLbls>
        <c:smooth val="0"/>
        <c:axId val="739405088"/>
        <c:axId val="714446144"/>
      </c:lineChart>
      <c:catAx>
        <c:axId val="739405088"/>
        <c:scaling>
          <c:orientation val="minMax"/>
        </c:scaling>
        <c:delete val="0"/>
        <c:axPos val="b"/>
        <c:numFmt formatCode="General" sourceLinked="1"/>
        <c:majorTickMark val="none"/>
        <c:minorTickMark val="none"/>
        <c:tickLblPos val="low"/>
        <c:spPr>
          <a:noFill/>
          <a:ln w="12700" cap="flat" cmpd="sng" algn="ctr">
            <a:solidFill>
              <a:schemeClr val="bg1">
                <a:lumMod val="50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crossAx val="714446144"/>
        <c:crosses val="autoZero"/>
        <c:auto val="1"/>
        <c:lblAlgn val="ctr"/>
        <c:lblOffset val="100"/>
        <c:noMultiLvlLbl val="0"/>
      </c:catAx>
      <c:valAx>
        <c:axId val="714446144"/>
        <c:scaling>
          <c:orientation val="minMax"/>
          <c:max val="70"/>
          <c:min val="45"/>
        </c:scaling>
        <c:delete val="0"/>
        <c:axPos val="l"/>
        <c:majorGridlines>
          <c:spPr>
            <a:ln w="3175" cap="flat" cmpd="sng" algn="ctr">
              <a:solidFill>
                <a:schemeClr val="bg1">
                  <a:lumMod val="50000"/>
                  <a:alpha val="25000"/>
                </a:scheme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sk-SK"/>
          </a:p>
        </c:txPr>
        <c:crossAx val="739405088"/>
        <c:crosses val="autoZero"/>
        <c:crossBetween val="between"/>
      </c:valAx>
      <c:spPr>
        <a:noFill/>
        <a:ln>
          <a:noFill/>
        </a:ln>
        <a:effectLst/>
      </c:spPr>
    </c:plotArea>
    <c:legend>
      <c:legendPos val="b"/>
      <c:legendEntry>
        <c:idx val="4"/>
        <c:delete val="1"/>
      </c:legendEntry>
      <c:layout>
        <c:manualLayout>
          <c:xMode val="edge"/>
          <c:yMode val="edge"/>
          <c:x val="6.1991873635396134E-2"/>
          <c:y val="0.63517703835407657"/>
          <c:w val="0.64761164608255828"/>
          <c:h val="0.1796586233172466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Narrow" panose="020B0606020202030204" pitchFamily="34" charset="0"/>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Arial Narrow" panose="020B0606020202030204" pitchFamily="34" charset="0"/>
        </a:defRPr>
      </a:pPr>
      <a:endParaRPr lang="sk-SK"/>
    </a:p>
  </c:txPr>
  <c:externalData r:id="rId4">
    <c:autoUpdate val="0"/>
  </c:externalData>
  <c:userShapes r:id="rId5"/>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822791571184894"/>
          <c:y val="0.10951922025371828"/>
          <c:w val="0.84329433656679131"/>
          <c:h val="0.79989305597785643"/>
        </c:manualLayout>
      </c:layout>
      <c:barChart>
        <c:barDir val="col"/>
        <c:grouping val="stacked"/>
        <c:varyColors val="0"/>
        <c:ser>
          <c:idx val="1"/>
          <c:order val="0"/>
          <c:tx>
            <c:strRef>
              <c:f>Hárok1!$B$16</c:f>
              <c:strCache>
                <c:ptCount val="1"/>
                <c:pt idx="0">
                  <c:v>Hotovostné výdavky</c:v>
                </c:pt>
              </c:strCache>
            </c:strRef>
          </c:tx>
          <c:spPr>
            <a:solidFill>
              <a:srgbClr val="2C9ADC"/>
            </a:solidFill>
          </c:spPr>
          <c:invertIfNegative val="0"/>
          <c:cat>
            <c:numRef>
              <c:f>Hárok1!$D$13:$I$13</c:f>
              <c:numCache>
                <c:formatCode>#,##0</c:formatCode>
                <c:ptCount val="6"/>
                <c:pt idx="0">
                  <c:v>2022</c:v>
                </c:pt>
                <c:pt idx="1">
                  <c:v>2023</c:v>
                </c:pt>
                <c:pt idx="2">
                  <c:v>2024</c:v>
                </c:pt>
                <c:pt idx="3">
                  <c:v>2025</c:v>
                </c:pt>
                <c:pt idx="4">
                  <c:v>2026</c:v>
                </c:pt>
                <c:pt idx="5">
                  <c:v>2027</c:v>
                </c:pt>
              </c:numCache>
            </c:numRef>
          </c:cat>
          <c:val>
            <c:numRef>
              <c:f>Hárok1!$D$16:$I$16</c:f>
              <c:numCache>
                <c:formatCode>0.0</c:formatCode>
                <c:ptCount val="6"/>
                <c:pt idx="0">
                  <c:v>1.7900374863734736</c:v>
                </c:pt>
                <c:pt idx="1">
                  <c:v>1.7370518853511963</c:v>
                </c:pt>
                <c:pt idx="2">
                  <c:v>1.5954623027693824</c:v>
                </c:pt>
                <c:pt idx="3">
                  <c:v>1.9763794545084354</c:v>
                </c:pt>
                <c:pt idx="4">
                  <c:v>1.9875877366790187</c:v>
                </c:pt>
                <c:pt idx="5">
                  <c:v>1.9649754323114432</c:v>
                </c:pt>
              </c:numCache>
            </c:numRef>
          </c:val>
          <c:extLst>
            <c:ext xmlns:c16="http://schemas.microsoft.com/office/drawing/2014/chart" uri="{C3380CC4-5D6E-409C-BE32-E72D297353CC}">
              <c16:uniqueId val="{00000000-8612-4697-A99F-E540A2A13743}"/>
            </c:ext>
          </c:extLst>
        </c:ser>
        <c:ser>
          <c:idx val="0"/>
          <c:order val="1"/>
          <c:tx>
            <c:strRef>
              <c:f>Hárok1!$B$15</c:f>
              <c:strCache>
                <c:ptCount val="1"/>
                <c:pt idx="0">
                  <c:v>Akrualizácia</c:v>
                </c:pt>
              </c:strCache>
            </c:strRef>
          </c:tx>
          <c:spPr>
            <a:solidFill>
              <a:srgbClr val="5B9BD5">
                <a:lumMod val="60000"/>
                <a:lumOff val="40000"/>
              </a:srgbClr>
            </a:solidFill>
          </c:spPr>
          <c:invertIfNegative val="0"/>
          <c:cat>
            <c:numRef>
              <c:f>Hárok1!$D$13:$I$13</c:f>
              <c:numCache>
                <c:formatCode>#,##0</c:formatCode>
                <c:ptCount val="6"/>
                <c:pt idx="0">
                  <c:v>2022</c:v>
                </c:pt>
                <c:pt idx="1">
                  <c:v>2023</c:v>
                </c:pt>
                <c:pt idx="2">
                  <c:v>2024</c:v>
                </c:pt>
                <c:pt idx="3">
                  <c:v>2025</c:v>
                </c:pt>
                <c:pt idx="4">
                  <c:v>2026</c:v>
                </c:pt>
                <c:pt idx="5">
                  <c:v>2027</c:v>
                </c:pt>
              </c:numCache>
            </c:numRef>
          </c:cat>
          <c:val>
            <c:numRef>
              <c:f>Hárok1!$D$15:$I$15</c:f>
              <c:numCache>
                <c:formatCode>0.0</c:formatCode>
                <c:ptCount val="6"/>
                <c:pt idx="0">
                  <c:v>-0.38870930015153327</c:v>
                </c:pt>
                <c:pt idx="1">
                  <c:v>-0.44881972436178169</c:v>
                </c:pt>
                <c:pt idx="2">
                  <c:v>7.5896819779673358E-2</c:v>
                </c:pt>
                <c:pt idx="3">
                  <c:v>0.50409464307129059</c:v>
                </c:pt>
                <c:pt idx="4">
                  <c:v>0.10489933463851803</c:v>
                </c:pt>
                <c:pt idx="5">
                  <c:v>0.27233110851932962</c:v>
                </c:pt>
              </c:numCache>
            </c:numRef>
          </c:val>
          <c:extLst>
            <c:ext xmlns:c16="http://schemas.microsoft.com/office/drawing/2014/chart" uri="{C3380CC4-5D6E-409C-BE32-E72D297353CC}">
              <c16:uniqueId val="{00000001-8612-4697-A99F-E540A2A13743}"/>
            </c:ext>
          </c:extLst>
        </c:ser>
        <c:dLbls>
          <c:showLegendKey val="0"/>
          <c:showVal val="0"/>
          <c:showCatName val="0"/>
          <c:showSerName val="0"/>
          <c:showPercent val="0"/>
          <c:showBubbleSize val="0"/>
        </c:dLbls>
        <c:gapWidth val="50"/>
        <c:overlap val="100"/>
        <c:axId val="303403456"/>
        <c:axId val="303403848"/>
      </c:barChart>
      <c:lineChart>
        <c:grouping val="standard"/>
        <c:varyColors val="0"/>
        <c:ser>
          <c:idx val="2"/>
          <c:order val="2"/>
          <c:tx>
            <c:strRef>
              <c:f>Hárok1!$B$17</c:f>
              <c:strCache>
                <c:ptCount val="1"/>
                <c:pt idx="0">
                  <c:v>Priemer 2022 až 2024</c:v>
                </c:pt>
              </c:strCache>
            </c:strRef>
          </c:tx>
          <c:spPr>
            <a:ln>
              <a:solidFill>
                <a:srgbClr val="FF0000"/>
              </a:solidFill>
            </a:ln>
          </c:spPr>
          <c:marker>
            <c:symbol val="none"/>
          </c:marker>
          <c:dLbls>
            <c:dLbl>
              <c:idx val="5"/>
              <c:layout>
                <c:manualLayout>
                  <c:x val="-7.9287330224204495E-3"/>
                  <c:y val="1.1275440211978276E-4"/>
                </c:manualLayout>
              </c:layout>
              <c:spPr>
                <a:noFill/>
                <a:ln>
                  <a:noFill/>
                </a:ln>
                <a:effectLst/>
              </c:spPr>
              <c:txPr>
                <a:bodyPr wrap="square" lIns="38100" tIns="19050" rIns="38100" bIns="19050" anchor="ctr">
                  <a:spAutoFit/>
                </a:bodyPr>
                <a:lstStyle/>
                <a:p>
                  <a:pPr>
                    <a:defRPr b="1">
                      <a:solidFill>
                        <a:srgbClr val="FF0000"/>
                      </a:solidFill>
                    </a:defRPr>
                  </a:pPr>
                  <a:endParaRPr lang="sk-SK"/>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612-4697-A99F-E540A2A13743}"/>
                </c:ext>
              </c:extLst>
            </c:dLbl>
            <c:spPr>
              <a:noFill/>
              <a:ln>
                <a:noFill/>
              </a:ln>
              <a:effectLst/>
            </c:spPr>
            <c:txPr>
              <a:bodyPr wrap="square" lIns="38100" tIns="19050" rIns="38100" bIns="19050" anchor="ctr">
                <a:spAutoFit/>
              </a:bodyPr>
              <a:lstStyle/>
              <a:p>
                <a:pPr>
                  <a:defRPr b="1"/>
                </a:pPr>
                <a:endParaRPr lang="sk-SK"/>
              </a:p>
            </c:txPr>
            <c:showLegendKey val="0"/>
            <c:showVal val="0"/>
            <c:showCatName val="0"/>
            <c:showSerName val="0"/>
            <c:showPercent val="0"/>
            <c:showBubbleSize val="0"/>
            <c:extLst>
              <c:ext xmlns:c15="http://schemas.microsoft.com/office/drawing/2012/chart" uri="{CE6537A1-D6FC-4f65-9D91-7224C49458BB}">
                <c15:showLeaderLines val="1"/>
              </c:ext>
            </c:extLst>
          </c:dLbls>
          <c:val>
            <c:numRef>
              <c:f>Hárok1!$D$17:$I$17</c:f>
              <c:numCache>
                <c:formatCode>0.0</c:formatCode>
                <c:ptCount val="6"/>
                <c:pt idx="0">
                  <c:v>1.4536398232534704</c:v>
                </c:pt>
                <c:pt idx="1">
                  <c:v>1.4536398232534704</c:v>
                </c:pt>
                <c:pt idx="2">
                  <c:v>1.4536398232534704</c:v>
                </c:pt>
                <c:pt idx="3">
                  <c:v>1.4536398232534704</c:v>
                </c:pt>
                <c:pt idx="4">
                  <c:v>1.4536398232534704</c:v>
                </c:pt>
                <c:pt idx="5">
                  <c:v>1.4536398232534704</c:v>
                </c:pt>
              </c:numCache>
            </c:numRef>
          </c:val>
          <c:smooth val="0"/>
          <c:extLst>
            <c:ext xmlns:c16="http://schemas.microsoft.com/office/drawing/2014/chart" uri="{C3380CC4-5D6E-409C-BE32-E72D297353CC}">
              <c16:uniqueId val="{00000003-8612-4697-A99F-E540A2A13743}"/>
            </c:ext>
          </c:extLst>
        </c:ser>
        <c:ser>
          <c:idx val="5"/>
          <c:order val="3"/>
          <c:tx>
            <c:strRef>
              <c:f>Hárok1!$B$14</c:f>
              <c:strCache>
                <c:ptCount val="1"/>
                <c:pt idx="0">
                  <c:v>Spolu</c:v>
                </c:pt>
              </c:strCache>
            </c:strRef>
          </c:tx>
          <c:spPr>
            <a:ln>
              <a:noFill/>
              <a:prstDash val="solid"/>
            </a:ln>
          </c:spPr>
          <c:marker>
            <c:symbol val="circle"/>
            <c:size val="5"/>
            <c:spPr>
              <a:solidFill>
                <a:sysClr val="windowText" lastClr="000000"/>
              </a:solidFill>
              <a:ln w="3175">
                <a:solidFill>
                  <a:sysClr val="window" lastClr="FFFFFF"/>
                </a:solidFill>
              </a:ln>
            </c:spPr>
          </c:marker>
          <c:dPt>
            <c:idx val="7"/>
            <c:bubble3D val="0"/>
            <c:extLst>
              <c:ext xmlns:c16="http://schemas.microsoft.com/office/drawing/2014/chart" uri="{C3380CC4-5D6E-409C-BE32-E72D297353CC}">
                <c16:uniqueId val="{00000004-8612-4697-A99F-E540A2A13743}"/>
              </c:ext>
            </c:extLst>
          </c:dPt>
          <c:dPt>
            <c:idx val="16"/>
            <c:bubble3D val="0"/>
            <c:extLst>
              <c:ext xmlns:c16="http://schemas.microsoft.com/office/drawing/2014/chart" uri="{C3380CC4-5D6E-409C-BE32-E72D297353CC}">
                <c16:uniqueId val="{00000005-8612-4697-A99F-E540A2A13743}"/>
              </c:ext>
            </c:extLst>
          </c:dPt>
          <c:dPt>
            <c:idx val="27"/>
            <c:bubble3D val="0"/>
            <c:extLst>
              <c:ext xmlns:c16="http://schemas.microsoft.com/office/drawing/2014/chart" uri="{C3380CC4-5D6E-409C-BE32-E72D297353CC}">
                <c16:uniqueId val="{00000006-8612-4697-A99F-E540A2A13743}"/>
              </c:ext>
            </c:extLst>
          </c:dPt>
          <c:dPt>
            <c:idx val="28"/>
            <c:bubble3D val="0"/>
            <c:extLst>
              <c:ext xmlns:c16="http://schemas.microsoft.com/office/drawing/2014/chart" uri="{C3380CC4-5D6E-409C-BE32-E72D297353CC}">
                <c16:uniqueId val="{00000007-8612-4697-A99F-E540A2A13743}"/>
              </c:ext>
            </c:extLst>
          </c:dPt>
          <c:dLbls>
            <c:spPr>
              <a:noFill/>
              <a:ln>
                <a:noFill/>
              </a:ln>
              <a:effectLst/>
            </c:spPr>
            <c:txPr>
              <a:bodyPr wrap="square" lIns="38100" tIns="19050" rIns="38100" bIns="19050" anchor="ctr">
                <a:spAutoFit/>
              </a:bodyPr>
              <a:lstStyle/>
              <a:p>
                <a:pPr>
                  <a:defRPr b="1"/>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Hárok1!$D$13:$I$13</c:f>
              <c:numCache>
                <c:formatCode>#,##0</c:formatCode>
                <c:ptCount val="6"/>
                <c:pt idx="0">
                  <c:v>2022</c:v>
                </c:pt>
                <c:pt idx="1">
                  <c:v>2023</c:v>
                </c:pt>
                <c:pt idx="2">
                  <c:v>2024</c:v>
                </c:pt>
                <c:pt idx="3">
                  <c:v>2025</c:v>
                </c:pt>
                <c:pt idx="4">
                  <c:v>2026</c:v>
                </c:pt>
                <c:pt idx="5">
                  <c:v>2027</c:v>
                </c:pt>
              </c:numCache>
            </c:numRef>
          </c:cat>
          <c:val>
            <c:numRef>
              <c:f>Hárok1!$D$14:$I$14</c:f>
              <c:numCache>
                <c:formatCode>0.0</c:formatCode>
                <c:ptCount val="6"/>
                <c:pt idx="0">
                  <c:v>1.4013281862219404</c:v>
                </c:pt>
                <c:pt idx="1">
                  <c:v>1.2882321609894147</c:v>
                </c:pt>
                <c:pt idx="2">
                  <c:v>1.6713591225490558</c:v>
                </c:pt>
                <c:pt idx="3">
                  <c:v>2.4804740975797257</c:v>
                </c:pt>
                <c:pt idx="4">
                  <c:v>2.0924870713175365</c:v>
                </c:pt>
                <c:pt idx="5">
                  <c:v>2.2373065408307728</c:v>
                </c:pt>
              </c:numCache>
            </c:numRef>
          </c:val>
          <c:smooth val="0"/>
          <c:extLst>
            <c:ext xmlns:c16="http://schemas.microsoft.com/office/drawing/2014/chart" uri="{C3380CC4-5D6E-409C-BE32-E72D297353CC}">
              <c16:uniqueId val="{00000008-8612-4697-A99F-E540A2A13743}"/>
            </c:ext>
          </c:extLst>
        </c:ser>
        <c:dLbls>
          <c:showLegendKey val="0"/>
          <c:showVal val="0"/>
          <c:showCatName val="0"/>
          <c:showSerName val="0"/>
          <c:showPercent val="0"/>
          <c:showBubbleSize val="0"/>
        </c:dLbls>
        <c:marker val="1"/>
        <c:smooth val="0"/>
        <c:axId val="303403456"/>
        <c:axId val="303403848"/>
      </c:lineChart>
      <c:catAx>
        <c:axId val="303403456"/>
        <c:scaling>
          <c:orientation val="minMax"/>
        </c:scaling>
        <c:delete val="0"/>
        <c:axPos val="b"/>
        <c:numFmt formatCode="0" sourceLinked="0"/>
        <c:majorTickMark val="none"/>
        <c:minorTickMark val="none"/>
        <c:tickLblPos val="low"/>
        <c:spPr>
          <a:ln w="12700">
            <a:solidFill>
              <a:sysClr val="window" lastClr="FFFFFF">
                <a:lumMod val="50000"/>
              </a:sysClr>
            </a:solidFill>
          </a:ln>
        </c:spPr>
        <c:txPr>
          <a:bodyPr rot="0" vert="horz"/>
          <a:lstStyle/>
          <a:p>
            <a:pPr>
              <a:defRPr/>
            </a:pPr>
            <a:endParaRPr lang="sk-SK"/>
          </a:p>
        </c:txPr>
        <c:crossAx val="303403848"/>
        <c:crosses val="autoZero"/>
        <c:auto val="1"/>
        <c:lblAlgn val="ctr"/>
        <c:lblOffset val="100"/>
        <c:noMultiLvlLbl val="0"/>
      </c:catAx>
      <c:valAx>
        <c:axId val="303403848"/>
        <c:scaling>
          <c:orientation val="minMax"/>
          <c:min val="-0.5"/>
        </c:scaling>
        <c:delete val="0"/>
        <c:axPos val="l"/>
        <c:majorGridlines>
          <c:spPr>
            <a:ln w="3175" cap="flat" cmpd="sng" algn="ctr">
              <a:solidFill>
                <a:srgbClr val="686767">
                  <a:alpha val="25000"/>
                </a:srgbClr>
              </a:solidFill>
              <a:prstDash val="sysDot"/>
              <a:round/>
              <a:headEnd type="none" w="med" len="med"/>
              <a:tailEnd type="none" w="med" len="med"/>
            </a:ln>
          </c:spPr>
        </c:majorGridlines>
        <c:numFmt formatCode="#,##0.0" sourceLinked="0"/>
        <c:majorTickMark val="out"/>
        <c:minorTickMark val="none"/>
        <c:tickLblPos val="nextTo"/>
        <c:spPr>
          <a:ln>
            <a:solidFill>
              <a:srgbClr val="FFFFFF"/>
            </a:solidFill>
          </a:ln>
        </c:spPr>
        <c:crossAx val="303403456"/>
        <c:crosses val="autoZero"/>
        <c:crossBetween val="between"/>
      </c:valAx>
    </c:plotArea>
    <c:legend>
      <c:legendPos val="t"/>
      <c:layout>
        <c:manualLayout>
          <c:xMode val="edge"/>
          <c:yMode val="edge"/>
          <c:x val="0.12349385757852478"/>
          <c:y val="4.3510408629499037E-2"/>
          <c:w val="0.38737347633477393"/>
          <c:h val="0.2224942219562609"/>
        </c:manualLayout>
      </c:layout>
      <c:overlay val="0"/>
    </c:legend>
    <c:plotVisOnly val="1"/>
    <c:dispBlanksAs val="gap"/>
    <c:showDLblsOverMax val="0"/>
  </c:chart>
  <c:spPr>
    <a:ln w="9525">
      <a:noFill/>
    </a:ln>
  </c:spPr>
  <c:txPr>
    <a:bodyPr/>
    <a:lstStyle/>
    <a:p>
      <a:pPr>
        <a:defRPr sz="800">
          <a:solidFill>
            <a:srgbClr val="0C1D2B"/>
          </a:solidFill>
          <a:latin typeface="Arial Narrow" panose="020B0606020202030204" pitchFamily="34" charset="0"/>
        </a:defRPr>
      </a:pPr>
      <a:endParaRPr lang="sk-SK"/>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261945517679855"/>
          <c:y val="9.0405925447139768E-2"/>
          <c:w val="0.87738054482320149"/>
          <c:h val="0.812704512761245"/>
        </c:manualLayout>
      </c:layout>
      <c:lineChart>
        <c:grouping val="standard"/>
        <c:varyColors val="0"/>
        <c:ser>
          <c:idx val="0"/>
          <c:order val="0"/>
          <c:tx>
            <c:strRef>
              <c:f>ESA_2010_GG_2025_2027!$C$96</c:f>
              <c:strCache>
                <c:ptCount val="1"/>
                <c:pt idx="0">
                  <c:v>Schodok hospodárenia bez opatrení vlády</c:v>
                </c:pt>
              </c:strCache>
            </c:strRef>
          </c:tx>
          <c:spPr>
            <a:ln w="28575" cap="rnd">
              <a:solidFill>
                <a:srgbClr val="2EAAE1"/>
              </a:solidFill>
              <a:prstDash val="solid"/>
              <a:round/>
            </a:ln>
            <a:effectLst/>
          </c:spPr>
          <c:marker>
            <c:symbol val="none"/>
          </c:marker>
          <c:dLbls>
            <c:dLbl>
              <c:idx val="4"/>
              <c:layout>
                <c:manualLayout>
                  <c:x val="-9.4567116165111195E-2"/>
                  <c:y val="-5.17064465759536E-2"/>
                </c:manualLayout>
              </c:layout>
              <c:tx>
                <c:rich>
                  <a:bodyPr/>
                  <a:lstStyle/>
                  <a:p>
                    <a:r>
                      <a:rPr lang="en-US" b="1"/>
                      <a:t>6,7</a:t>
                    </a:r>
                    <a:endParaRPr lang="en-US"/>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211-4283-AA36-5DD2FD5667C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B0F0"/>
                    </a:solidFill>
                    <a:latin typeface="Arial Narrow" panose="020B0606020202030204" pitchFamily="34" charset="0"/>
                    <a:ea typeface="Yu Gothic UI" panose="020B0500000000000000" pitchFamily="34" charset="-128"/>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ESA_2010_GG_2025_2027!$D$95:$H$95</c:f>
              <c:numCache>
                <c:formatCode>#,##0</c:formatCode>
                <c:ptCount val="5"/>
                <c:pt idx="0" formatCode="General">
                  <c:v>2024</c:v>
                </c:pt>
                <c:pt idx="1">
                  <c:v>2025</c:v>
                </c:pt>
                <c:pt idx="2" formatCode="General">
                  <c:v>2026</c:v>
                </c:pt>
                <c:pt idx="3">
                  <c:v>2027</c:v>
                </c:pt>
                <c:pt idx="4" formatCode="General">
                  <c:v>2028</c:v>
                </c:pt>
              </c:numCache>
            </c:numRef>
          </c:cat>
          <c:val>
            <c:numRef>
              <c:f>ESA_2010_GG_2025_2027!$D$97:$H$97</c:f>
              <c:numCache>
                <c:formatCode>0.0</c:formatCode>
                <c:ptCount val="5"/>
                <c:pt idx="0">
                  <c:v>5.7853712374767481</c:v>
                </c:pt>
                <c:pt idx="1">
                  <c:v>6.0746817088991261</c:v>
                </c:pt>
                <c:pt idx="2">
                  <c:v>5.7649530689320594</c:v>
                </c:pt>
                <c:pt idx="3">
                  <c:v>6.4537813496608969</c:v>
                </c:pt>
                <c:pt idx="4">
                  <c:v>6.6806113496608965</c:v>
                </c:pt>
              </c:numCache>
            </c:numRef>
          </c:val>
          <c:smooth val="0"/>
          <c:extLst>
            <c:ext xmlns:c16="http://schemas.microsoft.com/office/drawing/2014/chart" uri="{C3380CC4-5D6E-409C-BE32-E72D297353CC}">
              <c16:uniqueId val="{00000000-8869-4E61-B0F9-150A95AAD28C}"/>
            </c:ext>
          </c:extLst>
        </c:ser>
        <c:ser>
          <c:idx val="2"/>
          <c:order val="1"/>
          <c:tx>
            <c:strRef>
              <c:f>ESA_2010_GG_2025_2027!$C$99</c:f>
              <c:strCache>
                <c:ptCount val="1"/>
                <c:pt idx="0">
                  <c:v>Aktuálny návrh rozpočtu na roky 2025 až 2027</c:v>
                </c:pt>
              </c:strCache>
            </c:strRef>
          </c:tx>
          <c:spPr>
            <a:ln w="28575" cap="rnd">
              <a:solidFill>
                <a:srgbClr val="2C9ADC"/>
              </a:solidFill>
              <a:prstDash val="sysDash"/>
              <a:round/>
            </a:ln>
            <a:effectLst/>
          </c:spPr>
          <c:marker>
            <c:symbol val="none"/>
          </c:marker>
          <c:dLbls>
            <c:dLbl>
              <c:idx val="4"/>
              <c:layout>
                <c:manualLayout>
                  <c:x val="-3.887257560738417E-2"/>
                  <c:y val="2.5820729580339295E-2"/>
                </c:manualLayout>
              </c:layout>
              <c:tx>
                <c:rich>
                  <a:bodyPr/>
                  <a:lstStyle/>
                  <a:p>
                    <a:fld id="{FCBC8625-5E41-4A74-8789-5838B09E117A}" type="VALUE">
                      <a:rPr lang="en-US" b="1"/>
                      <a:pPr/>
                      <a:t>[HODNOTA]</a:t>
                    </a:fld>
                    <a:endParaRPr lang="sk-SK"/>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869-4E61-B0F9-150A95AAD28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ESA_2010_GG_2025_2027!$D$99:$H$99</c:f>
              <c:numCache>
                <c:formatCode>#\ ##0.0</c:formatCode>
                <c:ptCount val="5"/>
                <c:pt idx="1">
                  <c:v>4.7199999977126668</c:v>
                </c:pt>
                <c:pt idx="2">
                  <c:v>4.1603331315413774</c:v>
                </c:pt>
                <c:pt idx="3">
                  <c:v>4.8692673662959169</c:v>
                </c:pt>
                <c:pt idx="4">
                  <c:v>5.0960973662959166</c:v>
                </c:pt>
              </c:numCache>
            </c:numRef>
          </c:val>
          <c:smooth val="0"/>
          <c:extLst>
            <c:ext xmlns:c16="http://schemas.microsoft.com/office/drawing/2014/chart" uri="{C3380CC4-5D6E-409C-BE32-E72D297353CC}">
              <c16:uniqueId val="{00000002-8869-4E61-B0F9-150A95AAD28C}"/>
            </c:ext>
          </c:extLst>
        </c:ser>
        <c:ser>
          <c:idx val="1"/>
          <c:order val="2"/>
          <c:tx>
            <c:strRef>
              <c:f>ESA_2010_GG_2025_2027!$C$98</c:f>
              <c:strCache>
                <c:ptCount val="1"/>
                <c:pt idx="0">
                  <c:v>Plánované ciele vlády</c:v>
                </c:pt>
              </c:strCache>
            </c:strRef>
          </c:tx>
          <c:spPr>
            <a:ln w="28575" cap="rnd">
              <a:solidFill>
                <a:schemeClr val="accent2"/>
              </a:solidFill>
              <a:round/>
            </a:ln>
            <a:effectLst/>
          </c:spPr>
          <c:marker>
            <c:symbol val="none"/>
          </c:marker>
          <c:dLbls>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09-4AF3-9807-D5D627EC8ABA}"/>
                </c:ext>
              </c:extLst>
            </c:dLbl>
            <c:dLbl>
              <c:idx val="4"/>
              <c:layout>
                <c:manualLayout>
                  <c:x val="-1.9436345966958389E-2"/>
                  <c:y val="5.600672080649678E-3"/>
                </c:manualLayout>
              </c:layout>
              <c:tx>
                <c:rich>
                  <a:bodyPr/>
                  <a:lstStyle/>
                  <a:p>
                    <a:fld id="{8E5BAA49-29ED-4EB1-93C3-ADA39A3ECF23}" type="VALUE">
                      <a:rPr lang="en-US" b="1"/>
                      <a:pPr/>
                      <a:t>[HODNOTA]</a:t>
                    </a:fld>
                    <a:endParaRPr lang="sk-SK"/>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869-4E61-B0F9-150A95AAD28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ESA_2010_GG_2025_2027!$D$98:$H$98</c:f>
              <c:numCache>
                <c:formatCode>#\ ##0.0</c:formatCode>
                <c:ptCount val="5"/>
                <c:pt idx="0">
                  <c:v>5.79</c:v>
                </c:pt>
                <c:pt idx="1">
                  <c:v>4.72</c:v>
                </c:pt>
                <c:pt idx="2">
                  <c:v>3.72</c:v>
                </c:pt>
                <c:pt idx="3">
                  <c:v>3</c:v>
                </c:pt>
                <c:pt idx="4">
                  <c:v>2.21</c:v>
                </c:pt>
              </c:numCache>
            </c:numRef>
          </c:val>
          <c:smooth val="0"/>
          <c:extLst>
            <c:ext xmlns:c16="http://schemas.microsoft.com/office/drawing/2014/chart" uri="{C3380CC4-5D6E-409C-BE32-E72D297353CC}">
              <c16:uniqueId val="{00000004-8869-4E61-B0F9-150A95AAD28C}"/>
            </c:ext>
          </c:extLst>
        </c:ser>
        <c:dLbls>
          <c:showLegendKey val="0"/>
          <c:showVal val="0"/>
          <c:showCatName val="0"/>
          <c:showSerName val="0"/>
          <c:showPercent val="0"/>
          <c:showBubbleSize val="0"/>
        </c:dLbls>
        <c:smooth val="0"/>
        <c:axId val="578703096"/>
        <c:axId val="578702704"/>
      </c:lineChart>
      <c:catAx>
        <c:axId val="578703096"/>
        <c:scaling>
          <c:orientation val="minMax"/>
        </c:scaling>
        <c:delete val="0"/>
        <c:axPos val="b"/>
        <c:numFmt formatCode="General" sourceLinked="1"/>
        <c:majorTickMark val="none"/>
        <c:minorTickMark val="none"/>
        <c:tickLblPos val="low"/>
        <c:spPr>
          <a:noFill/>
          <a:ln w="12700" cap="flat" cmpd="sng" algn="ctr">
            <a:solidFill>
              <a:srgbClr val="686767"/>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crossAx val="578702704"/>
        <c:crosses val="autoZero"/>
        <c:auto val="1"/>
        <c:lblAlgn val="ctr"/>
        <c:lblOffset val="100"/>
        <c:noMultiLvlLbl val="0"/>
      </c:catAx>
      <c:valAx>
        <c:axId val="578702704"/>
        <c:scaling>
          <c:orientation val="minMax"/>
          <c:min val="1"/>
        </c:scaling>
        <c:delete val="0"/>
        <c:axPos val="l"/>
        <c:majorGridlines>
          <c:spPr>
            <a:ln w="3175" cap="flat" cmpd="sng" algn="ctr">
              <a:solidFill>
                <a:srgbClr val="686767">
                  <a:alpha val="25000"/>
                </a:srgbClr>
              </a:solidFill>
              <a:prstDash val="sysDot"/>
              <a:round/>
              <a:headEnd type="none" w="med" len="med"/>
              <a:tailEnd type="none" w="med" len="med"/>
            </a:ln>
            <a:effectLst/>
          </c:spPr>
        </c:majorGridlines>
        <c:numFmt formatCode="0.0" sourceLinked="0"/>
        <c:majorTickMark val="none"/>
        <c:minorTickMark val="none"/>
        <c:tickLblPos val="nextTo"/>
        <c:spPr>
          <a:noFill/>
          <a:ln>
            <a:solidFill>
              <a:srgbClr val="FFFFFF"/>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crossAx val="578703096"/>
        <c:crosses val="autoZero"/>
        <c:crossBetween val="between"/>
      </c:valAx>
      <c:spPr>
        <a:noFill/>
        <a:ln>
          <a:noFill/>
        </a:ln>
        <a:effectLst/>
      </c:spPr>
    </c:plotArea>
    <c:legend>
      <c:legendPos val="t"/>
      <c:layout>
        <c:manualLayout>
          <c:xMode val="edge"/>
          <c:yMode val="edge"/>
          <c:x val="7.7111789597728866E-2"/>
          <c:y val="0.62013066764862179"/>
          <c:w val="0.59688291514581082"/>
          <c:h val="0.3049574767869782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legend>
    <c:plotVisOnly val="1"/>
    <c:dispBlanksAs val="gap"/>
    <c:showDLblsOverMax val="0"/>
  </c:chart>
  <c:spPr>
    <a:solidFill>
      <a:srgbClr val="FFFFFF"/>
    </a:solidFill>
    <a:ln w="25400" cap="flat" cmpd="sng" algn="ctr">
      <a:noFill/>
      <a:round/>
    </a:ln>
    <a:effectLst/>
  </c:spPr>
  <c:txPr>
    <a:bodyPr/>
    <a:lstStyle/>
    <a:p>
      <a:pPr>
        <a:defRPr sz="800">
          <a:solidFill>
            <a:sysClr val="windowText" lastClr="000000"/>
          </a:solidFill>
          <a:latin typeface="Arial Narrow" panose="020B0606020202030204" pitchFamily="34" charset="0"/>
          <a:ea typeface="Yu Gothic UI" panose="020B0500000000000000" pitchFamily="34" charset="-128"/>
        </a:defRPr>
      </a:pPr>
      <a:endParaRPr lang="sk-SK"/>
    </a:p>
  </c:txPr>
  <c:externalData r:id="rId4">
    <c:autoUpdate val="0"/>
  </c:externalData>
  <c:userShapes r:id="rId5"/>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xMode val="edge"/>
          <c:yMode val="edge"/>
          <c:x val="4.1582661290322578E-2"/>
          <c:y val="7.0196078431372572E-2"/>
          <c:w val="0.92993951612903225"/>
          <c:h val="0.90196078431372551"/>
        </c:manualLayout>
      </c:layout>
      <c:lineChart>
        <c:grouping val="standard"/>
        <c:varyColors val="0"/>
        <c:ser>
          <c:idx val="0"/>
          <c:order val="0"/>
          <c:tx>
            <c:strRef>
              <c:f>ESA_2010_GG_2025_2027!$AW$61</c:f>
              <c:strCache>
                <c:ptCount val="1"/>
                <c:pt idx="0">
                  <c:v>Úrokové náklady (ľavá os)</c:v>
                </c:pt>
              </c:strCache>
            </c:strRef>
          </c:tx>
          <c:spPr>
            <a:ln w="28575" cap="rnd">
              <a:solidFill>
                <a:srgbClr val="2EAAE1"/>
              </a:solidFill>
              <a:prstDash val="solid"/>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accent1"/>
                    </a:solidFill>
                    <a:latin typeface="Arial Narrow" panose="020B0606020202030204" pitchFamily="34" charset="0"/>
                    <a:ea typeface="Yu Gothic UI" panose="020B0500000000000000" pitchFamily="34" charset="-128"/>
                    <a:cs typeface="+mn-cs"/>
                  </a:defRPr>
                </a:pPr>
                <a:endParaRPr lang="sk-SK"/>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ESA_2010_GG_2025_2027!$AX$60:$BB$60</c:f>
              <c:numCache>
                <c:formatCode>General</c:formatCode>
                <c:ptCount val="5"/>
                <c:pt idx="0">
                  <c:v>2024</c:v>
                </c:pt>
                <c:pt idx="1">
                  <c:v>2025</c:v>
                </c:pt>
                <c:pt idx="2">
                  <c:v>2026</c:v>
                </c:pt>
                <c:pt idx="3">
                  <c:v>2027</c:v>
                </c:pt>
                <c:pt idx="4">
                  <c:v>2028</c:v>
                </c:pt>
              </c:numCache>
            </c:numRef>
          </c:cat>
          <c:val>
            <c:numRef>
              <c:f>ESA_2010_GG_2025_2027!$AX$61:$BB$61</c:f>
              <c:numCache>
                <c:formatCode>0.0</c:formatCode>
                <c:ptCount val="5"/>
                <c:pt idx="0">
                  <c:v>1.4294653230000598</c:v>
                </c:pt>
                <c:pt idx="1">
                  <c:v>1.5432087734732176</c:v>
                </c:pt>
                <c:pt idx="2">
                  <c:v>1.6210543859032787</c:v>
                </c:pt>
                <c:pt idx="3">
                  <c:v>1.8095603665663453</c:v>
                </c:pt>
                <c:pt idx="4">
                  <c:v>1.94</c:v>
                </c:pt>
              </c:numCache>
            </c:numRef>
          </c:val>
          <c:smooth val="0"/>
          <c:extLst>
            <c:ext xmlns:c16="http://schemas.microsoft.com/office/drawing/2014/chart" uri="{C3380CC4-5D6E-409C-BE32-E72D297353CC}">
              <c16:uniqueId val="{00000000-B013-4083-BAF2-5BCE3AD4A7DD}"/>
            </c:ext>
          </c:extLst>
        </c:ser>
        <c:dLbls>
          <c:showLegendKey val="0"/>
          <c:showVal val="0"/>
          <c:showCatName val="0"/>
          <c:showSerName val="0"/>
          <c:showPercent val="0"/>
          <c:showBubbleSize val="0"/>
        </c:dLbls>
        <c:marker val="1"/>
        <c:smooth val="0"/>
        <c:axId val="578703096"/>
        <c:axId val="578702704"/>
      </c:lineChart>
      <c:lineChart>
        <c:grouping val="standard"/>
        <c:varyColors val="0"/>
        <c:ser>
          <c:idx val="1"/>
          <c:order val="1"/>
          <c:tx>
            <c:strRef>
              <c:f>ESA_2010_GG_2025_2027!$AW$62</c:f>
              <c:strCache>
                <c:ptCount val="1"/>
                <c:pt idx="0">
                  <c:v>Príjmy bez nových opatrení a EU zdrojov (pravá os)</c:v>
                </c:pt>
              </c:strCache>
            </c:strRef>
          </c:tx>
          <c:spPr>
            <a:ln w="28575" cap="rnd">
              <a:solidFill>
                <a:srgbClr val="0C1D2B"/>
              </a:solidFill>
              <a:prstDash val="solid"/>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ESA_2010_GG_2025_2027!$AX$60:$BB$60</c:f>
              <c:numCache>
                <c:formatCode>General</c:formatCode>
                <c:ptCount val="5"/>
                <c:pt idx="0">
                  <c:v>2024</c:v>
                </c:pt>
                <c:pt idx="1">
                  <c:v>2025</c:v>
                </c:pt>
                <c:pt idx="2">
                  <c:v>2026</c:v>
                </c:pt>
                <c:pt idx="3">
                  <c:v>2027</c:v>
                </c:pt>
                <c:pt idx="4">
                  <c:v>2028</c:v>
                </c:pt>
              </c:numCache>
            </c:numRef>
          </c:cat>
          <c:val>
            <c:numRef>
              <c:f>ESA_2010_GG_2025_2027!$AX$62:$BB$62</c:f>
              <c:numCache>
                <c:formatCode>0.0</c:formatCode>
                <c:ptCount val="5"/>
                <c:pt idx="0">
                  <c:v>39.62408737416159</c:v>
                </c:pt>
                <c:pt idx="1">
                  <c:v>39.695803235564561</c:v>
                </c:pt>
                <c:pt idx="2">
                  <c:v>39.132277395142104</c:v>
                </c:pt>
                <c:pt idx="3">
                  <c:v>38.937625892306507</c:v>
                </c:pt>
                <c:pt idx="4">
                  <c:v>38.487846619800493</c:v>
                </c:pt>
              </c:numCache>
            </c:numRef>
          </c:val>
          <c:smooth val="0"/>
          <c:extLst>
            <c:ext xmlns:c16="http://schemas.microsoft.com/office/drawing/2014/chart" uri="{C3380CC4-5D6E-409C-BE32-E72D297353CC}">
              <c16:uniqueId val="{00000001-B013-4083-BAF2-5BCE3AD4A7DD}"/>
            </c:ext>
          </c:extLst>
        </c:ser>
        <c:dLbls>
          <c:showLegendKey val="0"/>
          <c:showVal val="0"/>
          <c:showCatName val="0"/>
          <c:showSerName val="0"/>
          <c:showPercent val="0"/>
          <c:showBubbleSize val="0"/>
        </c:dLbls>
        <c:marker val="1"/>
        <c:smooth val="0"/>
        <c:axId val="1029150640"/>
        <c:axId val="924407008"/>
      </c:lineChart>
      <c:catAx>
        <c:axId val="578703096"/>
        <c:scaling>
          <c:orientation val="minMax"/>
        </c:scaling>
        <c:delete val="0"/>
        <c:axPos val="b"/>
        <c:numFmt formatCode="General" sourceLinked="1"/>
        <c:majorTickMark val="none"/>
        <c:minorTickMark val="none"/>
        <c:tickLblPos val="low"/>
        <c:spPr>
          <a:noFill/>
          <a:ln w="12700" cap="flat" cmpd="sng" algn="ctr">
            <a:solidFill>
              <a:srgbClr val="686767"/>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crossAx val="578702704"/>
        <c:crosses val="autoZero"/>
        <c:auto val="1"/>
        <c:lblAlgn val="ctr"/>
        <c:lblOffset val="100"/>
        <c:noMultiLvlLbl val="0"/>
      </c:catAx>
      <c:valAx>
        <c:axId val="578702704"/>
        <c:scaling>
          <c:orientation val="minMax"/>
          <c:max val="3"/>
          <c:min val="1"/>
        </c:scaling>
        <c:delete val="0"/>
        <c:axPos val="l"/>
        <c:majorGridlines>
          <c:spPr>
            <a:ln w="3175" cap="flat" cmpd="sng" algn="ctr">
              <a:solidFill>
                <a:srgbClr val="686767">
                  <a:alpha val="25000"/>
                </a:srgbClr>
              </a:solidFill>
              <a:prstDash val="sysDot"/>
              <a:round/>
              <a:headEnd type="none" w="med" len="med"/>
              <a:tailEnd type="none" w="med" len="med"/>
            </a:ln>
            <a:effectLst/>
          </c:spPr>
        </c:majorGridlines>
        <c:numFmt formatCode="0.0" sourceLinked="0"/>
        <c:majorTickMark val="none"/>
        <c:minorTickMark val="none"/>
        <c:tickLblPos val="nextTo"/>
        <c:spPr>
          <a:noFill/>
          <a:ln>
            <a:solidFill>
              <a:srgbClr val="FFFFFF"/>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crossAx val="578703096"/>
        <c:crosses val="autoZero"/>
        <c:crossBetween val="between"/>
      </c:valAx>
      <c:valAx>
        <c:axId val="924407008"/>
        <c:scaling>
          <c:orientation val="minMax"/>
          <c:max val="40.4"/>
          <c:min val="38"/>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crossAx val="1029150640"/>
        <c:crosses val="max"/>
        <c:crossBetween val="between"/>
        <c:majorUnit val="0.4"/>
      </c:valAx>
      <c:catAx>
        <c:axId val="1029150640"/>
        <c:scaling>
          <c:orientation val="minMax"/>
        </c:scaling>
        <c:delete val="1"/>
        <c:axPos val="b"/>
        <c:numFmt formatCode="General" sourceLinked="1"/>
        <c:majorTickMark val="out"/>
        <c:minorTickMark val="none"/>
        <c:tickLblPos val="nextTo"/>
        <c:crossAx val="924407008"/>
        <c:crosses val="autoZero"/>
        <c:auto val="1"/>
        <c:lblAlgn val="ctr"/>
        <c:lblOffset val="100"/>
        <c:noMultiLvlLbl val="0"/>
      </c:catAx>
      <c:spPr>
        <a:noFill/>
        <a:ln>
          <a:noFill/>
        </a:ln>
        <a:effectLst/>
      </c:spPr>
    </c:plotArea>
    <c:legend>
      <c:legendPos val="t"/>
      <c:layout>
        <c:manualLayout>
          <c:xMode val="edge"/>
          <c:yMode val="edge"/>
          <c:x val="0.12576323288494015"/>
          <c:y val="4.9428483163422923E-2"/>
          <c:w val="0.77192667016912986"/>
          <c:h val="0.1201034300740210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legend>
    <c:plotVisOnly val="1"/>
    <c:dispBlanksAs val="gap"/>
    <c:showDLblsOverMax val="0"/>
  </c:chart>
  <c:spPr>
    <a:solidFill>
      <a:srgbClr val="FFFFFF"/>
    </a:solidFill>
    <a:ln w="25400" cap="flat" cmpd="sng" algn="ctr">
      <a:noFill/>
      <a:round/>
    </a:ln>
    <a:effectLst/>
  </c:spPr>
  <c:txPr>
    <a:bodyPr/>
    <a:lstStyle/>
    <a:p>
      <a:pPr>
        <a:defRPr sz="800">
          <a:solidFill>
            <a:sysClr val="windowText" lastClr="000000"/>
          </a:solidFill>
          <a:latin typeface="Arial Narrow" panose="020B0606020202030204" pitchFamily="34" charset="0"/>
          <a:ea typeface="Yu Gothic UI" panose="020B0500000000000000" pitchFamily="34" charset="-128"/>
        </a:defRPr>
      </a:pPr>
      <a:endParaRPr lang="sk-SK"/>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269431667576207"/>
          <c:y val="0.22792477863344004"/>
          <c:w val="0.84882796281825579"/>
          <c:h val="0.65282685818118902"/>
        </c:manualLayout>
      </c:layout>
      <c:barChart>
        <c:barDir val="col"/>
        <c:grouping val="stacked"/>
        <c:varyColors val="0"/>
        <c:ser>
          <c:idx val="1"/>
          <c:order val="0"/>
          <c:tx>
            <c:strRef>
              <c:f>graf!$C$18</c:f>
              <c:strCache>
                <c:ptCount val="1"/>
                <c:pt idx="0">
                  <c:v>Opatrenia na príjmoch spolu</c:v>
                </c:pt>
              </c:strCache>
            </c:strRef>
          </c:tx>
          <c:spPr>
            <a:solidFill>
              <a:srgbClr val="2C9ADC"/>
            </a:solidFill>
            <a:ln>
              <a:noFill/>
              <a:prstDash val="solid"/>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graf!$D$3:$G$3</c:f>
              <c:strCache>
                <c:ptCount val="4"/>
                <c:pt idx="0">
                  <c:v>2025 </c:v>
                </c:pt>
                <c:pt idx="1">
                  <c:v>2026</c:v>
                </c:pt>
                <c:pt idx="2">
                  <c:v>2027</c:v>
                </c:pt>
                <c:pt idx="3">
                  <c:v>2028</c:v>
                </c:pt>
              </c:strCache>
            </c:strRef>
          </c:cat>
          <c:val>
            <c:numRef>
              <c:f>graf!$D$18:$G$18</c:f>
              <c:numCache>
                <c:formatCode>#\ ##0.0</c:formatCode>
                <c:ptCount val="4"/>
                <c:pt idx="0">
                  <c:v>1.4243636054201654</c:v>
                </c:pt>
                <c:pt idx="1">
                  <c:v>1.6598194882984643</c:v>
                </c:pt>
                <c:pt idx="2">
                  <c:v>1.6457617263608821</c:v>
                </c:pt>
                <c:pt idx="3">
                  <c:v>1.6954829868536034</c:v>
                </c:pt>
              </c:numCache>
            </c:numRef>
          </c:val>
          <c:extLst>
            <c:ext xmlns:c16="http://schemas.microsoft.com/office/drawing/2014/chart" uri="{C3380CC4-5D6E-409C-BE32-E72D297353CC}">
              <c16:uniqueId val="{00000000-ADC5-42A3-B4A2-2B6AE432A9F6}"/>
            </c:ext>
          </c:extLst>
        </c:ser>
        <c:ser>
          <c:idx val="0"/>
          <c:order val="1"/>
          <c:tx>
            <c:strRef>
              <c:f>graf!$C$19</c:f>
              <c:strCache>
                <c:ptCount val="1"/>
                <c:pt idx="0">
                  <c:v>Opatrenia na výdavkoch spolu</c:v>
                </c:pt>
              </c:strCache>
            </c:strRef>
          </c:tx>
          <c:spPr>
            <a:solidFill>
              <a:sysClr val="window" lastClr="FFFFFF">
                <a:lumMod val="50000"/>
              </a:sys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graf!$D$3:$G$3</c:f>
              <c:strCache>
                <c:ptCount val="4"/>
                <c:pt idx="0">
                  <c:v>2025 </c:v>
                </c:pt>
                <c:pt idx="1">
                  <c:v>2026</c:v>
                </c:pt>
                <c:pt idx="2">
                  <c:v>2027</c:v>
                </c:pt>
                <c:pt idx="3">
                  <c:v>2028</c:v>
                </c:pt>
              </c:strCache>
            </c:strRef>
          </c:cat>
          <c:val>
            <c:numRef>
              <c:f>graf!$D$19:$G$19</c:f>
              <c:numCache>
                <c:formatCode>#\ ##0.0</c:formatCode>
                <c:ptCount val="4"/>
                <c:pt idx="0">
                  <c:v>0.56396880052256149</c:v>
                </c:pt>
                <c:pt idx="1">
                  <c:v>0.56549269274135816</c:v>
                </c:pt>
                <c:pt idx="2">
                  <c:v>0.56852391905038457</c:v>
                </c:pt>
                <c:pt idx="3">
                  <c:v>0.56368976952291616</c:v>
                </c:pt>
              </c:numCache>
            </c:numRef>
          </c:val>
          <c:extLst>
            <c:ext xmlns:c16="http://schemas.microsoft.com/office/drawing/2014/chart" uri="{C3380CC4-5D6E-409C-BE32-E72D297353CC}">
              <c16:uniqueId val="{00000001-ADC5-42A3-B4A2-2B6AE432A9F6}"/>
            </c:ext>
          </c:extLst>
        </c:ser>
        <c:dLbls>
          <c:showLegendKey val="0"/>
          <c:showVal val="0"/>
          <c:showCatName val="0"/>
          <c:showSerName val="0"/>
          <c:showPercent val="0"/>
          <c:showBubbleSize val="0"/>
        </c:dLbls>
        <c:gapWidth val="150"/>
        <c:overlap val="100"/>
        <c:axId val="539840240"/>
        <c:axId val="539840632"/>
      </c:barChart>
      <c:lineChart>
        <c:grouping val="standard"/>
        <c:varyColors val="0"/>
        <c:ser>
          <c:idx val="2"/>
          <c:order val="2"/>
          <c:tx>
            <c:strRef>
              <c:f>graf!$C$20</c:f>
              <c:strCache>
                <c:ptCount val="1"/>
                <c:pt idx="0">
                  <c:v>Spolu</c:v>
                </c:pt>
              </c:strCache>
            </c:strRef>
          </c:tx>
          <c:spPr>
            <a:ln>
              <a:noFill/>
            </a:ln>
          </c:spPr>
          <c:marker>
            <c:symbol val="circle"/>
            <c:size val="5"/>
            <c:spPr>
              <a:solidFill>
                <a:sysClr val="windowText" lastClr="000000"/>
              </a:solidFill>
              <a:ln>
                <a:noFill/>
              </a:ln>
            </c:spPr>
          </c:marker>
          <c:dLbls>
            <c:spPr>
              <a:noFill/>
              <a:ln>
                <a:noFill/>
              </a:ln>
              <a:effectLst/>
            </c:spPr>
            <c:txPr>
              <a:bodyPr wrap="square" lIns="38100" tIns="19050" rIns="38100" bIns="19050" anchor="ctr">
                <a:spAutoFit/>
              </a:bodyPr>
              <a:lstStyle/>
              <a:p>
                <a:pPr>
                  <a:defRPr b="1"/>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graf!$D$3:$G$3</c:f>
              <c:strCache>
                <c:ptCount val="4"/>
                <c:pt idx="0">
                  <c:v>2025 </c:v>
                </c:pt>
                <c:pt idx="1">
                  <c:v>2026</c:v>
                </c:pt>
                <c:pt idx="2">
                  <c:v>2027</c:v>
                </c:pt>
                <c:pt idx="3">
                  <c:v>2028</c:v>
                </c:pt>
              </c:strCache>
            </c:strRef>
          </c:cat>
          <c:val>
            <c:numRef>
              <c:f>graf!$D$20:$G$20</c:f>
              <c:numCache>
                <c:formatCode>#\ ##0.0</c:formatCode>
                <c:ptCount val="4"/>
                <c:pt idx="0">
                  <c:v>1.9883324059427268</c:v>
                </c:pt>
                <c:pt idx="1">
                  <c:v>2.2253121810398224</c:v>
                </c:pt>
                <c:pt idx="2">
                  <c:v>2.2142856454112669</c:v>
                </c:pt>
                <c:pt idx="3">
                  <c:v>2.2591727563765196</c:v>
                </c:pt>
              </c:numCache>
            </c:numRef>
          </c:val>
          <c:smooth val="0"/>
          <c:extLst>
            <c:ext xmlns:c16="http://schemas.microsoft.com/office/drawing/2014/chart" uri="{C3380CC4-5D6E-409C-BE32-E72D297353CC}">
              <c16:uniqueId val="{00000002-ADC5-42A3-B4A2-2B6AE432A9F6}"/>
            </c:ext>
          </c:extLst>
        </c:ser>
        <c:dLbls>
          <c:showLegendKey val="0"/>
          <c:showVal val="0"/>
          <c:showCatName val="0"/>
          <c:showSerName val="0"/>
          <c:showPercent val="0"/>
          <c:showBubbleSize val="0"/>
        </c:dLbls>
        <c:marker val="1"/>
        <c:smooth val="0"/>
        <c:axId val="539840240"/>
        <c:axId val="539840632"/>
      </c:lineChart>
      <c:catAx>
        <c:axId val="539840240"/>
        <c:scaling>
          <c:orientation val="minMax"/>
        </c:scaling>
        <c:delete val="0"/>
        <c:axPos val="b"/>
        <c:numFmt formatCode="General" sourceLinked="1"/>
        <c:majorTickMark val="none"/>
        <c:minorTickMark val="none"/>
        <c:tickLblPos val="low"/>
        <c:spPr>
          <a:ln w="12700">
            <a:solidFill>
              <a:srgbClr val="686767"/>
            </a:solidFill>
          </a:ln>
        </c:spPr>
        <c:crossAx val="539840632"/>
        <c:crosses val="autoZero"/>
        <c:auto val="1"/>
        <c:lblAlgn val="ctr"/>
        <c:lblOffset val="100"/>
        <c:noMultiLvlLbl val="1"/>
      </c:catAx>
      <c:valAx>
        <c:axId val="539840632"/>
        <c:scaling>
          <c:orientation val="minMax"/>
        </c:scaling>
        <c:delete val="0"/>
        <c:axPos val="l"/>
        <c:majorGridlines>
          <c:spPr>
            <a:ln w="3175" cap="flat" cmpd="sng" algn="ctr">
              <a:solidFill>
                <a:srgbClr val="686767">
                  <a:alpha val="25000"/>
                </a:srgbClr>
              </a:solidFill>
              <a:prstDash val="sysDot"/>
              <a:round/>
              <a:headEnd type="none" w="med" len="med"/>
              <a:tailEnd type="none" w="med" len="med"/>
            </a:ln>
          </c:spPr>
        </c:majorGridlines>
        <c:numFmt formatCode="#,##0.0" sourceLinked="0"/>
        <c:majorTickMark val="out"/>
        <c:minorTickMark val="none"/>
        <c:tickLblPos val="nextTo"/>
        <c:spPr>
          <a:ln>
            <a:solidFill>
              <a:srgbClr val="FFFFFF"/>
            </a:solidFill>
          </a:ln>
        </c:spPr>
        <c:crossAx val="539840240"/>
        <c:crosses val="autoZero"/>
        <c:crossBetween val="between"/>
      </c:valAx>
    </c:plotArea>
    <c:legend>
      <c:legendPos val="t"/>
      <c:layout>
        <c:manualLayout>
          <c:xMode val="edge"/>
          <c:yMode val="edge"/>
          <c:x val="6.5119179927514828E-2"/>
          <c:y val="1.4652014652014652E-2"/>
          <c:w val="0.93488082007248519"/>
          <c:h val="8.3800294193994984E-2"/>
        </c:manualLayout>
      </c:layout>
      <c:overlay val="0"/>
    </c:legend>
    <c:plotVisOnly val="1"/>
    <c:dispBlanksAs val="gap"/>
    <c:showDLblsOverMax val="0"/>
  </c:chart>
  <c:spPr>
    <a:ln w="9525">
      <a:noFill/>
    </a:ln>
  </c:spPr>
  <c:txPr>
    <a:bodyPr/>
    <a:lstStyle/>
    <a:p>
      <a:pPr>
        <a:defRPr sz="800">
          <a:solidFill>
            <a:sysClr val="windowText" lastClr="000000"/>
          </a:solidFill>
          <a:latin typeface="Arial Narrow" panose="020B0606020202030204" pitchFamily="34" charset="0"/>
          <a:ea typeface="Yu Gothic" panose="020B0400000000000000" pitchFamily="34" charset="-128"/>
        </a:defRPr>
      </a:pPr>
      <a:endParaRPr lang="sk-SK"/>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xMode val="edge"/>
          <c:yMode val="edge"/>
          <c:x val="4.1582661290322578E-2"/>
          <c:y val="7.0196078431372572E-2"/>
          <c:w val="0.92993951612903225"/>
          <c:h val="0.90196078431372551"/>
        </c:manualLayout>
      </c:layout>
      <c:barChart>
        <c:barDir val="col"/>
        <c:grouping val="stacked"/>
        <c:varyColors val="0"/>
        <c:ser>
          <c:idx val="0"/>
          <c:order val="0"/>
          <c:tx>
            <c:strRef>
              <c:f>Hárok1!$J$23</c:f>
              <c:strCache>
                <c:ptCount val="1"/>
                <c:pt idx="0">
                  <c:v>Nové výdavkové politky</c:v>
                </c:pt>
              </c:strCache>
            </c:strRef>
          </c:tx>
          <c:spPr>
            <a:solidFill>
              <a:srgbClr val="5B9BD5">
                <a:lumMod val="40000"/>
                <a:lumOff val="6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[6]SS_EK!$P$3:$S$3</c:f>
              <c:numCache>
                <c:formatCode>General</c:formatCode>
                <c:ptCount val="4"/>
                <c:pt idx="0">
                  <c:v>2025</c:v>
                </c:pt>
                <c:pt idx="1">
                  <c:v>2026</c:v>
                </c:pt>
                <c:pt idx="2">
                  <c:v>2027</c:v>
                </c:pt>
                <c:pt idx="3">
                  <c:v>2028</c:v>
                </c:pt>
              </c:numCache>
            </c:numRef>
          </c:cat>
          <c:val>
            <c:numRef>
              <c:f>Hárok1!$K$23:$N$23</c:f>
              <c:numCache>
                <c:formatCode>0.0</c:formatCode>
                <c:ptCount val="4"/>
                <c:pt idx="0">
                  <c:v>0.33238127771666176</c:v>
                </c:pt>
                <c:pt idx="1">
                  <c:v>0.32131375925665751</c:v>
                </c:pt>
                <c:pt idx="2">
                  <c:v>0.32612073649567663</c:v>
                </c:pt>
                <c:pt idx="3">
                  <c:v>0.32691334213180206</c:v>
                </c:pt>
              </c:numCache>
            </c:numRef>
          </c:val>
          <c:extLst>
            <c:ext xmlns:c16="http://schemas.microsoft.com/office/drawing/2014/chart" uri="{C3380CC4-5D6E-409C-BE32-E72D297353CC}">
              <c16:uniqueId val="{00000000-0E96-4C18-845D-97881F369BB3}"/>
            </c:ext>
          </c:extLst>
        </c:ser>
        <c:ser>
          <c:idx val="1"/>
          <c:order val="1"/>
          <c:tx>
            <c:strRef>
              <c:f>Hárok1!$J$22</c:f>
              <c:strCache>
                <c:ptCount val="1"/>
                <c:pt idx="0">
                  <c:v>Rezerva na nepriaznivý vývoj</c:v>
                </c:pt>
              </c:strCache>
            </c:strRef>
          </c:tx>
          <c:spPr>
            <a:solidFill>
              <a:sysClr val="window" lastClr="FFFFFF">
                <a:lumMod val="65000"/>
              </a:sys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Hárok1!$K$22:$N$22</c:f>
              <c:numCache>
                <c:formatCode>0.0</c:formatCode>
                <c:ptCount val="4"/>
                <c:pt idx="0">
                  <c:v>0.30126941703960614</c:v>
                </c:pt>
                <c:pt idx="1">
                  <c:v>0.29937848439248371</c:v>
                </c:pt>
                <c:pt idx="2">
                  <c:v>0.30365092555061002</c:v>
                </c:pt>
                <c:pt idx="3">
                  <c:v>0.30391327618573333</c:v>
                </c:pt>
              </c:numCache>
            </c:numRef>
          </c:val>
          <c:extLst>
            <c:ext xmlns:c16="http://schemas.microsoft.com/office/drawing/2014/chart" uri="{C3380CC4-5D6E-409C-BE32-E72D297353CC}">
              <c16:uniqueId val="{00000001-0E96-4C18-845D-97881F369BB3}"/>
            </c:ext>
          </c:extLst>
        </c:ser>
        <c:dLbls>
          <c:showLegendKey val="0"/>
          <c:showVal val="0"/>
          <c:showCatName val="0"/>
          <c:showSerName val="0"/>
          <c:showPercent val="0"/>
          <c:showBubbleSize val="0"/>
        </c:dLbls>
        <c:gapWidth val="150"/>
        <c:overlap val="100"/>
        <c:axId val="578703096"/>
        <c:axId val="578702704"/>
      </c:barChart>
      <c:lineChart>
        <c:grouping val="standard"/>
        <c:varyColors val="0"/>
        <c:ser>
          <c:idx val="2"/>
          <c:order val="2"/>
          <c:tx>
            <c:strRef>
              <c:f>Hárok1!$J$21</c:f>
              <c:strCache>
                <c:ptCount val="1"/>
                <c:pt idx="0">
                  <c:v>Spolu</c:v>
                </c:pt>
              </c:strCache>
            </c:strRef>
          </c:tx>
          <c:spPr>
            <a:ln w="28575" cap="rnd">
              <a:noFill/>
              <a:round/>
            </a:ln>
            <a:effectLst/>
          </c:spPr>
          <c:marker>
            <c:symbol val="circle"/>
            <c:size val="5"/>
            <c:spPr>
              <a:solidFill>
                <a:sysClr val="windowText" lastClr="000000"/>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Hárok1!$K$21:$N$21</c:f>
              <c:numCache>
                <c:formatCode>0.0</c:formatCode>
                <c:ptCount val="4"/>
                <c:pt idx="0">
                  <c:v>0.6336506947562679</c:v>
                </c:pt>
                <c:pt idx="1">
                  <c:v>0.62069224364914122</c:v>
                </c:pt>
                <c:pt idx="2">
                  <c:v>0.62977166204628665</c:v>
                </c:pt>
                <c:pt idx="3">
                  <c:v>0.63082661831753539</c:v>
                </c:pt>
              </c:numCache>
            </c:numRef>
          </c:val>
          <c:smooth val="0"/>
          <c:extLst>
            <c:ext xmlns:c16="http://schemas.microsoft.com/office/drawing/2014/chart" uri="{C3380CC4-5D6E-409C-BE32-E72D297353CC}">
              <c16:uniqueId val="{00000002-0E96-4C18-845D-97881F369BB3}"/>
            </c:ext>
          </c:extLst>
        </c:ser>
        <c:dLbls>
          <c:showLegendKey val="0"/>
          <c:showVal val="0"/>
          <c:showCatName val="0"/>
          <c:showSerName val="0"/>
          <c:showPercent val="0"/>
          <c:showBubbleSize val="0"/>
        </c:dLbls>
        <c:marker val="1"/>
        <c:smooth val="0"/>
        <c:axId val="578703096"/>
        <c:axId val="578702704"/>
      </c:lineChart>
      <c:catAx>
        <c:axId val="578703096"/>
        <c:scaling>
          <c:orientation val="minMax"/>
        </c:scaling>
        <c:delete val="0"/>
        <c:axPos val="b"/>
        <c:numFmt formatCode="General" sourceLinked="1"/>
        <c:majorTickMark val="none"/>
        <c:minorTickMark val="none"/>
        <c:tickLblPos val="low"/>
        <c:spPr>
          <a:noFill/>
          <a:ln w="12700" cap="flat" cmpd="sng" algn="ctr">
            <a:solidFill>
              <a:srgbClr val="686767"/>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crossAx val="578702704"/>
        <c:crosses val="autoZero"/>
        <c:auto val="1"/>
        <c:lblAlgn val="ctr"/>
        <c:lblOffset val="100"/>
        <c:noMultiLvlLbl val="0"/>
      </c:catAx>
      <c:valAx>
        <c:axId val="578702704"/>
        <c:scaling>
          <c:orientation val="minMax"/>
          <c:max val="0.9"/>
          <c:min val="0"/>
        </c:scaling>
        <c:delete val="0"/>
        <c:axPos val="l"/>
        <c:majorGridlines>
          <c:spPr>
            <a:ln w="3175" cap="flat" cmpd="sng" algn="ctr">
              <a:solidFill>
                <a:srgbClr val="686767">
                  <a:alpha val="25000"/>
                </a:srgbClr>
              </a:solidFill>
              <a:prstDash val="sysDot"/>
              <a:round/>
              <a:headEnd type="none" w="med" len="med"/>
              <a:tailEnd type="none" w="med" len="med"/>
            </a:ln>
            <a:effectLst/>
          </c:spPr>
        </c:majorGridlines>
        <c:numFmt formatCode="0.0" sourceLinked="0"/>
        <c:majorTickMark val="none"/>
        <c:minorTickMark val="none"/>
        <c:tickLblPos val="nextTo"/>
        <c:spPr>
          <a:noFill/>
          <a:ln>
            <a:solidFill>
              <a:srgbClr val="FFFFFF"/>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crossAx val="578703096"/>
        <c:crosses val="autoZero"/>
        <c:crossBetween val="between"/>
      </c:valAx>
      <c:spPr>
        <a:noFill/>
        <a:ln>
          <a:noFill/>
        </a:ln>
        <a:effectLst/>
      </c:spPr>
    </c:plotArea>
    <c:legend>
      <c:legendPos val="t"/>
      <c:layout>
        <c:manualLayout>
          <c:xMode val="edge"/>
          <c:yMode val="edge"/>
          <c:x val="9.7765363128491614E-2"/>
          <c:y val="2.8780037301125636E-2"/>
          <c:w val="0.88436853912813973"/>
          <c:h val="6.1879089180874487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legend>
    <c:plotVisOnly val="1"/>
    <c:dispBlanksAs val="gap"/>
    <c:showDLblsOverMax val="0"/>
  </c:chart>
  <c:spPr>
    <a:solidFill>
      <a:srgbClr val="FFFFFF"/>
    </a:solidFill>
    <a:ln w="25400" cap="flat" cmpd="sng" algn="ctr">
      <a:noFill/>
      <a:round/>
    </a:ln>
    <a:effectLst/>
  </c:spPr>
  <c:txPr>
    <a:bodyPr/>
    <a:lstStyle/>
    <a:p>
      <a:pPr>
        <a:defRPr sz="800">
          <a:solidFill>
            <a:sysClr val="windowText" lastClr="000000"/>
          </a:solidFill>
          <a:latin typeface="Arial Narrow" panose="020B0606020202030204" pitchFamily="34" charset="0"/>
          <a:ea typeface="Yu Gothic UI" panose="020B0500000000000000" pitchFamily="34" charset="-128"/>
        </a:defRPr>
      </a:pPr>
      <a:endParaRPr lang="sk-SK"/>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899494706018891"/>
          <c:y val="0.19653179190751446"/>
          <c:w val="0.82111843162461839"/>
          <c:h val="0.70569068317327388"/>
        </c:manualLayout>
      </c:layout>
      <c:barChart>
        <c:barDir val="col"/>
        <c:grouping val="clustered"/>
        <c:varyColors val="0"/>
        <c:ser>
          <c:idx val="1"/>
          <c:order val="0"/>
          <c:tx>
            <c:strRef>
              <c:f>Dashboard!$B$36</c:f>
              <c:strCache>
                <c:ptCount val="1"/>
                <c:pt idx="0">
                  <c:v>Aktuálny návrh RVS 2025-2027</c:v>
                </c:pt>
              </c:strCache>
            </c:strRef>
          </c:tx>
          <c:spPr>
            <a:solidFill>
              <a:srgbClr val="002060"/>
            </a:solidFill>
            <a:ln w="25400">
              <a:noFill/>
            </a:ln>
            <a:effectLst/>
          </c:spPr>
          <c:invertIfNegative val="0"/>
          <c:dPt>
            <c:idx val="3"/>
            <c:invertIfNegative val="0"/>
            <c:bubble3D val="0"/>
            <c:spPr>
              <a:pattFill prst="dkUpDiag">
                <a:fgClr>
                  <a:srgbClr val="002060"/>
                </a:fgClr>
                <a:bgClr>
                  <a:sysClr val="window" lastClr="FFFFFF"/>
                </a:bgClr>
              </a:pattFill>
              <a:ln w="25400">
                <a:noFill/>
              </a:ln>
              <a:effectLst/>
            </c:spPr>
            <c:extLst>
              <c:ext xmlns:c16="http://schemas.microsoft.com/office/drawing/2014/chart" uri="{C3380CC4-5D6E-409C-BE32-E72D297353CC}">
                <c16:uniqueId val="{00000000-69C6-4EE2-8D3F-0810A172126F}"/>
              </c:ext>
            </c:extLst>
          </c:dPt>
          <c:dLbls>
            <c:dLbl>
              <c:idx val="1"/>
              <c:layout>
                <c:manualLayout>
                  <c:x val="0"/>
                  <c:y val="1.7199945382549726E-2"/>
                </c:manualLayout>
              </c:layout>
              <c:numFmt formatCode="0.0%" sourceLinked="0"/>
              <c:spPr>
                <a:noFill/>
                <a:ln w="3175">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Narrow" panose="020B0606020202030204" pitchFamily="34" charset="0"/>
                      <a:ea typeface="+mn-ea"/>
                      <a:cs typeface="+mn-cs"/>
                    </a:defRPr>
                  </a:pPr>
                  <a:endParaRPr lang="sk-SK"/>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9C6-4EE2-8D3F-0810A172126F}"/>
                </c:ext>
              </c:extLst>
            </c:dLbl>
            <c:dLbl>
              <c:idx val="2"/>
              <c:layout>
                <c:manualLayout>
                  <c:x val="0"/>
                  <c:y val="1.4293386737062465E-2"/>
                </c:manualLayout>
              </c:layout>
              <c:numFmt formatCode="0.0%" sourceLinked="0"/>
              <c:spPr>
                <a:noFill/>
                <a:ln w="3175">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Arial Narrow" panose="020B0606020202030204" pitchFamily="34" charset="0"/>
                      <a:ea typeface="+mn-ea"/>
                      <a:cs typeface="+mn-cs"/>
                    </a:defRPr>
                  </a:pPr>
                  <a:endParaRPr lang="sk-SK"/>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9C6-4EE2-8D3F-0810A172126F}"/>
                </c:ext>
              </c:extLst>
            </c:dLbl>
            <c:dLbl>
              <c:idx val="3"/>
              <c:layout>
                <c:manualLayout>
                  <c:x val="0"/>
                  <c:y val="1.7252287105730228E-2"/>
                </c:manualLayout>
              </c:layout>
              <c:tx>
                <c:rich>
                  <a:bodyPr rot="0" spcFirstLastPara="1" vertOverflow="ellipsis" vert="horz" wrap="square" lIns="38100" tIns="19050" rIns="38100" bIns="19050" anchor="ctr" anchorCtr="1">
                    <a:spAutoFit/>
                  </a:bodyPr>
                  <a:lstStyle/>
                  <a:p>
                    <a:pPr>
                      <a:defRPr sz="800" b="1" i="0" u="none" strike="noStrike" kern="1200" baseline="0">
                        <a:solidFill>
                          <a:schemeClr val="bg1">
                            <a:lumMod val="50000"/>
                          </a:schemeClr>
                        </a:solidFill>
                        <a:latin typeface="Arial Narrow" panose="020B0606020202030204" pitchFamily="34" charset="0"/>
                        <a:ea typeface="+mn-ea"/>
                        <a:cs typeface="+mn-cs"/>
                      </a:defRPr>
                    </a:pPr>
                    <a:fld id="{65644E0B-4057-4C86-9724-39C702DF71DF}" type="VALUE">
                      <a:rPr lang="en-US">
                        <a:solidFill>
                          <a:schemeClr val="bg1">
                            <a:lumMod val="50000"/>
                          </a:schemeClr>
                        </a:solidFill>
                      </a:rPr>
                      <a:pPr>
                        <a:defRPr b="1">
                          <a:solidFill>
                            <a:schemeClr val="bg1">
                              <a:lumMod val="50000"/>
                            </a:schemeClr>
                          </a:solidFill>
                        </a:defRPr>
                      </a:pPr>
                      <a:t>[HODNOTA]</a:t>
                    </a:fld>
                    <a:r>
                      <a:rPr lang="en-US">
                        <a:solidFill>
                          <a:schemeClr val="bg1">
                            <a:lumMod val="50000"/>
                          </a:schemeClr>
                        </a:solidFill>
                      </a:rPr>
                      <a:t>*</a:t>
                    </a:r>
                  </a:p>
                </c:rich>
              </c:tx>
              <c:numFmt formatCode="0.0%" sourceLinked="0"/>
              <c:spPr>
                <a:noFill/>
                <a:ln w="3175">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lumMod val="50000"/>
                        </a:schemeClr>
                      </a:solidFill>
                      <a:latin typeface="Arial Narrow" panose="020B0606020202030204" pitchFamily="34" charset="0"/>
                      <a:ea typeface="+mn-ea"/>
                      <a:cs typeface="+mn-cs"/>
                    </a:defRPr>
                  </a:pPr>
                  <a:endParaRPr lang="sk-SK"/>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69C6-4EE2-8D3F-0810A172126F}"/>
                </c:ext>
              </c:extLst>
            </c:dLbl>
            <c:numFmt formatCode="0.0%" sourceLinked="0"/>
            <c:spPr>
              <a:noFill/>
              <a:ln w="3175">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Narrow" panose="020B0606020202030204" pitchFamily="34" charset="0"/>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'MTP_2024 (sept 24)_7Y'!$Z$4:$AD$4</c:f>
              <c:numCache>
                <c:formatCode>General</c:formatCode>
                <c:ptCount val="5"/>
                <c:pt idx="0">
                  <c:v>2024</c:v>
                </c:pt>
                <c:pt idx="1">
                  <c:v>2025</c:v>
                </c:pt>
                <c:pt idx="2">
                  <c:v>2026</c:v>
                </c:pt>
                <c:pt idx="3">
                  <c:v>2027</c:v>
                </c:pt>
                <c:pt idx="4">
                  <c:v>2028</c:v>
                </c:pt>
              </c:numCache>
            </c:numRef>
          </c:cat>
          <c:val>
            <c:numRef>
              <c:f>Dashboard!$C$36:$F$36</c:f>
              <c:numCache>
                <c:formatCode>0.0%</c:formatCode>
                <c:ptCount val="4"/>
                <c:pt idx="0">
                  <c:v>3.6970211705043887E-2</c:v>
                </c:pt>
                <c:pt idx="1">
                  <c:v>1.4160434813417888E-2</c:v>
                </c:pt>
                <c:pt idx="2">
                  <c:v>4.1565060894371841E-2</c:v>
                </c:pt>
                <c:pt idx="3">
                  <c:v>4.1942438162902773E-2</c:v>
                </c:pt>
              </c:numCache>
            </c:numRef>
          </c:val>
          <c:extLst>
            <c:ext xmlns:c16="http://schemas.microsoft.com/office/drawing/2014/chart" uri="{C3380CC4-5D6E-409C-BE32-E72D297353CC}">
              <c16:uniqueId val="{00000002-69C6-4EE2-8D3F-0810A172126F}"/>
            </c:ext>
          </c:extLst>
        </c:ser>
        <c:dLbls>
          <c:showLegendKey val="0"/>
          <c:showVal val="0"/>
          <c:showCatName val="0"/>
          <c:showSerName val="0"/>
          <c:showPercent val="0"/>
          <c:showBubbleSize val="0"/>
        </c:dLbls>
        <c:gapWidth val="75"/>
        <c:overlap val="-27"/>
        <c:axId val="136829871"/>
        <c:axId val="122363807"/>
      </c:barChart>
      <c:lineChart>
        <c:grouping val="standard"/>
        <c:varyColors val="0"/>
        <c:ser>
          <c:idx val="0"/>
          <c:order val="1"/>
          <c:tx>
            <c:strRef>
              <c:f>Dashboard!$B$35</c:f>
              <c:strCache>
                <c:ptCount val="1"/>
                <c:pt idx="0">
                  <c:v>Zvolená trajektória čistých výdavkov (4-ročný plán)</c:v>
                </c:pt>
              </c:strCache>
            </c:strRef>
          </c:tx>
          <c:spPr>
            <a:ln w="28575" cap="rnd">
              <a:noFill/>
              <a:round/>
            </a:ln>
            <a:effectLst/>
          </c:spPr>
          <c:marker>
            <c:symbol val="diamond"/>
            <c:size val="7"/>
            <c:spPr>
              <a:solidFill>
                <a:srgbClr val="2C9ADC"/>
              </a:solidFill>
              <a:ln w="9525">
                <a:solidFill>
                  <a:schemeClr val="bg1"/>
                </a:solidFill>
              </a:ln>
              <a:effectLst/>
            </c:spPr>
          </c:marker>
          <c:dLbls>
            <c:numFmt formatCode="0.0%" sourceLinked="0"/>
            <c:spPr>
              <a:solidFill>
                <a:schemeClr val="bg1"/>
              </a:solidFill>
              <a:ln>
                <a:solidFill>
                  <a:srgbClr val="2C9ADC"/>
                </a:solidFill>
              </a:ln>
              <a:effectLst/>
            </c:spPr>
            <c:txPr>
              <a:bodyPr rot="0" spcFirstLastPara="1" vertOverflow="ellipsis" vert="horz" wrap="square" anchor="ctr" anchorCtr="1"/>
              <a:lstStyle/>
              <a:p>
                <a:pPr>
                  <a:defRPr sz="800" b="1" i="0" u="none" strike="noStrike" kern="1200" baseline="0">
                    <a:solidFill>
                      <a:srgbClr val="2C9ADC"/>
                    </a:solidFill>
                    <a:latin typeface="Arial Narrow" panose="020B0606020202030204" pitchFamily="34" charset="0"/>
                    <a:ea typeface="+mn-ea"/>
                    <a:cs typeface="+mn-cs"/>
                  </a:defRPr>
                </a:pPr>
                <a:endParaRPr lang="sk-SK"/>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Dashboard!$C$34:$F$34</c:f>
              <c:numCache>
                <c:formatCode>General</c:formatCode>
                <c:ptCount val="4"/>
                <c:pt idx="0">
                  <c:v>2025</c:v>
                </c:pt>
                <c:pt idx="1">
                  <c:v>2026</c:v>
                </c:pt>
                <c:pt idx="2">
                  <c:v>2027</c:v>
                </c:pt>
                <c:pt idx="3">
                  <c:v>2028</c:v>
                </c:pt>
              </c:numCache>
            </c:numRef>
          </c:cat>
          <c:val>
            <c:numRef>
              <c:f>Dashboard!$C$35:$F$35</c:f>
              <c:numCache>
                <c:formatCode>0.0%</c:formatCode>
                <c:ptCount val="4"/>
                <c:pt idx="0">
                  <c:v>3.8494451594725254E-2</c:v>
                </c:pt>
                <c:pt idx="1">
                  <c:v>8.5120000000000005E-3</c:v>
                </c:pt>
                <c:pt idx="2">
                  <c:v>1.61371337605461E-2</c:v>
                </c:pt>
                <c:pt idx="3">
                  <c:v>1.53996640711221E-2</c:v>
                </c:pt>
              </c:numCache>
            </c:numRef>
          </c:val>
          <c:smooth val="0"/>
          <c:extLst>
            <c:ext xmlns:c16="http://schemas.microsoft.com/office/drawing/2014/chart" uri="{C3380CC4-5D6E-409C-BE32-E72D297353CC}">
              <c16:uniqueId val="{00000003-69C6-4EE2-8D3F-0810A172126F}"/>
            </c:ext>
          </c:extLst>
        </c:ser>
        <c:dLbls>
          <c:showLegendKey val="0"/>
          <c:showVal val="0"/>
          <c:showCatName val="0"/>
          <c:showSerName val="0"/>
          <c:showPercent val="0"/>
          <c:showBubbleSize val="0"/>
        </c:dLbls>
        <c:marker val="1"/>
        <c:smooth val="0"/>
        <c:axId val="136829871"/>
        <c:axId val="122363807"/>
      </c:lineChart>
      <c:catAx>
        <c:axId val="136829871"/>
        <c:scaling>
          <c:orientation val="minMax"/>
        </c:scaling>
        <c:delete val="0"/>
        <c:axPos val="b"/>
        <c:numFmt formatCode="General" sourceLinked="1"/>
        <c:majorTickMark val="none"/>
        <c:minorTickMark val="none"/>
        <c:tickLblPos val="nextTo"/>
        <c:spPr>
          <a:noFill/>
          <a:ln w="12700"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crossAx val="122363807"/>
        <c:crosses val="autoZero"/>
        <c:auto val="1"/>
        <c:lblAlgn val="ctr"/>
        <c:lblOffset val="100"/>
        <c:noMultiLvlLbl val="0"/>
      </c:catAx>
      <c:valAx>
        <c:axId val="122363807"/>
        <c:scaling>
          <c:orientation val="minMax"/>
        </c:scaling>
        <c:delete val="0"/>
        <c:axPos val="l"/>
        <c:majorGridlines>
          <c:spPr>
            <a:ln w="3175" cap="flat" cmpd="sng" algn="ctr">
              <a:solidFill>
                <a:schemeClr val="bg1">
                  <a:lumMod val="85000"/>
                </a:schemeClr>
              </a:solidFill>
              <a:prstDash val="sysDash"/>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crossAx val="136829871"/>
        <c:crosses val="autoZero"/>
        <c:crossBetween val="between"/>
      </c:valAx>
      <c:spPr>
        <a:noFill/>
        <a:ln>
          <a:noFill/>
        </a:ln>
        <a:effectLst/>
      </c:spPr>
    </c:plotArea>
    <c:legend>
      <c:legendPos val="b"/>
      <c:layout>
        <c:manualLayout>
          <c:xMode val="edge"/>
          <c:yMode val="edge"/>
          <c:x val="7.9388290749370607E-2"/>
          <c:y val="3.2442765463565598E-3"/>
          <c:w val="0.87296945024729034"/>
          <c:h val="0.1354840471530654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solidFill>
          <a:latin typeface="Arial Narrow" panose="020B0606020202030204" pitchFamily="34" charset="0"/>
        </a:defRPr>
      </a:pPr>
      <a:endParaRPr lang="sk-SK"/>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xMode val="edge"/>
          <c:yMode val="edge"/>
          <c:x val="4.1582661290322578E-2"/>
          <c:y val="7.0196078431372572E-2"/>
          <c:w val="0.92993951612903225"/>
          <c:h val="0.90196078431372551"/>
        </c:manualLayout>
      </c:layout>
      <c:barChart>
        <c:barDir val="col"/>
        <c:grouping val="stacked"/>
        <c:varyColors val="0"/>
        <c:ser>
          <c:idx val="1"/>
          <c:order val="1"/>
          <c:tx>
            <c:strRef>
              <c:f>SS_EK!$O$17</c:f>
              <c:strCache>
                <c:ptCount val="1"/>
                <c:pt idx="0">
                  <c:v>Opatrenia zabezpečujúce stanovený rast čistých výdavkov</c:v>
                </c:pt>
              </c:strCache>
            </c:strRef>
          </c:tx>
          <c:spPr>
            <a:solidFill>
              <a:srgbClr val="2C9ADC"/>
            </a:solidFill>
            <a:ln>
              <a:noFill/>
            </a:ln>
            <a:effectLst/>
          </c:spPr>
          <c:invertIfNegative val="0"/>
          <c:dPt>
            <c:idx val="3"/>
            <c:invertIfNegative val="0"/>
            <c:bubble3D val="0"/>
            <c:spPr>
              <a:pattFill prst="dkUpDiag">
                <a:fgClr>
                  <a:srgbClr val="2C9ADC"/>
                </a:fgClr>
                <a:bgClr>
                  <a:sysClr val="window" lastClr="FFFFFF"/>
                </a:bgClr>
              </a:pattFill>
              <a:ln>
                <a:noFill/>
              </a:ln>
              <a:effectLst/>
            </c:spPr>
            <c:extLst>
              <c:ext xmlns:c16="http://schemas.microsoft.com/office/drawing/2014/chart" uri="{C3380CC4-5D6E-409C-BE32-E72D297353CC}">
                <c16:uniqueId val="{00000001-99B3-4F8F-93A3-B85561FC62C7}"/>
              </c:ext>
            </c:extLst>
          </c:dPt>
          <c:val>
            <c:numRef>
              <c:f>SS_EK!$P$17:$S$17</c:f>
              <c:numCache>
                <c:formatCode>0.0</c:formatCode>
                <c:ptCount val="4"/>
                <c:pt idx="0" formatCode="General">
                  <c:v>0</c:v>
                </c:pt>
                <c:pt idx="1">
                  <c:v>0.22999999999999998</c:v>
                </c:pt>
                <c:pt idx="2">
                  <c:v>1.2800000000000002</c:v>
                </c:pt>
                <c:pt idx="3">
                  <c:v>2.3070000000000004</c:v>
                </c:pt>
              </c:numCache>
            </c:numRef>
          </c:val>
          <c:extLst>
            <c:ext xmlns:c16="http://schemas.microsoft.com/office/drawing/2014/chart" uri="{C3380CC4-5D6E-409C-BE32-E72D297353CC}">
              <c16:uniqueId val="{00000002-99B3-4F8F-93A3-B85561FC62C7}"/>
            </c:ext>
          </c:extLst>
        </c:ser>
        <c:ser>
          <c:idx val="2"/>
          <c:order val="2"/>
          <c:tx>
            <c:strRef>
              <c:f>SS_EK!$O$18</c:f>
              <c:strCache>
                <c:ptCount val="1"/>
                <c:pt idx="0">
                  <c:v>Ostatné opatrenia zamerané na zvýšenie výberu daní</c:v>
                </c:pt>
              </c:strCache>
            </c:strRef>
          </c:tx>
          <c:spPr>
            <a:solidFill>
              <a:sysClr val="window" lastClr="FFFFFF">
                <a:lumMod val="50000"/>
              </a:sysClr>
            </a:solidFill>
            <a:ln>
              <a:noFill/>
            </a:ln>
            <a:effectLst/>
          </c:spPr>
          <c:invertIfNegative val="0"/>
          <c:val>
            <c:numRef>
              <c:f>SS_EK!$P$18:$S$18</c:f>
              <c:numCache>
                <c:formatCode>0.0</c:formatCode>
                <c:ptCount val="4"/>
                <c:pt idx="0" formatCode="General">
                  <c:v>0</c:v>
                </c:pt>
                <c:pt idx="1">
                  <c:v>0.20999999999999996</c:v>
                </c:pt>
                <c:pt idx="2">
                  <c:v>0.58999999999999986</c:v>
                </c:pt>
                <c:pt idx="3">
                  <c:v>0.58000000000000007</c:v>
                </c:pt>
              </c:numCache>
            </c:numRef>
          </c:val>
          <c:extLst>
            <c:ext xmlns:c16="http://schemas.microsoft.com/office/drawing/2014/chart" uri="{C3380CC4-5D6E-409C-BE32-E72D297353CC}">
              <c16:uniqueId val="{00000003-99B3-4F8F-93A3-B85561FC62C7}"/>
            </c:ext>
          </c:extLst>
        </c:ser>
        <c:dLbls>
          <c:showLegendKey val="0"/>
          <c:showVal val="0"/>
          <c:showCatName val="0"/>
          <c:showSerName val="0"/>
          <c:showPercent val="0"/>
          <c:showBubbleSize val="0"/>
        </c:dLbls>
        <c:gapWidth val="150"/>
        <c:overlap val="100"/>
        <c:axId val="578703096"/>
        <c:axId val="578702704"/>
      </c:barChart>
      <c:lineChart>
        <c:grouping val="standard"/>
        <c:varyColors val="0"/>
        <c:ser>
          <c:idx val="0"/>
          <c:order val="0"/>
          <c:tx>
            <c:strRef>
              <c:f>SS_EK!$O$16</c:f>
              <c:strCache>
                <c:ptCount val="1"/>
                <c:pt idx="0">
                  <c:v>Opatrenia potrebné na dosiahnutie cieľov</c:v>
                </c:pt>
              </c:strCache>
            </c:strRef>
          </c:tx>
          <c:spPr>
            <a:ln w="28575" cap="rnd">
              <a:noFill/>
              <a:prstDash val="solid"/>
              <a:round/>
            </a:ln>
            <a:effectLst/>
          </c:spPr>
          <c:marker>
            <c:symbol val="circle"/>
            <c:size val="5"/>
            <c:spPr>
              <a:solidFill>
                <a:sysClr val="windowText" lastClr="000000"/>
              </a:solidFill>
              <a:ln w="9525">
                <a:noFill/>
              </a:ln>
              <a:effectLst/>
            </c:spPr>
          </c:marker>
          <c:dLbls>
            <c:dLbl>
              <c:idx val="1"/>
              <c:tx>
                <c:rich>
                  <a:bodyPr/>
                  <a:lstStyle/>
                  <a:p>
                    <a:r>
                      <a:rPr lang="en-US"/>
                      <a:t>0,4**</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B3-4CE3-84C5-08037016C96E}"/>
                </c:ext>
              </c:extLst>
            </c:dLbl>
            <c:dLbl>
              <c:idx val="3"/>
              <c:tx>
                <c:rich>
                  <a:bodyPr/>
                  <a:lstStyle/>
                  <a:p>
                    <a:r>
                      <a:rPr lang="en-US"/>
                      <a:t>2,9***</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9B3-4F8F-93A3-B85561FC62C7}"/>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SS_EK!$P$3:$S$3</c:f>
              <c:numCache>
                <c:formatCode>General</c:formatCode>
                <c:ptCount val="4"/>
                <c:pt idx="0">
                  <c:v>2025</c:v>
                </c:pt>
                <c:pt idx="1">
                  <c:v>2026</c:v>
                </c:pt>
                <c:pt idx="2">
                  <c:v>2027</c:v>
                </c:pt>
                <c:pt idx="3">
                  <c:v>2028</c:v>
                </c:pt>
              </c:numCache>
            </c:numRef>
          </c:cat>
          <c:val>
            <c:numRef>
              <c:f>SS_EK!$P$16:$S$16</c:f>
              <c:numCache>
                <c:formatCode>0.00</c:formatCode>
                <c:ptCount val="4"/>
                <c:pt idx="0" formatCode="General">
                  <c:v>0</c:v>
                </c:pt>
                <c:pt idx="1">
                  <c:v>0.43999999999999995</c:v>
                </c:pt>
                <c:pt idx="2" formatCode="0.0">
                  <c:v>1.87</c:v>
                </c:pt>
                <c:pt idx="3" formatCode="0.0">
                  <c:v>2.8870000000000005</c:v>
                </c:pt>
              </c:numCache>
            </c:numRef>
          </c:val>
          <c:smooth val="0"/>
          <c:extLst>
            <c:ext xmlns:c16="http://schemas.microsoft.com/office/drawing/2014/chart" uri="{C3380CC4-5D6E-409C-BE32-E72D297353CC}">
              <c16:uniqueId val="{00000004-99B3-4F8F-93A3-B85561FC62C7}"/>
            </c:ext>
          </c:extLst>
        </c:ser>
        <c:dLbls>
          <c:showLegendKey val="0"/>
          <c:showVal val="0"/>
          <c:showCatName val="0"/>
          <c:showSerName val="0"/>
          <c:showPercent val="0"/>
          <c:showBubbleSize val="0"/>
        </c:dLbls>
        <c:marker val="1"/>
        <c:smooth val="0"/>
        <c:axId val="578703096"/>
        <c:axId val="578702704"/>
      </c:lineChart>
      <c:catAx>
        <c:axId val="578703096"/>
        <c:scaling>
          <c:orientation val="minMax"/>
        </c:scaling>
        <c:delete val="0"/>
        <c:axPos val="b"/>
        <c:numFmt formatCode="General" sourceLinked="1"/>
        <c:majorTickMark val="none"/>
        <c:minorTickMark val="none"/>
        <c:tickLblPos val="low"/>
        <c:spPr>
          <a:noFill/>
          <a:ln w="12700" cap="flat" cmpd="sng" algn="ctr">
            <a:solidFill>
              <a:srgbClr val="686767"/>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crossAx val="578702704"/>
        <c:crosses val="autoZero"/>
        <c:auto val="1"/>
        <c:lblAlgn val="ctr"/>
        <c:lblOffset val="100"/>
        <c:noMultiLvlLbl val="0"/>
      </c:catAx>
      <c:valAx>
        <c:axId val="578702704"/>
        <c:scaling>
          <c:orientation val="minMax"/>
        </c:scaling>
        <c:delete val="0"/>
        <c:axPos val="l"/>
        <c:majorGridlines>
          <c:spPr>
            <a:ln w="3175" cap="flat" cmpd="sng" algn="ctr">
              <a:solidFill>
                <a:srgbClr val="686767">
                  <a:alpha val="25000"/>
                </a:srgbClr>
              </a:solidFill>
              <a:prstDash val="sysDot"/>
              <a:round/>
              <a:headEnd type="none" w="med" len="med"/>
              <a:tailEnd type="none" w="med" len="med"/>
            </a:ln>
            <a:effectLst/>
          </c:spPr>
        </c:majorGridlines>
        <c:numFmt formatCode="0.0" sourceLinked="0"/>
        <c:majorTickMark val="none"/>
        <c:minorTickMark val="none"/>
        <c:tickLblPos val="nextTo"/>
        <c:spPr>
          <a:noFill/>
          <a:ln>
            <a:solidFill>
              <a:srgbClr val="FFFFFF"/>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crossAx val="578703096"/>
        <c:crosses val="autoZero"/>
        <c:crossBetween val="between"/>
      </c:valAx>
      <c:spPr>
        <a:noFill/>
        <a:ln>
          <a:noFill/>
        </a:ln>
        <a:effectLst/>
      </c:spPr>
    </c:plotArea>
    <c:legend>
      <c:legendPos val="t"/>
      <c:layout>
        <c:manualLayout>
          <c:xMode val="edge"/>
          <c:yMode val="edge"/>
          <c:x val="0.10482457922510639"/>
          <c:y val="1.6638935108153077E-2"/>
          <c:w val="0.84419836795697822"/>
          <c:h val="0.1741991693633969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Yu Gothic UI" panose="020B0500000000000000" pitchFamily="34" charset="-128"/>
              <a:cs typeface="+mn-cs"/>
            </a:defRPr>
          </a:pPr>
          <a:endParaRPr lang="sk-SK"/>
        </a:p>
      </c:txPr>
    </c:legend>
    <c:plotVisOnly val="1"/>
    <c:dispBlanksAs val="gap"/>
    <c:showDLblsOverMax val="0"/>
  </c:chart>
  <c:spPr>
    <a:solidFill>
      <a:srgbClr val="FFFFFF"/>
    </a:solidFill>
    <a:ln w="25400" cap="flat" cmpd="sng" algn="ctr">
      <a:noFill/>
      <a:round/>
    </a:ln>
    <a:effectLst/>
  </c:spPr>
  <c:txPr>
    <a:bodyPr/>
    <a:lstStyle/>
    <a:p>
      <a:pPr>
        <a:defRPr sz="800">
          <a:solidFill>
            <a:sysClr val="windowText" lastClr="000000"/>
          </a:solidFill>
          <a:latin typeface="Arial Narrow" panose="020B0606020202030204" pitchFamily="34" charset="0"/>
          <a:ea typeface="Yu Gothic UI" panose="020B0500000000000000" pitchFamily="34" charset="-128"/>
        </a:defRPr>
      </a:pPr>
      <a:endParaRPr lang="sk-SK"/>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870707070707076E-2"/>
          <c:y val="4.0428939075610515E-2"/>
          <c:w val="0.88785151515151517"/>
          <c:h val="0.79435493640218058"/>
        </c:manualLayout>
      </c:layout>
      <c:areaChart>
        <c:grouping val="standard"/>
        <c:varyColors val="0"/>
        <c:ser>
          <c:idx val="2"/>
          <c:order val="0"/>
          <c:tx>
            <c:strRef>
              <c:f>Dashboard!$B$11</c:f>
              <c:strCache>
                <c:ptCount val="1"/>
                <c:pt idx="0">
                  <c:v>Plán vlády</c:v>
                </c:pt>
              </c:strCache>
            </c:strRef>
          </c:tx>
          <c:spPr>
            <a:solidFill>
              <a:srgbClr val="2C9ADC"/>
            </a:solidFill>
            <a:ln w="25400">
              <a:noFill/>
            </a:ln>
            <a:effectLst/>
          </c:spPr>
          <c:cat>
            <c:numRef>
              <c:f>Dashboard!$C$3:$H$3</c:f>
              <c:numCache>
                <c:formatCode>General</c:formatCode>
                <c:ptCount val="6"/>
                <c:pt idx="0">
                  <c:v>2023</c:v>
                </c:pt>
                <c:pt idx="1">
                  <c:v>2024</c:v>
                </c:pt>
                <c:pt idx="2">
                  <c:v>2025</c:v>
                </c:pt>
                <c:pt idx="3">
                  <c:v>2026</c:v>
                </c:pt>
                <c:pt idx="4">
                  <c:v>2027</c:v>
                </c:pt>
                <c:pt idx="5">
                  <c:v>2028</c:v>
                </c:pt>
              </c:numCache>
            </c:numRef>
          </c:cat>
          <c:val>
            <c:numRef>
              <c:f>Dashboard!$C$11:$H$11</c:f>
              <c:numCache>
                <c:formatCode>0.0</c:formatCode>
                <c:ptCount val="6"/>
                <c:pt idx="0">
                  <c:v>56.044684106407637</c:v>
                </c:pt>
                <c:pt idx="1">
                  <c:v>58.87298498328979</c:v>
                </c:pt>
                <c:pt idx="2">
                  <c:v>59.551286731767902</c:v>
                </c:pt>
                <c:pt idx="3">
                  <c:v>60.350269709305316</c:v>
                </c:pt>
                <c:pt idx="4">
                  <c:v>60.506868796181436</c:v>
                </c:pt>
                <c:pt idx="5">
                  <c:v>60.260626958878404</c:v>
                </c:pt>
              </c:numCache>
            </c:numRef>
          </c:val>
          <c:extLst>
            <c:ext xmlns:c16="http://schemas.microsoft.com/office/drawing/2014/chart" uri="{C3380CC4-5D6E-409C-BE32-E72D297353CC}">
              <c16:uniqueId val="{00000000-2592-4A77-8A49-6122CC2121B4}"/>
            </c:ext>
          </c:extLst>
        </c:ser>
        <c:dLbls>
          <c:showLegendKey val="0"/>
          <c:showVal val="0"/>
          <c:showCatName val="0"/>
          <c:showSerName val="0"/>
          <c:showPercent val="0"/>
          <c:showBubbleSize val="0"/>
        </c:dLbls>
        <c:axId val="1291386143"/>
        <c:axId val="1379567903"/>
      </c:areaChart>
      <c:lineChart>
        <c:grouping val="standard"/>
        <c:varyColors val="0"/>
        <c:ser>
          <c:idx val="3"/>
          <c:order val="1"/>
          <c:spPr>
            <a:ln w="28575" cap="rnd">
              <a:noFill/>
              <a:round/>
            </a:ln>
            <a:effectLst/>
          </c:spPr>
          <c:marker>
            <c:symbol val="none"/>
          </c:marker>
          <c:dLbls>
            <c:dLbl>
              <c:idx val="1"/>
              <c:layout>
                <c:manualLayout>
                  <c:x val="-6.7121546686736297E-2"/>
                  <c:y val="-3.89940828402366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31-4A5E-A07E-047DA1EC9B3F}"/>
                </c:ext>
              </c:extLst>
            </c:dLbl>
            <c:numFmt formatCode="#,##0.0" sourceLinked="0"/>
            <c:spPr>
              <a:solidFill>
                <a:schemeClr val="bg1"/>
              </a:solidFill>
              <a:ln w="3175">
                <a:solidFill>
                  <a:srgbClr val="2C9ADC"/>
                </a:solid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2C9ADC"/>
                    </a:solidFill>
                    <a:latin typeface="Arial Narrow" panose="020B0606020202030204" pitchFamily="34" charset="0"/>
                    <a:ea typeface="+mn-ea"/>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'MTP_2024 (sept 24)'!$Y$4:$AG$4</c:f>
              <c:numCache>
                <c:formatCode>General</c:formatCode>
                <c:ptCount val="9"/>
                <c:pt idx="0">
                  <c:v>2023</c:v>
                </c:pt>
                <c:pt idx="1">
                  <c:v>2024</c:v>
                </c:pt>
                <c:pt idx="2">
                  <c:v>2025</c:v>
                </c:pt>
                <c:pt idx="3">
                  <c:v>2026</c:v>
                </c:pt>
                <c:pt idx="4">
                  <c:v>2027</c:v>
                </c:pt>
                <c:pt idx="5">
                  <c:v>2028</c:v>
                </c:pt>
                <c:pt idx="6">
                  <c:v>2029</c:v>
                </c:pt>
                <c:pt idx="7">
                  <c:v>2030</c:v>
                </c:pt>
                <c:pt idx="8">
                  <c:v>2031</c:v>
                </c:pt>
              </c:numCache>
            </c:numRef>
          </c:cat>
          <c:val>
            <c:numRef>
              <c:f>Dashboard!$C$11:$H$11</c:f>
              <c:numCache>
                <c:formatCode>0.0</c:formatCode>
                <c:ptCount val="6"/>
                <c:pt idx="0">
                  <c:v>56.044684106407637</c:v>
                </c:pt>
                <c:pt idx="1">
                  <c:v>58.87298498328979</c:v>
                </c:pt>
                <c:pt idx="2">
                  <c:v>59.551286731767902</c:v>
                </c:pt>
                <c:pt idx="3">
                  <c:v>60.350269709305316</c:v>
                </c:pt>
                <c:pt idx="4">
                  <c:v>60.506868796181436</c:v>
                </c:pt>
                <c:pt idx="5">
                  <c:v>60.260626958878404</c:v>
                </c:pt>
              </c:numCache>
            </c:numRef>
          </c:val>
          <c:smooth val="0"/>
          <c:extLst>
            <c:ext xmlns:c16="http://schemas.microsoft.com/office/drawing/2014/chart" uri="{C3380CC4-5D6E-409C-BE32-E72D297353CC}">
              <c16:uniqueId val="{00000001-2592-4A77-8A49-6122CC2121B4}"/>
            </c:ext>
          </c:extLst>
        </c:ser>
        <c:dLbls>
          <c:showLegendKey val="0"/>
          <c:showVal val="0"/>
          <c:showCatName val="0"/>
          <c:showSerName val="0"/>
          <c:showPercent val="0"/>
          <c:showBubbleSize val="0"/>
        </c:dLbls>
        <c:marker val="1"/>
        <c:smooth val="0"/>
        <c:axId val="1291386143"/>
        <c:axId val="1379567903"/>
      </c:lineChart>
      <c:catAx>
        <c:axId val="1291386143"/>
        <c:scaling>
          <c:orientation val="minMax"/>
        </c:scaling>
        <c:delete val="0"/>
        <c:axPos val="b"/>
        <c:numFmt formatCode="General" sourceLinked="1"/>
        <c:majorTickMark val="none"/>
        <c:minorTickMark val="none"/>
        <c:tickLblPos val="nextTo"/>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crossAx val="1379567903"/>
        <c:crosses val="autoZero"/>
        <c:auto val="1"/>
        <c:lblAlgn val="ctr"/>
        <c:lblOffset val="100"/>
        <c:noMultiLvlLbl val="0"/>
      </c:catAx>
      <c:valAx>
        <c:axId val="1379567903"/>
        <c:scaling>
          <c:orientation val="minMax"/>
          <c:max val="65"/>
          <c:min val="50"/>
        </c:scaling>
        <c:delete val="0"/>
        <c:axPos val="l"/>
        <c:majorGridlines>
          <c:spPr>
            <a:ln w="3175" cap="flat" cmpd="sng" algn="ctr">
              <a:solidFill>
                <a:sysClr val="window" lastClr="FFFFFF">
                  <a:lumMod val="50000"/>
                  <a:alpha val="25000"/>
                </a:sys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crossAx val="12913861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solidFill>
          <a:latin typeface="Arial Narrow" panose="020B0606020202030204" pitchFamily="34" charset="0"/>
        </a:defRPr>
      </a:pPr>
      <a:endParaRPr lang="sk-SK"/>
    </a:p>
  </c:txPr>
  <c:externalData r:id="rId4">
    <c:autoUpdate val="0"/>
  </c:externalData>
  <c:userShapes r:id="rId5"/>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613726128947036E-2"/>
          <c:y val="4.2063249035209978E-2"/>
          <c:w val="0.90574493568206826"/>
          <c:h val="0.74213993843771009"/>
        </c:manualLayout>
      </c:layout>
      <c:barChart>
        <c:barDir val="col"/>
        <c:grouping val="clustered"/>
        <c:varyColors val="0"/>
        <c:ser>
          <c:idx val="0"/>
          <c:order val="0"/>
          <c:tx>
            <c:strRef>
              <c:f>Hárok1!$K$40</c:f>
              <c:strCache>
                <c:ptCount val="1"/>
                <c:pt idx="0">
                  <c:v>Skutočnosť a aktuálny fiškálny rámec</c:v>
                </c:pt>
              </c:strCache>
            </c:strRef>
          </c:tx>
          <c:spPr>
            <a:solidFill>
              <a:schemeClr val="accent1"/>
            </a:solidFill>
            <a:ln>
              <a:noFill/>
            </a:ln>
            <a:effectLst/>
          </c:spPr>
          <c:invertIfNegative val="0"/>
          <c:dLbls>
            <c:spPr>
              <a:solidFill>
                <a:schemeClr val="accent1"/>
              </a:solidFill>
              <a:ln>
                <a:noFill/>
              </a:ln>
              <a:effectLst/>
            </c:spPr>
            <c:txPr>
              <a:bodyPr rot="0" spcFirstLastPara="1" vertOverflow="ellipsis" vert="horz" wrap="square" anchor="ctr" anchorCtr="1"/>
              <a:lstStyle/>
              <a:p>
                <a:pPr>
                  <a:defRPr sz="800" b="1" i="0" u="none" strike="noStrike" kern="1200" baseline="0">
                    <a:solidFill>
                      <a:schemeClr val="bg1"/>
                    </a:solidFill>
                    <a:latin typeface="Arial Narrow" panose="020B0606020202030204" pitchFamily="34" charset="0"/>
                    <a:ea typeface="Yu Gothic" panose="020B0400000000000000" pitchFamily="34" charset="-128"/>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Hárok1!$D$2:$J$2</c:f>
              <c:numCache>
                <c:formatCode>General</c:formatCode>
                <c:ptCount val="7"/>
                <c:pt idx="0">
                  <c:v>2021</c:v>
                </c:pt>
                <c:pt idx="1">
                  <c:v>2022</c:v>
                </c:pt>
                <c:pt idx="2">
                  <c:v>2023</c:v>
                </c:pt>
                <c:pt idx="3">
                  <c:v>2024</c:v>
                </c:pt>
                <c:pt idx="4">
                  <c:v>2025</c:v>
                </c:pt>
                <c:pt idx="5">
                  <c:v>2026</c:v>
                </c:pt>
                <c:pt idx="6">
                  <c:v>2027</c:v>
                </c:pt>
              </c:numCache>
              <c:extLst/>
            </c:numRef>
          </c:cat>
          <c:val>
            <c:numRef>
              <c:f>Hárok1!$D$9:$J$9</c:f>
              <c:numCache>
                <c:formatCode>0.0</c:formatCode>
                <c:ptCount val="7"/>
                <c:pt idx="0">
                  <c:v>2.4522775587982859</c:v>
                </c:pt>
                <c:pt idx="1">
                  <c:v>2.4152445885242382</c:v>
                </c:pt>
                <c:pt idx="2">
                  <c:v>2.7976148576375937</c:v>
                </c:pt>
                <c:pt idx="3">
                  <c:v>2.9080235222649438</c:v>
                </c:pt>
                <c:pt idx="4">
                  <c:v>3.6982615093451994</c:v>
                </c:pt>
                <c:pt idx="5">
                  <c:v>3.0782136472802124</c:v>
                </c:pt>
                <c:pt idx="6">
                  <c:v>3.0355240297248756</c:v>
                </c:pt>
              </c:numCache>
              <c:extLst/>
            </c:numRef>
          </c:val>
          <c:extLst>
            <c:ext xmlns:c16="http://schemas.microsoft.com/office/drawing/2014/chart" uri="{C3380CC4-5D6E-409C-BE32-E72D297353CC}">
              <c16:uniqueId val="{00000000-D2BC-4651-9816-E99E83C98CEA}"/>
            </c:ext>
          </c:extLst>
        </c:ser>
        <c:dLbls>
          <c:showLegendKey val="0"/>
          <c:showVal val="0"/>
          <c:showCatName val="0"/>
          <c:showSerName val="0"/>
          <c:showPercent val="0"/>
          <c:showBubbleSize val="0"/>
        </c:dLbls>
        <c:gapWidth val="219"/>
        <c:overlap val="-27"/>
        <c:axId val="1052527328"/>
        <c:axId val="1268504720"/>
      </c:barChart>
      <c:lineChart>
        <c:grouping val="standard"/>
        <c:varyColors val="0"/>
        <c:ser>
          <c:idx val="2"/>
          <c:order val="2"/>
          <c:tx>
            <c:strRef>
              <c:f>Hárok1!$A$17</c:f>
              <c:strCache>
                <c:ptCount val="1"/>
                <c:pt idx="0">
                  <c:v>Priemer 2021 - 2026</c:v>
                </c:pt>
              </c:strCache>
            </c:strRef>
          </c:tx>
          <c:spPr>
            <a:ln w="28575" cap="rnd">
              <a:solidFill>
                <a:schemeClr val="tx1"/>
              </a:solidFill>
              <a:prstDash val="sysDash"/>
              <a:round/>
            </a:ln>
            <a:effectLst/>
          </c:spPr>
          <c:marker>
            <c:symbol val="none"/>
          </c:marker>
          <c:dLbls>
            <c:dLbl>
              <c:idx val="5"/>
              <c:layout>
                <c:manualLayout>
                  <c:x val="-9.7324301909142395E-3"/>
                  <c:y val="2.441161324573740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2BC-4651-9816-E99E83C98CEA}"/>
                </c:ext>
              </c:extLst>
            </c:dLbl>
            <c:dLbl>
              <c:idx val="6"/>
              <c:layout>
                <c:manualLayout>
                  <c:x val="-1.0316638385252822E-2"/>
                  <c:y val="-1.23699675026022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2BC-4651-9816-E99E83C98CEA}"/>
                </c:ext>
              </c:extLst>
            </c:dLbl>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Arial Narrow" panose="020B0606020202030204" pitchFamily="34" charset="0"/>
                    <a:ea typeface="Yu Gothic" panose="020B0400000000000000" pitchFamily="34" charset="-128"/>
                    <a:cs typeface="+mn-cs"/>
                  </a:defRPr>
                </a:pPr>
                <a:endParaRPr lang="sk-SK"/>
              </a:p>
            </c:txPr>
            <c:showLegendKey val="0"/>
            <c:showVal val="0"/>
            <c:showCatName val="0"/>
            <c:showSerName val="0"/>
            <c:showPercent val="0"/>
            <c:showBubbleSize val="0"/>
            <c:extLst>
              <c:ext xmlns:c15="http://schemas.microsoft.com/office/drawing/2012/chart" uri="{CE6537A1-D6FC-4f65-9D91-7224C49458BB}">
                <c15:showLeaderLines val="0"/>
              </c:ext>
            </c:extLst>
          </c:dLbls>
          <c:cat>
            <c:strLit>
              <c:ptCount val="7"/>
              <c:pt idx="0">
                <c:v>2021</c:v>
              </c:pt>
              <c:pt idx="1">
                <c:v>2022</c:v>
              </c:pt>
              <c:pt idx="2">
                <c:v>2023</c:v>
              </c:pt>
              <c:pt idx="3">
                <c:v>2024</c:v>
              </c:pt>
              <c:pt idx="4">
                <c:v>2025</c:v>
              </c:pt>
              <c:pt idx="5">
                <c:v>2026</c:v>
              </c:pt>
              <c:pt idx="6">
                <c:v>2027</c:v>
              </c:pt>
              <c:extLst>
                <c:ext xmlns:c15="http://schemas.microsoft.com/office/drawing/2012/chart" uri="{02D57815-91ED-43cb-92C2-25804820EDAC}">
                  <c15:autoCat val="1"/>
                </c:ext>
              </c:extLst>
            </c:strLit>
          </c:cat>
          <c:val>
            <c:numRef>
              <c:f>Hárok1!$D$17:$J$17</c:f>
              <c:numCache>
                <c:formatCode>0.0</c:formatCode>
                <c:ptCount val="7"/>
                <c:pt idx="0">
                  <c:v>2.8916059473084119</c:v>
                </c:pt>
                <c:pt idx="1">
                  <c:v>2.8916059473084119</c:v>
                </c:pt>
                <c:pt idx="2">
                  <c:v>2.8916059473084119</c:v>
                </c:pt>
                <c:pt idx="3">
                  <c:v>2.8916059473084119</c:v>
                </c:pt>
                <c:pt idx="4">
                  <c:v>2.8916059473084119</c:v>
                </c:pt>
                <c:pt idx="5">
                  <c:v>2.8916059473084119</c:v>
                </c:pt>
              </c:numCache>
              <c:extLst/>
            </c:numRef>
          </c:val>
          <c:smooth val="0"/>
          <c:extLst>
            <c:ext xmlns:c16="http://schemas.microsoft.com/office/drawing/2014/chart" uri="{C3380CC4-5D6E-409C-BE32-E72D297353CC}">
              <c16:uniqueId val="{00000003-D2BC-4651-9816-E99E83C98CEA}"/>
            </c:ext>
          </c:extLst>
        </c:ser>
        <c:ser>
          <c:idx val="3"/>
          <c:order val="3"/>
          <c:tx>
            <c:strRef>
              <c:f>Hárok1!$A$16</c:f>
              <c:strCache>
                <c:ptCount val="1"/>
                <c:pt idx="0">
                  <c:v>Priemer 2025-2027 (FR RVS júl 2024)</c:v>
                </c:pt>
              </c:strCache>
              <c:extLst xmlns:c15="http://schemas.microsoft.com/office/drawing/2012/chart"/>
            </c:strRef>
          </c:tx>
          <c:spPr>
            <a:ln w="57150" cap="rnd">
              <a:solidFill>
                <a:srgbClr val="FF0000"/>
              </a:solidFill>
              <a:prstDash val="sysDot"/>
              <a:round/>
            </a:ln>
            <a:effectLst/>
          </c:spPr>
          <c:marker>
            <c:symbol val="none"/>
          </c:marker>
          <c:dLbls>
            <c:dLbl>
              <c:idx val="6"/>
              <c:layout>
                <c:manualLayout>
                  <c:x val="-2.0690204316438796E-2"/>
                  <c:y val="-6.450192394392778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2BC-4651-9816-E99E83C98CEA}"/>
                </c:ext>
              </c:extLst>
            </c:dLbl>
            <c:spPr>
              <a:noFill/>
              <a:ln>
                <a:noFill/>
              </a:ln>
              <a:effectLst/>
            </c:spPr>
            <c:txPr>
              <a:bodyPr rot="0" spcFirstLastPara="1" vertOverflow="ellipsis" vert="horz" wrap="square" anchor="ctr" anchorCtr="1"/>
              <a:lstStyle/>
              <a:p>
                <a:pPr>
                  <a:defRPr sz="800" b="1" i="0" u="none" strike="noStrike" kern="1200" baseline="0">
                    <a:solidFill>
                      <a:srgbClr val="FF0000"/>
                    </a:solidFill>
                    <a:latin typeface="Arial Narrow" panose="020B0606020202030204" pitchFamily="34" charset="0"/>
                    <a:ea typeface="Yu Gothic" panose="020B0400000000000000" pitchFamily="34" charset="-128"/>
                    <a:cs typeface="+mn-cs"/>
                  </a:defRPr>
                </a:pPr>
                <a:endParaRPr lang="sk-SK"/>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7"/>
              <c:pt idx="0">
                <c:v>2021</c:v>
              </c:pt>
              <c:pt idx="1">
                <c:v>2022</c:v>
              </c:pt>
              <c:pt idx="2">
                <c:v>2023</c:v>
              </c:pt>
              <c:pt idx="3">
                <c:v>2024</c:v>
              </c:pt>
              <c:pt idx="4">
                <c:v>2025</c:v>
              </c:pt>
              <c:pt idx="5">
                <c:v>2026</c:v>
              </c:pt>
              <c:pt idx="6">
                <c:v>2027</c:v>
              </c:pt>
              <c:extLst>
                <c:ext xmlns:c15="http://schemas.microsoft.com/office/drawing/2012/chart" uri="{02D57815-91ED-43cb-92C2-25804820EDAC}">
                  <c15:autoCat val="1"/>
                </c:ext>
              </c:extLst>
            </c:strLit>
          </c:cat>
          <c:val>
            <c:numRef>
              <c:f>Hárok1!$D$16:$J$16</c:f>
              <c:numCache>
                <c:formatCode>General</c:formatCode>
                <c:ptCount val="7"/>
                <c:pt idx="4" formatCode="0.0">
                  <c:v>3.2706663954500961</c:v>
                </c:pt>
                <c:pt idx="5" formatCode="0.0">
                  <c:v>3.2706663954500961</c:v>
                </c:pt>
                <c:pt idx="6" formatCode="0.0">
                  <c:v>3.2706663954500961</c:v>
                </c:pt>
              </c:numCache>
              <c:extLst/>
            </c:numRef>
          </c:val>
          <c:smooth val="0"/>
          <c:extLst xmlns:c15="http://schemas.microsoft.com/office/drawing/2012/chart">
            <c:ext xmlns:c16="http://schemas.microsoft.com/office/drawing/2014/chart" uri="{C3380CC4-5D6E-409C-BE32-E72D297353CC}">
              <c16:uniqueId val="{00000005-D2BC-4651-9816-E99E83C98CEA}"/>
            </c:ext>
          </c:extLst>
        </c:ser>
        <c:dLbls>
          <c:showLegendKey val="0"/>
          <c:showVal val="0"/>
          <c:showCatName val="0"/>
          <c:showSerName val="0"/>
          <c:showPercent val="0"/>
          <c:showBubbleSize val="0"/>
        </c:dLbls>
        <c:marker val="1"/>
        <c:smooth val="0"/>
        <c:axId val="1052527328"/>
        <c:axId val="1268504720"/>
        <c:extLst>
          <c:ext xmlns:c15="http://schemas.microsoft.com/office/drawing/2012/chart" uri="{02D57815-91ED-43cb-92C2-25804820EDAC}">
            <c15:filteredLineSeries>
              <c15:ser>
                <c:idx val="1"/>
                <c:order val="1"/>
                <c:tx>
                  <c:v>Priemer 2021-2026 (záväzok RRF; HDP v 2024); aktuálny stav</c:v>
                </c:tx>
                <c:spPr>
                  <a:ln w="28575" cap="rnd">
                    <a:solidFill>
                      <a:srgbClr val="FF0000"/>
                    </a:solidFill>
                    <a:prstDash val="sysDash"/>
                    <a:round/>
                  </a:ln>
                  <a:effectLst/>
                </c:spPr>
                <c:marker>
                  <c:symbol val="none"/>
                </c:marker>
                <c:dLbls>
                  <c:dLbl>
                    <c:idx val="6"/>
                    <c:showLegendKey val="0"/>
                    <c:showVal val="1"/>
                    <c:showCatName val="0"/>
                    <c:showSerName val="0"/>
                    <c:showPercent val="0"/>
                    <c:showBubbleSize val="0"/>
                    <c:extLst>
                      <c:ext uri="{CE6537A1-D6FC-4f65-9D91-7224C49458BB}"/>
                      <c:ext xmlns:c16="http://schemas.microsoft.com/office/drawing/2014/chart" uri="{C3380CC4-5D6E-409C-BE32-E72D297353CC}">
                        <c16:uniqueId val="{00000006-D2BC-4651-9816-E99E83C98CEA}"/>
                      </c:ext>
                    </c:extLst>
                  </c:dLbl>
                  <c:numFmt formatCode="0.0%" sourceLinked="0"/>
                  <c:spPr>
                    <a:noFill/>
                    <a:ln>
                      <a:noFill/>
                    </a:ln>
                    <a:effectLst/>
                  </c:spPr>
                  <c:txPr>
                    <a:bodyPr rot="0" spcFirstLastPara="1" vertOverflow="ellipsis" vert="horz" wrap="square" anchor="ctr" anchorCtr="1"/>
                    <a:lstStyle/>
                    <a:p>
                      <a:pPr>
                        <a:defRPr sz="800" b="1" i="0" u="none" strike="noStrike" kern="1200" baseline="0">
                          <a:solidFill>
                            <a:srgbClr val="FF0000"/>
                          </a:solidFill>
                          <a:latin typeface="Arial Narrow" panose="020B0606020202030204" pitchFamily="34" charset="0"/>
                          <a:ea typeface="Yu Gothic" panose="020B0400000000000000" pitchFamily="34" charset="-128"/>
                          <a:cs typeface="+mn-cs"/>
                        </a:defRPr>
                      </a:pPr>
                      <a:endParaRPr lang="sk-SK"/>
                    </a:p>
                  </c:txPr>
                  <c:showLegendKey val="0"/>
                  <c:showVal val="0"/>
                  <c:showCatName val="0"/>
                  <c:showSerName val="0"/>
                  <c:showPercent val="0"/>
                  <c:showBubbleSize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Hárok1!$D$2:$J$2</c15:sqref>
                        </c15:formulaRef>
                      </c:ext>
                    </c:extLst>
                    <c:numCache>
                      <c:formatCode>General</c:formatCode>
                      <c:ptCount val="7"/>
                      <c:pt idx="0">
                        <c:v>2021</c:v>
                      </c:pt>
                      <c:pt idx="1">
                        <c:v>2022</c:v>
                      </c:pt>
                      <c:pt idx="2">
                        <c:v>2023</c:v>
                      </c:pt>
                      <c:pt idx="3">
                        <c:v>2024</c:v>
                      </c:pt>
                      <c:pt idx="4">
                        <c:v>2025</c:v>
                      </c:pt>
                      <c:pt idx="5">
                        <c:v>2026</c:v>
                      </c:pt>
                      <c:pt idx="6">
                        <c:v>2027</c:v>
                      </c:pt>
                    </c:numCache>
                  </c:numRef>
                </c:cat>
                <c:val>
                  <c:numRef>
                    <c:extLst>
                      <c:ext uri="{02D57815-91ED-43cb-92C2-25804820EDAC}">
                        <c15:formulaRef>
                          <c15:sqref>Hárok1!$D$10:$J$10</c15:sqref>
                        </c15:formulaRef>
                      </c:ext>
                    </c:extLst>
                    <c:numCache>
                      <c:formatCode>0.0%</c:formatCode>
                      <c:ptCount val="7"/>
                      <c:pt idx="0">
                        <c:v>2.7E-2</c:v>
                      </c:pt>
                      <c:pt idx="1">
                        <c:v>2.7E-2</c:v>
                      </c:pt>
                      <c:pt idx="2">
                        <c:v>2.7E-2</c:v>
                      </c:pt>
                      <c:pt idx="3">
                        <c:v>2.7E-2</c:v>
                      </c:pt>
                      <c:pt idx="4">
                        <c:v>2.7E-2</c:v>
                      </c:pt>
                      <c:pt idx="5">
                        <c:v>2.7E-2</c:v>
                      </c:pt>
                      <c:pt idx="6">
                        <c:v>2.7E-2</c:v>
                      </c:pt>
                    </c:numCache>
                  </c:numRef>
                </c:val>
                <c:smooth val="0"/>
                <c:extLst>
                  <c:ext xmlns:c16="http://schemas.microsoft.com/office/drawing/2014/chart" uri="{C3380CC4-5D6E-409C-BE32-E72D297353CC}">
                    <c16:uniqueId val="{00000007-D2BC-4651-9816-E99E83C98CEA}"/>
                  </c:ext>
                </c:extLst>
              </c15:ser>
            </c15:filteredLineSeries>
          </c:ext>
        </c:extLst>
      </c:lineChart>
      <c:catAx>
        <c:axId val="1052527328"/>
        <c:scaling>
          <c:orientation val="minMax"/>
        </c:scaling>
        <c:delete val="0"/>
        <c:axPos val="b"/>
        <c:numFmt formatCode="General" sourceLinked="1"/>
        <c:majorTickMark val="none"/>
        <c:minorTickMark val="none"/>
        <c:tickLblPos val="nextTo"/>
        <c:spPr>
          <a:noFill/>
          <a:ln w="12700"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Yu Gothic" panose="020B0400000000000000" pitchFamily="34" charset="-128"/>
                <a:cs typeface="+mn-cs"/>
              </a:defRPr>
            </a:pPr>
            <a:endParaRPr lang="sk-SK"/>
          </a:p>
        </c:txPr>
        <c:crossAx val="1268504720"/>
        <c:crosses val="autoZero"/>
        <c:auto val="1"/>
        <c:lblAlgn val="ctr"/>
        <c:lblOffset val="100"/>
        <c:noMultiLvlLbl val="0"/>
      </c:catAx>
      <c:valAx>
        <c:axId val="1268504720"/>
        <c:scaling>
          <c:orientation val="minMax"/>
        </c:scaling>
        <c:delete val="0"/>
        <c:axPos val="l"/>
        <c:majorGridlines>
          <c:spPr>
            <a:ln w="3175" cap="flat" cmpd="sng" algn="ctr">
              <a:solidFill>
                <a:schemeClr val="bg1">
                  <a:lumMod val="50000"/>
                  <a:alpha val="25000"/>
                </a:schemeClr>
              </a:solidFill>
              <a:prstDash val="sysDot"/>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Yu Gothic" panose="020B0400000000000000" pitchFamily="34" charset="-128"/>
                <a:cs typeface="+mn-cs"/>
              </a:defRPr>
            </a:pPr>
            <a:endParaRPr lang="sk-SK"/>
          </a:p>
        </c:txPr>
        <c:crossAx val="1052527328"/>
        <c:crosses val="autoZero"/>
        <c:crossBetween val="between"/>
      </c:valAx>
      <c:spPr>
        <a:noFill/>
        <a:ln>
          <a:noFill/>
        </a:ln>
        <a:effectLst/>
      </c:spPr>
    </c:plotArea>
    <c:legend>
      <c:legendPos val="b"/>
      <c:layout>
        <c:manualLayout>
          <c:xMode val="edge"/>
          <c:yMode val="edge"/>
          <c:x val="3.2997856976509865E-2"/>
          <c:y val="0.85578026423669351"/>
          <c:w val="0.9579043692430258"/>
          <c:h val="0.123795122770790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Yu Gothic" panose="020B0400000000000000" pitchFamily="34" charset="-128"/>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ysClr val="windowText" lastClr="000000"/>
          </a:solidFill>
          <a:latin typeface="Arial Narrow" panose="020B0606020202030204" pitchFamily="34" charset="0"/>
          <a:ea typeface="Yu Gothic" panose="020B0400000000000000" pitchFamily="34" charset="-128"/>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637576552930887E-2"/>
          <c:y val="8.4437882764654415E-2"/>
          <c:w val="0.90196957766642827"/>
          <c:h val="0.81410047148361786"/>
        </c:manualLayout>
      </c:layout>
      <c:lineChart>
        <c:grouping val="standard"/>
        <c:varyColors val="0"/>
        <c:ser>
          <c:idx val="2"/>
          <c:order val="0"/>
          <c:tx>
            <c:strRef>
              <c:f>'Graf 1'!$D$4</c:f>
              <c:strCache>
                <c:ptCount val="1"/>
                <c:pt idx="0">
                  <c:v> September 2019</c:v>
                </c:pt>
              </c:strCache>
            </c:strRef>
          </c:tx>
          <c:spPr>
            <a:ln w="19050">
              <a:solidFill>
                <a:sysClr val="window" lastClr="FFFFFF">
                  <a:lumMod val="65000"/>
                </a:sysClr>
              </a:solidFill>
              <a:prstDash val="sysDash"/>
            </a:ln>
          </c:spPr>
          <c:marker>
            <c:symbol val="circle"/>
            <c:size val="5"/>
            <c:spPr>
              <a:solidFill>
                <a:sysClr val="window" lastClr="FFFFFF">
                  <a:lumMod val="50000"/>
                </a:sysClr>
              </a:solidFill>
              <a:ln>
                <a:solidFill>
                  <a:sysClr val="window" lastClr="FFFFFF">
                    <a:lumMod val="65000"/>
                  </a:sysClr>
                </a:solidFill>
              </a:ln>
            </c:spPr>
          </c:marker>
          <c:dLbls>
            <c:spPr>
              <a:noFill/>
              <a:ln>
                <a:noFill/>
              </a:ln>
              <a:effectLst/>
            </c:spPr>
            <c:txPr>
              <a:bodyPr wrap="square" lIns="38100" tIns="19050" rIns="38100" bIns="19050" anchor="ctr">
                <a:spAutoFit/>
              </a:bodyPr>
              <a:lstStyle/>
              <a:p>
                <a:pPr>
                  <a:defRPr b="1">
                    <a:solidFill>
                      <a:schemeClr val="bg1">
                        <a:lumMod val="50000"/>
                      </a:schemeClr>
                    </a:solidFill>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'Graf 1'!$E$3:$O$3</c:f>
              <c:numCache>
                <c:formatCode>0</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'Graf 1'!$E$4:$O$4</c:f>
              <c:numCache>
                <c:formatCode>0.0</c:formatCode>
                <c:ptCount val="11"/>
                <c:pt idx="0">
                  <c:v>97.560732541527884</c:v>
                </c:pt>
                <c:pt idx="1">
                  <c:v>100</c:v>
                </c:pt>
                <c:pt idx="2">
                  <c:v>102.25955783139096</c:v>
                </c:pt>
                <c:pt idx="3">
                  <c:v>105.08375828087543</c:v>
                </c:pt>
                <c:pt idx="4">
                  <c:v>107.92782277594983</c:v>
                </c:pt>
              </c:numCache>
            </c:numRef>
          </c:val>
          <c:smooth val="0"/>
          <c:extLst>
            <c:ext xmlns:c16="http://schemas.microsoft.com/office/drawing/2014/chart" uri="{C3380CC4-5D6E-409C-BE32-E72D297353CC}">
              <c16:uniqueId val="{00000000-DDB1-497C-9A9D-B44FDDBD309B}"/>
            </c:ext>
          </c:extLst>
        </c:ser>
        <c:ser>
          <c:idx val="3"/>
          <c:order val="1"/>
          <c:tx>
            <c:strRef>
              <c:f>'Graf 1'!$D$5</c:f>
              <c:strCache>
                <c:ptCount val="1"/>
                <c:pt idx="0">
                  <c:v> September 2024</c:v>
                </c:pt>
              </c:strCache>
            </c:strRef>
          </c:tx>
          <c:spPr>
            <a:ln w="19050">
              <a:solidFill>
                <a:srgbClr val="00B0F0"/>
              </a:solidFill>
            </a:ln>
          </c:spPr>
          <c:marker>
            <c:symbol val="circle"/>
            <c:size val="5"/>
            <c:spPr>
              <a:solidFill>
                <a:srgbClr val="00B0F0"/>
              </a:solidFill>
              <a:ln>
                <a:noFill/>
              </a:ln>
            </c:spPr>
          </c:marker>
          <c:dLbls>
            <c:spPr>
              <a:noFill/>
              <a:ln>
                <a:noFill/>
              </a:ln>
              <a:effectLst/>
            </c:spPr>
            <c:txPr>
              <a:bodyPr wrap="square" lIns="38100" tIns="19050" rIns="38100" bIns="19050" anchor="ctr">
                <a:spAutoFit/>
              </a:bodyPr>
              <a:lstStyle/>
              <a:p>
                <a:pPr>
                  <a:defRPr b="1">
                    <a:solidFill>
                      <a:srgbClr val="00B0F0"/>
                    </a:solidFill>
                  </a:defRPr>
                </a:pPr>
                <a:endParaRPr lang="sk-SK"/>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'Graf 1'!$E$3:$O$3</c:f>
              <c:numCache>
                <c:formatCode>0</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'Graf 1'!$E$5:$O$5</c:f>
              <c:numCache>
                <c:formatCode>0.0</c:formatCode>
                <c:ptCount val="11"/>
                <c:pt idx="0">
                  <c:v>97.488743802236243</c:v>
                </c:pt>
                <c:pt idx="1">
                  <c:v>100</c:v>
                </c:pt>
                <c:pt idx="2">
                  <c:v>96.670276790335947</c:v>
                </c:pt>
                <c:pt idx="3">
                  <c:v>101.28262974768298</c:v>
                </c:pt>
                <c:pt idx="4">
                  <c:v>103.17665158697025</c:v>
                </c:pt>
                <c:pt idx="5">
                  <c:v>104.82382037029799</c:v>
                </c:pt>
                <c:pt idx="6">
                  <c:v>107.23493719395022</c:v>
                </c:pt>
                <c:pt idx="7">
                  <c:v>109.61961576871211</c:v>
                </c:pt>
                <c:pt idx="8">
                  <c:v>112.2045573535908</c:v>
                </c:pt>
                <c:pt idx="9">
                  <c:v>113.37649830366722</c:v>
                </c:pt>
                <c:pt idx="10">
                  <c:v>115.52097984794472</c:v>
                </c:pt>
              </c:numCache>
            </c:numRef>
          </c:val>
          <c:smooth val="0"/>
          <c:extLst>
            <c:ext xmlns:c16="http://schemas.microsoft.com/office/drawing/2014/chart" uri="{C3380CC4-5D6E-409C-BE32-E72D297353CC}">
              <c16:uniqueId val="{00000001-DDB1-497C-9A9D-B44FDDBD309B}"/>
            </c:ext>
          </c:extLst>
        </c:ser>
        <c:dLbls>
          <c:showLegendKey val="0"/>
          <c:showVal val="0"/>
          <c:showCatName val="0"/>
          <c:showSerName val="0"/>
          <c:showPercent val="0"/>
          <c:showBubbleSize val="0"/>
        </c:dLbls>
        <c:marker val="1"/>
        <c:smooth val="0"/>
        <c:axId val="674655744"/>
        <c:axId val="674656136"/>
      </c:lineChart>
      <c:catAx>
        <c:axId val="674655744"/>
        <c:scaling>
          <c:orientation val="minMax"/>
        </c:scaling>
        <c:delete val="0"/>
        <c:axPos val="b"/>
        <c:numFmt formatCode="General" sourceLinked="0"/>
        <c:majorTickMark val="none"/>
        <c:minorTickMark val="none"/>
        <c:tickLblPos val="low"/>
        <c:spPr>
          <a:ln w="12700">
            <a:solidFill>
              <a:sysClr val="window" lastClr="FFFFFF">
                <a:lumMod val="50000"/>
              </a:sysClr>
            </a:solidFill>
          </a:ln>
        </c:spPr>
        <c:txPr>
          <a:bodyPr rot="0" vert="horz"/>
          <a:lstStyle/>
          <a:p>
            <a:pPr>
              <a:defRPr/>
            </a:pPr>
            <a:endParaRPr lang="sk-SK"/>
          </a:p>
        </c:txPr>
        <c:crossAx val="674656136"/>
        <c:crosses val="autoZero"/>
        <c:auto val="0"/>
        <c:lblAlgn val="ctr"/>
        <c:lblOffset val="100"/>
        <c:tickLblSkip val="1"/>
        <c:noMultiLvlLbl val="0"/>
      </c:catAx>
      <c:valAx>
        <c:axId val="674656136"/>
        <c:scaling>
          <c:orientation val="minMax"/>
        </c:scaling>
        <c:delete val="0"/>
        <c:axPos val="l"/>
        <c:majorGridlines>
          <c:spPr>
            <a:ln w="3175">
              <a:solidFill>
                <a:srgbClr val="686767">
                  <a:alpha val="25000"/>
                </a:srgbClr>
              </a:solidFill>
              <a:prstDash val="sysDot"/>
            </a:ln>
          </c:spPr>
        </c:majorGridlines>
        <c:numFmt formatCode="#,##0" sourceLinked="0"/>
        <c:majorTickMark val="out"/>
        <c:minorTickMark val="none"/>
        <c:tickLblPos val="nextTo"/>
        <c:spPr>
          <a:ln>
            <a:noFill/>
          </a:ln>
        </c:spPr>
        <c:txPr>
          <a:bodyPr rot="0" vert="horz"/>
          <a:lstStyle/>
          <a:p>
            <a:pPr>
              <a:defRPr/>
            </a:pPr>
            <a:endParaRPr lang="sk-SK"/>
          </a:p>
        </c:txPr>
        <c:crossAx val="674655744"/>
        <c:crosses val="autoZero"/>
        <c:crossBetween val="between"/>
      </c:valAx>
      <c:spPr>
        <a:noFill/>
      </c:spPr>
    </c:plotArea>
    <c:legend>
      <c:legendPos val="l"/>
      <c:layout>
        <c:manualLayout>
          <c:xMode val="edge"/>
          <c:yMode val="edge"/>
          <c:x val="0.10833333333333332"/>
          <c:y val="0.78044692330125398"/>
          <c:w val="0.82630927384077002"/>
          <c:h val="8.9776902887139118E-2"/>
        </c:manualLayout>
      </c:layout>
      <c:overlay val="1"/>
    </c:legend>
    <c:plotVisOnly val="1"/>
    <c:dispBlanksAs val="gap"/>
    <c:showDLblsOverMax val="0"/>
  </c:chart>
  <c:spPr>
    <a:solidFill>
      <a:sysClr val="window" lastClr="FFFFFF"/>
    </a:solidFill>
    <a:ln>
      <a:noFill/>
    </a:ln>
  </c:spPr>
  <c:txPr>
    <a:bodyPr/>
    <a:lstStyle/>
    <a:p>
      <a:pPr>
        <a:defRPr sz="700" b="0" i="0" u="none" strike="noStrike" baseline="0">
          <a:solidFill>
            <a:schemeClr val="tx1"/>
          </a:solidFill>
          <a:latin typeface="Arial Narrow" panose="020B0606020202030204" pitchFamily="34" charset="0"/>
          <a:ea typeface="Calibri"/>
          <a:cs typeface="Calibri"/>
        </a:defRPr>
      </a:pPr>
      <a:endParaRPr lang="sk-SK"/>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594605129804319E-2"/>
          <c:y val="4.8304205876704434E-2"/>
          <c:w val="0.91668238871131202"/>
          <c:h val="0.86295499647909868"/>
        </c:manualLayout>
      </c:layout>
      <c:lineChart>
        <c:grouping val="standard"/>
        <c:varyColors val="0"/>
        <c:ser>
          <c:idx val="2"/>
          <c:order val="0"/>
          <c:tx>
            <c:strRef>
              <c:f>'Graf 2'!$C$4</c:f>
              <c:strCache>
                <c:ptCount val="1"/>
                <c:pt idx="0">
                  <c:v>Celková inflácia</c:v>
                </c:pt>
              </c:strCache>
            </c:strRef>
          </c:tx>
          <c:spPr>
            <a:ln w="28575">
              <a:solidFill>
                <a:srgbClr val="2EAAE1"/>
              </a:solidFill>
              <a:prstDash val="solid"/>
            </a:ln>
          </c:spPr>
          <c:marker>
            <c:symbol val="none"/>
          </c:marker>
          <c:dLbls>
            <c:dLbl>
              <c:idx val="3"/>
              <c:layout>
                <c:manualLayout>
                  <c:x val="-5.8298595028562689E-2"/>
                  <c:y val="-3.09721007096335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7F-435F-9634-A02B3A956CFE}"/>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'Graf 2'!$K$3:$Q$3</c:f>
              <c:numCache>
                <c:formatCode>General</c:formatCode>
                <c:ptCount val="7"/>
                <c:pt idx="0">
                  <c:v>2022</c:v>
                </c:pt>
                <c:pt idx="1">
                  <c:v>2023</c:v>
                </c:pt>
                <c:pt idx="2">
                  <c:v>2024</c:v>
                </c:pt>
                <c:pt idx="3">
                  <c:v>2025</c:v>
                </c:pt>
                <c:pt idx="4">
                  <c:v>2026</c:v>
                </c:pt>
                <c:pt idx="5">
                  <c:v>2027</c:v>
                </c:pt>
                <c:pt idx="6">
                  <c:v>2028</c:v>
                </c:pt>
              </c:numCache>
            </c:numRef>
          </c:cat>
          <c:val>
            <c:numRef>
              <c:f>'Graf 2'!$K$4:$Q$4</c:f>
              <c:numCache>
                <c:formatCode>0.0</c:formatCode>
                <c:ptCount val="7"/>
                <c:pt idx="0">
                  <c:v>12.816361696049569</c:v>
                </c:pt>
                <c:pt idx="1">
                  <c:v>10.482867049436432</c:v>
                </c:pt>
                <c:pt idx="2">
                  <c:v>2.7915649560643194</c:v>
                </c:pt>
                <c:pt idx="3">
                  <c:v>5.3633510250092087</c:v>
                </c:pt>
                <c:pt idx="4">
                  <c:v>2.687185426633008</c:v>
                </c:pt>
                <c:pt idx="5">
                  <c:v>2.1876330525767615</c:v>
                </c:pt>
                <c:pt idx="6">
                  <c:v>2.4241486552460652</c:v>
                </c:pt>
              </c:numCache>
            </c:numRef>
          </c:val>
          <c:smooth val="0"/>
          <c:extLst>
            <c:ext xmlns:c16="http://schemas.microsoft.com/office/drawing/2014/chart" uri="{C3380CC4-5D6E-409C-BE32-E72D297353CC}">
              <c16:uniqueId val="{00000000-A8DA-496D-8F78-83A94FD0D091}"/>
            </c:ext>
          </c:extLst>
        </c:ser>
        <c:ser>
          <c:idx val="3"/>
          <c:order val="1"/>
          <c:tx>
            <c:strRef>
              <c:f>'Graf 2'!$C$5</c:f>
              <c:strCache>
                <c:ptCount val="1"/>
                <c:pt idx="0">
                  <c:v>Tovary a služby</c:v>
                </c:pt>
              </c:strCache>
            </c:strRef>
          </c:tx>
          <c:spPr>
            <a:ln w="19050">
              <a:solidFill>
                <a:srgbClr val="131D2B"/>
              </a:solidFill>
            </a:ln>
          </c:spPr>
          <c:marker>
            <c:symbol val="none"/>
          </c:marker>
          <c:cat>
            <c:numRef>
              <c:f>'Graf 2'!$K$3:$Q$3</c:f>
              <c:numCache>
                <c:formatCode>General</c:formatCode>
                <c:ptCount val="7"/>
                <c:pt idx="0">
                  <c:v>2022</c:v>
                </c:pt>
                <c:pt idx="1">
                  <c:v>2023</c:v>
                </c:pt>
                <c:pt idx="2">
                  <c:v>2024</c:v>
                </c:pt>
                <c:pt idx="3">
                  <c:v>2025</c:v>
                </c:pt>
                <c:pt idx="4">
                  <c:v>2026</c:v>
                </c:pt>
                <c:pt idx="5">
                  <c:v>2027</c:v>
                </c:pt>
                <c:pt idx="6">
                  <c:v>2028</c:v>
                </c:pt>
              </c:numCache>
            </c:numRef>
          </c:cat>
          <c:val>
            <c:numRef>
              <c:f>'Graf 2'!$K$5:$Q$5</c:f>
              <c:numCache>
                <c:formatCode>0.0</c:formatCode>
                <c:ptCount val="7"/>
                <c:pt idx="0">
                  <c:v>10.536968357018139</c:v>
                </c:pt>
                <c:pt idx="1">
                  <c:v>9.3666248713153202</c:v>
                </c:pt>
                <c:pt idx="2">
                  <c:v>3.0300182281451926</c:v>
                </c:pt>
                <c:pt idx="3">
                  <c:v>5.1743703142670183</c:v>
                </c:pt>
                <c:pt idx="4">
                  <c:v>2.5577919583652298</c:v>
                </c:pt>
                <c:pt idx="5">
                  <c:v>2.3914257522741122</c:v>
                </c:pt>
                <c:pt idx="6">
                  <c:v>2.6630608003261669</c:v>
                </c:pt>
              </c:numCache>
            </c:numRef>
          </c:val>
          <c:smooth val="0"/>
          <c:extLst>
            <c:ext xmlns:c16="http://schemas.microsoft.com/office/drawing/2014/chart" uri="{C3380CC4-5D6E-409C-BE32-E72D297353CC}">
              <c16:uniqueId val="{00000001-A8DA-496D-8F78-83A94FD0D091}"/>
            </c:ext>
          </c:extLst>
        </c:ser>
        <c:ser>
          <c:idx val="0"/>
          <c:order val="2"/>
          <c:tx>
            <c:strRef>
              <c:f>'Graf 2'!$C$6</c:f>
              <c:strCache>
                <c:ptCount val="1"/>
                <c:pt idx="0">
                  <c:v>Potraviny</c:v>
                </c:pt>
              </c:strCache>
            </c:strRef>
          </c:tx>
          <c:spPr>
            <a:ln w="19050">
              <a:solidFill>
                <a:srgbClr val="FF0000"/>
              </a:solidFill>
            </a:ln>
          </c:spPr>
          <c:marker>
            <c:symbol val="none"/>
          </c:marker>
          <c:cat>
            <c:numRef>
              <c:f>'Graf 2'!$K$3:$Q$3</c:f>
              <c:numCache>
                <c:formatCode>General</c:formatCode>
                <c:ptCount val="7"/>
                <c:pt idx="0">
                  <c:v>2022</c:v>
                </c:pt>
                <c:pt idx="1">
                  <c:v>2023</c:v>
                </c:pt>
                <c:pt idx="2">
                  <c:v>2024</c:v>
                </c:pt>
                <c:pt idx="3">
                  <c:v>2025</c:v>
                </c:pt>
                <c:pt idx="4">
                  <c:v>2026</c:v>
                </c:pt>
                <c:pt idx="5">
                  <c:v>2027</c:v>
                </c:pt>
                <c:pt idx="6">
                  <c:v>2028</c:v>
                </c:pt>
              </c:numCache>
            </c:numRef>
          </c:cat>
          <c:val>
            <c:numRef>
              <c:f>'Graf 2'!$K$6:$Q$6</c:f>
              <c:numCache>
                <c:formatCode>0.0</c:formatCode>
                <c:ptCount val="7"/>
                <c:pt idx="0">
                  <c:v>19.262742787366793</c:v>
                </c:pt>
                <c:pt idx="1">
                  <c:v>17.543237553397994</c:v>
                </c:pt>
                <c:pt idx="2">
                  <c:v>1.9032403972890632</c:v>
                </c:pt>
                <c:pt idx="3">
                  <c:v>4.0361206387165005</c:v>
                </c:pt>
                <c:pt idx="4">
                  <c:v>4.0537672552948267</c:v>
                </c:pt>
                <c:pt idx="5">
                  <c:v>3.6165912734945849</c:v>
                </c:pt>
                <c:pt idx="6">
                  <c:v>3.1274967953297317</c:v>
                </c:pt>
              </c:numCache>
            </c:numRef>
          </c:val>
          <c:smooth val="0"/>
          <c:extLst>
            <c:ext xmlns:c16="http://schemas.microsoft.com/office/drawing/2014/chart" uri="{C3380CC4-5D6E-409C-BE32-E72D297353CC}">
              <c16:uniqueId val="{00000002-A8DA-496D-8F78-83A94FD0D091}"/>
            </c:ext>
          </c:extLst>
        </c:ser>
        <c:ser>
          <c:idx val="1"/>
          <c:order val="3"/>
          <c:tx>
            <c:strRef>
              <c:f>'Graf 2'!$C$7</c:f>
              <c:strCache>
                <c:ptCount val="1"/>
                <c:pt idx="0">
                  <c:v>Regulované ceny</c:v>
                </c:pt>
              </c:strCache>
            </c:strRef>
          </c:tx>
          <c:spPr>
            <a:ln w="19050">
              <a:solidFill>
                <a:srgbClr val="2EAAE1">
                  <a:lumMod val="60000"/>
                  <a:lumOff val="40000"/>
                </a:srgbClr>
              </a:solidFill>
            </a:ln>
          </c:spPr>
          <c:marker>
            <c:symbol val="none"/>
          </c:marker>
          <c:cat>
            <c:numRef>
              <c:f>'Graf 2'!$K$3:$Q$3</c:f>
              <c:numCache>
                <c:formatCode>General</c:formatCode>
                <c:ptCount val="7"/>
                <c:pt idx="0">
                  <c:v>2022</c:v>
                </c:pt>
                <c:pt idx="1">
                  <c:v>2023</c:v>
                </c:pt>
                <c:pt idx="2">
                  <c:v>2024</c:v>
                </c:pt>
                <c:pt idx="3">
                  <c:v>2025</c:v>
                </c:pt>
                <c:pt idx="4">
                  <c:v>2026</c:v>
                </c:pt>
                <c:pt idx="5">
                  <c:v>2027</c:v>
                </c:pt>
                <c:pt idx="6">
                  <c:v>2028</c:v>
                </c:pt>
              </c:numCache>
            </c:numRef>
          </c:cat>
          <c:val>
            <c:numRef>
              <c:f>'Graf 2'!$K$7:$Q$7</c:f>
              <c:numCache>
                <c:formatCode>0.0</c:formatCode>
                <c:ptCount val="7"/>
                <c:pt idx="0">
                  <c:v>13.278165793638852</c:v>
                </c:pt>
                <c:pt idx="1">
                  <c:v>8.5992995940561414</c:v>
                </c:pt>
                <c:pt idx="2">
                  <c:v>0.98425429015369659</c:v>
                </c:pt>
                <c:pt idx="3">
                  <c:v>8.3279513890131227</c:v>
                </c:pt>
                <c:pt idx="4">
                  <c:v>0.97767450414323331</c:v>
                </c:pt>
                <c:pt idx="5">
                  <c:v>-0.9574947596468264</c:v>
                </c:pt>
                <c:pt idx="6">
                  <c:v>-8.7695589140901475E-3</c:v>
                </c:pt>
              </c:numCache>
            </c:numRef>
          </c:val>
          <c:smooth val="0"/>
          <c:extLst>
            <c:ext xmlns:c16="http://schemas.microsoft.com/office/drawing/2014/chart" uri="{C3380CC4-5D6E-409C-BE32-E72D297353CC}">
              <c16:uniqueId val="{00000003-A8DA-496D-8F78-83A94FD0D091}"/>
            </c:ext>
          </c:extLst>
        </c:ser>
        <c:dLbls>
          <c:showLegendKey val="0"/>
          <c:showVal val="0"/>
          <c:showCatName val="0"/>
          <c:showSerName val="0"/>
          <c:showPercent val="0"/>
          <c:showBubbleSize val="0"/>
        </c:dLbls>
        <c:smooth val="0"/>
        <c:axId val="674655744"/>
        <c:axId val="674656136"/>
      </c:lineChart>
      <c:catAx>
        <c:axId val="674655744"/>
        <c:scaling>
          <c:orientation val="minMax"/>
        </c:scaling>
        <c:delete val="0"/>
        <c:axPos val="b"/>
        <c:numFmt formatCode="General" sourceLinked="0"/>
        <c:majorTickMark val="none"/>
        <c:minorTickMark val="none"/>
        <c:tickLblPos val="low"/>
        <c:spPr>
          <a:ln w="12700">
            <a:solidFill>
              <a:srgbClr val="686767"/>
            </a:solidFill>
          </a:ln>
        </c:spPr>
        <c:txPr>
          <a:bodyPr rot="0" vert="horz"/>
          <a:lstStyle/>
          <a:p>
            <a:pPr>
              <a:defRPr/>
            </a:pPr>
            <a:endParaRPr lang="sk-SK"/>
          </a:p>
        </c:txPr>
        <c:crossAx val="674656136"/>
        <c:crosses val="autoZero"/>
        <c:auto val="0"/>
        <c:lblAlgn val="ctr"/>
        <c:lblOffset val="100"/>
        <c:noMultiLvlLbl val="0"/>
      </c:catAx>
      <c:valAx>
        <c:axId val="674656136"/>
        <c:scaling>
          <c:orientation val="minMax"/>
        </c:scaling>
        <c:delete val="0"/>
        <c:axPos val="l"/>
        <c:majorGridlines>
          <c:spPr>
            <a:ln w="3175">
              <a:solidFill>
                <a:srgbClr val="686767">
                  <a:alpha val="25000"/>
                </a:srgbClr>
              </a:solidFill>
              <a:prstDash val="sysDot"/>
            </a:ln>
          </c:spPr>
        </c:majorGridlines>
        <c:numFmt formatCode="#,##0" sourceLinked="0"/>
        <c:majorTickMark val="out"/>
        <c:minorTickMark val="none"/>
        <c:tickLblPos val="nextTo"/>
        <c:spPr>
          <a:ln>
            <a:noFill/>
          </a:ln>
        </c:spPr>
        <c:txPr>
          <a:bodyPr rot="0" vert="horz"/>
          <a:lstStyle/>
          <a:p>
            <a:pPr>
              <a:defRPr/>
            </a:pPr>
            <a:endParaRPr lang="sk-SK"/>
          </a:p>
        </c:txPr>
        <c:crossAx val="674655744"/>
        <c:crosses val="autoZero"/>
        <c:crossBetween val="between"/>
      </c:valAx>
      <c:spPr>
        <a:noFill/>
      </c:spPr>
    </c:plotArea>
    <c:legend>
      <c:legendPos val="l"/>
      <c:layout>
        <c:manualLayout>
          <c:xMode val="edge"/>
          <c:yMode val="edge"/>
          <c:x val="0.12010446713962734"/>
          <c:y val="4.7271621535112988E-2"/>
          <c:w val="0.75398534341623125"/>
          <c:h val="9.8591639459701702E-2"/>
        </c:manualLayout>
      </c:layout>
      <c:overlay val="1"/>
    </c:legend>
    <c:plotVisOnly val="1"/>
    <c:dispBlanksAs val="gap"/>
    <c:showDLblsOverMax val="0"/>
  </c:chart>
  <c:spPr>
    <a:solidFill>
      <a:sysClr val="window" lastClr="FFFFFF"/>
    </a:solidFill>
    <a:ln>
      <a:noFill/>
    </a:ln>
  </c:spPr>
  <c:txPr>
    <a:bodyPr/>
    <a:lstStyle/>
    <a:p>
      <a:pPr>
        <a:defRPr sz="700" b="0" i="0" u="none" strike="noStrike" baseline="0">
          <a:solidFill>
            <a:schemeClr val="tx1"/>
          </a:solidFill>
          <a:latin typeface="Arial Narrow" panose="020B0606020202030204" pitchFamily="34" charset="0"/>
          <a:ea typeface="Calibri"/>
          <a:cs typeface="Calibri"/>
        </a:defRPr>
      </a:pPr>
      <a:endParaRPr lang="sk-SK"/>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64370078740157E-2"/>
          <c:y val="0.14366184327422751"/>
          <c:w val="0.85015704286964133"/>
          <c:h val="0.74449427399627588"/>
        </c:manualLayout>
      </c:layout>
      <c:areaChart>
        <c:grouping val="standard"/>
        <c:varyColors val="0"/>
        <c:ser>
          <c:idx val="1"/>
          <c:order val="1"/>
          <c:tx>
            <c:strRef>
              <c:f>'Graf 3'!$B$8</c:f>
              <c:strCache>
                <c:ptCount val="1"/>
                <c:pt idx="0">
                  <c:v>Voľné pracovné miesta</c:v>
                </c:pt>
              </c:strCache>
            </c:strRef>
          </c:tx>
          <c:spPr>
            <a:solidFill>
              <a:schemeClr val="accent1">
                <a:lumMod val="40000"/>
                <a:lumOff val="60000"/>
              </a:schemeClr>
            </a:solidFill>
            <a:ln>
              <a:noFill/>
            </a:ln>
            <a:effectLst/>
          </c:spPr>
          <c:cat>
            <c:numRef>
              <c:f>'Graf 3'!$C$5:$CD$5</c:f>
              <c:numCache>
                <c:formatCode>General</c:formatCode>
                <c:ptCount val="80"/>
                <c:pt idx="0">
                  <c:v>2018</c:v>
                </c:pt>
                <c:pt idx="12">
                  <c:v>2019</c:v>
                </c:pt>
                <c:pt idx="24">
                  <c:v>2020</c:v>
                </c:pt>
                <c:pt idx="36">
                  <c:v>2021</c:v>
                </c:pt>
                <c:pt idx="48">
                  <c:v>2022</c:v>
                </c:pt>
                <c:pt idx="60">
                  <c:v>2023</c:v>
                </c:pt>
                <c:pt idx="72">
                  <c:v>2024</c:v>
                </c:pt>
              </c:numCache>
            </c:numRef>
          </c:cat>
          <c:val>
            <c:numRef>
              <c:f>'Graf 3'!$C$8:$CD$8</c:f>
              <c:numCache>
                <c:formatCode>0</c:formatCode>
                <c:ptCount val="80"/>
                <c:pt idx="0">
                  <c:v>77828.224791047003</c:v>
                </c:pt>
                <c:pt idx="1">
                  <c:v>80260.189035985604</c:v>
                </c:pt>
                <c:pt idx="2">
                  <c:v>79107.117411983301</c:v>
                </c:pt>
                <c:pt idx="3">
                  <c:v>80931.357156258193</c:v>
                </c:pt>
                <c:pt idx="4">
                  <c:v>79850.930989783898</c:v>
                </c:pt>
                <c:pt idx="5">
                  <c:v>80603.0574077864</c:v>
                </c:pt>
                <c:pt idx="6">
                  <c:v>82066.622501983598</c:v>
                </c:pt>
                <c:pt idx="7">
                  <c:v>80430.972640651395</c:v>
                </c:pt>
                <c:pt idx="8">
                  <c:v>80742.725039361307</c:v>
                </c:pt>
                <c:pt idx="9">
                  <c:v>80315.377027045804</c:v>
                </c:pt>
                <c:pt idx="10">
                  <c:v>80028.881991593298</c:v>
                </c:pt>
                <c:pt idx="11">
                  <c:v>78478.800121538006</c:v>
                </c:pt>
                <c:pt idx="12">
                  <c:v>83811.552962234098</c:v>
                </c:pt>
                <c:pt idx="13">
                  <c:v>87995.560376663896</c:v>
                </c:pt>
                <c:pt idx="14">
                  <c:v>89725.771762425706</c:v>
                </c:pt>
                <c:pt idx="15">
                  <c:v>91883.766420155604</c:v>
                </c:pt>
                <c:pt idx="16">
                  <c:v>91100.106698338204</c:v>
                </c:pt>
                <c:pt idx="17">
                  <c:v>91647.628267943801</c:v>
                </c:pt>
                <c:pt idx="18">
                  <c:v>93441.514879205599</c:v>
                </c:pt>
                <c:pt idx="19">
                  <c:v>93363.717413488193</c:v>
                </c:pt>
                <c:pt idx="20">
                  <c:v>93938.645601011696</c:v>
                </c:pt>
                <c:pt idx="21">
                  <c:v>97192.750406990395</c:v>
                </c:pt>
                <c:pt idx="22">
                  <c:v>97310.496432934597</c:v>
                </c:pt>
                <c:pt idx="23">
                  <c:v>96877.116550342806</c:v>
                </c:pt>
                <c:pt idx="24">
                  <c:v>93735.147187565497</c:v>
                </c:pt>
                <c:pt idx="25">
                  <c:v>92625.900217033297</c:v>
                </c:pt>
                <c:pt idx="26">
                  <c:v>86303.943759324102</c:v>
                </c:pt>
                <c:pt idx="27">
                  <c:v>73963.254043773704</c:v>
                </c:pt>
                <c:pt idx="28">
                  <c:v>66962.221260216204</c:v>
                </c:pt>
                <c:pt idx="29">
                  <c:v>66286.062084766498</c:v>
                </c:pt>
                <c:pt idx="30">
                  <c:v>69129.2112476357</c:v>
                </c:pt>
                <c:pt idx="31">
                  <c:v>70634.0314505227</c:v>
                </c:pt>
                <c:pt idx="32">
                  <c:v>73024.866858546098</c:v>
                </c:pt>
                <c:pt idx="33">
                  <c:v>72471.5296927694</c:v>
                </c:pt>
                <c:pt idx="34">
                  <c:v>70567.945063208594</c:v>
                </c:pt>
                <c:pt idx="35">
                  <c:v>71036.939198702501</c:v>
                </c:pt>
                <c:pt idx="36">
                  <c:v>66244.812242296393</c:v>
                </c:pt>
                <c:pt idx="37">
                  <c:v>63936.6840382464</c:v>
                </c:pt>
                <c:pt idx="38">
                  <c:v>64416.777524515303</c:v>
                </c:pt>
                <c:pt idx="39">
                  <c:v>67046.711683090194</c:v>
                </c:pt>
                <c:pt idx="40">
                  <c:v>70109.153493909806</c:v>
                </c:pt>
                <c:pt idx="41">
                  <c:v>71685.663408937005</c:v>
                </c:pt>
                <c:pt idx="42">
                  <c:v>73157.375411003202</c:v>
                </c:pt>
                <c:pt idx="43">
                  <c:v>73946.086740198298</c:v>
                </c:pt>
                <c:pt idx="44">
                  <c:v>72613.776904347702</c:v>
                </c:pt>
                <c:pt idx="45">
                  <c:v>73010.176775830303</c:v>
                </c:pt>
                <c:pt idx="46">
                  <c:v>72763.508933451201</c:v>
                </c:pt>
                <c:pt idx="47">
                  <c:v>75573.721388959006</c:v>
                </c:pt>
                <c:pt idx="48">
                  <c:v>78622.385129599701</c:v>
                </c:pt>
                <c:pt idx="49">
                  <c:v>80870.572976787502</c:v>
                </c:pt>
                <c:pt idx="50">
                  <c:v>87289.155598358106</c:v>
                </c:pt>
                <c:pt idx="51">
                  <c:v>87127.957246101301</c:v>
                </c:pt>
                <c:pt idx="52">
                  <c:v>81169.491777659205</c:v>
                </c:pt>
                <c:pt idx="53">
                  <c:v>79248.470445382598</c:v>
                </c:pt>
                <c:pt idx="54">
                  <c:v>79136.808573325805</c:v>
                </c:pt>
                <c:pt idx="55">
                  <c:v>79634.152232373803</c:v>
                </c:pt>
                <c:pt idx="56">
                  <c:v>79690.093138498196</c:v>
                </c:pt>
                <c:pt idx="57">
                  <c:v>80462.540780474505</c:v>
                </c:pt>
                <c:pt idx="58">
                  <c:v>81450.6281566611</c:v>
                </c:pt>
                <c:pt idx="59">
                  <c:v>86222.041722721595</c:v>
                </c:pt>
                <c:pt idx="60">
                  <c:v>84028.871773771098</c:v>
                </c:pt>
                <c:pt idx="61">
                  <c:v>79668.458086762897</c:v>
                </c:pt>
                <c:pt idx="62">
                  <c:v>77742.063132049894</c:v>
                </c:pt>
                <c:pt idx="63">
                  <c:v>75988.134874406402</c:v>
                </c:pt>
                <c:pt idx="64">
                  <c:v>76320.976925711599</c:v>
                </c:pt>
                <c:pt idx="65">
                  <c:v>77161.213793707502</c:v>
                </c:pt>
                <c:pt idx="66">
                  <c:v>79999.059187311796</c:v>
                </c:pt>
                <c:pt idx="67">
                  <c:v>79587.350629920402</c:v>
                </c:pt>
                <c:pt idx="68">
                  <c:v>80332.778319078803</c:v>
                </c:pt>
                <c:pt idx="69">
                  <c:v>78925.944048926307</c:v>
                </c:pt>
                <c:pt idx="70">
                  <c:v>82051.806641041403</c:v>
                </c:pt>
                <c:pt idx="71">
                  <c:v>83462.417281945105</c:v>
                </c:pt>
                <c:pt idx="72">
                  <c:v>85111.012487418993</c:v>
                </c:pt>
                <c:pt idx="73">
                  <c:v>87936.159544953101</c:v>
                </c:pt>
                <c:pt idx="74">
                  <c:v>88102.5867843546</c:v>
                </c:pt>
                <c:pt idx="75">
                  <c:v>87676.836448275193</c:v>
                </c:pt>
                <c:pt idx="76">
                  <c:v>93512.829081148797</c:v>
                </c:pt>
                <c:pt idx="77">
                  <c:v>96641.642864991096</c:v>
                </c:pt>
                <c:pt idx="78">
                  <c:v>93622.7254718068</c:v>
                </c:pt>
                <c:pt idx="79">
                  <c:v>93755.155000192593</c:v>
                </c:pt>
              </c:numCache>
            </c:numRef>
          </c:val>
          <c:extLst>
            <c:ext xmlns:c16="http://schemas.microsoft.com/office/drawing/2014/chart" uri="{C3380CC4-5D6E-409C-BE32-E72D297353CC}">
              <c16:uniqueId val="{00000000-8032-4C94-A6F7-7E3C9F11AA7E}"/>
            </c:ext>
          </c:extLst>
        </c:ser>
        <c:dLbls>
          <c:showLegendKey val="0"/>
          <c:showVal val="0"/>
          <c:showCatName val="0"/>
          <c:showSerName val="0"/>
          <c:showPercent val="0"/>
          <c:showBubbleSize val="0"/>
        </c:dLbls>
        <c:axId val="2000440159"/>
        <c:axId val="2000434399"/>
      </c:areaChart>
      <c:lineChart>
        <c:grouping val="standard"/>
        <c:varyColors val="0"/>
        <c:ser>
          <c:idx val="0"/>
          <c:order val="0"/>
          <c:tx>
            <c:strRef>
              <c:f>'Graf 3'!$B$7</c:f>
              <c:strCache>
                <c:ptCount val="1"/>
                <c:pt idx="0">
                  <c:v>Disponibilná miera nezamestnanosti pr. os</c:v>
                </c:pt>
              </c:strCache>
            </c:strRef>
          </c:tx>
          <c:spPr>
            <a:ln w="22225" cap="rnd">
              <a:solidFill>
                <a:schemeClr val="accent2"/>
              </a:solidFill>
              <a:round/>
            </a:ln>
            <a:effectLst/>
          </c:spPr>
          <c:marker>
            <c:symbol val="none"/>
          </c:marker>
          <c:cat>
            <c:numRef>
              <c:f>'Graf 3'!$C$5:$CD$5</c:f>
              <c:numCache>
                <c:formatCode>General</c:formatCode>
                <c:ptCount val="80"/>
                <c:pt idx="0">
                  <c:v>2018</c:v>
                </c:pt>
                <c:pt idx="12">
                  <c:v>2019</c:v>
                </c:pt>
                <c:pt idx="24">
                  <c:v>2020</c:v>
                </c:pt>
                <c:pt idx="36">
                  <c:v>2021</c:v>
                </c:pt>
                <c:pt idx="48">
                  <c:v>2022</c:v>
                </c:pt>
                <c:pt idx="60">
                  <c:v>2023</c:v>
                </c:pt>
                <c:pt idx="72">
                  <c:v>2024</c:v>
                </c:pt>
              </c:numCache>
            </c:numRef>
          </c:cat>
          <c:val>
            <c:numRef>
              <c:f>'Graf 3'!$C$7:$CD$7</c:f>
              <c:numCache>
                <c:formatCode>0</c:formatCode>
                <c:ptCount val="80"/>
                <c:pt idx="0">
                  <c:v>5.8004973996120812</c:v>
                </c:pt>
                <c:pt idx="1">
                  <c:v>5.6744236685924925</c:v>
                </c:pt>
                <c:pt idx="2">
                  <c:v>5.545569195063945</c:v>
                </c:pt>
                <c:pt idx="3">
                  <c:v>5.4943842419010682</c:v>
                </c:pt>
                <c:pt idx="4">
                  <c:v>5.4521733792841625</c:v>
                </c:pt>
                <c:pt idx="5">
                  <c:v>5.4259749849027354</c:v>
                </c:pt>
                <c:pt idx="6">
                  <c:v>5.4163731517516638</c:v>
                </c:pt>
                <c:pt idx="7">
                  <c:v>5.3659062711017604</c:v>
                </c:pt>
                <c:pt idx="8">
                  <c:v>5.3076667138334308</c:v>
                </c:pt>
                <c:pt idx="9">
                  <c:v>5.2587322720411649</c:v>
                </c:pt>
                <c:pt idx="10">
                  <c:v>5.1718403630792666</c:v>
                </c:pt>
                <c:pt idx="11">
                  <c:v>5.0738242812582053</c:v>
                </c:pt>
                <c:pt idx="12">
                  <c:v>5.2122598571932173</c:v>
                </c:pt>
                <c:pt idx="13">
                  <c:v>5.1350038527041013</c:v>
                </c:pt>
                <c:pt idx="14">
                  <c:v>5.0426282026335461</c:v>
                </c:pt>
                <c:pt idx="15">
                  <c:v>4.9485057470138809</c:v>
                </c:pt>
                <c:pt idx="16">
                  <c:v>4.9386216737752191</c:v>
                </c:pt>
                <c:pt idx="17">
                  <c:v>4.9446705017811139</c:v>
                </c:pt>
                <c:pt idx="18">
                  <c:v>4.8993793861431687</c:v>
                </c:pt>
                <c:pt idx="19">
                  <c:v>4.9184848818025282</c:v>
                </c:pt>
                <c:pt idx="20">
                  <c:v>4.9869564942143665</c:v>
                </c:pt>
                <c:pt idx="21">
                  <c:v>5.0103049779208906</c:v>
                </c:pt>
                <c:pt idx="22">
                  <c:v>5.019350006034526</c:v>
                </c:pt>
                <c:pt idx="23">
                  <c:v>4.9774596784622789</c:v>
                </c:pt>
                <c:pt idx="24">
                  <c:v>4.9511825100486639</c:v>
                </c:pt>
                <c:pt idx="25">
                  <c:v>5.0279324355603876</c:v>
                </c:pt>
                <c:pt idx="26">
                  <c:v>5.1870474389220762</c:v>
                </c:pt>
                <c:pt idx="27">
                  <c:v>6.5839991172235273</c:v>
                </c:pt>
                <c:pt idx="28">
                  <c:v>7.2442420740788354</c:v>
                </c:pt>
                <c:pt idx="29">
                  <c:v>7.3457837961850192</c:v>
                </c:pt>
                <c:pt idx="30">
                  <c:v>7.5164067165088877</c:v>
                </c:pt>
                <c:pt idx="31">
                  <c:v>7.5127043624121388</c:v>
                </c:pt>
                <c:pt idx="32">
                  <c:v>7.4245952792169376</c:v>
                </c:pt>
                <c:pt idx="33">
                  <c:v>7.4867824880131648</c:v>
                </c:pt>
                <c:pt idx="34">
                  <c:v>7.582171544484412</c:v>
                </c:pt>
                <c:pt idx="35">
                  <c:v>7.658137478868329</c:v>
                </c:pt>
                <c:pt idx="36">
                  <c:v>7.7253691031950886</c:v>
                </c:pt>
                <c:pt idx="37">
                  <c:v>7.8096109007212906</c:v>
                </c:pt>
                <c:pt idx="38">
                  <c:v>7.8995763057719364</c:v>
                </c:pt>
                <c:pt idx="39">
                  <c:v>7.9732889785047805</c:v>
                </c:pt>
                <c:pt idx="40">
                  <c:v>7.9383191089184253</c:v>
                </c:pt>
                <c:pt idx="41">
                  <c:v>7.7162442422134756</c:v>
                </c:pt>
                <c:pt idx="42">
                  <c:v>7.5504286833030525</c:v>
                </c:pt>
                <c:pt idx="43">
                  <c:v>7.3223908743593853</c:v>
                </c:pt>
                <c:pt idx="44">
                  <c:v>7.1201546541258045</c:v>
                </c:pt>
                <c:pt idx="45">
                  <c:v>6.9552622528038537</c:v>
                </c:pt>
                <c:pt idx="46">
                  <c:v>6.8478510544875419</c:v>
                </c:pt>
                <c:pt idx="47">
                  <c:v>6.8328996664061945</c:v>
                </c:pt>
                <c:pt idx="48">
                  <c:v>6.8381126336268681</c:v>
                </c:pt>
                <c:pt idx="49">
                  <c:v>6.7391787402040659</c:v>
                </c:pt>
                <c:pt idx="50">
                  <c:v>6.5987693196267339</c:v>
                </c:pt>
                <c:pt idx="51">
                  <c:v>6.5151161068105923</c:v>
                </c:pt>
                <c:pt idx="52">
                  <c:v>6.4171525559122884</c:v>
                </c:pt>
                <c:pt idx="53">
                  <c:v>6.2972350043799388</c:v>
                </c:pt>
                <c:pt idx="54">
                  <c:v>6.1726866846542885</c:v>
                </c:pt>
                <c:pt idx="55">
                  <c:v>6.1093027066932564</c:v>
                </c:pt>
                <c:pt idx="56">
                  <c:v>6.0680771091545864</c:v>
                </c:pt>
                <c:pt idx="57">
                  <c:v>6.0211871823798342</c:v>
                </c:pt>
                <c:pt idx="58">
                  <c:v>5.9851835676760752</c:v>
                </c:pt>
                <c:pt idx="59">
                  <c:v>5.9294785322038175</c:v>
                </c:pt>
                <c:pt idx="60">
                  <c:v>5.6862894935861199</c:v>
                </c:pt>
                <c:pt idx="61">
                  <c:v>5.6369053005494631</c:v>
                </c:pt>
                <c:pt idx="62">
                  <c:v>5.54082932274261</c:v>
                </c:pt>
                <c:pt idx="63">
                  <c:v>5.3453992698412067</c:v>
                </c:pt>
                <c:pt idx="64">
                  <c:v>5.1948741004601864</c:v>
                </c:pt>
                <c:pt idx="65">
                  <c:v>5.1686094890804188</c:v>
                </c:pt>
                <c:pt idx="66">
                  <c:v>5.1854999288285093</c:v>
                </c:pt>
                <c:pt idx="67">
                  <c:v>5.1998663696656111</c:v>
                </c:pt>
                <c:pt idx="68">
                  <c:v>5.2040989628172181</c:v>
                </c:pt>
                <c:pt idx="69">
                  <c:v>5.1863487729390139</c:v>
                </c:pt>
                <c:pt idx="70">
                  <c:v>5.1390917936960561</c:v>
                </c:pt>
                <c:pt idx="71">
                  <c:v>5.0977935372683794</c:v>
                </c:pt>
                <c:pt idx="72">
                  <c:v>5.0741658837268124</c:v>
                </c:pt>
                <c:pt idx="73">
                  <c:v>5.0247574649418407</c:v>
                </c:pt>
                <c:pt idx="74">
                  <c:v>5.0020835890424173</c:v>
                </c:pt>
                <c:pt idx="75">
                  <c:v>5.0272596801690064</c:v>
                </c:pt>
                <c:pt idx="76">
                  <c:v>5.038665208722354</c:v>
                </c:pt>
                <c:pt idx="77">
                  <c:v>5.0255629085689817</c:v>
                </c:pt>
                <c:pt idx="78">
                  <c:v>5.0202193891497471</c:v>
                </c:pt>
                <c:pt idx="79">
                  <c:v>5.0029447698954623</c:v>
                </c:pt>
              </c:numCache>
            </c:numRef>
          </c:val>
          <c:smooth val="0"/>
          <c:extLst>
            <c:ext xmlns:c16="http://schemas.microsoft.com/office/drawing/2014/chart" uri="{C3380CC4-5D6E-409C-BE32-E72D297353CC}">
              <c16:uniqueId val="{00000001-8032-4C94-A6F7-7E3C9F11AA7E}"/>
            </c:ext>
          </c:extLst>
        </c:ser>
        <c:dLbls>
          <c:showLegendKey val="0"/>
          <c:showVal val="0"/>
          <c:showCatName val="0"/>
          <c:showSerName val="0"/>
          <c:showPercent val="0"/>
          <c:showBubbleSize val="0"/>
        </c:dLbls>
        <c:marker val="1"/>
        <c:smooth val="0"/>
        <c:axId val="2000413279"/>
        <c:axId val="2000430559"/>
      </c:lineChart>
      <c:catAx>
        <c:axId val="2000440159"/>
        <c:scaling>
          <c:orientation val="minMax"/>
        </c:scaling>
        <c:delete val="0"/>
        <c:axPos val="b"/>
        <c:numFmt formatCode="General" sourceLinked="1"/>
        <c:majorTickMark val="none"/>
        <c:minorTickMark val="none"/>
        <c:tickLblPos val="nextTo"/>
        <c:spPr>
          <a:noFill/>
          <a:ln w="12700" cap="flat" cmpd="sng" algn="ctr">
            <a:solidFill>
              <a:sysClr val="window" lastClr="FFFFFF">
                <a:lumMod val="50000"/>
              </a:sysClr>
            </a:solidFill>
            <a:round/>
          </a:ln>
          <a:effectLst/>
        </c:spPr>
        <c:txPr>
          <a:bodyPr rot="-5400000" spcFirstLastPara="1" vertOverflow="ellipsis" wrap="square" anchor="ctr" anchorCtr="1"/>
          <a:lstStyle/>
          <a:p>
            <a:pPr>
              <a:defRPr sz="700" b="0" i="0" u="none" strike="noStrike" kern="1200" baseline="0">
                <a:solidFill>
                  <a:schemeClr val="tx1"/>
                </a:solidFill>
                <a:latin typeface="Arial Narrow" panose="020B0606020202030204" pitchFamily="34" charset="0"/>
                <a:ea typeface="+mn-ea"/>
                <a:cs typeface="+mn-cs"/>
              </a:defRPr>
            </a:pPr>
            <a:endParaRPr lang="sk-SK"/>
          </a:p>
        </c:txPr>
        <c:crossAx val="2000434399"/>
        <c:crosses val="autoZero"/>
        <c:auto val="1"/>
        <c:lblAlgn val="ctr"/>
        <c:lblOffset val="100"/>
        <c:tickMarkSkip val="12"/>
        <c:noMultiLvlLbl val="1"/>
      </c:catAx>
      <c:valAx>
        <c:axId val="2000434399"/>
        <c:scaling>
          <c:orientation val="minMax"/>
          <c:min val="50000"/>
        </c:scaling>
        <c:delete val="0"/>
        <c:axPos val="l"/>
        <c:majorGridlines>
          <c:spPr>
            <a:ln w="3175" cap="flat" cmpd="sng" algn="ctr">
              <a:solidFill>
                <a:sysClr val="window" lastClr="FFFFFF">
                  <a:lumMod val="50000"/>
                  <a:alpha val="25000"/>
                </a:sys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Narrow" panose="020B0606020202030204" pitchFamily="34" charset="0"/>
                <a:ea typeface="+mn-ea"/>
                <a:cs typeface="+mn-cs"/>
              </a:defRPr>
            </a:pPr>
            <a:endParaRPr lang="sk-SK"/>
          </a:p>
        </c:txPr>
        <c:crossAx val="2000440159"/>
        <c:crosses val="autoZero"/>
        <c:crossBetween val="between"/>
      </c:valAx>
      <c:valAx>
        <c:axId val="2000430559"/>
        <c:scaling>
          <c:orientation val="minMax"/>
          <c:max val="8"/>
          <c:min val="4.5"/>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Narrow" panose="020B0606020202030204" pitchFamily="34" charset="0"/>
                <a:ea typeface="+mn-ea"/>
                <a:cs typeface="+mn-cs"/>
              </a:defRPr>
            </a:pPr>
            <a:endParaRPr lang="sk-SK"/>
          </a:p>
        </c:txPr>
        <c:crossAx val="2000413279"/>
        <c:crosses val="max"/>
        <c:crossBetween val="between"/>
      </c:valAx>
      <c:catAx>
        <c:axId val="2000413279"/>
        <c:scaling>
          <c:orientation val="minMax"/>
        </c:scaling>
        <c:delete val="1"/>
        <c:axPos val="b"/>
        <c:numFmt formatCode="General" sourceLinked="1"/>
        <c:majorTickMark val="out"/>
        <c:minorTickMark val="none"/>
        <c:tickLblPos val="nextTo"/>
        <c:crossAx val="2000430559"/>
        <c:crosses val="autoZero"/>
        <c:auto val="1"/>
        <c:lblAlgn val="ctr"/>
        <c:lblOffset val="100"/>
        <c:noMultiLvlLbl val="1"/>
      </c:catAx>
      <c:spPr>
        <a:noFill/>
        <a:ln>
          <a:noFill/>
        </a:ln>
        <a:effectLst/>
      </c:spPr>
    </c:plotArea>
    <c:legend>
      <c:legendPos val="b"/>
      <c:layout>
        <c:manualLayout>
          <c:xMode val="edge"/>
          <c:yMode val="edge"/>
          <c:x val="8.1736970151898208E-2"/>
          <c:y val="1.764290669230488E-2"/>
          <c:w val="0.86140855911036762"/>
          <c:h val="0.1104917913081575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Narrow" panose="020B0606020202030204" pitchFamily="34" charset="0"/>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solidFill>
            <a:schemeClr val="tx1"/>
          </a:solidFill>
          <a:latin typeface="Arial Narrow" panose="020B0606020202030204" pitchFamily="34" charset="0"/>
        </a:defRPr>
      </a:pPr>
      <a:endParaRPr lang="sk-SK"/>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970909886264219E-2"/>
          <c:y val="0.12147491980169145"/>
          <c:w val="0.90430621172353431"/>
          <c:h val="0.78978419364246133"/>
        </c:manualLayout>
      </c:layout>
      <c:lineChart>
        <c:grouping val="standard"/>
        <c:varyColors val="0"/>
        <c:ser>
          <c:idx val="2"/>
          <c:order val="0"/>
          <c:tx>
            <c:strRef>
              <c:f>'Graf 4'!$D$4</c:f>
              <c:strCache>
                <c:ptCount val="1"/>
                <c:pt idx="0">
                  <c:v>bez konsolidácie</c:v>
                </c:pt>
              </c:strCache>
            </c:strRef>
          </c:tx>
          <c:spPr>
            <a:ln w="19050">
              <a:solidFill>
                <a:sysClr val="window" lastClr="FFFFFF">
                  <a:lumMod val="50000"/>
                </a:sysClr>
              </a:solidFill>
              <a:prstDash val="sysDash"/>
            </a:ln>
          </c:spPr>
          <c:marker>
            <c:symbol val="circle"/>
            <c:size val="5"/>
            <c:spPr>
              <a:solidFill>
                <a:sysClr val="window" lastClr="FFFFFF">
                  <a:lumMod val="50000"/>
                </a:sysClr>
              </a:solidFill>
              <a:ln>
                <a:noFill/>
              </a:ln>
            </c:spPr>
          </c:marker>
          <c:dLbls>
            <c:dLbl>
              <c:idx val="0"/>
              <c:delete val="1"/>
              <c:extLst>
                <c:ext xmlns:c15="http://schemas.microsoft.com/office/drawing/2012/chart" uri="{CE6537A1-D6FC-4f65-9D91-7224C49458BB}"/>
                <c:ext xmlns:c16="http://schemas.microsoft.com/office/drawing/2014/chart" uri="{C3380CC4-5D6E-409C-BE32-E72D297353CC}">
                  <c16:uniqueId val="{00000000-281F-4CAC-AB77-EBB789E5C6C5}"/>
                </c:ext>
              </c:extLst>
            </c:dLbl>
            <c:dLbl>
              <c:idx val="1"/>
              <c:delete val="1"/>
              <c:extLst>
                <c:ext xmlns:c15="http://schemas.microsoft.com/office/drawing/2012/chart" uri="{CE6537A1-D6FC-4f65-9D91-7224C49458BB}"/>
                <c:ext xmlns:c16="http://schemas.microsoft.com/office/drawing/2014/chart" uri="{C3380CC4-5D6E-409C-BE32-E72D297353CC}">
                  <c16:uniqueId val="{00000001-281F-4CAC-AB77-EBB789E5C6C5}"/>
                </c:ext>
              </c:extLst>
            </c:dLbl>
            <c:dLbl>
              <c:idx val="2"/>
              <c:delete val="1"/>
              <c:extLst>
                <c:ext xmlns:c15="http://schemas.microsoft.com/office/drawing/2012/chart" uri="{CE6537A1-D6FC-4f65-9D91-7224C49458BB}"/>
                <c:ext xmlns:c16="http://schemas.microsoft.com/office/drawing/2014/chart" uri="{C3380CC4-5D6E-409C-BE32-E72D297353CC}">
                  <c16:uniqueId val="{00000002-281F-4CAC-AB77-EBB789E5C6C5}"/>
                </c:ext>
              </c:extLst>
            </c:dLbl>
            <c:dLbl>
              <c:idx val="3"/>
              <c:delete val="1"/>
              <c:extLst>
                <c:ext xmlns:c15="http://schemas.microsoft.com/office/drawing/2012/chart" uri="{CE6537A1-D6FC-4f65-9D91-7224C49458BB}"/>
                <c:ext xmlns:c16="http://schemas.microsoft.com/office/drawing/2014/chart" uri="{C3380CC4-5D6E-409C-BE32-E72D297353CC}">
                  <c16:uniqueId val="{00000003-281F-4CAC-AB77-EBB789E5C6C5}"/>
                </c:ext>
              </c:extLst>
            </c:dLbl>
            <c:dLbl>
              <c:idx val="4"/>
              <c:delete val="1"/>
              <c:extLst>
                <c:ext xmlns:c15="http://schemas.microsoft.com/office/drawing/2012/chart" uri="{CE6537A1-D6FC-4f65-9D91-7224C49458BB}"/>
                <c:ext xmlns:c16="http://schemas.microsoft.com/office/drawing/2014/chart" uri="{C3380CC4-5D6E-409C-BE32-E72D297353CC}">
                  <c16:uniqueId val="{00000004-281F-4CAC-AB77-EBB789E5C6C5}"/>
                </c:ext>
              </c:extLst>
            </c:dLbl>
            <c:dLbl>
              <c:idx val="5"/>
              <c:delete val="1"/>
              <c:extLst>
                <c:ext xmlns:c15="http://schemas.microsoft.com/office/drawing/2012/chart" uri="{CE6537A1-D6FC-4f65-9D91-7224C49458BB}"/>
                <c:ext xmlns:c16="http://schemas.microsoft.com/office/drawing/2014/chart" uri="{C3380CC4-5D6E-409C-BE32-E72D297353CC}">
                  <c16:uniqueId val="{00000005-281F-4CAC-AB77-EBB789E5C6C5}"/>
                </c:ext>
              </c:extLst>
            </c:dLbl>
            <c:dLbl>
              <c:idx val="6"/>
              <c:delete val="1"/>
              <c:extLst>
                <c:ext xmlns:c15="http://schemas.microsoft.com/office/drawing/2012/chart" uri="{CE6537A1-D6FC-4f65-9D91-7224C49458BB}"/>
                <c:ext xmlns:c16="http://schemas.microsoft.com/office/drawing/2014/chart" uri="{C3380CC4-5D6E-409C-BE32-E72D297353CC}">
                  <c16:uniqueId val="{00000006-281F-4CAC-AB77-EBB789E5C6C5}"/>
                </c:ext>
              </c:extLst>
            </c:dLbl>
            <c:spPr>
              <a:noFill/>
              <a:ln>
                <a:noFill/>
              </a:ln>
              <a:effectLst/>
            </c:spPr>
            <c:txPr>
              <a:bodyPr wrap="square" lIns="38100" tIns="19050" rIns="38100" bIns="19050" anchor="ctr">
                <a:spAutoFit/>
              </a:bodyPr>
              <a:lstStyle/>
              <a:p>
                <a:pPr>
                  <a:defRPr b="1">
                    <a:solidFill>
                      <a:schemeClr val="bg1">
                        <a:lumMod val="50000"/>
                      </a:schemeClr>
                    </a:solidFill>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'Graf 4'!$E$3:$O$3</c:f>
              <c:numCache>
                <c:formatCode>0</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'Graf 4'!$E$4:$O$4</c:f>
              <c:numCache>
                <c:formatCode>0.0</c:formatCode>
                <c:ptCount val="11"/>
                <c:pt idx="0">
                  <c:v>1.984017504425295</c:v>
                </c:pt>
                <c:pt idx="1">
                  <c:v>2.4904522219063585</c:v>
                </c:pt>
                <c:pt idx="2">
                  <c:v>-2.7369207813028429</c:v>
                </c:pt>
                <c:pt idx="3">
                  <c:v>0.22711301197748668</c:v>
                </c:pt>
                <c:pt idx="4">
                  <c:v>0.28610354967901763</c:v>
                </c:pt>
                <c:pt idx="5">
                  <c:v>-0.5102842501479854</c:v>
                </c:pt>
                <c:pt idx="6">
                  <c:v>-0.5335595221386602</c:v>
                </c:pt>
                <c:pt idx="7">
                  <c:v>0.15436841584071104</c:v>
                </c:pt>
                <c:pt idx="8">
                  <c:v>1.1378484528589139</c:v>
                </c:pt>
                <c:pt idx="9">
                  <c:v>0.95449583204016974</c:v>
                </c:pt>
                <c:pt idx="10">
                  <c:v>1.8278042380793558</c:v>
                </c:pt>
              </c:numCache>
            </c:numRef>
          </c:val>
          <c:smooth val="0"/>
          <c:extLst>
            <c:ext xmlns:c16="http://schemas.microsoft.com/office/drawing/2014/chart" uri="{C3380CC4-5D6E-409C-BE32-E72D297353CC}">
              <c16:uniqueId val="{00000007-281F-4CAC-AB77-EBB789E5C6C5}"/>
            </c:ext>
          </c:extLst>
        </c:ser>
        <c:ser>
          <c:idx val="3"/>
          <c:order val="1"/>
          <c:tx>
            <c:strRef>
              <c:f>'Graf 4'!$D$5</c:f>
              <c:strCache>
                <c:ptCount val="1"/>
                <c:pt idx="0">
                  <c:v>s konsolidáciou</c:v>
                </c:pt>
              </c:strCache>
            </c:strRef>
          </c:tx>
          <c:spPr>
            <a:ln w="19050">
              <a:solidFill>
                <a:srgbClr val="00B0F0"/>
              </a:solidFill>
            </a:ln>
          </c:spPr>
          <c:marker>
            <c:symbol val="circle"/>
            <c:size val="5"/>
            <c:spPr>
              <a:solidFill>
                <a:srgbClr val="00B0F0"/>
              </a:solidFill>
              <a:ln>
                <a:noFill/>
              </a:ln>
            </c:spPr>
          </c:marker>
          <c:dLbls>
            <c:spPr>
              <a:noFill/>
              <a:ln>
                <a:noFill/>
              </a:ln>
              <a:effectLst/>
            </c:spPr>
            <c:txPr>
              <a:bodyPr wrap="square" lIns="38100" tIns="19050" rIns="38100" bIns="19050" anchor="ctr">
                <a:spAutoFit/>
              </a:bodyPr>
              <a:lstStyle/>
              <a:p>
                <a:pPr>
                  <a:defRPr b="1">
                    <a:solidFill>
                      <a:srgbClr val="00B0F0"/>
                    </a:solidFill>
                  </a:defRPr>
                </a:pPr>
                <a:endParaRPr lang="sk-SK"/>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'Graf 4'!$E$3:$O$3</c:f>
              <c:numCache>
                <c:formatCode>0</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'Graf 4'!$E$5:$O$5</c:f>
              <c:numCache>
                <c:formatCode>0.0</c:formatCode>
                <c:ptCount val="11"/>
                <c:pt idx="0">
                  <c:v>1.984017504425295</c:v>
                </c:pt>
                <c:pt idx="1">
                  <c:v>2.4904522219063585</c:v>
                </c:pt>
                <c:pt idx="2">
                  <c:v>-2.7369207813028429</c:v>
                </c:pt>
                <c:pt idx="3">
                  <c:v>0.22711301197748668</c:v>
                </c:pt>
                <c:pt idx="4">
                  <c:v>0.28610354967901763</c:v>
                </c:pt>
                <c:pt idx="5">
                  <c:v>-0.5102842501479854</c:v>
                </c:pt>
                <c:pt idx="6">
                  <c:v>-0.5335595221386602</c:v>
                </c:pt>
                <c:pt idx="7">
                  <c:v>-0.56420527405601772</c:v>
                </c:pt>
                <c:pt idx="8">
                  <c:v>-0.45075095264367482</c:v>
                </c:pt>
                <c:pt idx="9">
                  <c:v>-1.2902342245665777</c:v>
                </c:pt>
                <c:pt idx="10">
                  <c:v>-1.1995603010759304</c:v>
                </c:pt>
              </c:numCache>
            </c:numRef>
          </c:val>
          <c:smooth val="0"/>
          <c:extLst>
            <c:ext xmlns:c16="http://schemas.microsoft.com/office/drawing/2014/chart" uri="{C3380CC4-5D6E-409C-BE32-E72D297353CC}">
              <c16:uniqueId val="{00000008-281F-4CAC-AB77-EBB789E5C6C5}"/>
            </c:ext>
          </c:extLst>
        </c:ser>
        <c:dLbls>
          <c:showLegendKey val="0"/>
          <c:showVal val="0"/>
          <c:showCatName val="0"/>
          <c:showSerName val="0"/>
          <c:showPercent val="0"/>
          <c:showBubbleSize val="0"/>
        </c:dLbls>
        <c:marker val="1"/>
        <c:smooth val="0"/>
        <c:axId val="674655744"/>
        <c:axId val="674656136"/>
      </c:lineChart>
      <c:catAx>
        <c:axId val="674655744"/>
        <c:scaling>
          <c:orientation val="minMax"/>
        </c:scaling>
        <c:delete val="0"/>
        <c:axPos val="b"/>
        <c:numFmt formatCode="General" sourceLinked="0"/>
        <c:majorTickMark val="none"/>
        <c:minorTickMark val="none"/>
        <c:tickLblPos val="low"/>
        <c:spPr>
          <a:ln w="12700">
            <a:solidFill>
              <a:srgbClr val="686767"/>
            </a:solidFill>
          </a:ln>
        </c:spPr>
        <c:txPr>
          <a:bodyPr rot="0" vert="horz"/>
          <a:lstStyle/>
          <a:p>
            <a:pPr>
              <a:defRPr/>
            </a:pPr>
            <a:endParaRPr lang="sk-SK"/>
          </a:p>
        </c:txPr>
        <c:crossAx val="674656136"/>
        <c:crosses val="autoZero"/>
        <c:auto val="0"/>
        <c:lblAlgn val="ctr"/>
        <c:lblOffset val="100"/>
        <c:tickLblSkip val="1"/>
        <c:noMultiLvlLbl val="0"/>
      </c:catAx>
      <c:valAx>
        <c:axId val="674656136"/>
        <c:scaling>
          <c:orientation val="minMax"/>
          <c:max val="4"/>
          <c:min val="-4"/>
        </c:scaling>
        <c:delete val="0"/>
        <c:axPos val="l"/>
        <c:majorGridlines>
          <c:spPr>
            <a:ln w="3175">
              <a:solidFill>
                <a:srgbClr val="686767">
                  <a:alpha val="25000"/>
                </a:srgbClr>
              </a:solidFill>
              <a:prstDash val="sysDot"/>
            </a:ln>
          </c:spPr>
        </c:majorGridlines>
        <c:numFmt formatCode="#,##0.0" sourceLinked="0"/>
        <c:majorTickMark val="out"/>
        <c:minorTickMark val="none"/>
        <c:tickLblPos val="nextTo"/>
        <c:spPr>
          <a:ln>
            <a:noFill/>
          </a:ln>
        </c:spPr>
        <c:txPr>
          <a:bodyPr rot="0" vert="horz"/>
          <a:lstStyle/>
          <a:p>
            <a:pPr>
              <a:defRPr/>
            </a:pPr>
            <a:endParaRPr lang="sk-SK"/>
          </a:p>
        </c:txPr>
        <c:crossAx val="674655744"/>
        <c:crosses val="autoZero"/>
        <c:crossBetween val="between"/>
      </c:valAx>
      <c:spPr>
        <a:noFill/>
      </c:spPr>
    </c:plotArea>
    <c:legend>
      <c:legendPos val="l"/>
      <c:layout>
        <c:manualLayout>
          <c:xMode val="edge"/>
          <c:yMode val="edge"/>
          <c:x val="0.10277777777777776"/>
          <c:y val="3.507655293088361E-2"/>
          <c:w val="0.82630927384077002"/>
          <c:h val="8.9776902887139118E-2"/>
        </c:manualLayout>
      </c:layout>
      <c:overlay val="1"/>
    </c:legend>
    <c:plotVisOnly val="1"/>
    <c:dispBlanksAs val="gap"/>
    <c:showDLblsOverMax val="0"/>
  </c:chart>
  <c:spPr>
    <a:solidFill>
      <a:sysClr val="window" lastClr="FFFFFF"/>
    </a:solidFill>
    <a:ln>
      <a:noFill/>
    </a:ln>
  </c:spPr>
  <c:txPr>
    <a:bodyPr/>
    <a:lstStyle/>
    <a:p>
      <a:pPr>
        <a:defRPr sz="700" b="0" i="0" u="none" strike="noStrike" baseline="0">
          <a:solidFill>
            <a:schemeClr val="tx1"/>
          </a:solidFill>
          <a:latin typeface="Arial Narrow" panose="020B0606020202030204" pitchFamily="34" charset="0"/>
          <a:ea typeface="Calibri"/>
          <a:cs typeface="Calibri"/>
        </a:defRPr>
      </a:pPr>
      <a:endParaRPr lang="sk-SK"/>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594605129804319E-2"/>
          <c:y val="4.8304205876704434E-2"/>
          <c:w val="0.91668238871131202"/>
          <c:h val="0.86295499647909868"/>
        </c:manualLayout>
      </c:layout>
      <c:lineChart>
        <c:grouping val="standard"/>
        <c:varyColors val="0"/>
        <c:ser>
          <c:idx val="2"/>
          <c:order val="0"/>
          <c:tx>
            <c:strRef>
              <c:f>'Graf 5'!$D$4</c:f>
              <c:strCache>
                <c:ptCount val="1"/>
                <c:pt idx="0">
                  <c:v>SK</c:v>
                </c:pt>
              </c:strCache>
            </c:strRef>
          </c:tx>
          <c:spPr>
            <a:ln w="28575">
              <a:solidFill>
                <a:srgbClr val="2EAAE1"/>
              </a:solidFill>
              <a:prstDash val="solid"/>
            </a:ln>
          </c:spPr>
          <c:marker>
            <c:symbol val="none"/>
          </c:marker>
          <c:cat>
            <c:numRef>
              <c:f>'Graf 5'!$E$3:$AB$3</c:f>
              <c:numCache>
                <c:formatCode>0</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'Graf 5'!$E$4:$AB$4</c:f>
              <c:numCache>
                <c:formatCode>0.0</c:formatCode>
                <c:ptCount val="24"/>
                <c:pt idx="0">
                  <c:v>22.5</c:v>
                </c:pt>
                <c:pt idx="1">
                  <c:v>23.1</c:v>
                </c:pt>
                <c:pt idx="2">
                  <c:v>24.6</c:v>
                </c:pt>
                <c:pt idx="3">
                  <c:v>27.5</c:v>
                </c:pt>
                <c:pt idx="4">
                  <c:v>30.4</c:v>
                </c:pt>
                <c:pt idx="5">
                  <c:v>33.1</c:v>
                </c:pt>
                <c:pt idx="6">
                  <c:v>36.299999999999997</c:v>
                </c:pt>
                <c:pt idx="7">
                  <c:v>42.3</c:v>
                </c:pt>
                <c:pt idx="8">
                  <c:v>48.2</c:v>
                </c:pt>
                <c:pt idx="9">
                  <c:v>48.9</c:v>
                </c:pt>
                <c:pt idx="10">
                  <c:v>50.6</c:v>
                </c:pt>
                <c:pt idx="11">
                  <c:v>51.5</c:v>
                </c:pt>
                <c:pt idx="12">
                  <c:v>52.6</c:v>
                </c:pt>
                <c:pt idx="13">
                  <c:v>52.6</c:v>
                </c:pt>
                <c:pt idx="14">
                  <c:v>52.7</c:v>
                </c:pt>
                <c:pt idx="15">
                  <c:v>53.4</c:v>
                </c:pt>
                <c:pt idx="16">
                  <c:v>52.7</c:v>
                </c:pt>
                <c:pt idx="17">
                  <c:v>52.7</c:v>
                </c:pt>
                <c:pt idx="18">
                  <c:v>54.1</c:v>
                </c:pt>
                <c:pt idx="19">
                  <c:v>54.9</c:v>
                </c:pt>
                <c:pt idx="20">
                  <c:v>56.6</c:v>
                </c:pt>
                <c:pt idx="21">
                  <c:v>55.9</c:v>
                </c:pt>
                <c:pt idx="22">
                  <c:v>55.9</c:v>
                </c:pt>
                <c:pt idx="23">
                  <c:v>58.6</c:v>
                </c:pt>
              </c:numCache>
            </c:numRef>
          </c:val>
          <c:smooth val="0"/>
          <c:extLst>
            <c:ext xmlns:c16="http://schemas.microsoft.com/office/drawing/2014/chart" uri="{C3380CC4-5D6E-409C-BE32-E72D297353CC}">
              <c16:uniqueId val="{00000000-8271-421B-ABF9-037EDB8C4DDC}"/>
            </c:ext>
          </c:extLst>
        </c:ser>
        <c:ser>
          <c:idx val="3"/>
          <c:order val="1"/>
          <c:tx>
            <c:strRef>
              <c:f>'Graf 5'!$D$5</c:f>
              <c:strCache>
                <c:ptCount val="1"/>
                <c:pt idx="0">
                  <c:v>CZ</c:v>
                </c:pt>
              </c:strCache>
            </c:strRef>
          </c:tx>
          <c:spPr>
            <a:ln w="19050">
              <a:solidFill>
                <a:srgbClr val="131D2B"/>
              </a:solidFill>
            </a:ln>
          </c:spPr>
          <c:marker>
            <c:symbol val="none"/>
          </c:marker>
          <c:cat>
            <c:numRef>
              <c:f>'Graf 5'!$E$3:$AB$3</c:f>
              <c:numCache>
                <c:formatCode>0</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'Graf 5'!$E$5:$AB$5</c:f>
              <c:numCache>
                <c:formatCode>0.0</c:formatCode>
                <c:ptCount val="24"/>
                <c:pt idx="0">
                  <c:v>35.6</c:v>
                </c:pt>
                <c:pt idx="1">
                  <c:v>38.6</c:v>
                </c:pt>
                <c:pt idx="2">
                  <c:v>43.2</c:v>
                </c:pt>
                <c:pt idx="3">
                  <c:v>42.8</c:v>
                </c:pt>
                <c:pt idx="4">
                  <c:v>44.6</c:v>
                </c:pt>
                <c:pt idx="5">
                  <c:v>48.8</c:v>
                </c:pt>
                <c:pt idx="6">
                  <c:v>52.1</c:v>
                </c:pt>
                <c:pt idx="7">
                  <c:v>54.6</c:v>
                </c:pt>
                <c:pt idx="8">
                  <c:v>61.2</c:v>
                </c:pt>
                <c:pt idx="9">
                  <c:v>58.8</c:v>
                </c:pt>
                <c:pt idx="10">
                  <c:v>60.6</c:v>
                </c:pt>
                <c:pt idx="11">
                  <c:v>61.5</c:v>
                </c:pt>
                <c:pt idx="12">
                  <c:v>60.1</c:v>
                </c:pt>
                <c:pt idx="13">
                  <c:v>58.3</c:v>
                </c:pt>
                <c:pt idx="14">
                  <c:v>56.6</c:v>
                </c:pt>
                <c:pt idx="15">
                  <c:v>58.6</c:v>
                </c:pt>
                <c:pt idx="16">
                  <c:v>60</c:v>
                </c:pt>
                <c:pt idx="17">
                  <c:v>63.3</c:v>
                </c:pt>
                <c:pt idx="18">
                  <c:v>66.5</c:v>
                </c:pt>
                <c:pt idx="19">
                  <c:v>69</c:v>
                </c:pt>
                <c:pt idx="20">
                  <c:v>69.3</c:v>
                </c:pt>
                <c:pt idx="21">
                  <c:v>71.099999999999994</c:v>
                </c:pt>
                <c:pt idx="22">
                  <c:v>74.5</c:v>
                </c:pt>
                <c:pt idx="23">
                  <c:v>76.900000000000006</c:v>
                </c:pt>
              </c:numCache>
            </c:numRef>
          </c:val>
          <c:smooth val="0"/>
          <c:extLst>
            <c:ext xmlns:c16="http://schemas.microsoft.com/office/drawing/2014/chart" uri="{C3380CC4-5D6E-409C-BE32-E72D297353CC}">
              <c16:uniqueId val="{00000001-8271-421B-ABF9-037EDB8C4DDC}"/>
            </c:ext>
          </c:extLst>
        </c:ser>
        <c:ser>
          <c:idx val="0"/>
          <c:order val="2"/>
          <c:tx>
            <c:strRef>
              <c:f>'Graf 5'!$D$6</c:f>
              <c:strCache>
                <c:ptCount val="1"/>
                <c:pt idx="0">
                  <c:v>HU</c:v>
                </c:pt>
              </c:strCache>
            </c:strRef>
          </c:tx>
          <c:spPr>
            <a:ln w="19050">
              <a:solidFill>
                <a:srgbClr val="FF0000"/>
              </a:solidFill>
            </a:ln>
          </c:spPr>
          <c:marker>
            <c:symbol val="none"/>
          </c:marker>
          <c:cat>
            <c:numRef>
              <c:f>'Graf 5'!$E$3:$AB$3</c:f>
              <c:numCache>
                <c:formatCode>0</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'Graf 5'!$E$6:$AB$6</c:f>
              <c:numCache>
                <c:formatCode>0.0</c:formatCode>
                <c:ptCount val="24"/>
                <c:pt idx="0">
                  <c:v>27.2</c:v>
                </c:pt>
                <c:pt idx="1">
                  <c:v>30.6</c:v>
                </c:pt>
                <c:pt idx="2">
                  <c:v>35.5</c:v>
                </c:pt>
                <c:pt idx="3">
                  <c:v>36.5</c:v>
                </c:pt>
                <c:pt idx="4">
                  <c:v>39.1</c:v>
                </c:pt>
                <c:pt idx="5">
                  <c:v>40.9</c:v>
                </c:pt>
                <c:pt idx="6">
                  <c:v>39.200000000000003</c:v>
                </c:pt>
                <c:pt idx="7">
                  <c:v>41.3</c:v>
                </c:pt>
                <c:pt idx="8">
                  <c:v>42.5</c:v>
                </c:pt>
                <c:pt idx="9">
                  <c:v>39</c:v>
                </c:pt>
                <c:pt idx="10">
                  <c:v>39.799999999999997</c:v>
                </c:pt>
                <c:pt idx="11">
                  <c:v>39.700000000000003</c:v>
                </c:pt>
                <c:pt idx="12">
                  <c:v>39</c:v>
                </c:pt>
                <c:pt idx="13">
                  <c:v>39.5</c:v>
                </c:pt>
                <c:pt idx="14">
                  <c:v>40.200000000000003</c:v>
                </c:pt>
                <c:pt idx="15">
                  <c:v>41.4</c:v>
                </c:pt>
                <c:pt idx="16">
                  <c:v>41.7</c:v>
                </c:pt>
                <c:pt idx="17">
                  <c:v>44</c:v>
                </c:pt>
                <c:pt idx="18">
                  <c:v>45.6</c:v>
                </c:pt>
                <c:pt idx="19">
                  <c:v>47.6</c:v>
                </c:pt>
                <c:pt idx="20">
                  <c:v>46.7</c:v>
                </c:pt>
                <c:pt idx="21">
                  <c:v>48.1</c:v>
                </c:pt>
                <c:pt idx="22">
                  <c:v>48.6</c:v>
                </c:pt>
                <c:pt idx="23">
                  <c:v>54</c:v>
                </c:pt>
              </c:numCache>
            </c:numRef>
          </c:val>
          <c:smooth val="0"/>
          <c:extLst>
            <c:ext xmlns:c16="http://schemas.microsoft.com/office/drawing/2014/chart" uri="{C3380CC4-5D6E-409C-BE32-E72D297353CC}">
              <c16:uniqueId val="{00000002-8271-421B-ABF9-037EDB8C4DDC}"/>
            </c:ext>
          </c:extLst>
        </c:ser>
        <c:ser>
          <c:idx val="1"/>
          <c:order val="3"/>
          <c:tx>
            <c:strRef>
              <c:f>'Graf 5'!$D$7</c:f>
              <c:strCache>
                <c:ptCount val="1"/>
                <c:pt idx="0">
                  <c:v>PL</c:v>
                </c:pt>
              </c:strCache>
            </c:strRef>
          </c:tx>
          <c:spPr>
            <a:ln w="19050">
              <a:solidFill>
                <a:srgbClr val="2EAAE1">
                  <a:lumMod val="60000"/>
                  <a:lumOff val="40000"/>
                </a:srgbClr>
              </a:solidFill>
            </a:ln>
          </c:spPr>
          <c:marker>
            <c:symbol val="none"/>
          </c:marker>
          <c:cat>
            <c:numRef>
              <c:f>'Graf 5'!$E$3:$AB$3</c:f>
              <c:numCache>
                <c:formatCode>0</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'Graf 5'!$E$7:$AB$7</c:f>
              <c:numCache>
                <c:formatCode>0.0</c:formatCode>
                <c:ptCount val="24"/>
                <c:pt idx="0">
                  <c:v>26.5</c:v>
                </c:pt>
                <c:pt idx="1">
                  <c:v>28.9</c:v>
                </c:pt>
                <c:pt idx="2">
                  <c:v>27.6</c:v>
                </c:pt>
                <c:pt idx="3">
                  <c:v>24.7</c:v>
                </c:pt>
                <c:pt idx="4">
                  <c:v>25.4</c:v>
                </c:pt>
                <c:pt idx="5">
                  <c:v>29.2</c:v>
                </c:pt>
                <c:pt idx="6">
                  <c:v>30.9</c:v>
                </c:pt>
                <c:pt idx="7">
                  <c:v>33.4</c:v>
                </c:pt>
                <c:pt idx="8">
                  <c:v>37.799999999999997</c:v>
                </c:pt>
                <c:pt idx="9">
                  <c:v>34.1</c:v>
                </c:pt>
                <c:pt idx="10">
                  <c:v>37.200000000000003</c:v>
                </c:pt>
                <c:pt idx="11">
                  <c:v>37.9</c:v>
                </c:pt>
                <c:pt idx="12">
                  <c:v>38.6</c:v>
                </c:pt>
                <c:pt idx="13">
                  <c:v>38.5</c:v>
                </c:pt>
                <c:pt idx="14">
                  <c:v>39.5</c:v>
                </c:pt>
                <c:pt idx="15">
                  <c:v>40.4</c:v>
                </c:pt>
                <c:pt idx="16">
                  <c:v>38.9</c:v>
                </c:pt>
                <c:pt idx="17">
                  <c:v>41.1</c:v>
                </c:pt>
                <c:pt idx="18">
                  <c:v>42.6</c:v>
                </c:pt>
                <c:pt idx="19">
                  <c:v>44</c:v>
                </c:pt>
                <c:pt idx="20">
                  <c:v>45.3</c:v>
                </c:pt>
                <c:pt idx="21">
                  <c:v>45.8</c:v>
                </c:pt>
                <c:pt idx="22">
                  <c:v>48.5</c:v>
                </c:pt>
                <c:pt idx="23">
                  <c:v>52.5</c:v>
                </c:pt>
              </c:numCache>
            </c:numRef>
          </c:val>
          <c:smooth val="0"/>
          <c:extLst>
            <c:ext xmlns:c16="http://schemas.microsoft.com/office/drawing/2014/chart" uri="{C3380CC4-5D6E-409C-BE32-E72D297353CC}">
              <c16:uniqueId val="{00000003-8271-421B-ABF9-037EDB8C4DDC}"/>
            </c:ext>
          </c:extLst>
        </c:ser>
        <c:ser>
          <c:idx val="4"/>
          <c:order val="4"/>
          <c:tx>
            <c:strRef>
              <c:f>'Graf 5'!$D$8</c:f>
              <c:strCache>
                <c:ptCount val="1"/>
                <c:pt idx="0">
                  <c:v>RO</c:v>
                </c:pt>
              </c:strCache>
            </c:strRef>
          </c:tx>
          <c:spPr>
            <a:ln w="19050">
              <a:solidFill>
                <a:srgbClr val="7030A0"/>
              </a:solidFill>
            </a:ln>
          </c:spPr>
          <c:marker>
            <c:symbol val="none"/>
          </c:marker>
          <c:cat>
            <c:numRef>
              <c:f>'Graf 5'!$E$3:$AB$3</c:f>
              <c:numCache>
                <c:formatCode>0</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'Graf 5'!$E$8:$AB$8</c:f>
              <c:numCache>
                <c:formatCode>0.0</c:formatCode>
                <c:ptCount val="24"/>
                <c:pt idx="0">
                  <c:v>9.8000000000000007</c:v>
                </c:pt>
                <c:pt idx="1">
                  <c:v>10.5</c:v>
                </c:pt>
                <c:pt idx="2">
                  <c:v>11.3</c:v>
                </c:pt>
                <c:pt idx="3">
                  <c:v>11.6</c:v>
                </c:pt>
                <c:pt idx="4">
                  <c:v>13.3</c:v>
                </c:pt>
                <c:pt idx="5">
                  <c:v>16.8</c:v>
                </c:pt>
                <c:pt idx="6">
                  <c:v>19.7</c:v>
                </c:pt>
                <c:pt idx="7">
                  <c:v>24.8</c:v>
                </c:pt>
                <c:pt idx="8">
                  <c:v>28.1</c:v>
                </c:pt>
                <c:pt idx="9">
                  <c:v>25.4</c:v>
                </c:pt>
                <c:pt idx="10">
                  <c:v>25.3</c:v>
                </c:pt>
                <c:pt idx="11">
                  <c:v>26.6</c:v>
                </c:pt>
                <c:pt idx="12">
                  <c:v>26.8</c:v>
                </c:pt>
                <c:pt idx="13">
                  <c:v>27.3</c:v>
                </c:pt>
                <c:pt idx="14">
                  <c:v>28.2</c:v>
                </c:pt>
                <c:pt idx="15">
                  <c:v>29.2</c:v>
                </c:pt>
                <c:pt idx="16">
                  <c:v>29.9</c:v>
                </c:pt>
                <c:pt idx="17">
                  <c:v>32.200000000000003</c:v>
                </c:pt>
                <c:pt idx="18">
                  <c:v>34.700000000000003</c:v>
                </c:pt>
                <c:pt idx="19">
                  <c:v>36.700000000000003</c:v>
                </c:pt>
                <c:pt idx="20">
                  <c:v>37.799999999999997</c:v>
                </c:pt>
                <c:pt idx="21">
                  <c:v>38.299999999999997</c:v>
                </c:pt>
                <c:pt idx="22">
                  <c:v>41.7</c:v>
                </c:pt>
                <c:pt idx="23">
                  <c:v>44.9</c:v>
                </c:pt>
              </c:numCache>
            </c:numRef>
          </c:val>
          <c:smooth val="0"/>
          <c:extLst>
            <c:ext xmlns:c16="http://schemas.microsoft.com/office/drawing/2014/chart" uri="{C3380CC4-5D6E-409C-BE32-E72D297353CC}">
              <c16:uniqueId val="{00000004-8271-421B-ABF9-037EDB8C4DDC}"/>
            </c:ext>
          </c:extLst>
        </c:ser>
        <c:dLbls>
          <c:showLegendKey val="0"/>
          <c:showVal val="0"/>
          <c:showCatName val="0"/>
          <c:showSerName val="0"/>
          <c:showPercent val="0"/>
          <c:showBubbleSize val="0"/>
        </c:dLbls>
        <c:smooth val="0"/>
        <c:axId val="674655744"/>
        <c:axId val="674656136"/>
      </c:lineChart>
      <c:catAx>
        <c:axId val="674655744"/>
        <c:scaling>
          <c:orientation val="minMax"/>
        </c:scaling>
        <c:delete val="0"/>
        <c:axPos val="b"/>
        <c:numFmt formatCode="General" sourceLinked="0"/>
        <c:majorTickMark val="none"/>
        <c:minorTickMark val="none"/>
        <c:tickLblPos val="low"/>
        <c:spPr>
          <a:ln w="12700">
            <a:solidFill>
              <a:srgbClr val="686767"/>
            </a:solidFill>
          </a:ln>
        </c:spPr>
        <c:txPr>
          <a:bodyPr rot="0" vert="horz"/>
          <a:lstStyle/>
          <a:p>
            <a:pPr>
              <a:defRPr/>
            </a:pPr>
            <a:endParaRPr lang="sk-SK"/>
          </a:p>
        </c:txPr>
        <c:crossAx val="674656136"/>
        <c:crosses val="autoZero"/>
        <c:auto val="0"/>
        <c:lblAlgn val="ctr"/>
        <c:lblOffset val="100"/>
        <c:noMultiLvlLbl val="0"/>
      </c:catAx>
      <c:valAx>
        <c:axId val="674656136"/>
        <c:scaling>
          <c:orientation val="minMax"/>
        </c:scaling>
        <c:delete val="0"/>
        <c:axPos val="l"/>
        <c:majorGridlines>
          <c:spPr>
            <a:ln w="3175">
              <a:solidFill>
                <a:srgbClr val="686767">
                  <a:alpha val="25000"/>
                </a:srgbClr>
              </a:solidFill>
              <a:prstDash val="sysDot"/>
            </a:ln>
          </c:spPr>
        </c:majorGridlines>
        <c:numFmt formatCode="#,##0" sourceLinked="0"/>
        <c:majorTickMark val="out"/>
        <c:minorTickMark val="none"/>
        <c:tickLblPos val="nextTo"/>
        <c:spPr>
          <a:ln>
            <a:noFill/>
          </a:ln>
        </c:spPr>
        <c:txPr>
          <a:bodyPr rot="0" vert="horz"/>
          <a:lstStyle/>
          <a:p>
            <a:pPr>
              <a:defRPr/>
            </a:pPr>
            <a:endParaRPr lang="sk-SK"/>
          </a:p>
        </c:txPr>
        <c:crossAx val="674655744"/>
        <c:crosses val="autoZero"/>
        <c:crossBetween val="between"/>
      </c:valAx>
      <c:spPr>
        <a:noFill/>
      </c:spPr>
    </c:plotArea>
    <c:legend>
      <c:legendPos val="l"/>
      <c:layout>
        <c:manualLayout>
          <c:xMode val="edge"/>
          <c:yMode val="edge"/>
          <c:x val="6.6576623177577246E-2"/>
          <c:y val="4.7271621535112988E-2"/>
          <c:w val="0.80751345862789048"/>
          <c:h val="0.12048968331513306"/>
        </c:manualLayout>
      </c:layout>
      <c:overlay val="1"/>
    </c:legend>
    <c:plotVisOnly val="1"/>
    <c:dispBlanksAs val="gap"/>
    <c:showDLblsOverMax val="0"/>
  </c:chart>
  <c:spPr>
    <a:solidFill>
      <a:sysClr val="window" lastClr="FFFFFF"/>
    </a:solidFill>
    <a:ln>
      <a:noFill/>
    </a:ln>
  </c:spPr>
  <c:txPr>
    <a:bodyPr/>
    <a:lstStyle/>
    <a:p>
      <a:pPr>
        <a:defRPr sz="700" b="0" i="0" u="none" strike="noStrike" baseline="0">
          <a:solidFill>
            <a:schemeClr val="tx1"/>
          </a:solidFill>
          <a:latin typeface="Arial Narrow" panose="020B0606020202030204" pitchFamily="34" charset="0"/>
          <a:ea typeface="Calibri"/>
          <a:cs typeface="Calibri"/>
        </a:defRPr>
      </a:pPr>
      <a:endParaRPr lang="sk-SK"/>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004990596822743"/>
          <c:y val="5.5555608761484097E-2"/>
          <c:w val="0.78419599919377536"/>
          <c:h val="0.72520934883139609"/>
        </c:manualLayout>
      </c:layout>
      <c:scatterChart>
        <c:scatterStyle val="lineMarker"/>
        <c:varyColors val="0"/>
        <c:ser>
          <c:idx val="0"/>
          <c:order val="0"/>
          <c:spPr>
            <a:ln w="19050">
              <a:noFill/>
            </a:ln>
          </c:spPr>
          <c:marker>
            <c:symbol val="diamond"/>
            <c:size val="4"/>
            <c:spPr>
              <a:solidFill>
                <a:srgbClr val="1D60AD"/>
              </a:solidFill>
              <a:ln>
                <a:solidFill>
                  <a:srgbClr val="1F4E79"/>
                </a:solidFill>
              </a:ln>
            </c:spPr>
          </c:marker>
          <c:dPt>
            <c:idx val="23"/>
            <c:bubble3D val="0"/>
            <c:extLst>
              <c:ext xmlns:c16="http://schemas.microsoft.com/office/drawing/2014/chart" uri="{C3380CC4-5D6E-409C-BE32-E72D297353CC}">
                <c16:uniqueId val="{00000000-F548-4311-8C52-3D63D4A266AC}"/>
              </c:ext>
            </c:extLst>
          </c:dPt>
          <c:dLbls>
            <c:dLbl>
              <c:idx val="0"/>
              <c:tx>
                <c:rich>
                  <a:bodyPr/>
                  <a:lstStyle/>
                  <a:p>
                    <a:fld id="{CEC3BE9F-C934-4410-B64F-5A6A977668C8}" type="CELLRANGE">
                      <a:rPr lang="en-US"/>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F548-4311-8C52-3D63D4A266AC}"/>
                </c:ext>
              </c:extLst>
            </c:dLbl>
            <c:dLbl>
              <c:idx val="1"/>
              <c:layout>
                <c:manualLayout>
                  <c:x val="-5.3691803071497915E-2"/>
                  <c:y val="-6.942963825518407E-2"/>
                </c:manualLayout>
              </c:layout>
              <c:tx>
                <c:rich>
                  <a:bodyPr/>
                  <a:lstStyle/>
                  <a:p>
                    <a:fld id="{12B1924E-1592-4BD0-BC37-1228FD7DDCE8}" type="CELLRANGE">
                      <a:rPr lang="en-US"/>
                      <a:pPr/>
                      <a:t>[CELLRANGE]</a:t>
                    </a:fld>
                    <a:endParaRPr lang="sk-SK"/>
                  </a:p>
                </c:rich>
              </c:tx>
              <c:showLegendKey val="0"/>
              <c:showVal val="0"/>
              <c:showCatName val="0"/>
              <c:showSerName val="0"/>
              <c:showPercent val="0"/>
              <c:showBubbleSize val="0"/>
              <c:extLst>
                <c:ext xmlns:c15="http://schemas.microsoft.com/office/drawing/2012/chart" uri="{CE6537A1-D6FC-4f65-9D91-7224C49458BB}">
                  <c15:layout>
                    <c:manualLayout>
                      <c:w val="6.3087888078726173E-2"/>
                      <c:h val="6.2098846065905738E-2"/>
                    </c:manualLayout>
                  </c15:layout>
                  <c15:dlblFieldTable/>
                  <c15:showDataLabelsRange val="1"/>
                </c:ext>
                <c:ext xmlns:c16="http://schemas.microsoft.com/office/drawing/2014/chart" uri="{C3380CC4-5D6E-409C-BE32-E72D297353CC}">
                  <c16:uniqueId val="{00000002-F548-4311-8C52-3D63D4A266AC}"/>
                </c:ext>
              </c:extLst>
            </c:dLbl>
            <c:dLbl>
              <c:idx val="2"/>
              <c:layout>
                <c:manualLayout>
                  <c:x val="-3.8783840802937996E-17"/>
                  <c:y val="1.4435221941537285E-2"/>
                </c:manualLayout>
              </c:layout>
              <c:tx>
                <c:rich>
                  <a:bodyPr/>
                  <a:lstStyle/>
                  <a:p>
                    <a:fld id="{68DE8E82-74DE-48CA-A952-9189B413CC18}" type="CELLRANGE">
                      <a:rPr lang="en-US"/>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F548-4311-8C52-3D63D4A266AC}"/>
                </c:ext>
              </c:extLst>
            </c:dLbl>
            <c:dLbl>
              <c:idx val="3"/>
              <c:layout>
                <c:manualLayout>
                  <c:x val="-7.0631603670653922E-2"/>
                  <c:y val="5.5276102035423061E-2"/>
                </c:manualLayout>
              </c:layout>
              <c:tx>
                <c:rich>
                  <a:bodyPr/>
                  <a:lstStyle/>
                  <a:p>
                    <a:fld id="{2E3D212F-C4E5-4E1D-A09B-0D03BA4EF040}" type="CELLRANGE">
                      <a:rPr lang="en-US"/>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F548-4311-8C52-3D63D4A266AC}"/>
                </c:ext>
              </c:extLst>
            </c:dLbl>
            <c:dLbl>
              <c:idx val="4"/>
              <c:tx>
                <c:rich>
                  <a:bodyPr/>
                  <a:lstStyle/>
                  <a:p>
                    <a:fld id="{51D74B49-0D35-4C5D-903F-1DE0A95A222F}" type="CELLRANGE">
                      <a:rPr lang="sk-SK"/>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F548-4311-8C52-3D63D4A266AC}"/>
                </c:ext>
              </c:extLst>
            </c:dLbl>
            <c:dLbl>
              <c:idx val="5"/>
              <c:tx>
                <c:rich>
                  <a:bodyPr/>
                  <a:lstStyle/>
                  <a:p>
                    <a:fld id="{B9C77050-ABC8-4DA7-99DC-036CB0158A96}" type="CELLRANGE">
                      <a:rPr lang="sk-SK"/>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F548-4311-8C52-3D63D4A266AC}"/>
                </c:ext>
              </c:extLst>
            </c:dLbl>
            <c:dLbl>
              <c:idx val="6"/>
              <c:layout>
                <c:manualLayout>
                  <c:x val="-5.0866024099280864E-2"/>
                  <c:y val="6.1261445519279992E-2"/>
                </c:manualLayout>
              </c:layout>
              <c:tx>
                <c:rich>
                  <a:bodyPr/>
                  <a:lstStyle/>
                  <a:p>
                    <a:fld id="{2925C071-BCBB-4A1A-BFE5-A39B702B03CF}" type="CELLRANGE">
                      <a:rPr lang="en-US"/>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F548-4311-8C52-3D63D4A266AC}"/>
                </c:ext>
              </c:extLst>
            </c:dLbl>
            <c:dLbl>
              <c:idx val="7"/>
              <c:layout>
                <c:manualLayout>
                  <c:x val="-3.0405496582483125E-2"/>
                  <c:y val="-3.9115641544260886E-2"/>
                </c:manualLayout>
              </c:layout>
              <c:tx>
                <c:rich>
                  <a:bodyPr/>
                  <a:lstStyle/>
                  <a:p>
                    <a:fld id="{75EBA42C-448E-4953-961B-5B2B980621A3}" type="CELLRANGE">
                      <a:rPr lang="en-US"/>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F548-4311-8C52-3D63D4A266AC}"/>
                </c:ext>
              </c:extLst>
            </c:dLbl>
            <c:dLbl>
              <c:idx val="8"/>
              <c:tx>
                <c:rich>
                  <a:bodyPr/>
                  <a:lstStyle/>
                  <a:p>
                    <a:endParaRPr lang="sk-SK"/>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548-4311-8C52-3D63D4A266AC}"/>
                </c:ext>
              </c:extLst>
            </c:dLbl>
            <c:dLbl>
              <c:idx val="9"/>
              <c:layout>
                <c:manualLayout>
                  <c:x val="0"/>
                  <c:y val="2.4504578207711996E-2"/>
                </c:manualLayout>
              </c:layout>
              <c:tx>
                <c:rich>
                  <a:bodyPr/>
                  <a:lstStyle/>
                  <a:p>
                    <a:fld id="{59D5D520-3FE6-4581-952D-25D328701382}" type="CELLRANGE">
                      <a:rPr lang="en-US"/>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F548-4311-8C52-3D63D4A266AC}"/>
                </c:ext>
              </c:extLst>
            </c:dLbl>
            <c:dLbl>
              <c:idx val="10"/>
              <c:layout>
                <c:manualLayout>
                  <c:x val="-5.0866024099280864E-2"/>
                  <c:y val="5.3093252783375913E-2"/>
                </c:manualLayout>
              </c:layout>
              <c:tx>
                <c:rich>
                  <a:bodyPr/>
                  <a:lstStyle/>
                  <a:p>
                    <a:fld id="{E5595E8E-07B2-49CB-900D-8C970C80ABAB}" type="CELLRANGE">
                      <a:rPr lang="en-US"/>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F548-4311-8C52-3D63D4A266AC}"/>
                </c:ext>
              </c:extLst>
            </c:dLbl>
            <c:dLbl>
              <c:idx val="11"/>
              <c:layout>
                <c:manualLayout>
                  <c:x val="-8.4776706832134785E-3"/>
                  <c:y val="4.084096367951992E-2"/>
                </c:manualLayout>
              </c:layout>
              <c:tx>
                <c:rich>
                  <a:bodyPr/>
                  <a:lstStyle/>
                  <a:p>
                    <a:fld id="{E26007B5-3DF4-417D-A606-1227918B6A95}" type="CELLRANGE">
                      <a:rPr lang="en-US"/>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F548-4311-8C52-3D63D4A266AC}"/>
                </c:ext>
              </c:extLst>
            </c:dLbl>
            <c:dLbl>
              <c:idx val="12"/>
              <c:tx>
                <c:rich>
                  <a:bodyPr/>
                  <a:lstStyle/>
                  <a:p>
                    <a:fld id="{24E292B0-AF51-4708-8A4D-A37AD74C4DD9}" type="CELLRANGE">
                      <a:rPr lang="sk-SK"/>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F548-4311-8C52-3D63D4A266AC}"/>
                </c:ext>
              </c:extLst>
            </c:dLbl>
            <c:dLbl>
              <c:idx val="13"/>
              <c:tx>
                <c:rich>
                  <a:bodyPr/>
                  <a:lstStyle/>
                  <a:p>
                    <a:fld id="{C6040C4D-B0F6-4E4E-AFFE-595E62F8B53A}" type="CELLRANGE">
                      <a:rPr lang="sk-SK"/>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F548-4311-8C52-3D63D4A266AC}"/>
                </c:ext>
              </c:extLst>
            </c:dLbl>
            <c:dLbl>
              <c:idx val="14"/>
              <c:tx>
                <c:rich>
                  <a:bodyPr/>
                  <a:lstStyle/>
                  <a:p>
                    <a:fld id="{EBEA2B63-BBB6-4577-8E2F-5928ED4D8B9F}" type="CELLRANGE">
                      <a:rPr lang="sk-SK"/>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F548-4311-8C52-3D63D4A266AC}"/>
                </c:ext>
              </c:extLst>
            </c:dLbl>
            <c:dLbl>
              <c:idx val="15"/>
              <c:tx>
                <c:rich>
                  <a:bodyPr/>
                  <a:lstStyle/>
                  <a:p>
                    <a:fld id="{24E355CC-6339-4368-B5D6-5B82689A1630}" type="CELLRANGE">
                      <a:rPr lang="sk-SK"/>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F548-4311-8C52-3D63D4A266AC}"/>
                </c:ext>
              </c:extLst>
            </c:dLbl>
            <c:dLbl>
              <c:idx val="16"/>
              <c:layout>
                <c:manualLayout>
                  <c:x val="-7.3473145921183494E-2"/>
                  <c:y val="-1.6336385471807997E-2"/>
                </c:manualLayout>
              </c:layout>
              <c:tx>
                <c:rich>
                  <a:bodyPr/>
                  <a:lstStyle/>
                  <a:p>
                    <a:fld id="{D149B99B-D5A3-4F7B-A7D4-335C06B7FB4D}" type="CELLRANGE">
                      <a:rPr lang="en-US"/>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F548-4311-8C52-3D63D4A266AC}"/>
                </c:ext>
              </c:extLst>
            </c:dLbl>
            <c:dLbl>
              <c:idx val="17"/>
              <c:layout>
                <c:manualLayout>
                  <c:x val="-3.5933768688389149E-2"/>
                  <c:y val="-3.9115641544260962E-2"/>
                </c:manualLayout>
              </c:layout>
              <c:tx>
                <c:rich>
                  <a:bodyPr/>
                  <a:lstStyle/>
                  <a:p>
                    <a:fld id="{F4E039FD-4EFF-4189-BB36-B6CD8E486446}" type="CELLRANGE">
                      <a:rPr lang="en-US"/>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F548-4311-8C52-3D63D4A266AC}"/>
                </c:ext>
              </c:extLst>
            </c:dLbl>
            <c:dLbl>
              <c:idx val="18"/>
              <c:layout>
                <c:manualLayout>
                  <c:x val="2.8258902277377225E-3"/>
                  <c:y val="-4.0840963679519955E-2"/>
                </c:manualLayout>
              </c:layout>
              <c:tx>
                <c:rich>
                  <a:bodyPr/>
                  <a:lstStyle/>
                  <a:p>
                    <a:fld id="{819C8601-4220-4011-ABCA-60C0363FA7A6}" type="CELLRANGE">
                      <a:rPr lang="en-US"/>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F548-4311-8C52-3D63D4A266AC}"/>
                </c:ext>
              </c:extLst>
            </c:dLbl>
            <c:dLbl>
              <c:idx val="19"/>
              <c:layout>
                <c:manualLayout>
                  <c:x val="5.6517804554755482E-3"/>
                  <c:y val="-2.858867457566407E-2"/>
                </c:manualLayout>
              </c:layout>
              <c:tx>
                <c:rich>
                  <a:bodyPr/>
                  <a:lstStyle/>
                  <a:p>
                    <a:fld id="{9F576B9A-D9C6-4478-851F-CF588CEEE7D6}" type="CELLRANGE">
                      <a:rPr lang="en-US"/>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F548-4311-8C52-3D63D4A266AC}"/>
                </c:ext>
              </c:extLst>
            </c:dLbl>
            <c:dLbl>
              <c:idx val="20"/>
              <c:layout>
                <c:manualLayout>
                  <c:x val="-3.7833329884412188E-2"/>
                  <c:y val="-3.2327713037882747E-2"/>
                </c:manualLayout>
              </c:layout>
              <c:tx>
                <c:rich>
                  <a:bodyPr/>
                  <a:lstStyle/>
                  <a:p>
                    <a:fld id="{6C91574B-43A2-4537-BFCC-984649F31F55}" type="CELLRANGE">
                      <a:rPr lang="en-US"/>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F548-4311-8C52-3D63D4A266AC}"/>
                </c:ext>
              </c:extLst>
            </c:dLbl>
            <c:dLbl>
              <c:idx val="21"/>
              <c:tx>
                <c:rich>
                  <a:bodyPr/>
                  <a:lstStyle/>
                  <a:p>
                    <a:fld id="{72E0CAE6-1145-49AE-8850-3AD7D3B35863}" type="CELLRANGE">
                      <a:rPr lang="sk-SK"/>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F548-4311-8C52-3D63D4A266AC}"/>
                </c:ext>
              </c:extLst>
            </c:dLbl>
            <c:dLbl>
              <c:idx val="22"/>
              <c:tx>
                <c:rich>
                  <a:bodyPr/>
                  <a:lstStyle/>
                  <a:p>
                    <a:fld id="{130E0C21-40DA-47BA-B5AC-8C16574BFC1B}" type="CELLRANGE">
                      <a:rPr lang="sk-SK"/>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F548-4311-8C52-3D63D4A266AC}"/>
                </c:ext>
              </c:extLst>
            </c:dLbl>
            <c:dLbl>
              <c:idx val="23"/>
              <c:layout>
                <c:manualLayout>
                  <c:x val="2.2029049300495318E-2"/>
                  <c:y val="-9.9787293338862493E-2"/>
                </c:manualLayout>
              </c:layout>
              <c:tx>
                <c:rich>
                  <a:bodyPr/>
                  <a:lstStyle/>
                  <a:p>
                    <a:pPr>
                      <a:defRPr b="1"/>
                    </a:pPr>
                    <a:fld id="{9143E634-C88B-4033-999E-BFCAA6A5E57D}" type="CELLRANGE">
                      <a:rPr lang="en-US"/>
                      <a:pPr>
                        <a:defRPr b="1"/>
                      </a:pPr>
                      <a:t>[CELLRANGE]</a:t>
                    </a:fld>
                    <a:endParaRPr lang="sk-SK"/>
                  </a:p>
                </c:rich>
              </c:tx>
              <c:spPr>
                <a:noFill/>
                <a:ln>
                  <a:noFill/>
                </a:ln>
                <a:effectLst/>
              </c:spP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F548-4311-8C52-3D63D4A266AC}"/>
                </c:ext>
              </c:extLst>
            </c:dLbl>
            <c:dLbl>
              <c:idx val="24"/>
              <c:layout>
                <c:manualLayout>
                  <c:x val="-6.7821365465707828E-2"/>
                  <c:y val="3.2672770943615995E-2"/>
                </c:manualLayout>
              </c:layout>
              <c:tx>
                <c:rich>
                  <a:bodyPr/>
                  <a:lstStyle/>
                  <a:p>
                    <a:fld id="{0A15D935-B942-472A-B727-F728AAA936DA}" type="CELLRANGE">
                      <a:rPr lang="en-US"/>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F548-4311-8C52-3D63D4A266AC}"/>
                </c:ext>
              </c:extLst>
            </c:dLbl>
            <c:dLbl>
              <c:idx val="25"/>
              <c:tx>
                <c:rich>
                  <a:bodyPr/>
                  <a:lstStyle/>
                  <a:p>
                    <a:fld id="{C50D8308-D48B-488E-A309-5A186CA70F0C}" type="CELLRANGE">
                      <a:rPr lang="sk-SK"/>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F548-4311-8C52-3D63D4A266AC}"/>
                </c:ext>
              </c:extLst>
            </c:dLbl>
            <c:dLbl>
              <c:idx val="26"/>
              <c:layout>
                <c:manualLayout>
                  <c:x val="-2.5433012049640432E-2"/>
                  <c:y val="-4.9009156415424068E-2"/>
                </c:manualLayout>
              </c:layout>
              <c:tx>
                <c:rich>
                  <a:bodyPr/>
                  <a:lstStyle/>
                  <a:p>
                    <a:fld id="{5A823959-861A-44BC-B54B-7E0E8606CA95}" type="CELLRANGE">
                      <a:rPr lang="en-US"/>
                      <a:pPr/>
                      <a:t>[CELLRANGE]</a:t>
                    </a:fld>
                    <a:endParaRPr lang="sk-SK"/>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A-F548-4311-8C52-3D63D4A266AC}"/>
                </c:ext>
              </c:extLst>
            </c:dLbl>
            <c:dLbl>
              <c:idx val="27"/>
              <c:tx>
                <c:rich>
                  <a:bodyPr/>
                  <a:lstStyle/>
                  <a:p>
                    <a:endParaRPr lang="sk-SK"/>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F548-4311-8C52-3D63D4A266AC}"/>
                </c:ext>
              </c:extLst>
            </c:dLbl>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trendline>
            <c:trendlineType val="linear"/>
            <c:dispRSqr val="0"/>
            <c:dispEq val="0"/>
          </c:trendline>
          <c:xVal>
            <c:numRef>
              <c:f>'Graf 4'!$D$10:$D$37</c:f>
              <c:numCache>
                <c:formatCode>0.0</c:formatCode>
                <c:ptCount val="28"/>
                <c:pt idx="0">
                  <c:v>133</c:v>
                </c:pt>
                <c:pt idx="1">
                  <c:v>126</c:v>
                </c:pt>
                <c:pt idx="2">
                  <c:v>44</c:v>
                </c:pt>
                <c:pt idx="3">
                  <c:v>45</c:v>
                </c:pt>
                <c:pt idx="4">
                  <c:v>96</c:v>
                </c:pt>
                <c:pt idx="5">
                  <c:v>78</c:v>
                </c:pt>
                <c:pt idx="6">
                  <c:v>128</c:v>
                </c:pt>
                <c:pt idx="7">
                  <c:v>36</c:v>
                </c:pt>
                <c:pt idx="8" formatCode="#,##0">
                  <c:v>100</c:v>
                </c:pt>
                <c:pt idx="9">
                  <c:v>110</c:v>
                </c:pt>
                <c:pt idx="10">
                  <c:v>117</c:v>
                </c:pt>
                <c:pt idx="11">
                  <c:v>133</c:v>
                </c:pt>
                <c:pt idx="12">
                  <c:v>87</c:v>
                </c:pt>
                <c:pt idx="13">
                  <c:v>52</c:v>
                </c:pt>
                <c:pt idx="14">
                  <c:v>107</c:v>
                </c:pt>
                <c:pt idx="15">
                  <c:v>126</c:v>
                </c:pt>
                <c:pt idx="16">
                  <c:v>31</c:v>
                </c:pt>
                <c:pt idx="17">
                  <c:v>33</c:v>
                </c:pt>
                <c:pt idx="18">
                  <c:v>79</c:v>
                </c:pt>
                <c:pt idx="19">
                  <c:v>132</c:v>
                </c:pt>
                <c:pt idx="20">
                  <c:v>44</c:v>
                </c:pt>
                <c:pt idx="21">
                  <c:v>81</c:v>
                </c:pt>
                <c:pt idx="22">
                  <c:v>31</c:v>
                </c:pt>
                <c:pt idx="23">
                  <c:v>49</c:v>
                </c:pt>
                <c:pt idx="24">
                  <c:v>77</c:v>
                </c:pt>
                <c:pt idx="25">
                  <c:v>92</c:v>
                </c:pt>
                <c:pt idx="26">
                  <c:v>130</c:v>
                </c:pt>
              </c:numCache>
            </c:numRef>
          </c:xVal>
          <c:yVal>
            <c:numRef>
              <c:f>'Graf 4'!$E$10:$E$37</c:f>
              <c:numCache>
                <c:formatCode>0.0</c:formatCode>
                <c:ptCount val="28"/>
                <c:pt idx="0">
                  <c:v>1.6285714285714286</c:v>
                </c:pt>
                <c:pt idx="1">
                  <c:v>1.8214285714285716</c:v>
                </c:pt>
                <c:pt idx="2">
                  <c:v>2.3535714285714291</c:v>
                </c:pt>
                <c:pt idx="3">
                  <c:v>2.5285714285714285</c:v>
                </c:pt>
                <c:pt idx="4">
                  <c:v>3.0107142857142857</c:v>
                </c:pt>
                <c:pt idx="5">
                  <c:v>2.2785714285714289</c:v>
                </c:pt>
                <c:pt idx="6">
                  <c:v>1.7827586206896555</c:v>
                </c:pt>
                <c:pt idx="7">
                  <c:v>3.7285714285714273</c:v>
                </c:pt>
                <c:pt idx="8">
                  <c:v>#N/A</c:v>
                </c:pt>
                <c:pt idx="9">
                  <c:v>1.9689655172413791</c:v>
                </c:pt>
                <c:pt idx="10">
                  <c:v>1.5827586206896551</c:v>
                </c:pt>
                <c:pt idx="11">
                  <c:v>1.2827586206896553</c:v>
                </c:pt>
                <c:pt idx="12">
                  <c:v>1.0071428571428573</c:v>
                </c:pt>
                <c:pt idx="13">
                  <c:v>2.4999999999999991</c:v>
                </c:pt>
                <c:pt idx="14">
                  <c:v>5.85</c:v>
                </c:pt>
                <c:pt idx="15">
                  <c:v>0.71071428571428563</c:v>
                </c:pt>
                <c:pt idx="16">
                  <c:v>3.5892857142857149</c:v>
                </c:pt>
                <c:pt idx="17">
                  <c:v>4.0214285714285714</c:v>
                </c:pt>
                <c:pt idx="18">
                  <c:v>4.5217391304347823</c:v>
                </c:pt>
                <c:pt idx="19">
                  <c:v>2.0321428571428566</c:v>
                </c:pt>
                <c:pt idx="20">
                  <c:v>3.914285714285715</c:v>
                </c:pt>
                <c:pt idx="21">
                  <c:v>1.4714285714285713</c:v>
                </c:pt>
                <c:pt idx="22">
                  <c:v>3.0642857142857141</c:v>
                </c:pt>
                <c:pt idx="23">
                  <c:v>3.4928571428571433</c:v>
                </c:pt>
                <c:pt idx="24">
                  <c:v>2.6785714285714284</c:v>
                </c:pt>
                <c:pt idx="25">
                  <c:v>2.0214285714285718</c:v>
                </c:pt>
                <c:pt idx="26">
                  <c:v>2.317241379310345</c:v>
                </c:pt>
                <c:pt idx="27">
                  <c:v>99</c:v>
                </c:pt>
              </c:numCache>
            </c:numRef>
          </c:yVal>
          <c:smooth val="0"/>
          <c:extLst>
            <c:ext xmlns:c15="http://schemas.microsoft.com/office/drawing/2012/chart" uri="{02D57815-91ED-43cb-92C2-25804820EDAC}">
              <c15:datalabelsRange>
                <c15:f>'Graf 4'!$A$10:$A$37</c15:f>
                <c15:dlblRangeCache>
                  <c:ptCount val="28"/>
                  <c:pt idx="0">
                    <c:v>AT</c:v>
                  </c:pt>
                  <c:pt idx="1">
                    <c:v>BE</c:v>
                  </c:pt>
                  <c:pt idx="2">
                    <c:v>BG</c:v>
                  </c:pt>
                  <c:pt idx="3">
                    <c:v>HR</c:v>
                  </c:pt>
                  <c:pt idx="4">
                    <c:v>CY</c:v>
                  </c:pt>
                  <c:pt idx="5">
                    <c:v>CZ</c:v>
                  </c:pt>
                  <c:pt idx="6">
                    <c:v>DK</c:v>
                  </c:pt>
                  <c:pt idx="7">
                    <c:v>EE</c:v>
                  </c:pt>
                  <c:pt idx="8">
                    <c:v>EU</c:v>
                  </c:pt>
                  <c:pt idx="9">
                    <c:v>FI</c:v>
                  </c:pt>
                  <c:pt idx="10">
                    <c:v>FR</c:v>
                  </c:pt>
                  <c:pt idx="11">
                    <c:v>DE</c:v>
                  </c:pt>
                  <c:pt idx="12">
                    <c:v>EL</c:v>
                  </c:pt>
                  <c:pt idx="13">
                    <c:v>HU</c:v>
                  </c:pt>
                  <c:pt idx="14">
                    <c:v>IE</c:v>
                  </c:pt>
                  <c:pt idx="15">
                    <c:v>IT</c:v>
                  </c:pt>
                  <c:pt idx="16">
                    <c:v>LV</c:v>
                  </c:pt>
                  <c:pt idx="17">
                    <c:v>LT</c:v>
                  </c:pt>
                  <c:pt idx="18">
                    <c:v>MT</c:v>
                  </c:pt>
                  <c:pt idx="19">
                    <c:v>NL</c:v>
                  </c:pt>
                  <c:pt idx="20">
                    <c:v>PL</c:v>
                  </c:pt>
                  <c:pt idx="21">
                    <c:v>PT</c:v>
                  </c:pt>
                  <c:pt idx="22">
                    <c:v>RO</c:v>
                  </c:pt>
                  <c:pt idx="23">
                    <c:v>Slovensko</c:v>
                  </c:pt>
                  <c:pt idx="24">
                    <c:v>SI</c:v>
                  </c:pt>
                  <c:pt idx="25">
                    <c:v>ES</c:v>
                  </c:pt>
                  <c:pt idx="26">
                    <c:v>SE</c:v>
                  </c:pt>
                  <c:pt idx="27">
                    <c:v>UK</c:v>
                  </c:pt>
                </c15:dlblRangeCache>
              </c15:datalabelsRange>
            </c:ext>
            <c:ext xmlns:c16="http://schemas.microsoft.com/office/drawing/2014/chart" uri="{C3380CC4-5D6E-409C-BE32-E72D297353CC}">
              <c16:uniqueId val="{0000001D-F548-4311-8C52-3D63D4A266AC}"/>
            </c:ext>
          </c:extLst>
        </c:ser>
        <c:dLbls>
          <c:showLegendKey val="0"/>
          <c:showVal val="0"/>
          <c:showCatName val="0"/>
          <c:showSerName val="0"/>
          <c:showPercent val="0"/>
          <c:showBubbleSize val="0"/>
        </c:dLbls>
        <c:axId val="1224320680"/>
        <c:axId val="1224321072"/>
      </c:scatterChart>
      <c:valAx>
        <c:axId val="1224320680"/>
        <c:scaling>
          <c:orientation val="minMax"/>
          <c:max val="150"/>
          <c:min val="20"/>
        </c:scaling>
        <c:delete val="0"/>
        <c:axPos val="b"/>
        <c:majorGridlines>
          <c:spPr>
            <a:ln w="3175" cap="flat" cmpd="sng" algn="ctr">
              <a:solidFill>
                <a:srgbClr val="686767">
                  <a:alpha val="25000"/>
                </a:srgbClr>
              </a:solidFill>
              <a:prstDash val="sysDot"/>
              <a:round/>
            </a:ln>
            <a:effectLst/>
          </c:spPr>
        </c:majorGridlines>
        <c:title>
          <c:tx>
            <c:rich>
              <a:bodyPr rot="0" vert="horz"/>
              <a:lstStyle/>
              <a:p>
                <a:pPr>
                  <a:defRPr/>
                </a:pPr>
                <a:r>
                  <a:rPr lang="sk-SK"/>
                  <a:t>HDP</a:t>
                </a:r>
                <a:r>
                  <a:rPr lang="en-US"/>
                  <a:t> per capita </a:t>
                </a:r>
                <a:r>
                  <a:rPr lang="sk-SK"/>
                  <a:t>v PKS</a:t>
                </a:r>
                <a:r>
                  <a:rPr lang="en-US"/>
                  <a:t> EU2</a:t>
                </a:r>
                <a:r>
                  <a:rPr lang="sk-SK"/>
                  <a:t>7</a:t>
                </a:r>
                <a:r>
                  <a:rPr lang="en-US"/>
                  <a:t>=100 (1995)</a:t>
                </a:r>
                <a:endParaRPr lang="sk-SK"/>
              </a:p>
            </c:rich>
          </c:tx>
          <c:overlay val="0"/>
          <c:spPr>
            <a:noFill/>
            <a:ln>
              <a:noFill/>
            </a:ln>
            <a:effectLst/>
          </c:spPr>
        </c:title>
        <c:numFmt formatCode="0.0" sourceLinked="1"/>
        <c:majorTickMark val="none"/>
        <c:minorTickMark val="none"/>
        <c:tickLblPos val="nextTo"/>
        <c:spPr>
          <a:noFill/>
          <a:ln w="12700" cap="flat" cmpd="sng" algn="ctr">
            <a:solidFill>
              <a:srgbClr val="686767"/>
            </a:solidFill>
            <a:round/>
          </a:ln>
          <a:effectLst/>
        </c:spPr>
        <c:txPr>
          <a:bodyPr rot="-60000000" vert="horz"/>
          <a:lstStyle/>
          <a:p>
            <a:pPr>
              <a:defRPr/>
            </a:pPr>
            <a:endParaRPr lang="sk-SK"/>
          </a:p>
        </c:txPr>
        <c:crossAx val="1224321072"/>
        <c:crosses val="autoZero"/>
        <c:crossBetween val="midCat"/>
      </c:valAx>
      <c:valAx>
        <c:axId val="1224321072"/>
        <c:scaling>
          <c:orientation val="minMax"/>
          <c:max val="5"/>
          <c:min val="0"/>
        </c:scaling>
        <c:delete val="0"/>
        <c:axPos val="l"/>
        <c:majorGridlines>
          <c:spPr>
            <a:ln w="3175" cap="flat" cmpd="sng" algn="ctr">
              <a:solidFill>
                <a:srgbClr val="686767">
                  <a:alpha val="25000"/>
                </a:srgbClr>
              </a:solidFill>
              <a:prstDash val="sysDot"/>
              <a:round/>
            </a:ln>
            <a:effectLst/>
          </c:spPr>
        </c:majorGridlines>
        <c:title>
          <c:tx>
            <c:rich>
              <a:bodyPr rot="-5400000" vert="horz"/>
              <a:lstStyle/>
              <a:p>
                <a:pPr>
                  <a:defRPr/>
                </a:pPr>
                <a:r>
                  <a:rPr lang="sk-SK"/>
                  <a:t>Priemerný ročný rast HDP (1995-2023)</a:t>
                </a:r>
              </a:p>
            </c:rich>
          </c:tx>
          <c:overlay val="0"/>
          <c:spPr>
            <a:noFill/>
            <a:ln>
              <a:noFill/>
            </a:ln>
            <a:effectLst/>
          </c:spPr>
        </c:title>
        <c:numFmt formatCode="0.0" sourceLinked="1"/>
        <c:majorTickMark val="none"/>
        <c:minorTickMark val="none"/>
        <c:tickLblPos val="nextTo"/>
        <c:spPr>
          <a:noFill/>
          <a:ln w="12700" cap="flat" cmpd="sng" algn="ctr">
            <a:solidFill>
              <a:srgbClr val="686767"/>
            </a:solidFill>
            <a:round/>
          </a:ln>
          <a:effectLst/>
        </c:spPr>
        <c:txPr>
          <a:bodyPr rot="-60000000" vert="horz"/>
          <a:lstStyle/>
          <a:p>
            <a:pPr>
              <a:defRPr/>
            </a:pPr>
            <a:endParaRPr lang="sk-SK"/>
          </a:p>
        </c:txPr>
        <c:crossAx val="122432068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solidFill>
            <a:schemeClr val="tx1"/>
          </a:solidFill>
          <a:latin typeface="Arial Narrow" panose="020B0606020202030204" pitchFamily="34" charset="0"/>
        </a:defRPr>
      </a:pPr>
      <a:endParaRPr lang="sk-SK"/>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171155407529211E-2"/>
          <c:y val="7.5532957877752729E-2"/>
          <c:w val="0.8700707891754198"/>
          <c:h val="0.67541057367829016"/>
        </c:manualLayout>
      </c:layout>
      <c:barChart>
        <c:barDir val="col"/>
        <c:grouping val="clustered"/>
        <c:varyColors val="0"/>
        <c:ser>
          <c:idx val="2"/>
          <c:order val="1"/>
          <c:tx>
            <c:strRef>
              <c:f>Dashboard!$B$4</c:f>
              <c:strCache>
                <c:ptCount val="1"/>
                <c:pt idx="0">
                  <c:v>Plánované deficity vlády</c:v>
                </c:pt>
              </c:strCache>
            </c:strRef>
          </c:tx>
          <c:spPr>
            <a:solidFill>
              <a:srgbClr val="2C9ADC"/>
            </a:solidFill>
            <a:ln>
              <a:noFill/>
            </a:ln>
            <a:effectLst/>
          </c:spPr>
          <c:invertIfNegative val="0"/>
          <c:dLbls>
            <c:dLbl>
              <c:idx val="0"/>
              <c:layout>
                <c:manualLayout>
                  <c:x val="0"/>
                  <c:y val="0.30800207666349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535-452F-AD64-9F60A4F0DECE}"/>
                </c:ext>
              </c:extLst>
            </c:dLbl>
            <c:dLbl>
              <c:idx val="1"/>
              <c:layout>
                <c:manualLayout>
                  <c:x val="-4.210638848770967E-17"/>
                  <c:y val="0.3629017045946180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535-452F-AD64-9F60A4F0DECE}"/>
                </c:ext>
              </c:extLst>
            </c:dLbl>
            <c:dLbl>
              <c:idx val="2"/>
              <c:layout>
                <c:manualLayout>
                  <c:x val="-8.421277697541934E-17"/>
                  <c:y val="0.310621701133512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535-452F-AD64-9F60A4F0DECE}"/>
                </c:ext>
              </c:extLst>
            </c:dLbl>
            <c:spPr>
              <a:noFill/>
              <a:ln>
                <a:solidFill>
                  <a:srgbClr val="2C9ADC"/>
                </a:solidFill>
              </a:ln>
              <a:effectLst/>
            </c:spPr>
            <c:txPr>
              <a:bodyPr rot="0" spcFirstLastPara="1" vertOverflow="ellipsis" vert="horz" wrap="square" anchor="ctr" anchorCtr="1"/>
              <a:lstStyle/>
              <a:p>
                <a:pPr>
                  <a:defRPr sz="800" b="1" i="0" u="none" strike="noStrike" kern="1200" baseline="0">
                    <a:solidFill>
                      <a:schemeClr val="bg1"/>
                    </a:solidFill>
                    <a:latin typeface="Arial Narrow" panose="020B0606020202030204" pitchFamily="34" charset="0"/>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'MTP_2024 (sept 24)'!$AV$32:$BA$32</c:f>
              <c:numCache>
                <c:formatCode>General</c:formatCode>
                <c:ptCount val="6"/>
                <c:pt idx="0">
                  <c:v>2023</c:v>
                </c:pt>
                <c:pt idx="1">
                  <c:v>2024</c:v>
                </c:pt>
                <c:pt idx="2">
                  <c:v>2025</c:v>
                </c:pt>
                <c:pt idx="3">
                  <c:v>2026</c:v>
                </c:pt>
                <c:pt idx="4">
                  <c:v>2027</c:v>
                </c:pt>
                <c:pt idx="5">
                  <c:v>2028</c:v>
                </c:pt>
              </c:numCache>
            </c:numRef>
          </c:cat>
          <c:val>
            <c:numRef>
              <c:f>Dashboard!$C$4:$H$4</c:f>
              <c:numCache>
                <c:formatCode>0.0</c:formatCode>
                <c:ptCount val="6"/>
                <c:pt idx="0">
                  <c:v>4.8934746579132904</c:v>
                </c:pt>
                <c:pt idx="1">
                  <c:v>5.8036633106909878</c:v>
                </c:pt>
                <c:pt idx="2">
                  <c:v>4.7199999977126668</c:v>
                </c:pt>
                <c:pt idx="3">
                  <c:v>3.7225670218710594</c:v>
                </c:pt>
                <c:pt idx="4">
                  <c:v>3.0002252698199086</c:v>
                </c:pt>
                <c:pt idx="5">
                  <c:v>2.2143086122520614</c:v>
                </c:pt>
              </c:numCache>
            </c:numRef>
          </c:val>
          <c:extLst>
            <c:ext xmlns:c16="http://schemas.microsoft.com/office/drawing/2014/chart" uri="{C3380CC4-5D6E-409C-BE32-E72D297353CC}">
              <c16:uniqueId val="{00000003-1535-452F-AD64-9F60A4F0DECE}"/>
            </c:ext>
          </c:extLst>
        </c:ser>
        <c:dLbls>
          <c:showLegendKey val="0"/>
          <c:showVal val="0"/>
          <c:showCatName val="0"/>
          <c:showSerName val="0"/>
          <c:showPercent val="0"/>
          <c:showBubbleSize val="0"/>
        </c:dLbls>
        <c:gapWidth val="50"/>
        <c:axId val="1291386143"/>
        <c:axId val="1379567903"/>
      </c:barChart>
      <c:lineChart>
        <c:grouping val="standard"/>
        <c:varyColors val="0"/>
        <c:ser>
          <c:idx val="3"/>
          <c:order val="0"/>
          <c:tx>
            <c:strRef>
              <c:f>Dashboard!$B$5</c:f>
              <c:strCache>
                <c:ptCount val="1"/>
                <c:pt idx="0">
                  <c:v>Deficity podľa trajektórie čistých výdavkov (4-ročný plán)</c:v>
                </c:pt>
              </c:strCache>
            </c:strRef>
          </c:tx>
          <c:spPr>
            <a:ln w="25400" cap="rnd">
              <a:noFill/>
              <a:round/>
            </a:ln>
            <a:effectLst/>
          </c:spPr>
          <c:marker>
            <c:symbol val="circle"/>
            <c:size val="6"/>
            <c:spPr>
              <a:solidFill>
                <a:srgbClr val="FF0000"/>
              </a:solidFill>
              <a:ln w="9525">
                <a:noFill/>
              </a:ln>
              <a:effectLst/>
            </c:spPr>
          </c:marker>
          <c:dLbls>
            <c:dLbl>
              <c:idx val="2"/>
              <c:layout>
                <c:manualLayout>
                  <c:x val="-1.8373909049150206E-2"/>
                  <c:y val="0"/>
                </c:manualLayout>
              </c:layout>
              <c:tx>
                <c:rich>
                  <a:bodyPr/>
                  <a:lstStyle/>
                  <a:p>
                    <a:fld id="{1D865630-0C56-4AF5-8EF8-D1E976C0E40A}" type="VALUE">
                      <a:rPr lang="en-US"/>
                      <a:pPr/>
                      <a:t>[HODNOTA]</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4AE-463A-847B-47A7790BC924}"/>
                </c:ext>
              </c:extLst>
            </c:dLbl>
            <c:dLbl>
              <c:idx val="3"/>
              <c:layout>
                <c:manualLayout>
                  <c:x val="-1.378043178686265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6F-4502-83C1-D94426E564E1}"/>
                </c:ext>
              </c:extLst>
            </c:dLbl>
            <c:dLbl>
              <c:idx val="4"/>
              <c:layout>
                <c:manualLayout>
                  <c:x val="-2.296738631143784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6F-4502-83C1-D94426E564E1}"/>
                </c:ext>
              </c:extLst>
            </c:dLbl>
            <c:dLbl>
              <c:idx val="5"/>
              <c:layout>
                <c:manualLayout>
                  <c:x val="-2.2967386311437927E-2"/>
                  <c:y val="5.036571853722194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6F-4502-83C1-D94426E564E1}"/>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FF0000"/>
                    </a:solidFill>
                    <a:latin typeface="Arial Narrow" panose="020B0606020202030204" pitchFamily="34"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Dashboard!$C$3:$H$3</c:f>
              <c:numCache>
                <c:formatCode>General</c:formatCode>
                <c:ptCount val="6"/>
                <c:pt idx="0">
                  <c:v>2023</c:v>
                </c:pt>
                <c:pt idx="1">
                  <c:v>2024</c:v>
                </c:pt>
                <c:pt idx="2">
                  <c:v>2025</c:v>
                </c:pt>
                <c:pt idx="3">
                  <c:v>2026</c:v>
                </c:pt>
                <c:pt idx="4">
                  <c:v>2027</c:v>
                </c:pt>
                <c:pt idx="5">
                  <c:v>2028</c:v>
                </c:pt>
              </c:numCache>
            </c:numRef>
          </c:cat>
          <c:val>
            <c:numRef>
              <c:f>Dashboard!$C$5:$H$5</c:f>
              <c:numCache>
                <c:formatCode>General</c:formatCode>
                <c:ptCount val="6"/>
                <c:pt idx="2" formatCode="0.0">
                  <c:v>4.7</c:v>
                </c:pt>
                <c:pt idx="3" formatCode="0.0">
                  <c:v>3.9261862084630819</c:v>
                </c:pt>
                <c:pt idx="4" formatCode="0.0">
                  <c:v>3.5949606267297383</c:v>
                </c:pt>
                <c:pt idx="5" formatCode="0.0">
                  <c:v>2.793644955490882</c:v>
                </c:pt>
              </c:numCache>
            </c:numRef>
          </c:val>
          <c:smooth val="0"/>
          <c:extLst>
            <c:ext xmlns:c16="http://schemas.microsoft.com/office/drawing/2014/chart" uri="{C3380CC4-5D6E-409C-BE32-E72D297353CC}">
              <c16:uniqueId val="{00000004-1535-452F-AD64-9F60A4F0DECE}"/>
            </c:ext>
          </c:extLst>
        </c:ser>
        <c:ser>
          <c:idx val="0"/>
          <c:order val="2"/>
          <c:tx>
            <c:strRef>
              <c:f>Dashboard!$B$6</c:f>
              <c:strCache>
                <c:ptCount val="1"/>
                <c:pt idx="0">
                  <c:v>Deficity podľa trajektórie 7-ročného plánu</c:v>
                </c:pt>
              </c:strCache>
            </c:strRef>
          </c:tx>
          <c:spPr>
            <a:ln w="28575" cap="rnd">
              <a:noFill/>
              <a:prstDash val="sysDash"/>
              <a:round/>
            </a:ln>
            <a:effectLst/>
          </c:spPr>
          <c:marker>
            <c:symbol val="diamond"/>
            <c:size val="6"/>
            <c:spPr>
              <a:solidFill>
                <a:sysClr val="window" lastClr="FFFFFF">
                  <a:lumMod val="50000"/>
                </a:sysClr>
              </a:solidFill>
              <a:ln w="9525">
                <a:no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0-04AE-463A-847B-47A7790BC924}"/>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lumMod val="50000"/>
                      </a:schemeClr>
                    </a:solidFill>
                    <a:latin typeface="Arial Narrow" panose="020B0606020202030204" pitchFamily="34" charset="0"/>
                    <a:ea typeface="+mn-ea"/>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Dashboard!$C$3:$H$3</c:f>
              <c:numCache>
                <c:formatCode>General</c:formatCode>
                <c:ptCount val="6"/>
                <c:pt idx="0">
                  <c:v>2023</c:v>
                </c:pt>
                <c:pt idx="1">
                  <c:v>2024</c:v>
                </c:pt>
                <c:pt idx="2">
                  <c:v>2025</c:v>
                </c:pt>
                <c:pt idx="3">
                  <c:v>2026</c:v>
                </c:pt>
                <c:pt idx="4">
                  <c:v>2027</c:v>
                </c:pt>
                <c:pt idx="5">
                  <c:v>2028</c:v>
                </c:pt>
              </c:numCache>
            </c:numRef>
          </c:cat>
          <c:val>
            <c:numRef>
              <c:f>Dashboard!$C$6:$H$6</c:f>
              <c:numCache>
                <c:formatCode>General</c:formatCode>
                <c:ptCount val="6"/>
                <c:pt idx="2" formatCode="0.0">
                  <c:v>4.7199999977126668</c:v>
                </c:pt>
                <c:pt idx="3" formatCode="0.0">
                  <c:v>4.8361948568761974</c:v>
                </c:pt>
                <c:pt idx="4" formatCode="0.0">
                  <c:v>4.9480595338362239</c:v>
                </c:pt>
                <c:pt idx="5" formatCode="0.0">
                  <c:v>4.5504050890000993</c:v>
                </c:pt>
              </c:numCache>
            </c:numRef>
          </c:val>
          <c:smooth val="0"/>
          <c:extLst>
            <c:ext xmlns:c16="http://schemas.microsoft.com/office/drawing/2014/chart" uri="{C3380CC4-5D6E-409C-BE32-E72D297353CC}">
              <c16:uniqueId val="{00000005-1535-452F-AD64-9F60A4F0DECE}"/>
            </c:ext>
          </c:extLst>
        </c:ser>
        <c:ser>
          <c:idx val="1"/>
          <c:order val="3"/>
          <c:spPr>
            <a:ln w="19050" cap="rnd">
              <a:solidFill>
                <a:srgbClr val="FF0000"/>
              </a:solidFill>
              <a:prstDash val="sysDash"/>
              <a:round/>
            </a:ln>
            <a:effectLst/>
          </c:spPr>
          <c:marker>
            <c:symbol val="none"/>
          </c:marker>
          <c:cat>
            <c:numRef>
              <c:f>Dashboard!$C$3:$H$3</c:f>
              <c:numCache>
                <c:formatCode>General</c:formatCode>
                <c:ptCount val="6"/>
                <c:pt idx="0">
                  <c:v>2023</c:v>
                </c:pt>
                <c:pt idx="1">
                  <c:v>2024</c:v>
                </c:pt>
                <c:pt idx="2">
                  <c:v>2025</c:v>
                </c:pt>
                <c:pt idx="3">
                  <c:v>2026</c:v>
                </c:pt>
                <c:pt idx="4">
                  <c:v>2027</c:v>
                </c:pt>
                <c:pt idx="5">
                  <c:v>2028</c:v>
                </c:pt>
              </c:numCache>
            </c:numRef>
          </c:cat>
          <c:val>
            <c:numRef>
              <c:f>Dashboard!$C$8:$H$8</c:f>
              <c:numCache>
                <c:formatCode>General</c:formatCode>
                <c:ptCount val="6"/>
                <c:pt idx="0">
                  <c:v>3</c:v>
                </c:pt>
                <c:pt idx="1">
                  <c:v>3</c:v>
                </c:pt>
                <c:pt idx="2">
                  <c:v>3</c:v>
                </c:pt>
                <c:pt idx="3">
                  <c:v>3</c:v>
                </c:pt>
                <c:pt idx="4">
                  <c:v>3</c:v>
                </c:pt>
                <c:pt idx="5">
                  <c:v>3</c:v>
                </c:pt>
              </c:numCache>
            </c:numRef>
          </c:val>
          <c:smooth val="0"/>
          <c:extLst>
            <c:ext xmlns:c16="http://schemas.microsoft.com/office/drawing/2014/chart" uri="{C3380CC4-5D6E-409C-BE32-E72D297353CC}">
              <c16:uniqueId val="{00000006-1535-452F-AD64-9F60A4F0DECE}"/>
            </c:ext>
          </c:extLst>
        </c:ser>
        <c:dLbls>
          <c:showLegendKey val="0"/>
          <c:showVal val="0"/>
          <c:showCatName val="0"/>
          <c:showSerName val="0"/>
          <c:showPercent val="0"/>
          <c:showBubbleSize val="0"/>
        </c:dLbls>
        <c:marker val="1"/>
        <c:smooth val="0"/>
        <c:axId val="1291386143"/>
        <c:axId val="1379567903"/>
      </c:lineChart>
      <c:catAx>
        <c:axId val="1291386143"/>
        <c:scaling>
          <c:orientation val="minMax"/>
        </c:scaling>
        <c:delete val="0"/>
        <c:axPos val="b"/>
        <c:numFmt formatCode="General" sourceLinked="1"/>
        <c:majorTickMark val="none"/>
        <c:minorTickMark val="none"/>
        <c:tickLblPos val="low"/>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crossAx val="1379567903"/>
        <c:crosses val="autoZero"/>
        <c:auto val="1"/>
        <c:lblAlgn val="ctr"/>
        <c:lblOffset val="100"/>
        <c:noMultiLvlLbl val="0"/>
      </c:catAx>
      <c:valAx>
        <c:axId val="1379567903"/>
        <c:scaling>
          <c:orientation val="minMax"/>
        </c:scaling>
        <c:delete val="0"/>
        <c:axPos val="l"/>
        <c:majorGridlines>
          <c:spPr>
            <a:ln w="3175" cap="flat" cmpd="sng" algn="ctr">
              <a:solidFill>
                <a:sysClr val="window" lastClr="FFFFFF">
                  <a:lumMod val="50000"/>
                  <a:alpha val="25000"/>
                </a:sysClr>
              </a:solidFill>
              <a:prstDash val="sysDot"/>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crossAx val="1291386143"/>
        <c:crosses val="autoZero"/>
        <c:crossBetween val="between"/>
      </c:valAx>
      <c:spPr>
        <a:noFill/>
        <a:ln>
          <a:noFill/>
        </a:ln>
        <a:effectLst/>
      </c:spPr>
    </c:plotArea>
    <c:legend>
      <c:legendPos val="b"/>
      <c:legendEntry>
        <c:idx val="3"/>
        <c:delete val="1"/>
      </c:legendEntry>
      <c:layout>
        <c:manualLayout>
          <c:xMode val="edge"/>
          <c:yMode val="edge"/>
          <c:x val="3.0391826573204516E-3"/>
          <c:y val="0.84372414986588218"/>
          <c:w val="0.98733580772468221"/>
          <c:h val="0.1562758501341178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chemeClr val="tx1"/>
          </a:solidFill>
          <a:latin typeface="Arial Narrow" panose="020B0606020202030204" pitchFamily="34" charset="0"/>
        </a:defRPr>
      </a:pPr>
      <a:endParaRPr lang="sk-SK"/>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26C8B6-67D5-4477-8157-94807C3C43F5}" type="doc">
      <dgm:prSet loTypeId="urn:microsoft.com/office/officeart/2009/3/layout/IncreasingArrowsProcess" loCatId="process" qsTypeId="urn:microsoft.com/office/officeart/2005/8/quickstyle/simple1" qsCatId="simple" csTypeId="urn:microsoft.com/office/officeart/2005/8/colors/accent0_1" csCatId="mainScheme" phldr="1"/>
      <dgm:spPr/>
      <dgm:t>
        <a:bodyPr/>
        <a:lstStyle/>
        <a:p>
          <a:endParaRPr lang="sk-SK"/>
        </a:p>
      </dgm:t>
    </dgm:pt>
    <dgm:pt modelId="{7C447588-D1D9-48F0-A855-4DF98491BA55}">
      <dgm:prSet phldrT="[Text]" custT="1"/>
      <dgm:spPr/>
      <dgm:t>
        <a:bodyPr/>
        <a:lstStyle/>
        <a:p>
          <a:pPr algn="l"/>
          <a:r>
            <a:rPr lang="sk-SK" sz="800" b="1">
              <a:latin typeface="Arial Narrow" panose="020B0606020202030204" pitchFamily="34" charset="0"/>
            </a:rPr>
            <a:t>2005</a:t>
          </a:r>
        </a:p>
      </dgm:t>
    </dgm:pt>
    <dgm:pt modelId="{5BDA0965-6A90-4FE3-8ABB-4187E573D57D}" type="parTrans" cxnId="{C7D5EBC2-5D8F-483F-955A-B9AA76B0C522}">
      <dgm:prSet/>
      <dgm:spPr/>
      <dgm:t>
        <a:bodyPr/>
        <a:lstStyle/>
        <a:p>
          <a:pPr algn="l"/>
          <a:endParaRPr lang="sk-SK" sz="800">
            <a:latin typeface="Arial Narrow" panose="020B0606020202030204" pitchFamily="34" charset="0"/>
          </a:endParaRPr>
        </a:p>
      </dgm:t>
    </dgm:pt>
    <dgm:pt modelId="{088CAD7D-97F0-4286-A491-7CEF9B995146}" type="sibTrans" cxnId="{C7D5EBC2-5D8F-483F-955A-B9AA76B0C522}">
      <dgm:prSet/>
      <dgm:spPr/>
      <dgm:t>
        <a:bodyPr/>
        <a:lstStyle/>
        <a:p>
          <a:pPr algn="l"/>
          <a:endParaRPr lang="sk-SK" sz="800">
            <a:latin typeface="Arial Narrow" panose="020B0606020202030204" pitchFamily="34" charset="0"/>
          </a:endParaRPr>
        </a:p>
      </dgm:t>
    </dgm:pt>
    <dgm:pt modelId="{A1B30D5F-38C1-46B4-A524-AFE674450F41}">
      <dgm:prSet phldrT="[Text]" custT="1"/>
      <dgm:spPr/>
      <dgm:t>
        <a:bodyPr/>
        <a:lstStyle/>
        <a:p>
          <a:pPr algn="l"/>
          <a:r>
            <a:rPr lang="sk-SK" sz="700">
              <a:latin typeface="Arial Narrow" panose="020B0606020202030204" pitchFamily="34" charset="0"/>
            </a:rPr>
            <a:t>Zavedenie indikátora </a:t>
          </a:r>
          <a:r>
            <a:rPr lang="sk-SK" sz="700" b="1">
              <a:latin typeface="Arial Narrow" panose="020B0606020202030204" pitchFamily="34" charset="0"/>
            </a:rPr>
            <a:t>štrukturálneho salda</a:t>
          </a:r>
          <a:r>
            <a:rPr lang="sk-SK" sz="700">
              <a:latin typeface="Arial Narrow" panose="020B0606020202030204" pitchFamily="34" charset="0"/>
            </a:rPr>
            <a:t> a konceptu strednodobého rozpočtového cieľa (MTO)</a:t>
          </a:r>
        </a:p>
      </dgm:t>
    </dgm:pt>
    <dgm:pt modelId="{1E8D7853-EFB7-4072-8612-6369A9E86187}" type="parTrans" cxnId="{E0C61A5F-0410-425F-B380-1D12350BFDCF}">
      <dgm:prSet/>
      <dgm:spPr/>
      <dgm:t>
        <a:bodyPr/>
        <a:lstStyle/>
        <a:p>
          <a:pPr algn="l"/>
          <a:endParaRPr lang="sk-SK" sz="800">
            <a:latin typeface="Arial Narrow" panose="020B0606020202030204" pitchFamily="34" charset="0"/>
          </a:endParaRPr>
        </a:p>
      </dgm:t>
    </dgm:pt>
    <dgm:pt modelId="{3767E574-1E45-4632-9B12-DEA8A1B4A481}" type="sibTrans" cxnId="{E0C61A5F-0410-425F-B380-1D12350BFDCF}">
      <dgm:prSet/>
      <dgm:spPr/>
      <dgm:t>
        <a:bodyPr/>
        <a:lstStyle/>
        <a:p>
          <a:pPr algn="l"/>
          <a:endParaRPr lang="sk-SK" sz="800">
            <a:latin typeface="Arial Narrow" panose="020B0606020202030204" pitchFamily="34" charset="0"/>
          </a:endParaRPr>
        </a:p>
      </dgm:t>
    </dgm:pt>
    <dgm:pt modelId="{B0798106-1F4E-4556-AF55-3B08C82EB691}">
      <dgm:prSet phldrT="[Text]" custT="1"/>
      <dgm:spPr/>
      <dgm:t>
        <a:bodyPr/>
        <a:lstStyle/>
        <a:p>
          <a:pPr algn="l"/>
          <a:r>
            <a:rPr lang="sk-SK" sz="800" b="1">
              <a:latin typeface="Arial Narrow" panose="020B0606020202030204" pitchFamily="34" charset="0"/>
            </a:rPr>
            <a:t>2011</a:t>
          </a:r>
        </a:p>
      </dgm:t>
    </dgm:pt>
    <dgm:pt modelId="{42EB7C59-BAEC-41B2-B2C1-E610D1CC611E}" type="parTrans" cxnId="{6EE96AEF-B9D4-4803-9F47-5DACAF827E1C}">
      <dgm:prSet/>
      <dgm:spPr/>
      <dgm:t>
        <a:bodyPr/>
        <a:lstStyle/>
        <a:p>
          <a:pPr algn="l"/>
          <a:endParaRPr lang="sk-SK" sz="800">
            <a:latin typeface="Arial Narrow" panose="020B0606020202030204" pitchFamily="34" charset="0"/>
          </a:endParaRPr>
        </a:p>
      </dgm:t>
    </dgm:pt>
    <dgm:pt modelId="{4FAE48DA-42BD-4DD1-B6F0-7A87F48CF8A6}" type="sibTrans" cxnId="{6EE96AEF-B9D4-4803-9F47-5DACAF827E1C}">
      <dgm:prSet/>
      <dgm:spPr/>
      <dgm:t>
        <a:bodyPr/>
        <a:lstStyle/>
        <a:p>
          <a:pPr algn="l"/>
          <a:endParaRPr lang="sk-SK" sz="800">
            <a:latin typeface="Arial Narrow" panose="020B0606020202030204" pitchFamily="34" charset="0"/>
          </a:endParaRPr>
        </a:p>
      </dgm:t>
    </dgm:pt>
    <dgm:pt modelId="{4D6B5BC0-47FB-4A27-93BD-BBC8A9F13C11}">
      <dgm:prSet phldrT="[Text]" custT="1"/>
      <dgm:spPr/>
      <dgm:t>
        <a:bodyPr/>
        <a:lstStyle/>
        <a:p>
          <a:pPr algn="l"/>
          <a:r>
            <a:rPr lang="sk-SK" sz="700">
              <a:latin typeface="Arial Narrow" panose="020B0606020202030204" pitchFamily="34" charset="0"/>
            </a:rPr>
            <a:t>Six-Pack implementuje </a:t>
          </a:r>
          <a:r>
            <a:rPr lang="sk-SK" sz="700" b="1">
              <a:latin typeface="Arial Narrow" panose="020B0606020202030204" pitchFamily="34" charset="0"/>
            </a:rPr>
            <a:t>výdavkové pravidlo </a:t>
          </a:r>
          <a:r>
            <a:rPr lang="sk-SK" sz="700">
              <a:latin typeface="Arial Narrow" panose="020B0606020202030204" pitchFamily="34" charset="0"/>
            </a:rPr>
            <a:t>a </a:t>
          </a:r>
          <a:r>
            <a:rPr lang="sk-SK" sz="700" b="1">
              <a:latin typeface="Arial Narrow" panose="020B0606020202030204" pitchFamily="34" charset="0"/>
            </a:rPr>
            <a:t>dlhové pravidlo 1/20</a:t>
          </a:r>
          <a:r>
            <a:rPr lang="sk-SK" sz="700">
              <a:latin typeface="Arial Narrow" panose="020B0606020202030204" pitchFamily="34" charset="0"/>
            </a:rPr>
            <a:t>*</a:t>
          </a:r>
        </a:p>
      </dgm:t>
    </dgm:pt>
    <dgm:pt modelId="{2F7C1A88-662F-4ABF-BA6B-5627B28843D3}" type="parTrans" cxnId="{C38F4F46-AAB8-4A88-8FA2-AF533C8E5E87}">
      <dgm:prSet/>
      <dgm:spPr/>
      <dgm:t>
        <a:bodyPr/>
        <a:lstStyle/>
        <a:p>
          <a:pPr algn="l"/>
          <a:endParaRPr lang="sk-SK" sz="800">
            <a:latin typeface="Arial Narrow" panose="020B0606020202030204" pitchFamily="34" charset="0"/>
          </a:endParaRPr>
        </a:p>
      </dgm:t>
    </dgm:pt>
    <dgm:pt modelId="{9C4A8251-76CB-4C15-95CF-374371C53C76}" type="sibTrans" cxnId="{C38F4F46-AAB8-4A88-8FA2-AF533C8E5E87}">
      <dgm:prSet/>
      <dgm:spPr/>
      <dgm:t>
        <a:bodyPr/>
        <a:lstStyle/>
        <a:p>
          <a:pPr algn="l"/>
          <a:endParaRPr lang="sk-SK" sz="800">
            <a:latin typeface="Arial Narrow" panose="020B0606020202030204" pitchFamily="34" charset="0"/>
          </a:endParaRPr>
        </a:p>
      </dgm:t>
    </dgm:pt>
    <dgm:pt modelId="{5E13D621-0632-4906-A902-1545FE9DBC28}">
      <dgm:prSet phldrT="[Text]" custT="1"/>
      <dgm:spPr/>
      <dgm:t>
        <a:bodyPr/>
        <a:lstStyle/>
        <a:p>
          <a:pPr algn="l"/>
          <a:r>
            <a:rPr lang="sk-SK" sz="800" b="1">
              <a:latin typeface="Arial Narrow" panose="020B0606020202030204" pitchFamily="34" charset="0"/>
            </a:rPr>
            <a:t>2012</a:t>
          </a:r>
        </a:p>
      </dgm:t>
    </dgm:pt>
    <dgm:pt modelId="{796B652A-C1EB-4C2C-AB1E-082CFD9622EB}" type="parTrans" cxnId="{4A9C2CEE-F68E-4DB5-B9CC-2387AA9B4730}">
      <dgm:prSet/>
      <dgm:spPr/>
      <dgm:t>
        <a:bodyPr/>
        <a:lstStyle/>
        <a:p>
          <a:pPr algn="l"/>
          <a:endParaRPr lang="sk-SK"/>
        </a:p>
      </dgm:t>
    </dgm:pt>
    <dgm:pt modelId="{70DAF0A6-8B2E-47A6-91AC-FB20664466C8}" type="sibTrans" cxnId="{4A9C2CEE-F68E-4DB5-B9CC-2387AA9B4730}">
      <dgm:prSet/>
      <dgm:spPr/>
      <dgm:t>
        <a:bodyPr/>
        <a:lstStyle/>
        <a:p>
          <a:pPr algn="l"/>
          <a:endParaRPr lang="sk-SK"/>
        </a:p>
      </dgm:t>
    </dgm:pt>
    <dgm:pt modelId="{51F8E01D-B721-4573-B8B4-C8B8D9EB03BA}">
      <dgm:prSet phldrT="[Text]" custT="1"/>
      <dgm:spPr/>
      <dgm:t>
        <a:bodyPr/>
        <a:lstStyle/>
        <a:p>
          <a:pPr algn="l"/>
          <a:r>
            <a:rPr lang="sk-SK" sz="700">
              <a:latin typeface="Arial Narrow" panose="020B0606020202030204" pitchFamily="34" charset="0"/>
            </a:rPr>
            <a:t>Fiškálny kompakt zavádza </a:t>
          </a:r>
          <a:r>
            <a:rPr lang="sk-SK" sz="700" b="1">
              <a:latin typeface="Arial Narrow" panose="020B0606020202030204" pitchFamily="34" charset="0"/>
            </a:rPr>
            <a:t>pravidlo vyrovnaného rozpočtu</a:t>
          </a:r>
        </a:p>
      </dgm:t>
    </dgm:pt>
    <dgm:pt modelId="{204F4463-2DB6-4800-87BB-E0D0E3481B6C}" type="parTrans" cxnId="{55D5D73B-A136-42B9-88F4-3971A868E8C2}">
      <dgm:prSet/>
      <dgm:spPr/>
      <dgm:t>
        <a:bodyPr/>
        <a:lstStyle/>
        <a:p>
          <a:pPr algn="l"/>
          <a:endParaRPr lang="sk-SK"/>
        </a:p>
      </dgm:t>
    </dgm:pt>
    <dgm:pt modelId="{7390FD2B-59AB-4643-9AC0-A009282F5ACC}" type="sibTrans" cxnId="{55D5D73B-A136-42B9-88F4-3971A868E8C2}">
      <dgm:prSet/>
      <dgm:spPr/>
      <dgm:t>
        <a:bodyPr/>
        <a:lstStyle/>
        <a:p>
          <a:pPr algn="l"/>
          <a:endParaRPr lang="sk-SK"/>
        </a:p>
      </dgm:t>
    </dgm:pt>
    <dgm:pt modelId="{A2CD1C26-55B1-4BBB-9B20-81F95E960121}">
      <dgm:prSet phldrT="[Text]" custT="1"/>
      <dgm:spPr/>
      <dgm:t>
        <a:bodyPr/>
        <a:lstStyle/>
        <a:p>
          <a:pPr algn="l"/>
          <a:r>
            <a:rPr lang="sk-SK" sz="700">
              <a:latin typeface="Arial Narrow" panose="020B0606020202030204" pitchFamily="34" charset="0"/>
            </a:rPr>
            <a:t>Two Pack posilňuje dohľad nad rozpočtovým procesom</a:t>
          </a:r>
        </a:p>
      </dgm:t>
    </dgm:pt>
    <dgm:pt modelId="{FAC7D8E9-B4CC-4269-8D65-8E2B57527C17}" type="parTrans" cxnId="{824B4F20-B5E9-4CC0-85E3-A45112FBE4FE}">
      <dgm:prSet/>
      <dgm:spPr/>
      <dgm:t>
        <a:bodyPr/>
        <a:lstStyle/>
        <a:p>
          <a:pPr algn="l"/>
          <a:endParaRPr lang="sk-SK"/>
        </a:p>
      </dgm:t>
    </dgm:pt>
    <dgm:pt modelId="{31B217C8-8294-4C32-A1BA-74361A696246}" type="sibTrans" cxnId="{824B4F20-B5E9-4CC0-85E3-A45112FBE4FE}">
      <dgm:prSet/>
      <dgm:spPr/>
      <dgm:t>
        <a:bodyPr/>
        <a:lstStyle/>
        <a:p>
          <a:pPr algn="l"/>
          <a:endParaRPr lang="sk-SK"/>
        </a:p>
      </dgm:t>
    </dgm:pt>
    <dgm:pt modelId="{43B04057-BEC7-427D-8726-DB21C07E7B0B}">
      <dgm:prSet phldrT="[Text]" custT="1"/>
      <dgm:spPr/>
      <dgm:t>
        <a:bodyPr/>
        <a:lstStyle/>
        <a:p>
          <a:pPr algn="l"/>
          <a:r>
            <a:rPr lang="sk-SK" sz="800" b="1">
              <a:latin typeface="Arial Narrow" panose="020B0606020202030204" pitchFamily="34" charset="0"/>
            </a:rPr>
            <a:t>2013</a:t>
          </a:r>
        </a:p>
      </dgm:t>
    </dgm:pt>
    <dgm:pt modelId="{39A22F09-6E62-4EF0-AC09-1E7858524ED8}" type="parTrans" cxnId="{1B08E544-FA15-4A1E-BD88-632FEE0E3C71}">
      <dgm:prSet/>
      <dgm:spPr/>
      <dgm:t>
        <a:bodyPr/>
        <a:lstStyle/>
        <a:p>
          <a:pPr algn="l"/>
          <a:endParaRPr lang="sk-SK"/>
        </a:p>
      </dgm:t>
    </dgm:pt>
    <dgm:pt modelId="{89BAEF72-C8F8-469E-BE0F-57FD27C0F935}" type="sibTrans" cxnId="{1B08E544-FA15-4A1E-BD88-632FEE0E3C71}">
      <dgm:prSet/>
      <dgm:spPr/>
      <dgm:t>
        <a:bodyPr/>
        <a:lstStyle/>
        <a:p>
          <a:pPr algn="l"/>
          <a:endParaRPr lang="sk-SK"/>
        </a:p>
      </dgm:t>
    </dgm:pt>
    <dgm:pt modelId="{73ABE308-6DCE-401C-89EF-FE38E10477BC}">
      <dgm:prSet phldrT="[Text]" custT="1"/>
      <dgm:spPr/>
      <dgm:t>
        <a:bodyPr/>
        <a:lstStyle/>
        <a:p>
          <a:pPr algn="l"/>
          <a:r>
            <a:rPr lang="sk-SK" sz="800" b="1">
              <a:latin typeface="Arial Narrow" panose="020B0606020202030204" pitchFamily="34" charset="0"/>
            </a:rPr>
            <a:t>1997</a:t>
          </a:r>
        </a:p>
      </dgm:t>
    </dgm:pt>
    <dgm:pt modelId="{46CBC300-EC7A-44B5-835E-9006E0C7FD06}" type="sibTrans" cxnId="{EC0B6FD5-6D10-4759-A8E6-5F9E348AD1A6}">
      <dgm:prSet/>
      <dgm:spPr/>
      <dgm:t>
        <a:bodyPr/>
        <a:lstStyle/>
        <a:p>
          <a:pPr algn="l"/>
          <a:endParaRPr lang="sk-SK" sz="800">
            <a:latin typeface="Arial Narrow" panose="020B0606020202030204" pitchFamily="34" charset="0"/>
          </a:endParaRPr>
        </a:p>
      </dgm:t>
    </dgm:pt>
    <dgm:pt modelId="{D4A25EB1-1455-4251-9594-8C2F53E91DA4}" type="parTrans" cxnId="{EC0B6FD5-6D10-4759-A8E6-5F9E348AD1A6}">
      <dgm:prSet/>
      <dgm:spPr/>
      <dgm:t>
        <a:bodyPr/>
        <a:lstStyle/>
        <a:p>
          <a:pPr algn="l"/>
          <a:endParaRPr lang="sk-SK" sz="800">
            <a:latin typeface="Arial Narrow" panose="020B0606020202030204" pitchFamily="34" charset="0"/>
          </a:endParaRPr>
        </a:p>
      </dgm:t>
    </dgm:pt>
    <dgm:pt modelId="{C5D3A145-116A-42B2-B5DE-6706410DEC42}">
      <dgm:prSet phldrT="[Text]" custT="1"/>
      <dgm:spPr/>
      <dgm:t>
        <a:bodyPr/>
        <a:lstStyle/>
        <a:p>
          <a:pPr algn="l"/>
          <a:r>
            <a:rPr lang="sk-SK" sz="700">
              <a:latin typeface="Arial Narrow" panose="020B0606020202030204" pitchFamily="34" charset="0"/>
            </a:rPr>
            <a:t>Pravidlá </a:t>
          </a:r>
          <a:r>
            <a:rPr lang="sk-SK" sz="700" b="1">
              <a:latin typeface="Arial Narrow" panose="020B0606020202030204" pitchFamily="34" charset="0"/>
            </a:rPr>
            <a:t>deficitu </a:t>
          </a:r>
          <a:r>
            <a:rPr lang="sk-SK" sz="700">
              <a:latin typeface="Arial Narrow" panose="020B0606020202030204" pitchFamily="34" charset="0"/>
            </a:rPr>
            <a:t>a </a:t>
          </a:r>
          <a:r>
            <a:rPr lang="sk-SK" sz="700" b="1">
              <a:latin typeface="Arial Narrow" panose="020B0606020202030204" pitchFamily="34" charset="0"/>
            </a:rPr>
            <a:t>dlhu </a:t>
          </a:r>
          <a:r>
            <a:rPr lang="sk-SK" sz="700">
              <a:latin typeface="Arial Narrow" panose="020B0606020202030204" pitchFamily="34" charset="0"/>
            </a:rPr>
            <a:t>definované v Pakte stability a rastu</a:t>
          </a:r>
        </a:p>
      </dgm:t>
    </dgm:pt>
    <dgm:pt modelId="{730F9747-8F6E-47B6-850A-5A42067B7A06}" type="sibTrans" cxnId="{8596C87D-3FF7-4D50-A26A-CAF3D9DFD991}">
      <dgm:prSet/>
      <dgm:spPr/>
      <dgm:t>
        <a:bodyPr/>
        <a:lstStyle/>
        <a:p>
          <a:pPr algn="l"/>
          <a:endParaRPr lang="sk-SK" sz="800">
            <a:latin typeface="Arial Narrow" panose="020B0606020202030204" pitchFamily="34" charset="0"/>
          </a:endParaRPr>
        </a:p>
      </dgm:t>
    </dgm:pt>
    <dgm:pt modelId="{52AB3A7F-37D0-44D5-BF74-AA9CE2984494}" type="parTrans" cxnId="{8596C87D-3FF7-4D50-A26A-CAF3D9DFD991}">
      <dgm:prSet/>
      <dgm:spPr/>
      <dgm:t>
        <a:bodyPr/>
        <a:lstStyle/>
        <a:p>
          <a:pPr algn="l"/>
          <a:endParaRPr lang="sk-SK" sz="800">
            <a:latin typeface="Arial Narrow" panose="020B0606020202030204" pitchFamily="34" charset="0"/>
          </a:endParaRPr>
        </a:p>
      </dgm:t>
    </dgm:pt>
    <dgm:pt modelId="{6B8F846B-DFCF-4FDE-9364-2E91A127EB98}" type="pres">
      <dgm:prSet presAssocID="{3C26C8B6-67D5-4477-8157-94807C3C43F5}" presName="Name0" presStyleCnt="0">
        <dgm:presLayoutVars>
          <dgm:chMax val="5"/>
          <dgm:chPref val="5"/>
          <dgm:dir/>
          <dgm:animLvl val="lvl"/>
        </dgm:presLayoutVars>
      </dgm:prSet>
      <dgm:spPr/>
      <dgm:t>
        <a:bodyPr/>
        <a:lstStyle/>
        <a:p>
          <a:endParaRPr lang="sk-SK"/>
        </a:p>
      </dgm:t>
    </dgm:pt>
    <dgm:pt modelId="{1E7106B1-1383-40B9-BBBA-E06F20002249}" type="pres">
      <dgm:prSet presAssocID="{73ABE308-6DCE-401C-89EF-FE38E10477BC}" presName="parentText1" presStyleLbl="node1" presStyleIdx="0" presStyleCnt="5" custLinFactNeighborX="-48622">
        <dgm:presLayoutVars>
          <dgm:chMax/>
          <dgm:chPref val="3"/>
          <dgm:bulletEnabled val="1"/>
        </dgm:presLayoutVars>
      </dgm:prSet>
      <dgm:spPr/>
      <dgm:t>
        <a:bodyPr/>
        <a:lstStyle/>
        <a:p>
          <a:endParaRPr lang="sk-SK"/>
        </a:p>
      </dgm:t>
    </dgm:pt>
    <dgm:pt modelId="{58BF0780-B80D-4ED7-ADDE-4716B7500ED1}" type="pres">
      <dgm:prSet presAssocID="{73ABE308-6DCE-401C-89EF-FE38E10477BC}" presName="childText1" presStyleLbl="solidAlignAcc1" presStyleIdx="0" presStyleCnt="5" custScaleX="129674" custScaleY="105452" custLinFactX="-100000" custLinFactNeighborX="-143976" custLinFactNeighborY="1878">
        <dgm:presLayoutVars>
          <dgm:chMax val="0"/>
          <dgm:chPref val="0"/>
          <dgm:bulletEnabled val="1"/>
        </dgm:presLayoutVars>
      </dgm:prSet>
      <dgm:spPr/>
      <dgm:t>
        <a:bodyPr/>
        <a:lstStyle/>
        <a:p>
          <a:endParaRPr lang="sk-SK"/>
        </a:p>
      </dgm:t>
    </dgm:pt>
    <dgm:pt modelId="{87E11A21-836A-42AA-A4B8-1E5BD73714DD}" type="pres">
      <dgm:prSet presAssocID="{7C447588-D1D9-48F0-A855-4DF98491BA55}" presName="parentText2" presStyleLbl="node1" presStyleIdx="1" presStyleCnt="5" custScaleX="101448" custLinFactNeighborX="-48992" custLinFactNeighborY="-18764">
        <dgm:presLayoutVars>
          <dgm:chMax/>
          <dgm:chPref val="3"/>
          <dgm:bulletEnabled val="1"/>
        </dgm:presLayoutVars>
      </dgm:prSet>
      <dgm:spPr/>
      <dgm:t>
        <a:bodyPr/>
        <a:lstStyle/>
        <a:p>
          <a:endParaRPr lang="sk-SK"/>
        </a:p>
      </dgm:t>
    </dgm:pt>
    <dgm:pt modelId="{B7A9EFB8-6C10-4809-938D-82D8F4C1D3C0}" type="pres">
      <dgm:prSet presAssocID="{7C447588-D1D9-48F0-A855-4DF98491BA55}" presName="childText2" presStyleLbl="solidAlignAcc1" presStyleIdx="1" presStyleCnt="5" custScaleX="143583" custScaleY="110511" custLinFactX="-92249" custLinFactNeighborX="-100000" custLinFactNeighborY="-6268">
        <dgm:presLayoutVars>
          <dgm:chMax val="0"/>
          <dgm:chPref val="0"/>
          <dgm:bulletEnabled val="1"/>
        </dgm:presLayoutVars>
      </dgm:prSet>
      <dgm:spPr/>
      <dgm:t>
        <a:bodyPr/>
        <a:lstStyle/>
        <a:p>
          <a:endParaRPr lang="sk-SK"/>
        </a:p>
      </dgm:t>
    </dgm:pt>
    <dgm:pt modelId="{3FB3BC4E-13E9-49AB-A374-0585E4434E77}" type="pres">
      <dgm:prSet presAssocID="{B0798106-1F4E-4556-AF55-3B08C82EB691}" presName="parentText3" presStyleLbl="node1" presStyleIdx="2" presStyleCnt="5" custScaleX="97496" custLinFactNeighborX="-47830" custLinFactNeighborY="-39631">
        <dgm:presLayoutVars>
          <dgm:chMax/>
          <dgm:chPref val="3"/>
          <dgm:bulletEnabled val="1"/>
        </dgm:presLayoutVars>
      </dgm:prSet>
      <dgm:spPr/>
      <dgm:t>
        <a:bodyPr/>
        <a:lstStyle/>
        <a:p>
          <a:endParaRPr lang="sk-SK"/>
        </a:p>
      </dgm:t>
    </dgm:pt>
    <dgm:pt modelId="{37832732-A451-48AA-8A56-AE7DD7B5F970}" type="pres">
      <dgm:prSet presAssocID="{B0798106-1F4E-4556-AF55-3B08C82EB691}" presName="childText3" presStyleLbl="solidAlignAcc1" presStyleIdx="2" presStyleCnt="5" custScaleX="128302" custScaleY="96919" custLinFactX="-41469" custLinFactNeighborX="-100000" custLinFactNeighborY="-23848">
        <dgm:presLayoutVars>
          <dgm:chMax val="0"/>
          <dgm:chPref val="0"/>
          <dgm:bulletEnabled val="1"/>
        </dgm:presLayoutVars>
      </dgm:prSet>
      <dgm:spPr/>
      <dgm:t>
        <a:bodyPr/>
        <a:lstStyle/>
        <a:p>
          <a:endParaRPr lang="sk-SK"/>
        </a:p>
      </dgm:t>
    </dgm:pt>
    <dgm:pt modelId="{BA639CA4-82BB-44E9-9FBC-4527358DF61F}" type="pres">
      <dgm:prSet presAssocID="{5E13D621-0632-4906-A902-1545FE9DBC28}" presName="parentText4" presStyleLbl="node1" presStyleIdx="3" presStyleCnt="5" custLinFactNeighborX="-49559" custLinFactNeighborY="-56294">
        <dgm:presLayoutVars>
          <dgm:chMax/>
          <dgm:chPref val="3"/>
          <dgm:bulletEnabled val="1"/>
        </dgm:presLayoutVars>
      </dgm:prSet>
      <dgm:spPr/>
      <dgm:t>
        <a:bodyPr/>
        <a:lstStyle/>
        <a:p>
          <a:endParaRPr lang="sk-SK"/>
        </a:p>
      </dgm:t>
    </dgm:pt>
    <dgm:pt modelId="{37DDE91A-B7B0-4080-A296-F1AEE7E16691}" type="pres">
      <dgm:prSet presAssocID="{5E13D621-0632-4906-A902-1545FE9DBC28}" presName="childText4" presStyleLbl="solidAlignAcc1" presStyleIdx="3" presStyleCnt="5" custScaleX="117369" custScaleY="94440" custLinFactX="-11210" custLinFactNeighborX="-100000" custLinFactNeighborY="-33902">
        <dgm:presLayoutVars>
          <dgm:chMax val="0"/>
          <dgm:chPref val="0"/>
          <dgm:bulletEnabled val="1"/>
        </dgm:presLayoutVars>
      </dgm:prSet>
      <dgm:spPr/>
      <dgm:t>
        <a:bodyPr/>
        <a:lstStyle/>
        <a:p>
          <a:endParaRPr lang="sk-SK"/>
        </a:p>
      </dgm:t>
    </dgm:pt>
    <dgm:pt modelId="{3D41A64E-F240-4AEB-99F6-EAAD789C8FE2}" type="pres">
      <dgm:prSet presAssocID="{43B04057-BEC7-427D-8726-DB21C07E7B0B}" presName="parentText5" presStyleLbl="node1" presStyleIdx="4" presStyleCnt="5" custScaleX="119200" custLinFactNeighborX="-58441" custLinFactNeighborY="-75059">
        <dgm:presLayoutVars>
          <dgm:chMax/>
          <dgm:chPref val="3"/>
          <dgm:bulletEnabled val="1"/>
        </dgm:presLayoutVars>
      </dgm:prSet>
      <dgm:spPr/>
      <dgm:t>
        <a:bodyPr/>
        <a:lstStyle/>
        <a:p>
          <a:endParaRPr lang="sk-SK"/>
        </a:p>
      </dgm:t>
    </dgm:pt>
    <dgm:pt modelId="{139B0F2F-32EE-40B7-B5DB-3E0EA2AA6FDA}" type="pres">
      <dgm:prSet presAssocID="{43B04057-BEC7-427D-8726-DB21C07E7B0B}" presName="childText5" presStyleLbl="solidAlignAcc1" presStyleIdx="4" presStyleCnt="5" custScaleX="112432" custScaleY="86765" custLinFactNeighborX="-86437" custLinFactNeighborY="-48226">
        <dgm:presLayoutVars>
          <dgm:chMax val="0"/>
          <dgm:chPref val="0"/>
          <dgm:bulletEnabled val="1"/>
        </dgm:presLayoutVars>
      </dgm:prSet>
      <dgm:spPr/>
      <dgm:t>
        <a:bodyPr/>
        <a:lstStyle/>
        <a:p>
          <a:endParaRPr lang="sk-SK"/>
        </a:p>
      </dgm:t>
    </dgm:pt>
  </dgm:ptLst>
  <dgm:cxnLst>
    <dgm:cxn modelId="{79E55104-F4E1-48D3-A113-9D5E264EB77C}" type="presOf" srcId="{51F8E01D-B721-4573-B8B4-C8B8D9EB03BA}" destId="{37DDE91A-B7B0-4080-A296-F1AEE7E16691}" srcOrd="0" destOrd="0" presId="urn:microsoft.com/office/officeart/2009/3/layout/IncreasingArrowsProcess"/>
    <dgm:cxn modelId="{F773DAC3-0ED2-4C18-BD7A-C3EA4B2A332D}" type="presOf" srcId="{4D6B5BC0-47FB-4A27-93BD-BBC8A9F13C11}" destId="{37832732-A451-48AA-8A56-AE7DD7B5F970}" srcOrd="0" destOrd="0" presId="urn:microsoft.com/office/officeart/2009/3/layout/IncreasingArrowsProcess"/>
    <dgm:cxn modelId="{4A9C2CEE-F68E-4DB5-B9CC-2387AA9B4730}" srcId="{3C26C8B6-67D5-4477-8157-94807C3C43F5}" destId="{5E13D621-0632-4906-A902-1545FE9DBC28}" srcOrd="3" destOrd="0" parTransId="{796B652A-C1EB-4C2C-AB1E-082CFD9622EB}" sibTransId="{70DAF0A6-8B2E-47A6-91AC-FB20664466C8}"/>
    <dgm:cxn modelId="{FD817900-E50B-49E8-92E1-86EED2FC820F}" type="presOf" srcId="{43B04057-BEC7-427D-8726-DB21C07E7B0B}" destId="{3D41A64E-F240-4AEB-99F6-EAAD789C8FE2}" srcOrd="0" destOrd="0" presId="urn:microsoft.com/office/officeart/2009/3/layout/IncreasingArrowsProcess"/>
    <dgm:cxn modelId="{A6779B3B-9E76-427C-AC64-FC339F0A5ACD}" type="presOf" srcId="{B0798106-1F4E-4556-AF55-3B08C82EB691}" destId="{3FB3BC4E-13E9-49AB-A374-0585E4434E77}" srcOrd="0" destOrd="0" presId="urn:microsoft.com/office/officeart/2009/3/layout/IncreasingArrowsProcess"/>
    <dgm:cxn modelId="{C7D5EBC2-5D8F-483F-955A-B9AA76B0C522}" srcId="{3C26C8B6-67D5-4477-8157-94807C3C43F5}" destId="{7C447588-D1D9-48F0-A855-4DF98491BA55}" srcOrd="1" destOrd="0" parTransId="{5BDA0965-6A90-4FE3-8ABB-4187E573D57D}" sibTransId="{088CAD7D-97F0-4286-A491-7CEF9B995146}"/>
    <dgm:cxn modelId="{55D5D73B-A136-42B9-88F4-3971A868E8C2}" srcId="{5E13D621-0632-4906-A902-1545FE9DBC28}" destId="{51F8E01D-B721-4573-B8B4-C8B8D9EB03BA}" srcOrd="0" destOrd="0" parTransId="{204F4463-2DB6-4800-87BB-E0D0E3481B6C}" sibTransId="{7390FD2B-59AB-4643-9AC0-A009282F5ACC}"/>
    <dgm:cxn modelId="{FCDD7EC7-77BC-47F0-A36E-5BA7EB4462EC}" type="presOf" srcId="{3C26C8B6-67D5-4477-8157-94807C3C43F5}" destId="{6B8F846B-DFCF-4FDE-9364-2E91A127EB98}" srcOrd="0" destOrd="0" presId="urn:microsoft.com/office/officeart/2009/3/layout/IncreasingArrowsProcess"/>
    <dgm:cxn modelId="{15054356-322F-4EB8-9204-A5DDD7D88FB1}" type="presOf" srcId="{7C447588-D1D9-48F0-A855-4DF98491BA55}" destId="{87E11A21-836A-42AA-A4B8-1E5BD73714DD}" srcOrd="0" destOrd="0" presId="urn:microsoft.com/office/officeart/2009/3/layout/IncreasingArrowsProcess"/>
    <dgm:cxn modelId="{B245A682-FA5F-46C0-A57D-6ED620028B0B}" type="presOf" srcId="{A1B30D5F-38C1-46B4-A524-AFE674450F41}" destId="{B7A9EFB8-6C10-4809-938D-82D8F4C1D3C0}" srcOrd="0" destOrd="0" presId="urn:microsoft.com/office/officeart/2009/3/layout/IncreasingArrowsProcess"/>
    <dgm:cxn modelId="{1B08E544-FA15-4A1E-BD88-632FEE0E3C71}" srcId="{3C26C8B6-67D5-4477-8157-94807C3C43F5}" destId="{43B04057-BEC7-427D-8726-DB21C07E7B0B}" srcOrd="4" destOrd="0" parTransId="{39A22F09-6E62-4EF0-AC09-1E7858524ED8}" sibTransId="{89BAEF72-C8F8-469E-BE0F-57FD27C0F935}"/>
    <dgm:cxn modelId="{E0C61A5F-0410-425F-B380-1D12350BFDCF}" srcId="{7C447588-D1D9-48F0-A855-4DF98491BA55}" destId="{A1B30D5F-38C1-46B4-A524-AFE674450F41}" srcOrd="0" destOrd="0" parTransId="{1E8D7853-EFB7-4072-8612-6369A9E86187}" sibTransId="{3767E574-1E45-4632-9B12-DEA8A1B4A481}"/>
    <dgm:cxn modelId="{A4F8D153-561C-4C85-A6DC-B996D0A9694B}" type="presOf" srcId="{73ABE308-6DCE-401C-89EF-FE38E10477BC}" destId="{1E7106B1-1383-40B9-BBBA-E06F20002249}" srcOrd="0" destOrd="0" presId="urn:microsoft.com/office/officeart/2009/3/layout/IncreasingArrowsProcess"/>
    <dgm:cxn modelId="{B6B7984A-25B2-4858-8A84-2E5F965A882D}" type="presOf" srcId="{A2CD1C26-55B1-4BBB-9B20-81F95E960121}" destId="{139B0F2F-32EE-40B7-B5DB-3E0EA2AA6FDA}" srcOrd="0" destOrd="0" presId="urn:microsoft.com/office/officeart/2009/3/layout/IncreasingArrowsProcess"/>
    <dgm:cxn modelId="{8596C87D-3FF7-4D50-A26A-CAF3D9DFD991}" srcId="{73ABE308-6DCE-401C-89EF-FE38E10477BC}" destId="{C5D3A145-116A-42B2-B5DE-6706410DEC42}" srcOrd="0" destOrd="0" parTransId="{52AB3A7F-37D0-44D5-BF74-AA9CE2984494}" sibTransId="{730F9747-8F6E-47B6-850A-5A42067B7A06}"/>
    <dgm:cxn modelId="{6EE96AEF-B9D4-4803-9F47-5DACAF827E1C}" srcId="{3C26C8B6-67D5-4477-8157-94807C3C43F5}" destId="{B0798106-1F4E-4556-AF55-3B08C82EB691}" srcOrd="2" destOrd="0" parTransId="{42EB7C59-BAEC-41B2-B2C1-E610D1CC611E}" sibTransId="{4FAE48DA-42BD-4DD1-B6F0-7A87F48CF8A6}"/>
    <dgm:cxn modelId="{824B4F20-B5E9-4CC0-85E3-A45112FBE4FE}" srcId="{43B04057-BEC7-427D-8726-DB21C07E7B0B}" destId="{A2CD1C26-55B1-4BBB-9B20-81F95E960121}" srcOrd="0" destOrd="0" parTransId="{FAC7D8E9-B4CC-4269-8D65-8E2B57527C17}" sibTransId="{31B217C8-8294-4C32-A1BA-74361A696246}"/>
    <dgm:cxn modelId="{EC0B6FD5-6D10-4759-A8E6-5F9E348AD1A6}" srcId="{3C26C8B6-67D5-4477-8157-94807C3C43F5}" destId="{73ABE308-6DCE-401C-89EF-FE38E10477BC}" srcOrd="0" destOrd="0" parTransId="{D4A25EB1-1455-4251-9594-8C2F53E91DA4}" sibTransId="{46CBC300-EC7A-44B5-835E-9006E0C7FD06}"/>
    <dgm:cxn modelId="{24E420FD-4264-4070-9853-809F8459A52D}" type="presOf" srcId="{C5D3A145-116A-42B2-B5DE-6706410DEC42}" destId="{58BF0780-B80D-4ED7-ADDE-4716B7500ED1}" srcOrd="0" destOrd="0" presId="urn:microsoft.com/office/officeart/2009/3/layout/IncreasingArrowsProcess"/>
    <dgm:cxn modelId="{E9B9F9F3-5147-441A-8936-8120C5CEB8B5}" type="presOf" srcId="{5E13D621-0632-4906-A902-1545FE9DBC28}" destId="{BA639CA4-82BB-44E9-9FBC-4527358DF61F}" srcOrd="0" destOrd="0" presId="urn:microsoft.com/office/officeart/2009/3/layout/IncreasingArrowsProcess"/>
    <dgm:cxn modelId="{C38F4F46-AAB8-4A88-8FA2-AF533C8E5E87}" srcId="{B0798106-1F4E-4556-AF55-3B08C82EB691}" destId="{4D6B5BC0-47FB-4A27-93BD-BBC8A9F13C11}" srcOrd="0" destOrd="0" parTransId="{2F7C1A88-662F-4ABF-BA6B-5627B28843D3}" sibTransId="{9C4A8251-76CB-4C15-95CF-374371C53C76}"/>
    <dgm:cxn modelId="{1D271B07-B206-41E0-9A7C-FEAD25F6C3CC}" type="presParOf" srcId="{6B8F846B-DFCF-4FDE-9364-2E91A127EB98}" destId="{1E7106B1-1383-40B9-BBBA-E06F20002249}" srcOrd="0" destOrd="0" presId="urn:microsoft.com/office/officeart/2009/3/layout/IncreasingArrowsProcess"/>
    <dgm:cxn modelId="{0EB647DE-2FAD-457D-BB9E-5BC0EA9730AB}" type="presParOf" srcId="{6B8F846B-DFCF-4FDE-9364-2E91A127EB98}" destId="{58BF0780-B80D-4ED7-ADDE-4716B7500ED1}" srcOrd="1" destOrd="0" presId="urn:microsoft.com/office/officeart/2009/3/layout/IncreasingArrowsProcess"/>
    <dgm:cxn modelId="{2D194288-E30A-4235-A4A8-11129638A73C}" type="presParOf" srcId="{6B8F846B-DFCF-4FDE-9364-2E91A127EB98}" destId="{87E11A21-836A-42AA-A4B8-1E5BD73714DD}" srcOrd="2" destOrd="0" presId="urn:microsoft.com/office/officeart/2009/3/layout/IncreasingArrowsProcess"/>
    <dgm:cxn modelId="{30D45AD7-D333-4F08-919A-3A49622AB046}" type="presParOf" srcId="{6B8F846B-DFCF-4FDE-9364-2E91A127EB98}" destId="{B7A9EFB8-6C10-4809-938D-82D8F4C1D3C0}" srcOrd="3" destOrd="0" presId="urn:microsoft.com/office/officeart/2009/3/layout/IncreasingArrowsProcess"/>
    <dgm:cxn modelId="{74E0B42D-F6AE-4040-91F3-15826850E3A0}" type="presParOf" srcId="{6B8F846B-DFCF-4FDE-9364-2E91A127EB98}" destId="{3FB3BC4E-13E9-49AB-A374-0585E4434E77}" srcOrd="4" destOrd="0" presId="urn:microsoft.com/office/officeart/2009/3/layout/IncreasingArrowsProcess"/>
    <dgm:cxn modelId="{C8661F9B-FFAC-4D7F-A443-141F8FB8F4AA}" type="presParOf" srcId="{6B8F846B-DFCF-4FDE-9364-2E91A127EB98}" destId="{37832732-A451-48AA-8A56-AE7DD7B5F970}" srcOrd="5" destOrd="0" presId="urn:microsoft.com/office/officeart/2009/3/layout/IncreasingArrowsProcess"/>
    <dgm:cxn modelId="{9120B359-2031-4560-B16C-02811DD17C1C}" type="presParOf" srcId="{6B8F846B-DFCF-4FDE-9364-2E91A127EB98}" destId="{BA639CA4-82BB-44E9-9FBC-4527358DF61F}" srcOrd="6" destOrd="0" presId="urn:microsoft.com/office/officeart/2009/3/layout/IncreasingArrowsProcess"/>
    <dgm:cxn modelId="{989714A8-82EF-4C13-A967-429C81FE6047}" type="presParOf" srcId="{6B8F846B-DFCF-4FDE-9364-2E91A127EB98}" destId="{37DDE91A-B7B0-4080-A296-F1AEE7E16691}" srcOrd="7" destOrd="0" presId="urn:microsoft.com/office/officeart/2009/3/layout/IncreasingArrowsProcess"/>
    <dgm:cxn modelId="{BAE501F9-DDB4-436D-A8DD-F9E5EF4B2E7F}" type="presParOf" srcId="{6B8F846B-DFCF-4FDE-9364-2E91A127EB98}" destId="{3D41A64E-F240-4AEB-99F6-EAAD789C8FE2}" srcOrd="8" destOrd="0" presId="urn:microsoft.com/office/officeart/2009/3/layout/IncreasingArrowsProcess"/>
    <dgm:cxn modelId="{786E829B-6163-4C58-8E1E-6E18E6D4B866}" type="presParOf" srcId="{6B8F846B-DFCF-4FDE-9364-2E91A127EB98}" destId="{139B0F2F-32EE-40B7-B5DB-3E0EA2AA6FDA}" srcOrd="9" destOrd="0" presId="urn:microsoft.com/office/officeart/2009/3/layout/IncreasingArrowsProcess"/>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C26C8B6-67D5-4477-8157-94807C3C43F5}" type="doc">
      <dgm:prSet loTypeId="urn:microsoft.com/office/officeart/2009/3/layout/IncreasingArrowsProcess" loCatId="process" qsTypeId="urn:microsoft.com/office/officeart/2005/8/quickstyle/simple1" qsCatId="simple" csTypeId="urn:microsoft.com/office/officeart/2005/8/colors/accent1_2" csCatId="accent1" phldr="1"/>
      <dgm:spPr/>
      <dgm:t>
        <a:bodyPr/>
        <a:lstStyle/>
        <a:p>
          <a:endParaRPr lang="sk-SK"/>
        </a:p>
      </dgm:t>
    </dgm:pt>
    <dgm:pt modelId="{73ABE308-6DCE-401C-89EF-FE38E10477BC}">
      <dgm:prSet phldrT="[Text]" custT="1"/>
      <dgm:spPr>
        <a:solidFill>
          <a:schemeClr val="bg1">
            <a:lumMod val="65000"/>
          </a:schemeClr>
        </a:solidFill>
        <a:ln>
          <a:noFill/>
        </a:ln>
      </dgm:spPr>
      <dgm:t>
        <a:bodyPr lIns="0" tIns="0" rIns="0" bIns="0"/>
        <a:lstStyle/>
        <a:p>
          <a:pPr algn="ctr">
            <a:spcAft>
              <a:spcPts val="0"/>
            </a:spcAft>
          </a:pPr>
          <a:r>
            <a:rPr lang="sk-SK" sz="800" b="1">
              <a:latin typeface="Arial Narrow" panose="020B0606020202030204" pitchFamily="34" charset="0"/>
            </a:rPr>
            <a:t>2020-2023</a:t>
          </a:r>
          <a:endParaRPr lang="sk-SK" sz="900" b="1">
            <a:latin typeface="Arial Narrow" panose="020B0606020202030204" pitchFamily="34" charset="0"/>
          </a:endParaRPr>
        </a:p>
      </dgm:t>
    </dgm:pt>
    <dgm:pt modelId="{D4A25EB1-1455-4251-9594-8C2F53E91DA4}" type="parTrans" cxnId="{EC0B6FD5-6D10-4759-A8E6-5F9E348AD1A6}">
      <dgm:prSet/>
      <dgm:spPr/>
      <dgm:t>
        <a:bodyPr/>
        <a:lstStyle/>
        <a:p>
          <a:pPr algn="l"/>
          <a:endParaRPr lang="sk-SK" sz="800">
            <a:latin typeface="Arial Narrow" panose="020B0606020202030204" pitchFamily="34" charset="0"/>
          </a:endParaRPr>
        </a:p>
      </dgm:t>
    </dgm:pt>
    <dgm:pt modelId="{46CBC300-EC7A-44B5-835E-9006E0C7FD06}" type="sibTrans" cxnId="{EC0B6FD5-6D10-4759-A8E6-5F9E348AD1A6}">
      <dgm:prSet/>
      <dgm:spPr/>
      <dgm:t>
        <a:bodyPr/>
        <a:lstStyle/>
        <a:p>
          <a:pPr algn="l"/>
          <a:endParaRPr lang="sk-SK" sz="800">
            <a:latin typeface="Arial Narrow" panose="020B0606020202030204" pitchFamily="34" charset="0"/>
          </a:endParaRPr>
        </a:p>
      </dgm:t>
    </dgm:pt>
    <dgm:pt modelId="{7C447588-D1D9-48F0-A855-4DF98491BA55}">
      <dgm:prSet phldrT="[Text]" custT="1"/>
      <dgm:spPr>
        <a:solidFill>
          <a:srgbClr val="002060"/>
        </a:solidFill>
      </dgm:spPr>
      <dgm:t>
        <a:bodyPr/>
        <a:lstStyle/>
        <a:p>
          <a:pPr algn="l"/>
          <a:r>
            <a:rPr lang="sk-SK" sz="800" b="1">
              <a:latin typeface="Arial Narrow" panose="020B0606020202030204" pitchFamily="34" charset="0"/>
            </a:rPr>
            <a:t>2024</a:t>
          </a:r>
        </a:p>
      </dgm:t>
    </dgm:pt>
    <dgm:pt modelId="{5BDA0965-6A90-4FE3-8ABB-4187E573D57D}" type="parTrans" cxnId="{C7D5EBC2-5D8F-483F-955A-B9AA76B0C522}">
      <dgm:prSet/>
      <dgm:spPr/>
      <dgm:t>
        <a:bodyPr/>
        <a:lstStyle/>
        <a:p>
          <a:pPr algn="l"/>
          <a:endParaRPr lang="sk-SK" sz="800">
            <a:latin typeface="Arial Narrow" panose="020B0606020202030204" pitchFamily="34" charset="0"/>
          </a:endParaRPr>
        </a:p>
      </dgm:t>
    </dgm:pt>
    <dgm:pt modelId="{088CAD7D-97F0-4286-A491-7CEF9B995146}" type="sibTrans" cxnId="{C7D5EBC2-5D8F-483F-955A-B9AA76B0C522}">
      <dgm:prSet/>
      <dgm:spPr/>
      <dgm:t>
        <a:bodyPr/>
        <a:lstStyle/>
        <a:p>
          <a:pPr algn="l"/>
          <a:endParaRPr lang="sk-SK" sz="800">
            <a:latin typeface="Arial Narrow" panose="020B0606020202030204" pitchFamily="34" charset="0"/>
          </a:endParaRPr>
        </a:p>
      </dgm:t>
    </dgm:pt>
    <dgm:pt modelId="{A1B30D5F-38C1-46B4-A524-AFE674450F41}">
      <dgm:prSet phldrT="[Text]" custT="1"/>
      <dgm:spPr>
        <a:solidFill>
          <a:srgbClr val="002060"/>
        </a:solidFill>
        <a:ln>
          <a:noFill/>
        </a:ln>
      </dgm:spPr>
      <dgm:t>
        <a:bodyPr/>
        <a:lstStyle/>
        <a:p>
          <a:pPr algn="l"/>
          <a:r>
            <a:rPr lang="sk-SK" sz="800">
              <a:solidFill>
                <a:schemeClr val="bg1"/>
              </a:solidFill>
              <a:latin typeface="Arial Narrow" panose="020B0606020202030204" pitchFamily="34" charset="0"/>
            </a:rPr>
            <a:t>Reforma fiškálnych pravidiel - </a:t>
          </a:r>
          <a:r>
            <a:rPr lang="sk-SK" sz="800" b="1">
              <a:solidFill>
                <a:schemeClr val="bg1"/>
              </a:solidFill>
              <a:latin typeface="Arial Narrow" panose="020B0606020202030204" pitchFamily="34" charset="0"/>
            </a:rPr>
            <a:t>dlhová udržateľnosť </a:t>
          </a:r>
          <a:r>
            <a:rPr lang="sk-SK" sz="800">
              <a:solidFill>
                <a:schemeClr val="bg1"/>
              </a:solidFill>
              <a:latin typeface="Arial Narrow" panose="020B0606020202030204" pitchFamily="34" charset="0"/>
            </a:rPr>
            <a:t>ako cieľ, </a:t>
          </a:r>
          <a:r>
            <a:rPr lang="sk-SK" sz="800" b="1">
              <a:solidFill>
                <a:schemeClr val="bg1"/>
              </a:solidFill>
              <a:latin typeface="Arial Narrow" panose="020B0606020202030204" pitchFamily="34" charset="0"/>
            </a:rPr>
            <a:t>nové výdavkové pravidlo </a:t>
          </a:r>
          <a:r>
            <a:rPr lang="sk-SK" sz="800">
              <a:solidFill>
                <a:schemeClr val="bg1"/>
              </a:solidFill>
              <a:latin typeface="Arial Narrow" panose="020B0606020202030204" pitchFamily="34" charset="0"/>
            </a:rPr>
            <a:t>ako jediný operatívny nástroj</a:t>
          </a:r>
        </a:p>
      </dgm:t>
    </dgm:pt>
    <dgm:pt modelId="{1E8D7853-EFB7-4072-8612-6369A9E86187}" type="parTrans" cxnId="{E0C61A5F-0410-425F-B380-1D12350BFDCF}">
      <dgm:prSet/>
      <dgm:spPr/>
      <dgm:t>
        <a:bodyPr/>
        <a:lstStyle/>
        <a:p>
          <a:pPr algn="l"/>
          <a:endParaRPr lang="sk-SK" sz="800">
            <a:latin typeface="Arial Narrow" panose="020B0606020202030204" pitchFamily="34" charset="0"/>
          </a:endParaRPr>
        </a:p>
      </dgm:t>
    </dgm:pt>
    <dgm:pt modelId="{3767E574-1E45-4632-9B12-DEA8A1B4A481}" type="sibTrans" cxnId="{E0C61A5F-0410-425F-B380-1D12350BFDCF}">
      <dgm:prSet/>
      <dgm:spPr/>
      <dgm:t>
        <a:bodyPr/>
        <a:lstStyle/>
        <a:p>
          <a:pPr algn="l"/>
          <a:endParaRPr lang="sk-SK" sz="800">
            <a:latin typeface="Arial Narrow" panose="020B0606020202030204" pitchFamily="34" charset="0"/>
          </a:endParaRPr>
        </a:p>
      </dgm:t>
    </dgm:pt>
    <dgm:pt modelId="{C5D3A145-116A-42B2-B5DE-6706410DEC42}">
      <dgm:prSet phldrT="[Text]" custT="1"/>
      <dgm:spPr>
        <a:solidFill>
          <a:schemeClr val="bg1">
            <a:lumMod val="65000"/>
          </a:schemeClr>
        </a:solidFill>
        <a:ln>
          <a:noFill/>
        </a:ln>
      </dgm:spPr>
      <dgm:t>
        <a:bodyPr/>
        <a:lstStyle/>
        <a:p>
          <a:pPr algn="l"/>
          <a:r>
            <a:rPr lang="sk-SK" sz="700">
              <a:solidFill>
                <a:schemeClr val="bg1"/>
              </a:solidFill>
              <a:latin typeface="Arial Narrow" panose="020B0606020202030204" pitchFamily="34" charset="0"/>
            </a:rPr>
            <a:t>Fiškálne pravidlá dočasne neaktívne </a:t>
          </a:r>
          <a:br>
            <a:rPr lang="sk-SK" sz="700">
              <a:solidFill>
                <a:schemeClr val="bg1"/>
              </a:solidFill>
              <a:latin typeface="Arial Narrow" panose="020B0606020202030204" pitchFamily="34" charset="0"/>
            </a:rPr>
          </a:br>
          <a:r>
            <a:rPr lang="sk-SK" sz="700">
              <a:solidFill>
                <a:schemeClr val="bg1"/>
              </a:solidFill>
              <a:latin typeface="Arial Narrow" panose="020B0606020202030204" pitchFamily="34" charset="0"/>
            </a:rPr>
            <a:t>z dôvodu pandémie COVID-19</a:t>
          </a:r>
        </a:p>
      </dgm:t>
    </dgm:pt>
    <dgm:pt modelId="{730F9747-8F6E-47B6-850A-5A42067B7A06}" type="sibTrans" cxnId="{8596C87D-3FF7-4D50-A26A-CAF3D9DFD991}">
      <dgm:prSet/>
      <dgm:spPr/>
      <dgm:t>
        <a:bodyPr/>
        <a:lstStyle/>
        <a:p>
          <a:pPr algn="l"/>
          <a:endParaRPr lang="sk-SK" sz="800">
            <a:latin typeface="Arial Narrow" panose="020B0606020202030204" pitchFamily="34" charset="0"/>
          </a:endParaRPr>
        </a:p>
      </dgm:t>
    </dgm:pt>
    <dgm:pt modelId="{52AB3A7F-37D0-44D5-BF74-AA9CE2984494}" type="parTrans" cxnId="{8596C87D-3FF7-4D50-A26A-CAF3D9DFD991}">
      <dgm:prSet/>
      <dgm:spPr/>
      <dgm:t>
        <a:bodyPr/>
        <a:lstStyle/>
        <a:p>
          <a:pPr algn="l"/>
          <a:endParaRPr lang="sk-SK" sz="800">
            <a:latin typeface="Arial Narrow" panose="020B0606020202030204" pitchFamily="34" charset="0"/>
          </a:endParaRPr>
        </a:p>
      </dgm:t>
    </dgm:pt>
    <dgm:pt modelId="{6B8F846B-DFCF-4FDE-9364-2E91A127EB98}" type="pres">
      <dgm:prSet presAssocID="{3C26C8B6-67D5-4477-8157-94807C3C43F5}" presName="Name0" presStyleCnt="0">
        <dgm:presLayoutVars>
          <dgm:chMax val="5"/>
          <dgm:chPref val="5"/>
          <dgm:dir/>
          <dgm:animLvl val="lvl"/>
        </dgm:presLayoutVars>
      </dgm:prSet>
      <dgm:spPr/>
      <dgm:t>
        <a:bodyPr/>
        <a:lstStyle/>
        <a:p>
          <a:endParaRPr lang="sk-SK"/>
        </a:p>
      </dgm:t>
    </dgm:pt>
    <dgm:pt modelId="{1E7106B1-1383-40B9-BBBA-E06F20002249}" type="pres">
      <dgm:prSet presAssocID="{73ABE308-6DCE-401C-89EF-FE38E10477BC}" presName="parentText1" presStyleLbl="node1" presStyleIdx="0" presStyleCnt="2" custScaleX="20136" custScaleY="56499" custLinFactNeighborX="-30443" custLinFactNeighborY="69906">
        <dgm:presLayoutVars>
          <dgm:chMax/>
          <dgm:chPref val="3"/>
          <dgm:bulletEnabled val="1"/>
        </dgm:presLayoutVars>
      </dgm:prSet>
      <dgm:spPr>
        <a:prstGeom prst="rect">
          <a:avLst/>
        </a:prstGeom>
      </dgm:spPr>
      <dgm:t>
        <a:bodyPr/>
        <a:lstStyle/>
        <a:p>
          <a:endParaRPr lang="sk-SK"/>
        </a:p>
      </dgm:t>
    </dgm:pt>
    <dgm:pt modelId="{58BF0780-B80D-4ED7-ADDE-4716B7500ED1}" type="pres">
      <dgm:prSet presAssocID="{73ABE308-6DCE-401C-89EF-FE38E10477BC}" presName="childText1" presStyleLbl="solidAlignAcc1" presStyleIdx="0" presStyleCnt="2" custScaleX="43584" custScaleY="87139" custLinFactNeighborX="-7953" custLinFactNeighborY="28008">
        <dgm:presLayoutVars>
          <dgm:chMax val="0"/>
          <dgm:chPref val="0"/>
          <dgm:bulletEnabled val="1"/>
        </dgm:presLayoutVars>
      </dgm:prSet>
      <dgm:spPr/>
      <dgm:t>
        <a:bodyPr/>
        <a:lstStyle/>
        <a:p>
          <a:endParaRPr lang="sk-SK"/>
        </a:p>
      </dgm:t>
    </dgm:pt>
    <dgm:pt modelId="{87E11A21-836A-42AA-A4B8-1E5BD73714DD}" type="pres">
      <dgm:prSet presAssocID="{7C447588-D1D9-48F0-A855-4DF98491BA55}" presName="parentText2" presStyleLbl="node1" presStyleIdx="1" presStyleCnt="2" custScaleX="88476" custScaleY="115667" custLinFactNeighborX="-30039" custLinFactNeighborY="24185">
        <dgm:presLayoutVars>
          <dgm:chMax/>
          <dgm:chPref val="3"/>
          <dgm:bulletEnabled val="1"/>
        </dgm:presLayoutVars>
      </dgm:prSet>
      <dgm:spPr/>
      <dgm:t>
        <a:bodyPr/>
        <a:lstStyle/>
        <a:p>
          <a:endParaRPr lang="sk-SK"/>
        </a:p>
      </dgm:t>
    </dgm:pt>
    <dgm:pt modelId="{B7A9EFB8-6C10-4809-938D-82D8F4C1D3C0}" type="pres">
      <dgm:prSet presAssocID="{7C447588-D1D9-48F0-A855-4DF98491BA55}" presName="childText2" presStyleLbl="solidAlignAcc1" presStyleIdx="1" presStyleCnt="2" custScaleX="82737" custScaleY="100592" custLinFactNeighborX="-35826" custLinFactNeighborY="13029">
        <dgm:presLayoutVars>
          <dgm:chMax val="0"/>
          <dgm:chPref val="0"/>
          <dgm:bulletEnabled val="1"/>
        </dgm:presLayoutVars>
      </dgm:prSet>
      <dgm:spPr/>
      <dgm:t>
        <a:bodyPr/>
        <a:lstStyle/>
        <a:p>
          <a:endParaRPr lang="sk-SK"/>
        </a:p>
      </dgm:t>
    </dgm:pt>
  </dgm:ptLst>
  <dgm:cxnLst>
    <dgm:cxn modelId="{C7D5EBC2-5D8F-483F-955A-B9AA76B0C522}" srcId="{3C26C8B6-67D5-4477-8157-94807C3C43F5}" destId="{7C447588-D1D9-48F0-A855-4DF98491BA55}" srcOrd="1" destOrd="0" parTransId="{5BDA0965-6A90-4FE3-8ABB-4187E573D57D}" sibTransId="{088CAD7D-97F0-4286-A491-7CEF9B995146}"/>
    <dgm:cxn modelId="{B245A682-FA5F-46C0-A57D-6ED620028B0B}" type="presOf" srcId="{A1B30D5F-38C1-46B4-A524-AFE674450F41}" destId="{B7A9EFB8-6C10-4809-938D-82D8F4C1D3C0}" srcOrd="0" destOrd="0" presId="urn:microsoft.com/office/officeart/2009/3/layout/IncreasingArrowsProcess"/>
    <dgm:cxn modelId="{15054356-322F-4EB8-9204-A5DDD7D88FB1}" type="presOf" srcId="{7C447588-D1D9-48F0-A855-4DF98491BA55}" destId="{87E11A21-836A-42AA-A4B8-1E5BD73714DD}" srcOrd="0" destOrd="0" presId="urn:microsoft.com/office/officeart/2009/3/layout/IncreasingArrowsProcess"/>
    <dgm:cxn modelId="{FCDD7EC7-77BC-47F0-A36E-5BA7EB4462EC}" type="presOf" srcId="{3C26C8B6-67D5-4477-8157-94807C3C43F5}" destId="{6B8F846B-DFCF-4FDE-9364-2E91A127EB98}" srcOrd="0" destOrd="0" presId="urn:microsoft.com/office/officeart/2009/3/layout/IncreasingArrowsProcess"/>
    <dgm:cxn modelId="{EC0B6FD5-6D10-4759-A8E6-5F9E348AD1A6}" srcId="{3C26C8B6-67D5-4477-8157-94807C3C43F5}" destId="{73ABE308-6DCE-401C-89EF-FE38E10477BC}" srcOrd="0" destOrd="0" parTransId="{D4A25EB1-1455-4251-9594-8C2F53E91DA4}" sibTransId="{46CBC300-EC7A-44B5-835E-9006E0C7FD06}"/>
    <dgm:cxn modelId="{24E420FD-4264-4070-9853-809F8459A52D}" type="presOf" srcId="{C5D3A145-116A-42B2-B5DE-6706410DEC42}" destId="{58BF0780-B80D-4ED7-ADDE-4716B7500ED1}" srcOrd="0" destOrd="0" presId="urn:microsoft.com/office/officeart/2009/3/layout/IncreasingArrowsProcess"/>
    <dgm:cxn modelId="{A4F8D153-561C-4C85-A6DC-B996D0A9694B}" type="presOf" srcId="{73ABE308-6DCE-401C-89EF-FE38E10477BC}" destId="{1E7106B1-1383-40B9-BBBA-E06F20002249}" srcOrd="0" destOrd="0" presId="urn:microsoft.com/office/officeart/2009/3/layout/IncreasingArrowsProcess"/>
    <dgm:cxn modelId="{8596C87D-3FF7-4D50-A26A-CAF3D9DFD991}" srcId="{73ABE308-6DCE-401C-89EF-FE38E10477BC}" destId="{C5D3A145-116A-42B2-B5DE-6706410DEC42}" srcOrd="0" destOrd="0" parTransId="{52AB3A7F-37D0-44D5-BF74-AA9CE2984494}" sibTransId="{730F9747-8F6E-47B6-850A-5A42067B7A06}"/>
    <dgm:cxn modelId="{E0C61A5F-0410-425F-B380-1D12350BFDCF}" srcId="{7C447588-D1D9-48F0-A855-4DF98491BA55}" destId="{A1B30D5F-38C1-46B4-A524-AFE674450F41}" srcOrd="0" destOrd="0" parTransId="{1E8D7853-EFB7-4072-8612-6369A9E86187}" sibTransId="{3767E574-1E45-4632-9B12-DEA8A1B4A481}"/>
    <dgm:cxn modelId="{1D271B07-B206-41E0-9A7C-FEAD25F6C3CC}" type="presParOf" srcId="{6B8F846B-DFCF-4FDE-9364-2E91A127EB98}" destId="{1E7106B1-1383-40B9-BBBA-E06F20002249}" srcOrd="0" destOrd="0" presId="urn:microsoft.com/office/officeart/2009/3/layout/IncreasingArrowsProcess"/>
    <dgm:cxn modelId="{0EB647DE-2FAD-457D-BB9E-5BC0EA9730AB}" type="presParOf" srcId="{6B8F846B-DFCF-4FDE-9364-2E91A127EB98}" destId="{58BF0780-B80D-4ED7-ADDE-4716B7500ED1}" srcOrd="1" destOrd="0" presId="urn:microsoft.com/office/officeart/2009/3/layout/IncreasingArrowsProcess"/>
    <dgm:cxn modelId="{2D194288-E30A-4235-A4A8-11129638A73C}" type="presParOf" srcId="{6B8F846B-DFCF-4FDE-9364-2E91A127EB98}" destId="{87E11A21-836A-42AA-A4B8-1E5BD73714DD}" srcOrd="2" destOrd="0" presId="urn:microsoft.com/office/officeart/2009/3/layout/IncreasingArrowsProcess"/>
    <dgm:cxn modelId="{30D45AD7-D333-4F08-919A-3A49622AB046}" type="presParOf" srcId="{6B8F846B-DFCF-4FDE-9364-2E91A127EB98}" destId="{B7A9EFB8-6C10-4809-938D-82D8F4C1D3C0}" srcOrd="3" destOrd="0" presId="urn:microsoft.com/office/officeart/2009/3/layout/IncreasingArrowsProcess"/>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D59B1B8-8C42-46DD-B1F9-A75DE94CB48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sk-SK"/>
        </a:p>
      </dgm:t>
    </dgm:pt>
    <dgm:pt modelId="{8825491B-EDA0-4CA0-9003-43865E95819E}">
      <dgm:prSet phldrT="[Text]" custT="1"/>
      <dgm:spPr>
        <a:solidFill>
          <a:schemeClr val="bg1">
            <a:lumMod val="50000"/>
          </a:schemeClr>
        </a:solidFill>
      </dgm:spPr>
      <dgm:t>
        <a:bodyPr/>
        <a:lstStyle/>
        <a:p>
          <a:pPr algn="ctr"/>
          <a:r>
            <a:rPr lang="sk-SK" sz="800" b="1">
              <a:latin typeface="Arial Narrow" panose="020B0606020202030204" pitchFamily="34" charset="0"/>
            </a:rPr>
            <a:t>Cieľ</a:t>
          </a:r>
        </a:p>
      </dgm:t>
    </dgm:pt>
    <dgm:pt modelId="{01653250-857E-406F-980B-F91E45D2E7E4}" type="parTrans" cxnId="{9E59D66A-59CC-470A-925D-94D5F82726A7}">
      <dgm:prSet/>
      <dgm:spPr/>
      <dgm:t>
        <a:bodyPr/>
        <a:lstStyle/>
        <a:p>
          <a:pPr algn="ctr"/>
          <a:endParaRPr lang="sk-SK" sz="800" b="1">
            <a:latin typeface="Arial Narrow" panose="020B0606020202030204" pitchFamily="34" charset="0"/>
          </a:endParaRPr>
        </a:p>
      </dgm:t>
    </dgm:pt>
    <dgm:pt modelId="{52D751AB-5CD4-4A67-818F-AFCD43E1F99E}" type="sibTrans" cxnId="{9E59D66A-59CC-470A-925D-94D5F82726A7}">
      <dgm:prSet/>
      <dgm:spPr/>
      <dgm:t>
        <a:bodyPr/>
        <a:lstStyle/>
        <a:p>
          <a:pPr algn="ctr"/>
          <a:endParaRPr lang="sk-SK" sz="800" b="1">
            <a:latin typeface="Arial Narrow" panose="020B0606020202030204" pitchFamily="34" charset="0"/>
          </a:endParaRPr>
        </a:p>
      </dgm:t>
    </dgm:pt>
    <dgm:pt modelId="{87F30C7D-11CE-4F0B-8E3D-60005BB71870}">
      <dgm:prSet phldrT="[Text]" custT="1"/>
      <dgm:spPr>
        <a:solidFill>
          <a:srgbClr val="002060"/>
        </a:solidFill>
      </dgm:spPr>
      <dgm:t>
        <a:bodyPr/>
        <a:lstStyle/>
        <a:p>
          <a:pPr algn="ctr"/>
          <a:r>
            <a:rPr lang="sk-SK" sz="650" b="1">
              <a:latin typeface="Arial Narrow" panose="020B0606020202030204" pitchFamily="34" charset="0"/>
            </a:rPr>
            <a:t>DEFICIT</a:t>
          </a:r>
          <a:br>
            <a:rPr lang="sk-SK" sz="650" b="1">
              <a:latin typeface="Arial Narrow" panose="020B0606020202030204" pitchFamily="34" charset="0"/>
            </a:rPr>
          </a:br>
          <a:r>
            <a:rPr lang="sk-SK" sz="650" b="1">
              <a:latin typeface="Arial Narrow" panose="020B0606020202030204" pitchFamily="34" charset="0"/>
            </a:rPr>
            <a:t>(pod 3 % HDP)</a:t>
          </a:r>
        </a:p>
      </dgm:t>
    </dgm:pt>
    <dgm:pt modelId="{E2CAB0CF-3EDF-4E74-9F20-7AFAFFCAEFB5}" type="parTrans" cxnId="{FCE27C6E-E84A-4AC2-8C97-F8E64D6982F3}">
      <dgm:prSet/>
      <dgm:spPr/>
      <dgm:t>
        <a:bodyPr/>
        <a:lstStyle/>
        <a:p>
          <a:pPr algn="ctr"/>
          <a:endParaRPr lang="sk-SK" sz="800" b="1">
            <a:latin typeface="Arial Narrow" panose="020B0606020202030204" pitchFamily="34" charset="0"/>
          </a:endParaRPr>
        </a:p>
      </dgm:t>
    </dgm:pt>
    <dgm:pt modelId="{AD408A19-4E45-412C-B1D2-669610A6E9FA}" type="sibTrans" cxnId="{FCE27C6E-E84A-4AC2-8C97-F8E64D6982F3}">
      <dgm:prSet/>
      <dgm:spPr/>
      <dgm:t>
        <a:bodyPr/>
        <a:lstStyle/>
        <a:p>
          <a:pPr algn="ctr"/>
          <a:endParaRPr lang="sk-SK" sz="800" b="1">
            <a:latin typeface="Arial Narrow" panose="020B0606020202030204" pitchFamily="34" charset="0"/>
          </a:endParaRPr>
        </a:p>
      </dgm:t>
    </dgm:pt>
    <dgm:pt modelId="{E21AE283-ABDC-47D2-BD1E-FD7C6C2E2F54}">
      <dgm:prSet phldrT="[Text]" custT="1"/>
      <dgm:spPr>
        <a:solidFill>
          <a:srgbClr val="002060"/>
        </a:solidFill>
      </dgm:spPr>
      <dgm:t>
        <a:bodyPr/>
        <a:lstStyle/>
        <a:p>
          <a:pPr algn="ctr"/>
          <a:r>
            <a:rPr lang="sk-SK" sz="650" b="1">
              <a:latin typeface="Arial Narrow" panose="020B0606020202030204" pitchFamily="34" charset="0"/>
            </a:rPr>
            <a:t>DLH</a:t>
          </a:r>
          <a:br>
            <a:rPr lang="sk-SK" sz="650" b="1">
              <a:latin typeface="Arial Narrow" panose="020B0606020202030204" pitchFamily="34" charset="0"/>
            </a:rPr>
          </a:br>
          <a:r>
            <a:rPr lang="sk-SK" sz="650" b="1">
              <a:latin typeface="Arial Narrow" panose="020B0606020202030204" pitchFamily="34" charset="0"/>
            </a:rPr>
            <a:t>(pod 60 % HDP)</a:t>
          </a:r>
        </a:p>
      </dgm:t>
    </dgm:pt>
    <dgm:pt modelId="{7CB25BCA-FA4E-4874-BA04-DE2CE88B2612}" type="parTrans" cxnId="{144B7E56-24A6-4CA9-B983-DC19E64EBE65}">
      <dgm:prSet/>
      <dgm:spPr/>
      <dgm:t>
        <a:bodyPr/>
        <a:lstStyle/>
        <a:p>
          <a:pPr algn="ctr"/>
          <a:endParaRPr lang="sk-SK" sz="800" b="1">
            <a:latin typeface="Arial Narrow" panose="020B0606020202030204" pitchFamily="34" charset="0"/>
          </a:endParaRPr>
        </a:p>
      </dgm:t>
    </dgm:pt>
    <dgm:pt modelId="{97C5E25B-FD0D-4DED-A09C-82077979E822}" type="sibTrans" cxnId="{144B7E56-24A6-4CA9-B983-DC19E64EBE65}">
      <dgm:prSet/>
      <dgm:spPr/>
      <dgm:t>
        <a:bodyPr/>
        <a:lstStyle/>
        <a:p>
          <a:pPr algn="ctr"/>
          <a:endParaRPr lang="sk-SK" sz="800" b="1">
            <a:latin typeface="Arial Narrow" panose="020B0606020202030204" pitchFamily="34" charset="0"/>
          </a:endParaRPr>
        </a:p>
      </dgm:t>
    </dgm:pt>
    <dgm:pt modelId="{997AED1D-EB80-4234-AFF3-EB09238D9EA6}">
      <dgm:prSet phldrT="[Text]" custT="1"/>
      <dgm:spPr>
        <a:solidFill>
          <a:schemeClr val="bg1">
            <a:lumMod val="50000"/>
          </a:schemeClr>
        </a:solidFill>
      </dgm:spPr>
      <dgm:t>
        <a:bodyPr/>
        <a:lstStyle/>
        <a:p>
          <a:pPr algn="ctr"/>
          <a:r>
            <a:rPr lang="sk-SK" sz="800" b="1">
              <a:latin typeface="Arial Narrow" panose="020B0606020202030204" pitchFamily="34" charset="0"/>
            </a:rPr>
            <a:t>Operatívny nástroj</a:t>
          </a:r>
        </a:p>
      </dgm:t>
    </dgm:pt>
    <dgm:pt modelId="{F5E91CA3-C265-4323-85C3-C1031DDD9314}" type="parTrans" cxnId="{40F2A2B4-E715-4078-9431-9184B3FAF3A1}">
      <dgm:prSet/>
      <dgm:spPr/>
      <dgm:t>
        <a:bodyPr/>
        <a:lstStyle/>
        <a:p>
          <a:pPr algn="ctr"/>
          <a:endParaRPr lang="sk-SK" sz="800" b="1">
            <a:latin typeface="Arial Narrow" panose="020B0606020202030204" pitchFamily="34" charset="0"/>
          </a:endParaRPr>
        </a:p>
      </dgm:t>
    </dgm:pt>
    <dgm:pt modelId="{59E3B083-8C55-4066-B845-0CE53BFB0889}" type="sibTrans" cxnId="{40F2A2B4-E715-4078-9431-9184B3FAF3A1}">
      <dgm:prSet/>
      <dgm:spPr/>
      <dgm:t>
        <a:bodyPr/>
        <a:lstStyle/>
        <a:p>
          <a:pPr algn="ctr"/>
          <a:endParaRPr lang="sk-SK" sz="800" b="1">
            <a:latin typeface="Arial Narrow" panose="020B0606020202030204" pitchFamily="34" charset="0"/>
          </a:endParaRPr>
        </a:p>
      </dgm:t>
    </dgm:pt>
    <dgm:pt modelId="{5DE681C1-405A-49A4-97DC-DF426DC61C2E}">
      <dgm:prSet phldrT="[Text]" custT="1"/>
      <dgm:spPr>
        <a:solidFill>
          <a:srgbClr val="002060"/>
        </a:solidFill>
      </dgm:spPr>
      <dgm:t>
        <a:bodyPr/>
        <a:lstStyle/>
        <a:p>
          <a:pPr algn="ctr"/>
          <a:r>
            <a:rPr lang="sk-SK" sz="700" b="1">
              <a:latin typeface="Arial Narrow" panose="020B0606020202030204" pitchFamily="34" charset="0"/>
            </a:rPr>
            <a:t>rast čistých výdavkov* v podobe tzv. referenčnej trajektórie</a:t>
          </a:r>
        </a:p>
      </dgm:t>
    </dgm:pt>
    <dgm:pt modelId="{8D325795-C068-42D2-8F40-E52AB58CCCB3}" type="sibTrans" cxnId="{878DA42B-6C9A-4E71-8B94-FF313EF1198B}">
      <dgm:prSet/>
      <dgm:spPr/>
      <dgm:t>
        <a:bodyPr/>
        <a:lstStyle/>
        <a:p>
          <a:pPr algn="ctr"/>
          <a:endParaRPr lang="sk-SK" sz="800" b="1">
            <a:latin typeface="Arial Narrow" panose="020B0606020202030204" pitchFamily="34" charset="0"/>
          </a:endParaRPr>
        </a:p>
      </dgm:t>
    </dgm:pt>
    <dgm:pt modelId="{D11E9FB3-CCA3-4B36-94D0-AC2092F6AB21}" type="parTrans" cxnId="{878DA42B-6C9A-4E71-8B94-FF313EF1198B}">
      <dgm:prSet/>
      <dgm:spPr/>
      <dgm:t>
        <a:bodyPr/>
        <a:lstStyle/>
        <a:p>
          <a:pPr algn="ctr"/>
          <a:endParaRPr lang="sk-SK" sz="800" b="1">
            <a:latin typeface="Arial Narrow" panose="020B0606020202030204" pitchFamily="34" charset="0"/>
          </a:endParaRPr>
        </a:p>
      </dgm:t>
    </dgm:pt>
    <dgm:pt modelId="{D2DEB4DB-CB3B-4326-8208-2283573C17F7}">
      <dgm:prSet phldrT="[Text]" custT="1"/>
      <dgm:spPr>
        <a:solidFill>
          <a:schemeClr val="bg1">
            <a:lumMod val="50000"/>
          </a:schemeClr>
        </a:solidFill>
      </dgm:spPr>
      <dgm:t>
        <a:bodyPr/>
        <a:lstStyle/>
        <a:p>
          <a:pPr algn="ctr"/>
          <a:r>
            <a:rPr lang="sk-SK" sz="800" b="1">
              <a:solidFill>
                <a:schemeClr val="bg1"/>
              </a:solidFill>
              <a:latin typeface="Arial Narrow" panose="020B0606020202030204" pitchFamily="34" charset="0"/>
            </a:rPr>
            <a:t>Horizont referenčnej trajektórie</a:t>
          </a:r>
        </a:p>
      </dgm:t>
    </dgm:pt>
    <dgm:pt modelId="{9EA2510D-586A-47DA-8118-934E2ADB22A4}" type="parTrans" cxnId="{3E5748DE-999D-493B-8627-DAB019CA70CB}">
      <dgm:prSet/>
      <dgm:spPr/>
      <dgm:t>
        <a:bodyPr/>
        <a:lstStyle/>
        <a:p>
          <a:pPr algn="ctr"/>
          <a:endParaRPr lang="sk-SK" sz="800"/>
        </a:p>
      </dgm:t>
    </dgm:pt>
    <dgm:pt modelId="{8C49E9CD-0189-4D6D-90C0-B3C47C65BA4B}" type="sibTrans" cxnId="{3E5748DE-999D-493B-8627-DAB019CA70CB}">
      <dgm:prSet/>
      <dgm:spPr/>
      <dgm:t>
        <a:bodyPr/>
        <a:lstStyle/>
        <a:p>
          <a:pPr algn="ctr"/>
          <a:endParaRPr lang="sk-SK" sz="800"/>
        </a:p>
      </dgm:t>
    </dgm:pt>
    <dgm:pt modelId="{F6FE1605-DB21-4D29-8799-F1383FBB4882}">
      <dgm:prSet phldrT="[Text]" custT="1"/>
      <dgm:spPr>
        <a:solidFill>
          <a:srgbClr val="002060"/>
        </a:solidFill>
      </dgm:spPr>
      <dgm:t>
        <a:bodyPr/>
        <a:lstStyle/>
        <a:p>
          <a:pPr algn="ctr"/>
          <a:r>
            <a:rPr lang="sk-SK" sz="700" b="1">
              <a:latin typeface="Arial Narrow" panose="020B0606020202030204" pitchFamily="34" charset="0"/>
            </a:rPr>
            <a:t>4 až 7 rokov</a:t>
          </a:r>
        </a:p>
      </dgm:t>
    </dgm:pt>
    <dgm:pt modelId="{A616B6E7-B962-4C58-BCE6-1A81362D0214}" type="parTrans" cxnId="{4D23886C-CF40-4833-A336-938238DB45FB}">
      <dgm:prSet/>
      <dgm:spPr/>
      <dgm:t>
        <a:bodyPr/>
        <a:lstStyle/>
        <a:p>
          <a:pPr algn="ctr"/>
          <a:endParaRPr lang="sk-SK" sz="800"/>
        </a:p>
      </dgm:t>
    </dgm:pt>
    <dgm:pt modelId="{E0C8F253-047D-40BE-BEB4-096E4BBBBEED}" type="sibTrans" cxnId="{4D23886C-CF40-4833-A336-938238DB45FB}">
      <dgm:prSet/>
      <dgm:spPr/>
      <dgm:t>
        <a:bodyPr/>
        <a:lstStyle/>
        <a:p>
          <a:pPr algn="ctr"/>
          <a:endParaRPr lang="sk-SK" sz="800"/>
        </a:p>
      </dgm:t>
    </dgm:pt>
    <dgm:pt modelId="{78F5CF53-5274-4877-8BA6-BEFEF7A0A2BC}">
      <dgm:prSet phldrT="[Text]" custT="1"/>
      <dgm:spPr>
        <a:solidFill>
          <a:schemeClr val="bg1">
            <a:lumMod val="50000"/>
          </a:schemeClr>
        </a:solidFill>
      </dgm:spPr>
      <dgm:t>
        <a:bodyPr/>
        <a:lstStyle/>
        <a:p>
          <a:pPr algn="ctr"/>
          <a:r>
            <a:rPr lang="sk-SK" sz="800" b="1">
              <a:latin typeface="Arial Narrow" panose="020B0606020202030204" pitchFamily="34" charset="0"/>
            </a:rPr>
            <a:t>Minimálne požiadavky na ročnú konsolidáciu</a:t>
          </a:r>
          <a:endParaRPr lang="sk-SK" sz="800" b="1">
            <a:solidFill>
              <a:schemeClr val="bg1"/>
            </a:solidFill>
            <a:latin typeface="Arial Narrow" panose="020B0606020202030204" pitchFamily="34" charset="0"/>
          </a:endParaRPr>
        </a:p>
      </dgm:t>
    </dgm:pt>
    <dgm:pt modelId="{76C9AD0E-93E6-49EE-9EA9-27A0D56DEB2F}" type="parTrans" cxnId="{5D8434E2-5EAF-409E-8A11-3464E72073C4}">
      <dgm:prSet/>
      <dgm:spPr/>
      <dgm:t>
        <a:bodyPr/>
        <a:lstStyle/>
        <a:p>
          <a:pPr algn="ctr"/>
          <a:endParaRPr lang="sk-SK"/>
        </a:p>
      </dgm:t>
    </dgm:pt>
    <dgm:pt modelId="{4C952623-8828-4082-9C47-2442734A5085}" type="sibTrans" cxnId="{5D8434E2-5EAF-409E-8A11-3464E72073C4}">
      <dgm:prSet/>
      <dgm:spPr/>
      <dgm:t>
        <a:bodyPr/>
        <a:lstStyle/>
        <a:p>
          <a:pPr algn="ctr"/>
          <a:endParaRPr lang="sk-SK"/>
        </a:p>
      </dgm:t>
    </dgm:pt>
    <dgm:pt modelId="{7486FB93-E63C-4868-B5F5-89A32896F4AF}">
      <dgm:prSet phldrT="[Text]" custT="1"/>
      <dgm:spPr>
        <a:solidFill>
          <a:srgbClr val="002060"/>
        </a:solidFill>
      </dgm:spPr>
      <dgm:t>
        <a:bodyPr/>
        <a:lstStyle/>
        <a:p>
          <a:pPr algn="ctr">
            <a:spcAft>
              <a:spcPts val="0"/>
            </a:spcAft>
          </a:pPr>
          <a:r>
            <a:rPr lang="sk-SK" sz="700" b="1">
              <a:latin typeface="Arial Narrow" panose="020B0606020202030204" pitchFamily="34" charset="0"/>
            </a:rPr>
            <a:t>znižovanie štrukturálneho deficitu o min 0,5 % HDP; znižovanie dlhu o 1 p. b., resp. 0,5 p. b.</a:t>
          </a:r>
        </a:p>
      </dgm:t>
    </dgm:pt>
    <dgm:pt modelId="{BD83609C-5EB5-4112-B229-1D0C8C66C6F7}" type="parTrans" cxnId="{2F04B9D8-39B2-4978-AC8C-A85E0D4DC984}">
      <dgm:prSet/>
      <dgm:spPr/>
      <dgm:t>
        <a:bodyPr/>
        <a:lstStyle/>
        <a:p>
          <a:pPr algn="ctr"/>
          <a:endParaRPr lang="sk-SK"/>
        </a:p>
      </dgm:t>
    </dgm:pt>
    <dgm:pt modelId="{F656EE22-28EA-43B1-9AB2-42336B4212F7}" type="sibTrans" cxnId="{2F04B9D8-39B2-4978-AC8C-A85E0D4DC984}">
      <dgm:prSet/>
      <dgm:spPr/>
      <dgm:t>
        <a:bodyPr/>
        <a:lstStyle/>
        <a:p>
          <a:pPr algn="ctr"/>
          <a:endParaRPr lang="sk-SK"/>
        </a:p>
      </dgm:t>
    </dgm:pt>
    <dgm:pt modelId="{A2D6FCCB-B084-419D-A4C2-6E5EB8218B0C}" type="pres">
      <dgm:prSet presAssocID="{9D59B1B8-8C42-46DD-B1F9-A75DE94CB48D}" presName="diagram" presStyleCnt="0">
        <dgm:presLayoutVars>
          <dgm:dir/>
          <dgm:resizeHandles val="exact"/>
        </dgm:presLayoutVars>
      </dgm:prSet>
      <dgm:spPr/>
      <dgm:t>
        <a:bodyPr/>
        <a:lstStyle/>
        <a:p>
          <a:endParaRPr lang="sk-SK"/>
        </a:p>
      </dgm:t>
    </dgm:pt>
    <dgm:pt modelId="{04AB041D-74CD-4F3B-8C28-225E81E1493C}" type="pres">
      <dgm:prSet presAssocID="{8825491B-EDA0-4CA0-9003-43865E95819E}" presName="node" presStyleLbl="node1" presStyleIdx="0" presStyleCnt="9" custScaleX="161461" custLinFactNeighborX="7692">
        <dgm:presLayoutVars>
          <dgm:bulletEnabled val="1"/>
        </dgm:presLayoutVars>
      </dgm:prSet>
      <dgm:spPr/>
      <dgm:t>
        <a:bodyPr/>
        <a:lstStyle/>
        <a:p>
          <a:endParaRPr lang="sk-SK"/>
        </a:p>
      </dgm:t>
    </dgm:pt>
    <dgm:pt modelId="{0462C1C0-C168-4059-B39A-23950E7EFEE0}" type="pres">
      <dgm:prSet presAssocID="{52D751AB-5CD4-4A67-818F-AFCD43E1F99E}" presName="sibTrans" presStyleCnt="0"/>
      <dgm:spPr/>
    </dgm:pt>
    <dgm:pt modelId="{19874094-88F5-4006-B1D0-E8B7D45BBB46}" type="pres">
      <dgm:prSet presAssocID="{87F30C7D-11CE-4F0B-8E3D-60005BB71870}" presName="node" presStyleLbl="node1" presStyleIdx="1" presStyleCnt="9" custScaleX="107597" custLinFactNeighborX="7793">
        <dgm:presLayoutVars>
          <dgm:bulletEnabled val="1"/>
        </dgm:presLayoutVars>
      </dgm:prSet>
      <dgm:spPr>
        <a:prstGeom prst="ellipse">
          <a:avLst/>
        </a:prstGeom>
      </dgm:spPr>
      <dgm:t>
        <a:bodyPr/>
        <a:lstStyle/>
        <a:p>
          <a:endParaRPr lang="sk-SK"/>
        </a:p>
      </dgm:t>
    </dgm:pt>
    <dgm:pt modelId="{C48E4D72-A38C-4894-A8B4-91D44CA7E7A8}" type="pres">
      <dgm:prSet presAssocID="{AD408A19-4E45-412C-B1D2-669610A6E9FA}" presName="sibTrans" presStyleCnt="0"/>
      <dgm:spPr/>
    </dgm:pt>
    <dgm:pt modelId="{684C5057-1360-428F-8FCA-635030CC7209}" type="pres">
      <dgm:prSet presAssocID="{E21AE283-ABDC-47D2-BD1E-FD7C6C2E2F54}" presName="node" presStyleLbl="node1" presStyleIdx="2" presStyleCnt="9" custScaleX="110040" custLinFactNeighborX="-1732">
        <dgm:presLayoutVars>
          <dgm:bulletEnabled val="1"/>
        </dgm:presLayoutVars>
      </dgm:prSet>
      <dgm:spPr>
        <a:prstGeom prst="ellipse">
          <a:avLst/>
        </a:prstGeom>
      </dgm:spPr>
      <dgm:t>
        <a:bodyPr/>
        <a:lstStyle/>
        <a:p>
          <a:endParaRPr lang="sk-SK"/>
        </a:p>
      </dgm:t>
    </dgm:pt>
    <dgm:pt modelId="{877D84EA-596A-406A-BBD7-6F1764C5DFAA}" type="pres">
      <dgm:prSet presAssocID="{97C5E25B-FD0D-4DED-A09C-82077979E822}" presName="sibTrans" presStyleCnt="0"/>
      <dgm:spPr/>
    </dgm:pt>
    <dgm:pt modelId="{2F6A629F-49E1-4B75-822B-567BB1A17CAD}" type="pres">
      <dgm:prSet presAssocID="{997AED1D-EB80-4234-AFF3-EB09238D9EA6}" presName="node" presStyleLbl="node1" presStyleIdx="3" presStyleCnt="9" custScaleX="161461">
        <dgm:presLayoutVars>
          <dgm:bulletEnabled val="1"/>
        </dgm:presLayoutVars>
      </dgm:prSet>
      <dgm:spPr/>
      <dgm:t>
        <a:bodyPr/>
        <a:lstStyle/>
        <a:p>
          <a:endParaRPr lang="sk-SK"/>
        </a:p>
      </dgm:t>
    </dgm:pt>
    <dgm:pt modelId="{5BD07292-E069-4A6D-B5D6-C1FECFA6C97C}" type="pres">
      <dgm:prSet presAssocID="{59E3B083-8C55-4066-B845-0CE53BFB0889}" presName="sibTrans" presStyleCnt="0"/>
      <dgm:spPr/>
    </dgm:pt>
    <dgm:pt modelId="{411E1267-587B-4461-9E0B-5574FFEDF70B}" type="pres">
      <dgm:prSet presAssocID="{5DE681C1-405A-49A4-97DC-DF426DC61C2E}" presName="node" presStyleLbl="node1" presStyleIdx="4" presStyleCnt="9" custScaleX="210219">
        <dgm:presLayoutVars>
          <dgm:bulletEnabled val="1"/>
        </dgm:presLayoutVars>
      </dgm:prSet>
      <dgm:spPr>
        <a:prstGeom prst="ellipse">
          <a:avLst/>
        </a:prstGeom>
      </dgm:spPr>
      <dgm:t>
        <a:bodyPr/>
        <a:lstStyle/>
        <a:p>
          <a:endParaRPr lang="sk-SK"/>
        </a:p>
      </dgm:t>
    </dgm:pt>
    <dgm:pt modelId="{00FF746C-0DEA-4FDD-8187-2A7ABDA2F90D}" type="pres">
      <dgm:prSet presAssocID="{8D325795-C068-42D2-8F40-E52AB58CCCB3}" presName="sibTrans" presStyleCnt="0"/>
      <dgm:spPr/>
    </dgm:pt>
    <dgm:pt modelId="{A5BBBF42-5496-4255-8E67-8CE645BF5C31}" type="pres">
      <dgm:prSet presAssocID="{D2DEB4DB-CB3B-4326-8208-2283573C17F7}" presName="node" presStyleLbl="node1" presStyleIdx="5" presStyleCnt="9" custScaleX="161396" custLinFactNeighborX="-42550">
        <dgm:presLayoutVars>
          <dgm:bulletEnabled val="1"/>
        </dgm:presLayoutVars>
      </dgm:prSet>
      <dgm:spPr/>
      <dgm:t>
        <a:bodyPr/>
        <a:lstStyle/>
        <a:p>
          <a:endParaRPr lang="sk-SK"/>
        </a:p>
      </dgm:t>
    </dgm:pt>
    <dgm:pt modelId="{14CAB2F6-28BC-427B-8AED-2B34F8AB8BBB}" type="pres">
      <dgm:prSet presAssocID="{8C49E9CD-0189-4D6D-90C0-B3C47C65BA4B}" presName="sibTrans" presStyleCnt="0"/>
      <dgm:spPr/>
    </dgm:pt>
    <dgm:pt modelId="{9749555E-DDD9-487A-A6FB-A43EC3E0E6EC}" type="pres">
      <dgm:prSet presAssocID="{F6FE1605-DB21-4D29-8799-F1383FBB4882}" presName="node" presStyleLbl="node1" presStyleIdx="6" presStyleCnt="9" custScaleX="125405">
        <dgm:presLayoutVars>
          <dgm:bulletEnabled val="1"/>
        </dgm:presLayoutVars>
      </dgm:prSet>
      <dgm:spPr>
        <a:prstGeom prst="ellipse">
          <a:avLst/>
        </a:prstGeom>
      </dgm:spPr>
      <dgm:t>
        <a:bodyPr/>
        <a:lstStyle/>
        <a:p>
          <a:endParaRPr lang="sk-SK"/>
        </a:p>
      </dgm:t>
    </dgm:pt>
    <dgm:pt modelId="{A9179A47-8A29-4D63-AB1E-BCC97ABEF04F}" type="pres">
      <dgm:prSet presAssocID="{E0C8F253-047D-40BE-BEB4-096E4BBBBEED}" presName="sibTrans" presStyleCnt="0"/>
      <dgm:spPr/>
    </dgm:pt>
    <dgm:pt modelId="{2E5465F8-128A-4218-89FA-1441AB39B043}" type="pres">
      <dgm:prSet presAssocID="{78F5CF53-5274-4877-8BA6-BEFEF7A0A2BC}" presName="node" presStyleLbl="node1" presStyleIdx="7" presStyleCnt="9" custScaleX="161396">
        <dgm:presLayoutVars>
          <dgm:bulletEnabled val="1"/>
        </dgm:presLayoutVars>
      </dgm:prSet>
      <dgm:spPr/>
      <dgm:t>
        <a:bodyPr/>
        <a:lstStyle/>
        <a:p>
          <a:endParaRPr lang="sk-SK"/>
        </a:p>
      </dgm:t>
    </dgm:pt>
    <dgm:pt modelId="{CBC61567-EBF1-4D44-8405-5E3C52785334}" type="pres">
      <dgm:prSet presAssocID="{4C952623-8828-4082-9C47-2442734A5085}" presName="sibTrans" presStyleCnt="0"/>
      <dgm:spPr/>
    </dgm:pt>
    <dgm:pt modelId="{8686B6DF-F05B-443B-917C-5E86C49C8B0D}" type="pres">
      <dgm:prSet presAssocID="{7486FB93-E63C-4868-B5F5-89A32896F4AF}" presName="node" presStyleLbl="node1" presStyleIdx="8" presStyleCnt="9" custScaleX="211377" custScaleY="116270">
        <dgm:presLayoutVars>
          <dgm:bulletEnabled val="1"/>
        </dgm:presLayoutVars>
      </dgm:prSet>
      <dgm:spPr>
        <a:prstGeom prst="ellipse">
          <a:avLst/>
        </a:prstGeom>
      </dgm:spPr>
      <dgm:t>
        <a:bodyPr/>
        <a:lstStyle/>
        <a:p>
          <a:endParaRPr lang="sk-SK"/>
        </a:p>
      </dgm:t>
    </dgm:pt>
  </dgm:ptLst>
  <dgm:cxnLst>
    <dgm:cxn modelId="{2F04B9D8-39B2-4978-AC8C-A85E0D4DC984}" srcId="{9D59B1B8-8C42-46DD-B1F9-A75DE94CB48D}" destId="{7486FB93-E63C-4868-B5F5-89A32896F4AF}" srcOrd="8" destOrd="0" parTransId="{BD83609C-5EB5-4112-B229-1D0C8C66C6F7}" sibTransId="{F656EE22-28EA-43B1-9AB2-42336B4212F7}"/>
    <dgm:cxn modelId="{4D23886C-CF40-4833-A336-938238DB45FB}" srcId="{9D59B1B8-8C42-46DD-B1F9-A75DE94CB48D}" destId="{F6FE1605-DB21-4D29-8799-F1383FBB4882}" srcOrd="6" destOrd="0" parTransId="{A616B6E7-B962-4C58-BCE6-1A81362D0214}" sibTransId="{E0C8F253-047D-40BE-BEB4-096E4BBBBEED}"/>
    <dgm:cxn modelId="{A960FA0E-332F-474E-9302-7C3E22423237}" type="presOf" srcId="{8825491B-EDA0-4CA0-9003-43865E95819E}" destId="{04AB041D-74CD-4F3B-8C28-225E81E1493C}" srcOrd="0" destOrd="0" presId="urn:microsoft.com/office/officeart/2005/8/layout/default"/>
    <dgm:cxn modelId="{40F2A2B4-E715-4078-9431-9184B3FAF3A1}" srcId="{9D59B1B8-8C42-46DD-B1F9-A75DE94CB48D}" destId="{997AED1D-EB80-4234-AFF3-EB09238D9EA6}" srcOrd="3" destOrd="0" parTransId="{F5E91CA3-C265-4323-85C3-C1031DDD9314}" sibTransId="{59E3B083-8C55-4066-B845-0CE53BFB0889}"/>
    <dgm:cxn modelId="{F2B125EF-D0F2-4F24-8701-ED5A8B461310}" type="presOf" srcId="{997AED1D-EB80-4234-AFF3-EB09238D9EA6}" destId="{2F6A629F-49E1-4B75-822B-567BB1A17CAD}" srcOrd="0" destOrd="0" presId="urn:microsoft.com/office/officeart/2005/8/layout/default"/>
    <dgm:cxn modelId="{3E5748DE-999D-493B-8627-DAB019CA70CB}" srcId="{9D59B1B8-8C42-46DD-B1F9-A75DE94CB48D}" destId="{D2DEB4DB-CB3B-4326-8208-2283573C17F7}" srcOrd="5" destOrd="0" parTransId="{9EA2510D-586A-47DA-8118-934E2ADB22A4}" sibTransId="{8C49E9CD-0189-4D6D-90C0-B3C47C65BA4B}"/>
    <dgm:cxn modelId="{878DA42B-6C9A-4E71-8B94-FF313EF1198B}" srcId="{9D59B1B8-8C42-46DD-B1F9-A75DE94CB48D}" destId="{5DE681C1-405A-49A4-97DC-DF426DC61C2E}" srcOrd="4" destOrd="0" parTransId="{D11E9FB3-CCA3-4B36-94D0-AC2092F6AB21}" sibTransId="{8D325795-C068-42D2-8F40-E52AB58CCCB3}"/>
    <dgm:cxn modelId="{7F723D8B-3611-4F5D-8B61-C4EF8DD9B2D3}" type="presOf" srcId="{7486FB93-E63C-4868-B5F5-89A32896F4AF}" destId="{8686B6DF-F05B-443B-917C-5E86C49C8B0D}" srcOrd="0" destOrd="0" presId="urn:microsoft.com/office/officeart/2005/8/layout/default"/>
    <dgm:cxn modelId="{9E59D66A-59CC-470A-925D-94D5F82726A7}" srcId="{9D59B1B8-8C42-46DD-B1F9-A75DE94CB48D}" destId="{8825491B-EDA0-4CA0-9003-43865E95819E}" srcOrd="0" destOrd="0" parTransId="{01653250-857E-406F-980B-F91E45D2E7E4}" sibTransId="{52D751AB-5CD4-4A67-818F-AFCD43E1F99E}"/>
    <dgm:cxn modelId="{144B7E56-24A6-4CA9-B983-DC19E64EBE65}" srcId="{9D59B1B8-8C42-46DD-B1F9-A75DE94CB48D}" destId="{E21AE283-ABDC-47D2-BD1E-FD7C6C2E2F54}" srcOrd="2" destOrd="0" parTransId="{7CB25BCA-FA4E-4874-BA04-DE2CE88B2612}" sibTransId="{97C5E25B-FD0D-4DED-A09C-82077979E822}"/>
    <dgm:cxn modelId="{C6CF942D-C078-408E-AAFD-15B14911F470}" type="presOf" srcId="{F6FE1605-DB21-4D29-8799-F1383FBB4882}" destId="{9749555E-DDD9-487A-A6FB-A43EC3E0E6EC}" srcOrd="0" destOrd="0" presId="urn:microsoft.com/office/officeart/2005/8/layout/default"/>
    <dgm:cxn modelId="{85A8F1A9-FA88-4627-80ED-67F70FDA0ECC}" type="presOf" srcId="{9D59B1B8-8C42-46DD-B1F9-A75DE94CB48D}" destId="{A2D6FCCB-B084-419D-A4C2-6E5EB8218B0C}" srcOrd="0" destOrd="0" presId="urn:microsoft.com/office/officeart/2005/8/layout/default"/>
    <dgm:cxn modelId="{68AB25CD-6D52-4095-A31A-7E7A8847ACC7}" type="presOf" srcId="{E21AE283-ABDC-47D2-BD1E-FD7C6C2E2F54}" destId="{684C5057-1360-428F-8FCA-635030CC7209}" srcOrd="0" destOrd="0" presId="urn:microsoft.com/office/officeart/2005/8/layout/default"/>
    <dgm:cxn modelId="{525B94E4-5B2E-4773-A9A5-5A9CE15EE54E}" type="presOf" srcId="{78F5CF53-5274-4877-8BA6-BEFEF7A0A2BC}" destId="{2E5465F8-128A-4218-89FA-1441AB39B043}" srcOrd="0" destOrd="0" presId="urn:microsoft.com/office/officeart/2005/8/layout/default"/>
    <dgm:cxn modelId="{D8796510-1569-49E7-8FAA-9E560D6105EC}" type="presOf" srcId="{D2DEB4DB-CB3B-4326-8208-2283573C17F7}" destId="{A5BBBF42-5496-4255-8E67-8CE645BF5C31}" srcOrd="0" destOrd="0" presId="urn:microsoft.com/office/officeart/2005/8/layout/default"/>
    <dgm:cxn modelId="{1CAEE2BA-0573-43E3-A683-8278045C0F08}" type="presOf" srcId="{87F30C7D-11CE-4F0B-8E3D-60005BB71870}" destId="{19874094-88F5-4006-B1D0-E8B7D45BBB46}" srcOrd="0" destOrd="0" presId="urn:microsoft.com/office/officeart/2005/8/layout/default"/>
    <dgm:cxn modelId="{5D8434E2-5EAF-409E-8A11-3464E72073C4}" srcId="{9D59B1B8-8C42-46DD-B1F9-A75DE94CB48D}" destId="{78F5CF53-5274-4877-8BA6-BEFEF7A0A2BC}" srcOrd="7" destOrd="0" parTransId="{76C9AD0E-93E6-49EE-9EA9-27A0D56DEB2F}" sibTransId="{4C952623-8828-4082-9C47-2442734A5085}"/>
    <dgm:cxn modelId="{FCE27C6E-E84A-4AC2-8C97-F8E64D6982F3}" srcId="{9D59B1B8-8C42-46DD-B1F9-A75DE94CB48D}" destId="{87F30C7D-11CE-4F0B-8E3D-60005BB71870}" srcOrd="1" destOrd="0" parTransId="{E2CAB0CF-3EDF-4E74-9F20-7AFAFFCAEFB5}" sibTransId="{AD408A19-4E45-412C-B1D2-669610A6E9FA}"/>
    <dgm:cxn modelId="{A014E9CA-3810-4147-9917-A6269549EB7A}" type="presOf" srcId="{5DE681C1-405A-49A4-97DC-DF426DC61C2E}" destId="{411E1267-587B-4461-9E0B-5574FFEDF70B}" srcOrd="0" destOrd="0" presId="urn:microsoft.com/office/officeart/2005/8/layout/default"/>
    <dgm:cxn modelId="{4CF047DD-758E-4F7E-9135-7AEBCFA52A88}" type="presParOf" srcId="{A2D6FCCB-B084-419D-A4C2-6E5EB8218B0C}" destId="{04AB041D-74CD-4F3B-8C28-225E81E1493C}" srcOrd="0" destOrd="0" presId="urn:microsoft.com/office/officeart/2005/8/layout/default"/>
    <dgm:cxn modelId="{553A6F64-B667-44BE-B16E-38608657E05D}" type="presParOf" srcId="{A2D6FCCB-B084-419D-A4C2-6E5EB8218B0C}" destId="{0462C1C0-C168-4059-B39A-23950E7EFEE0}" srcOrd="1" destOrd="0" presId="urn:microsoft.com/office/officeart/2005/8/layout/default"/>
    <dgm:cxn modelId="{C6BDB3ED-104B-46C4-968A-C1B6F90F91EA}" type="presParOf" srcId="{A2D6FCCB-B084-419D-A4C2-6E5EB8218B0C}" destId="{19874094-88F5-4006-B1D0-E8B7D45BBB46}" srcOrd="2" destOrd="0" presId="urn:microsoft.com/office/officeart/2005/8/layout/default"/>
    <dgm:cxn modelId="{EC84DE09-F3CA-4BFD-9B45-8A99C70893F4}" type="presParOf" srcId="{A2D6FCCB-B084-419D-A4C2-6E5EB8218B0C}" destId="{C48E4D72-A38C-4894-A8B4-91D44CA7E7A8}" srcOrd="3" destOrd="0" presId="urn:microsoft.com/office/officeart/2005/8/layout/default"/>
    <dgm:cxn modelId="{CC62F3F6-0380-4EE3-A491-EA3DA8BFAC33}" type="presParOf" srcId="{A2D6FCCB-B084-419D-A4C2-6E5EB8218B0C}" destId="{684C5057-1360-428F-8FCA-635030CC7209}" srcOrd="4" destOrd="0" presId="urn:microsoft.com/office/officeart/2005/8/layout/default"/>
    <dgm:cxn modelId="{3483FE0D-A9FD-4837-87C3-D6DB384FB69E}" type="presParOf" srcId="{A2D6FCCB-B084-419D-A4C2-6E5EB8218B0C}" destId="{877D84EA-596A-406A-BBD7-6F1764C5DFAA}" srcOrd="5" destOrd="0" presId="urn:microsoft.com/office/officeart/2005/8/layout/default"/>
    <dgm:cxn modelId="{D31CB5B5-7641-4803-84A8-5EBC38B718EB}" type="presParOf" srcId="{A2D6FCCB-B084-419D-A4C2-6E5EB8218B0C}" destId="{2F6A629F-49E1-4B75-822B-567BB1A17CAD}" srcOrd="6" destOrd="0" presId="urn:microsoft.com/office/officeart/2005/8/layout/default"/>
    <dgm:cxn modelId="{9127716D-EB58-4700-B1E9-724302A24D57}" type="presParOf" srcId="{A2D6FCCB-B084-419D-A4C2-6E5EB8218B0C}" destId="{5BD07292-E069-4A6D-B5D6-C1FECFA6C97C}" srcOrd="7" destOrd="0" presId="urn:microsoft.com/office/officeart/2005/8/layout/default"/>
    <dgm:cxn modelId="{84BD3282-B36E-49E3-9774-95080D8EE5D1}" type="presParOf" srcId="{A2D6FCCB-B084-419D-A4C2-6E5EB8218B0C}" destId="{411E1267-587B-4461-9E0B-5574FFEDF70B}" srcOrd="8" destOrd="0" presId="urn:microsoft.com/office/officeart/2005/8/layout/default"/>
    <dgm:cxn modelId="{41140AE4-D8A8-44E2-AE42-AF3B7C165CD9}" type="presParOf" srcId="{A2D6FCCB-B084-419D-A4C2-6E5EB8218B0C}" destId="{00FF746C-0DEA-4FDD-8187-2A7ABDA2F90D}" srcOrd="9" destOrd="0" presId="urn:microsoft.com/office/officeart/2005/8/layout/default"/>
    <dgm:cxn modelId="{93DD0243-EFB5-40C5-AB6D-210F737B7150}" type="presParOf" srcId="{A2D6FCCB-B084-419D-A4C2-6E5EB8218B0C}" destId="{A5BBBF42-5496-4255-8E67-8CE645BF5C31}" srcOrd="10" destOrd="0" presId="urn:microsoft.com/office/officeart/2005/8/layout/default"/>
    <dgm:cxn modelId="{BE5E9F1F-96A0-44F9-A9FA-A668C4065E53}" type="presParOf" srcId="{A2D6FCCB-B084-419D-A4C2-6E5EB8218B0C}" destId="{14CAB2F6-28BC-427B-8AED-2B34F8AB8BBB}" srcOrd="11" destOrd="0" presId="urn:microsoft.com/office/officeart/2005/8/layout/default"/>
    <dgm:cxn modelId="{0121A57D-06E8-49A0-874C-B2BC6DDC4E3C}" type="presParOf" srcId="{A2D6FCCB-B084-419D-A4C2-6E5EB8218B0C}" destId="{9749555E-DDD9-487A-A6FB-A43EC3E0E6EC}" srcOrd="12" destOrd="0" presId="urn:microsoft.com/office/officeart/2005/8/layout/default"/>
    <dgm:cxn modelId="{CBA990FB-E513-42A4-B589-D51EF3302403}" type="presParOf" srcId="{A2D6FCCB-B084-419D-A4C2-6E5EB8218B0C}" destId="{A9179A47-8A29-4D63-AB1E-BCC97ABEF04F}" srcOrd="13" destOrd="0" presId="urn:microsoft.com/office/officeart/2005/8/layout/default"/>
    <dgm:cxn modelId="{A5805D95-39B1-4453-9139-952713B92F6C}" type="presParOf" srcId="{A2D6FCCB-B084-419D-A4C2-6E5EB8218B0C}" destId="{2E5465F8-128A-4218-89FA-1441AB39B043}" srcOrd="14" destOrd="0" presId="urn:microsoft.com/office/officeart/2005/8/layout/default"/>
    <dgm:cxn modelId="{28371385-39FF-4EB1-99F7-08FB3FEE0C26}" type="presParOf" srcId="{A2D6FCCB-B084-419D-A4C2-6E5EB8218B0C}" destId="{CBC61567-EBF1-4D44-8405-5E3C52785334}" srcOrd="15" destOrd="0" presId="urn:microsoft.com/office/officeart/2005/8/layout/default"/>
    <dgm:cxn modelId="{F9E1194A-EC09-4478-BFA2-857AD264F14F}" type="presParOf" srcId="{A2D6FCCB-B084-419D-A4C2-6E5EB8218B0C}" destId="{8686B6DF-F05B-443B-917C-5E86C49C8B0D}" srcOrd="16" destOrd="0" presId="urn:microsoft.com/office/officeart/2005/8/layout/defaul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D59B1B8-8C42-46DD-B1F9-A75DE94CB48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sk-SK"/>
        </a:p>
      </dgm:t>
    </dgm:pt>
    <dgm:pt modelId="{997AED1D-EB80-4234-AFF3-EB09238D9EA6}">
      <dgm:prSet phldrT="[Text]" custT="1"/>
      <dgm:spPr>
        <a:solidFill>
          <a:schemeClr val="bg1">
            <a:lumMod val="65000"/>
          </a:schemeClr>
        </a:solidFill>
      </dgm:spPr>
      <dgm:t>
        <a:bodyPr/>
        <a:lstStyle/>
        <a:p>
          <a:r>
            <a:rPr lang="sk-SK" sz="800" b="1">
              <a:latin typeface="Arial Narrow" panose="020B0606020202030204" pitchFamily="34" charset="0"/>
            </a:rPr>
            <a:t>Flexibilita</a:t>
          </a:r>
        </a:p>
      </dgm:t>
    </dgm:pt>
    <dgm:pt modelId="{F5E91CA3-C265-4323-85C3-C1031DDD9314}" type="parTrans" cxnId="{40F2A2B4-E715-4078-9431-9184B3FAF3A1}">
      <dgm:prSet/>
      <dgm:spPr/>
      <dgm:t>
        <a:bodyPr/>
        <a:lstStyle/>
        <a:p>
          <a:endParaRPr lang="sk-SK" sz="800" b="1">
            <a:latin typeface="Arial Narrow" panose="020B0606020202030204" pitchFamily="34" charset="0"/>
          </a:endParaRPr>
        </a:p>
      </dgm:t>
    </dgm:pt>
    <dgm:pt modelId="{59E3B083-8C55-4066-B845-0CE53BFB0889}" type="sibTrans" cxnId="{40F2A2B4-E715-4078-9431-9184B3FAF3A1}">
      <dgm:prSet/>
      <dgm:spPr/>
      <dgm:t>
        <a:bodyPr/>
        <a:lstStyle/>
        <a:p>
          <a:endParaRPr lang="sk-SK" sz="800" b="1">
            <a:latin typeface="Arial Narrow" panose="020B0606020202030204" pitchFamily="34" charset="0"/>
          </a:endParaRPr>
        </a:p>
      </dgm:t>
    </dgm:pt>
    <dgm:pt modelId="{5DE681C1-405A-49A4-97DC-DF426DC61C2E}">
      <dgm:prSet phldrT="[Text]" custT="1"/>
      <dgm:spPr>
        <a:solidFill>
          <a:srgbClr val="2C9ADC"/>
        </a:solidFill>
      </dgm:spPr>
      <dgm:t>
        <a:bodyPr/>
        <a:lstStyle/>
        <a:p>
          <a:r>
            <a:rPr lang="sk-SK" sz="650" b="1">
              <a:latin typeface="Arial Narrow" panose="020B0606020202030204" pitchFamily="34" charset="0"/>
            </a:rPr>
            <a:t>rozloženie konsolidácie o max 3 roky pri dodatočných reformách a investíciách</a:t>
          </a:r>
        </a:p>
      </dgm:t>
    </dgm:pt>
    <dgm:pt modelId="{8D325795-C068-42D2-8F40-E52AB58CCCB3}" type="sibTrans" cxnId="{878DA42B-6C9A-4E71-8B94-FF313EF1198B}">
      <dgm:prSet/>
      <dgm:spPr/>
      <dgm:t>
        <a:bodyPr/>
        <a:lstStyle/>
        <a:p>
          <a:endParaRPr lang="sk-SK" sz="800" b="1">
            <a:latin typeface="Arial Narrow" panose="020B0606020202030204" pitchFamily="34" charset="0"/>
          </a:endParaRPr>
        </a:p>
      </dgm:t>
    </dgm:pt>
    <dgm:pt modelId="{D11E9FB3-CCA3-4B36-94D0-AC2092F6AB21}" type="parTrans" cxnId="{878DA42B-6C9A-4E71-8B94-FF313EF1198B}">
      <dgm:prSet/>
      <dgm:spPr/>
      <dgm:t>
        <a:bodyPr/>
        <a:lstStyle/>
        <a:p>
          <a:endParaRPr lang="sk-SK" sz="800" b="1">
            <a:latin typeface="Arial Narrow" panose="020B0606020202030204" pitchFamily="34" charset="0"/>
          </a:endParaRPr>
        </a:p>
      </dgm:t>
    </dgm:pt>
    <dgm:pt modelId="{D2DEB4DB-CB3B-4326-8208-2283573C17F7}">
      <dgm:prSet phldrT="[Text]" custT="1"/>
      <dgm:spPr>
        <a:solidFill>
          <a:schemeClr val="bg1">
            <a:lumMod val="65000"/>
          </a:schemeClr>
        </a:solidFill>
      </dgm:spPr>
      <dgm:t>
        <a:bodyPr/>
        <a:lstStyle/>
        <a:p>
          <a:r>
            <a:rPr lang="sk-SK" sz="800" b="1">
              <a:solidFill>
                <a:schemeClr val="bg1"/>
              </a:solidFill>
              <a:latin typeface="Arial Narrow" panose="020B0606020202030204" pitchFamily="34" charset="0"/>
            </a:rPr>
            <a:t>Monitoring</a:t>
          </a:r>
        </a:p>
      </dgm:t>
    </dgm:pt>
    <dgm:pt modelId="{9EA2510D-586A-47DA-8118-934E2ADB22A4}" type="parTrans" cxnId="{3E5748DE-999D-493B-8627-DAB019CA70CB}">
      <dgm:prSet/>
      <dgm:spPr/>
      <dgm:t>
        <a:bodyPr/>
        <a:lstStyle/>
        <a:p>
          <a:endParaRPr lang="sk-SK" sz="800"/>
        </a:p>
      </dgm:t>
    </dgm:pt>
    <dgm:pt modelId="{8C49E9CD-0189-4D6D-90C0-B3C47C65BA4B}" type="sibTrans" cxnId="{3E5748DE-999D-493B-8627-DAB019CA70CB}">
      <dgm:prSet/>
      <dgm:spPr/>
      <dgm:t>
        <a:bodyPr/>
        <a:lstStyle/>
        <a:p>
          <a:endParaRPr lang="sk-SK" sz="800"/>
        </a:p>
      </dgm:t>
    </dgm:pt>
    <dgm:pt modelId="{F6FE1605-DB21-4D29-8799-F1383FBB4882}">
      <dgm:prSet phldrT="[Text]" custT="1"/>
      <dgm:spPr>
        <a:solidFill>
          <a:srgbClr val="2C9ADC"/>
        </a:solidFill>
      </dgm:spPr>
      <dgm:t>
        <a:bodyPr/>
        <a:lstStyle/>
        <a:p>
          <a:r>
            <a:rPr lang="sk-SK" sz="650" b="1">
              <a:latin typeface="Arial Narrow" panose="020B0606020202030204" pitchFamily="34" charset="0"/>
            </a:rPr>
            <a:t>odchýlenia od referenčnej trajektórie zaznamenávané na kontrolný účet</a:t>
          </a:r>
        </a:p>
      </dgm:t>
    </dgm:pt>
    <dgm:pt modelId="{A616B6E7-B962-4C58-BCE6-1A81362D0214}" type="parTrans" cxnId="{4D23886C-CF40-4833-A336-938238DB45FB}">
      <dgm:prSet/>
      <dgm:spPr/>
      <dgm:t>
        <a:bodyPr/>
        <a:lstStyle/>
        <a:p>
          <a:endParaRPr lang="sk-SK" sz="800"/>
        </a:p>
      </dgm:t>
    </dgm:pt>
    <dgm:pt modelId="{E0C8F253-047D-40BE-BEB4-096E4BBBBEED}" type="sibTrans" cxnId="{4D23886C-CF40-4833-A336-938238DB45FB}">
      <dgm:prSet/>
      <dgm:spPr/>
      <dgm:t>
        <a:bodyPr/>
        <a:lstStyle/>
        <a:p>
          <a:endParaRPr lang="sk-SK" sz="800"/>
        </a:p>
      </dgm:t>
    </dgm:pt>
    <dgm:pt modelId="{78F5CF53-5274-4877-8BA6-BEFEF7A0A2BC}">
      <dgm:prSet phldrT="[Text]" custT="1"/>
      <dgm:spPr>
        <a:solidFill>
          <a:schemeClr val="bg1">
            <a:lumMod val="65000"/>
          </a:schemeClr>
        </a:solidFill>
      </dgm:spPr>
      <dgm:t>
        <a:bodyPr/>
        <a:lstStyle/>
        <a:p>
          <a:r>
            <a:rPr lang="sk-SK" sz="800" b="1">
              <a:solidFill>
                <a:schemeClr val="bg1"/>
              </a:solidFill>
              <a:latin typeface="Arial Narrow" panose="020B0606020202030204" pitchFamily="34" charset="0"/>
            </a:rPr>
            <a:t>Ukotvenie</a:t>
          </a:r>
        </a:p>
      </dgm:t>
    </dgm:pt>
    <dgm:pt modelId="{76C9AD0E-93E6-49EE-9EA9-27A0D56DEB2F}" type="parTrans" cxnId="{5D8434E2-5EAF-409E-8A11-3464E72073C4}">
      <dgm:prSet/>
      <dgm:spPr/>
      <dgm:t>
        <a:bodyPr/>
        <a:lstStyle/>
        <a:p>
          <a:endParaRPr lang="sk-SK"/>
        </a:p>
      </dgm:t>
    </dgm:pt>
    <dgm:pt modelId="{4C952623-8828-4082-9C47-2442734A5085}" type="sibTrans" cxnId="{5D8434E2-5EAF-409E-8A11-3464E72073C4}">
      <dgm:prSet/>
      <dgm:spPr/>
      <dgm:t>
        <a:bodyPr/>
        <a:lstStyle/>
        <a:p>
          <a:endParaRPr lang="sk-SK"/>
        </a:p>
      </dgm:t>
    </dgm:pt>
    <dgm:pt modelId="{7486FB93-E63C-4868-B5F5-89A32896F4AF}">
      <dgm:prSet phldrT="[Text]" custT="1"/>
      <dgm:spPr>
        <a:solidFill>
          <a:srgbClr val="2C9ADC"/>
        </a:solidFill>
      </dgm:spPr>
      <dgm:t>
        <a:bodyPr/>
        <a:lstStyle/>
        <a:p>
          <a:r>
            <a:rPr lang="sk-SK" sz="700" b="1">
              <a:latin typeface="Arial Narrow" panose="020B0606020202030204" pitchFamily="34" charset="0"/>
            </a:rPr>
            <a:t>národný strednodobý fiškálno-štrukturálny plán</a:t>
          </a:r>
        </a:p>
      </dgm:t>
    </dgm:pt>
    <dgm:pt modelId="{BD83609C-5EB5-4112-B229-1D0C8C66C6F7}" type="parTrans" cxnId="{2F04B9D8-39B2-4978-AC8C-A85E0D4DC984}">
      <dgm:prSet/>
      <dgm:spPr/>
      <dgm:t>
        <a:bodyPr/>
        <a:lstStyle/>
        <a:p>
          <a:endParaRPr lang="sk-SK"/>
        </a:p>
      </dgm:t>
    </dgm:pt>
    <dgm:pt modelId="{F656EE22-28EA-43B1-9AB2-42336B4212F7}" type="sibTrans" cxnId="{2F04B9D8-39B2-4978-AC8C-A85E0D4DC984}">
      <dgm:prSet/>
      <dgm:spPr/>
      <dgm:t>
        <a:bodyPr/>
        <a:lstStyle/>
        <a:p>
          <a:endParaRPr lang="sk-SK"/>
        </a:p>
      </dgm:t>
    </dgm:pt>
    <dgm:pt modelId="{A2D6FCCB-B084-419D-A4C2-6E5EB8218B0C}" type="pres">
      <dgm:prSet presAssocID="{9D59B1B8-8C42-46DD-B1F9-A75DE94CB48D}" presName="diagram" presStyleCnt="0">
        <dgm:presLayoutVars>
          <dgm:dir/>
          <dgm:resizeHandles val="exact"/>
        </dgm:presLayoutVars>
      </dgm:prSet>
      <dgm:spPr/>
      <dgm:t>
        <a:bodyPr/>
        <a:lstStyle/>
        <a:p>
          <a:endParaRPr lang="sk-SK"/>
        </a:p>
      </dgm:t>
    </dgm:pt>
    <dgm:pt modelId="{2F6A629F-49E1-4B75-822B-567BB1A17CAD}" type="pres">
      <dgm:prSet presAssocID="{997AED1D-EB80-4234-AFF3-EB09238D9EA6}" presName="node" presStyleLbl="node1" presStyleIdx="0" presStyleCnt="6" custScaleX="161461">
        <dgm:presLayoutVars>
          <dgm:bulletEnabled val="1"/>
        </dgm:presLayoutVars>
      </dgm:prSet>
      <dgm:spPr/>
      <dgm:t>
        <a:bodyPr/>
        <a:lstStyle/>
        <a:p>
          <a:endParaRPr lang="sk-SK"/>
        </a:p>
      </dgm:t>
    </dgm:pt>
    <dgm:pt modelId="{5BD07292-E069-4A6D-B5D6-C1FECFA6C97C}" type="pres">
      <dgm:prSet presAssocID="{59E3B083-8C55-4066-B845-0CE53BFB0889}" presName="sibTrans" presStyleCnt="0"/>
      <dgm:spPr/>
    </dgm:pt>
    <dgm:pt modelId="{411E1267-587B-4461-9E0B-5574FFEDF70B}" type="pres">
      <dgm:prSet presAssocID="{5DE681C1-405A-49A4-97DC-DF426DC61C2E}" presName="node" presStyleLbl="node1" presStyleIdx="1" presStyleCnt="6" custScaleX="269158" custScaleY="140087">
        <dgm:presLayoutVars>
          <dgm:bulletEnabled val="1"/>
        </dgm:presLayoutVars>
      </dgm:prSet>
      <dgm:spPr>
        <a:prstGeom prst="ellipse">
          <a:avLst/>
        </a:prstGeom>
      </dgm:spPr>
      <dgm:t>
        <a:bodyPr/>
        <a:lstStyle/>
        <a:p>
          <a:endParaRPr lang="sk-SK"/>
        </a:p>
      </dgm:t>
    </dgm:pt>
    <dgm:pt modelId="{00FF746C-0DEA-4FDD-8187-2A7ABDA2F90D}" type="pres">
      <dgm:prSet presAssocID="{8D325795-C068-42D2-8F40-E52AB58CCCB3}" presName="sibTrans" presStyleCnt="0"/>
      <dgm:spPr/>
    </dgm:pt>
    <dgm:pt modelId="{A5BBBF42-5496-4255-8E67-8CE645BF5C31}" type="pres">
      <dgm:prSet presAssocID="{D2DEB4DB-CB3B-4326-8208-2283573C17F7}" presName="node" presStyleLbl="node1" presStyleIdx="2" presStyleCnt="6" custScaleX="161396" custLinFactNeighborY="-8567">
        <dgm:presLayoutVars>
          <dgm:bulletEnabled val="1"/>
        </dgm:presLayoutVars>
      </dgm:prSet>
      <dgm:spPr/>
      <dgm:t>
        <a:bodyPr/>
        <a:lstStyle/>
        <a:p>
          <a:endParaRPr lang="sk-SK"/>
        </a:p>
      </dgm:t>
    </dgm:pt>
    <dgm:pt modelId="{14CAB2F6-28BC-427B-8AED-2B34F8AB8BBB}" type="pres">
      <dgm:prSet presAssocID="{8C49E9CD-0189-4D6D-90C0-B3C47C65BA4B}" presName="sibTrans" presStyleCnt="0"/>
      <dgm:spPr/>
    </dgm:pt>
    <dgm:pt modelId="{9749555E-DDD9-487A-A6FB-A43EC3E0E6EC}" type="pres">
      <dgm:prSet presAssocID="{F6FE1605-DB21-4D29-8799-F1383FBB4882}" presName="node" presStyleLbl="node1" presStyleIdx="3" presStyleCnt="6" custScaleX="269224" custScaleY="114024">
        <dgm:presLayoutVars>
          <dgm:bulletEnabled val="1"/>
        </dgm:presLayoutVars>
      </dgm:prSet>
      <dgm:spPr>
        <a:prstGeom prst="ellipse">
          <a:avLst/>
        </a:prstGeom>
      </dgm:spPr>
      <dgm:t>
        <a:bodyPr/>
        <a:lstStyle/>
        <a:p>
          <a:endParaRPr lang="sk-SK"/>
        </a:p>
      </dgm:t>
    </dgm:pt>
    <dgm:pt modelId="{A9179A47-8A29-4D63-AB1E-BCC97ABEF04F}" type="pres">
      <dgm:prSet presAssocID="{E0C8F253-047D-40BE-BEB4-096E4BBBBEED}" presName="sibTrans" presStyleCnt="0"/>
      <dgm:spPr/>
    </dgm:pt>
    <dgm:pt modelId="{2E5465F8-128A-4218-89FA-1441AB39B043}" type="pres">
      <dgm:prSet presAssocID="{78F5CF53-5274-4877-8BA6-BEFEF7A0A2BC}" presName="node" presStyleLbl="node1" presStyleIdx="4" presStyleCnt="6" custScaleX="161396" custLinFactNeighborX="3084">
        <dgm:presLayoutVars>
          <dgm:bulletEnabled val="1"/>
        </dgm:presLayoutVars>
      </dgm:prSet>
      <dgm:spPr/>
      <dgm:t>
        <a:bodyPr/>
        <a:lstStyle/>
        <a:p>
          <a:endParaRPr lang="sk-SK"/>
        </a:p>
      </dgm:t>
    </dgm:pt>
    <dgm:pt modelId="{CBC61567-EBF1-4D44-8405-5E3C52785334}" type="pres">
      <dgm:prSet presAssocID="{4C952623-8828-4082-9C47-2442734A5085}" presName="sibTrans" presStyleCnt="0"/>
      <dgm:spPr/>
    </dgm:pt>
    <dgm:pt modelId="{8686B6DF-F05B-443B-917C-5E86C49C8B0D}" type="pres">
      <dgm:prSet presAssocID="{7486FB93-E63C-4868-B5F5-89A32896F4AF}" presName="node" presStyleLbl="node1" presStyleIdx="5" presStyleCnt="6" custScaleX="273336" custScaleY="106847">
        <dgm:presLayoutVars>
          <dgm:bulletEnabled val="1"/>
        </dgm:presLayoutVars>
      </dgm:prSet>
      <dgm:spPr>
        <a:prstGeom prst="ellipse">
          <a:avLst/>
        </a:prstGeom>
      </dgm:spPr>
      <dgm:t>
        <a:bodyPr/>
        <a:lstStyle/>
        <a:p>
          <a:endParaRPr lang="sk-SK"/>
        </a:p>
      </dgm:t>
    </dgm:pt>
  </dgm:ptLst>
  <dgm:cxnLst>
    <dgm:cxn modelId="{2F04B9D8-39B2-4978-AC8C-A85E0D4DC984}" srcId="{9D59B1B8-8C42-46DD-B1F9-A75DE94CB48D}" destId="{7486FB93-E63C-4868-B5F5-89A32896F4AF}" srcOrd="5" destOrd="0" parTransId="{BD83609C-5EB5-4112-B229-1D0C8C66C6F7}" sibTransId="{F656EE22-28EA-43B1-9AB2-42336B4212F7}"/>
    <dgm:cxn modelId="{4D23886C-CF40-4833-A336-938238DB45FB}" srcId="{9D59B1B8-8C42-46DD-B1F9-A75DE94CB48D}" destId="{F6FE1605-DB21-4D29-8799-F1383FBB4882}" srcOrd="3" destOrd="0" parTransId="{A616B6E7-B962-4C58-BCE6-1A81362D0214}" sibTransId="{E0C8F253-047D-40BE-BEB4-096E4BBBBEED}"/>
    <dgm:cxn modelId="{40F2A2B4-E715-4078-9431-9184B3FAF3A1}" srcId="{9D59B1B8-8C42-46DD-B1F9-A75DE94CB48D}" destId="{997AED1D-EB80-4234-AFF3-EB09238D9EA6}" srcOrd="0" destOrd="0" parTransId="{F5E91CA3-C265-4323-85C3-C1031DDD9314}" sibTransId="{59E3B083-8C55-4066-B845-0CE53BFB0889}"/>
    <dgm:cxn modelId="{F2B125EF-D0F2-4F24-8701-ED5A8B461310}" type="presOf" srcId="{997AED1D-EB80-4234-AFF3-EB09238D9EA6}" destId="{2F6A629F-49E1-4B75-822B-567BB1A17CAD}" srcOrd="0" destOrd="0" presId="urn:microsoft.com/office/officeart/2005/8/layout/default"/>
    <dgm:cxn modelId="{3E5748DE-999D-493B-8627-DAB019CA70CB}" srcId="{9D59B1B8-8C42-46DD-B1F9-A75DE94CB48D}" destId="{D2DEB4DB-CB3B-4326-8208-2283573C17F7}" srcOrd="2" destOrd="0" parTransId="{9EA2510D-586A-47DA-8118-934E2ADB22A4}" sibTransId="{8C49E9CD-0189-4D6D-90C0-B3C47C65BA4B}"/>
    <dgm:cxn modelId="{878DA42B-6C9A-4E71-8B94-FF313EF1198B}" srcId="{9D59B1B8-8C42-46DD-B1F9-A75DE94CB48D}" destId="{5DE681C1-405A-49A4-97DC-DF426DC61C2E}" srcOrd="1" destOrd="0" parTransId="{D11E9FB3-CCA3-4B36-94D0-AC2092F6AB21}" sibTransId="{8D325795-C068-42D2-8F40-E52AB58CCCB3}"/>
    <dgm:cxn modelId="{7F723D8B-3611-4F5D-8B61-C4EF8DD9B2D3}" type="presOf" srcId="{7486FB93-E63C-4868-B5F5-89A32896F4AF}" destId="{8686B6DF-F05B-443B-917C-5E86C49C8B0D}" srcOrd="0" destOrd="0" presId="urn:microsoft.com/office/officeart/2005/8/layout/default"/>
    <dgm:cxn modelId="{C6CF942D-C078-408E-AAFD-15B14911F470}" type="presOf" srcId="{F6FE1605-DB21-4D29-8799-F1383FBB4882}" destId="{9749555E-DDD9-487A-A6FB-A43EC3E0E6EC}" srcOrd="0" destOrd="0" presId="urn:microsoft.com/office/officeart/2005/8/layout/default"/>
    <dgm:cxn modelId="{85A8F1A9-FA88-4627-80ED-67F70FDA0ECC}" type="presOf" srcId="{9D59B1B8-8C42-46DD-B1F9-A75DE94CB48D}" destId="{A2D6FCCB-B084-419D-A4C2-6E5EB8218B0C}" srcOrd="0" destOrd="0" presId="urn:microsoft.com/office/officeart/2005/8/layout/default"/>
    <dgm:cxn modelId="{525B94E4-5B2E-4773-A9A5-5A9CE15EE54E}" type="presOf" srcId="{78F5CF53-5274-4877-8BA6-BEFEF7A0A2BC}" destId="{2E5465F8-128A-4218-89FA-1441AB39B043}" srcOrd="0" destOrd="0" presId="urn:microsoft.com/office/officeart/2005/8/layout/default"/>
    <dgm:cxn modelId="{D8796510-1569-49E7-8FAA-9E560D6105EC}" type="presOf" srcId="{D2DEB4DB-CB3B-4326-8208-2283573C17F7}" destId="{A5BBBF42-5496-4255-8E67-8CE645BF5C31}" srcOrd="0" destOrd="0" presId="urn:microsoft.com/office/officeart/2005/8/layout/default"/>
    <dgm:cxn modelId="{5D8434E2-5EAF-409E-8A11-3464E72073C4}" srcId="{9D59B1B8-8C42-46DD-B1F9-A75DE94CB48D}" destId="{78F5CF53-5274-4877-8BA6-BEFEF7A0A2BC}" srcOrd="4" destOrd="0" parTransId="{76C9AD0E-93E6-49EE-9EA9-27A0D56DEB2F}" sibTransId="{4C952623-8828-4082-9C47-2442734A5085}"/>
    <dgm:cxn modelId="{A014E9CA-3810-4147-9917-A6269549EB7A}" type="presOf" srcId="{5DE681C1-405A-49A4-97DC-DF426DC61C2E}" destId="{411E1267-587B-4461-9E0B-5574FFEDF70B}" srcOrd="0" destOrd="0" presId="urn:microsoft.com/office/officeart/2005/8/layout/default"/>
    <dgm:cxn modelId="{D31CB5B5-7641-4803-84A8-5EBC38B718EB}" type="presParOf" srcId="{A2D6FCCB-B084-419D-A4C2-6E5EB8218B0C}" destId="{2F6A629F-49E1-4B75-822B-567BB1A17CAD}" srcOrd="0" destOrd="0" presId="urn:microsoft.com/office/officeart/2005/8/layout/default"/>
    <dgm:cxn modelId="{9127716D-EB58-4700-B1E9-724302A24D57}" type="presParOf" srcId="{A2D6FCCB-B084-419D-A4C2-6E5EB8218B0C}" destId="{5BD07292-E069-4A6D-B5D6-C1FECFA6C97C}" srcOrd="1" destOrd="0" presId="urn:microsoft.com/office/officeart/2005/8/layout/default"/>
    <dgm:cxn modelId="{84BD3282-B36E-49E3-9774-95080D8EE5D1}" type="presParOf" srcId="{A2D6FCCB-B084-419D-A4C2-6E5EB8218B0C}" destId="{411E1267-587B-4461-9E0B-5574FFEDF70B}" srcOrd="2" destOrd="0" presId="urn:microsoft.com/office/officeart/2005/8/layout/default"/>
    <dgm:cxn modelId="{41140AE4-D8A8-44E2-AE42-AF3B7C165CD9}" type="presParOf" srcId="{A2D6FCCB-B084-419D-A4C2-6E5EB8218B0C}" destId="{00FF746C-0DEA-4FDD-8187-2A7ABDA2F90D}" srcOrd="3" destOrd="0" presId="urn:microsoft.com/office/officeart/2005/8/layout/default"/>
    <dgm:cxn modelId="{93DD0243-EFB5-40C5-AB6D-210F737B7150}" type="presParOf" srcId="{A2D6FCCB-B084-419D-A4C2-6E5EB8218B0C}" destId="{A5BBBF42-5496-4255-8E67-8CE645BF5C31}" srcOrd="4" destOrd="0" presId="urn:microsoft.com/office/officeart/2005/8/layout/default"/>
    <dgm:cxn modelId="{BE5E9F1F-96A0-44F9-A9FA-A668C4065E53}" type="presParOf" srcId="{A2D6FCCB-B084-419D-A4C2-6E5EB8218B0C}" destId="{14CAB2F6-28BC-427B-8AED-2B34F8AB8BBB}" srcOrd="5" destOrd="0" presId="urn:microsoft.com/office/officeart/2005/8/layout/default"/>
    <dgm:cxn modelId="{0121A57D-06E8-49A0-874C-B2BC6DDC4E3C}" type="presParOf" srcId="{A2D6FCCB-B084-419D-A4C2-6E5EB8218B0C}" destId="{9749555E-DDD9-487A-A6FB-A43EC3E0E6EC}" srcOrd="6" destOrd="0" presId="urn:microsoft.com/office/officeart/2005/8/layout/default"/>
    <dgm:cxn modelId="{CBA990FB-E513-42A4-B589-D51EF3302403}" type="presParOf" srcId="{A2D6FCCB-B084-419D-A4C2-6E5EB8218B0C}" destId="{A9179A47-8A29-4D63-AB1E-BCC97ABEF04F}" srcOrd="7" destOrd="0" presId="urn:microsoft.com/office/officeart/2005/8/layout/default"/>
    <dgm:cxn modelId="{A5805D95-39B1-4453-9139-952713B92F6C}" type="presParOf" srcId="{A2D6FCCB-B084-419D-A4C2-6E5EB8218B0C}" destId="{2E5465F8-128A-4218-89FA-1441AB39B043}" srcOrd="8" destOrd="0" presId="urn:microsoft.com/office/officeart/2005/8/layout/default"/>
    <dgm:cxn modelId="{28371385-39FF-4EB1-99F7-08FB3FEE0C26}" type="presParOf" srcId="{A2D6FCCB-B084-419D-A4C2-6E5EB8218B0C}" destId="{CBC61567-EBF1-4D44-8405-5E3C52785334}" srcOrd="9" destOrd="0" presId="urn:microsoft.com/office/officeart/2005/8/layout/default"/>
    <dgm:cxn modelId="{F9E1194A-EC09-4478-BFA2-857AD264F14F}" type="presParOf" srcId="{A2D6FCCB-B084-419D-A4C2-6E5EB8218B0C}" destId="{8686B6DF-F05B-443B-917C-5E86C49C8B0D}" srcOrd="10" destOrd="0" presId="urn:microsoft.com/office/officeart/2005/8/layout/default"/>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7106B1-1383-40B9-BBBA-E06F20002249}">
      <dsp:nvSpPr>
        <dsp:cNvPr id="0" name=""/>
        <dsp:cNvSpPr/>
      </dsp:nvSpPr>
      <dsp:spPr>
        <a:xfrm>
          <a:off x="124228" y="39025"/>
          <a:ext cx="2393517" cy="348084"/>
        </a:xfrm>
        <a:prstGeom prst="rightArrow">
          <a:avLst>
            <a:gd name="adj1" fmla="val 50000"/>
            <a:gd name="adj2" fmla="val 5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254000" bIns="55258" numCol="1" spcCol="1270" anchor="ctr" anchorCtr="0">
          <a:noAutofit/>
        </a:bodyPr>
        <a:lstStyle/>
        <a:p>
          <a:pPr lvl="0" algn="l" defTabSz="355600">
            <a:lnSpc>
              <a:spcPct val="90000"/>
            </a:lnSpc>
            <a:spcBef>
              <a:spcPct val="0"/>
            </a:spcBef>
            <a:spcAft>
              <a:spcPct val="35000"/>
            </a:spcAft>
          </a:pPr>
          <a:r>
            <a:rPr lang="sk-SK" sz="800" b="1" kern="1200">
              <a:latin typeface="Arial Narrow" panose="020B0606020202030204" pitchFamily="34" charset="0"/>
            </a:rPr>
            <a:t>1997</a:t>
          </a:r>
        </a:p>
      </dsp:txBody>
      <dsp:txXfrm>
        <a:off x="124228" y="126046"/>
        <a:ext cx="2306496" cy="174042"/>
      </dsp:txXfrm>
    </dsp:sp>
    <dsp:sp modelId="{58BF0780-B80D-4ED7-ADDE-4716B7500ED1}">
      <dsp:nvSpPr>
        <dsp:cNvPr id="0" name=""/>
        <dsp:cNvSpPr/>
      </dsp:nvSpPr>
      <dsp:spPr>
        <a:xfrm>
          <a:off x="143093" y="301579"/>
          <a:ext cx="573638" cy="673984"/>
        </a:xfrm>
        <a:prstGeom prst="re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lvl="0" algn="l" defTabSz="311150">
            <a:lnSpc>
              <a:spcPct val="90000"/>
            </a:lnSpc>
            <a:spcBef>
              <a:spcPct val="0"/>
            </a:spcBef>
            <a:spcAft>
              <a:spcPct val="35000"/>
            </a:spcAft>
          </a:pPr>
          <a:r>
            <a:rPr lang="sk-SK" sz="700" kern="1200">
              <a:latin typeface="Arial Narrow" panose="020B0606020202030204" pitchFamily="34" charset="0"/>
            </a:rPr>
            <a:t>Pravidlá </a:t>
          </a:r>
          <a:r>
            <a:rPr lang="sk-SK" sz="700" b="1" kern="1200">
              <a:latin typeface="Arial Narrow" panose="020B0606020202030204" pitchFamily="34" charset="0"/>
            </a:rPr>
            <a:t>deficitu </a:t>
          </a:r>
          <a:r>
            <a:rPr lang="sk-SK" sz="700" kern="1200">
              <a:latin typeface="Arial Narrow" panose="020B0606020202030204" pitchFamily="34" charset="0"/>
            </a:rPr>
            <a:t>a </a:t>
          </a:r>
          <a:r>
            <a:rPr lang="sk-SK" sz="700" b="1" kern="1200">
              <a:latin typeface="Arial Narrow" panose="020B0606020202030204" pitchFamily="34" charset="0"/>
            </a:rPr>
            <a:t>dlhu </a:t>
          </a:r>
          <a:r>
            <a:rPr lang="sk-SK" sz="700" kern="1200">
              <a:latin typeface="Arial Narrow" panose="020B0606020202030204" pitchFamily="34" charset="0"/>
            </a:rPr>
            <a:t>definované v Pakte stability a rastu</a:t>
          </a:r>
        </a:p>
      </dsp:txBody>
      <dsp:txXfrm>
        <a:off x="143093" y="301579"/>
        <a:ext cx="573638" cy="673984"/>
      </dsp:txXfrm>
    </dsp:sp>
    <dsp:sp modelId="{87E11A21-836A-42AA-A4B8-1E5BD73714DD}">
      <dsp:nvSpPr>
        <dsp:cNvPr id="0" name=""/>
        <dsp:cNvSpPr/>
      </dsp:nvSpPr>
      <dsp:spPr>
        <a:xfrm>
          <a:off x="760270" y="89783"/>
          <a:ext cx="1979448" cy="348084"/>
        </a:xfrm>
        <a:prstGeom prst="rightArrow">
          <a:avLst>
            <a:gd name="adj1" fmla="val 50000"/>
            <a:gd name="adj2" fmla="val 5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254000" bIns="55258" numCol="1" spcCol="1270" anchor="ctr" anchorCtr="0">
          <a:noAutofit/>
        </a:bodyPr>
        <a:lstStyle/>
        <a:p>
          <a:pPr lvl="0" algn="l" defTabSz="355600">
            <a:lnSpc>
              <a:spcPct val="90000"/>
            </a:lnSpc>
            <a:spcBef>
              <a:spcPct val="0"/>
            </a:spcBef>
            <a:spcAft>
              <a:spcPct val="35000"/>
            </a:spcAft>
          </a:pPr>
          <a:r>
            <a:rPr lang="sk-SK" sz="800" b="1" kern="1200">
              <a:latin typeface="Arial Narrow" panose="020B0606020202030204" pitchFamily="34" charset="0"/>
            </a:rPr>
            <a:t>2005</a:t>
          </a:r>
        </a:p>
      </dsp:txBody>
      <dsp:txXfrm>
        <a:off x="760270" y="176804"/>
        <a:ext cx="1892427" cy="174042"/>
      </dsp:txXfrm>
    </dsp:sp>
    <dsp:sp modelId="{B7A9EFB8-6C10-4809-938D-82D8F4C1D3C0}">
      <dsp:nvSpPr>
        <dsp:cNvPr id="0" name=""/>
        <dsp:cNvSpPr/>
      </dsp:nvSpPr>
      <dsp:spPr>
        <a:xfrm>
          <a:off x="783475" y="349420"/>
          <a:ext cx="635167" cy="706318"/>
        </a:xfrm>
        <a:prstGeom prst="re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lvl="0" algn="l" defTabSz="311150">
            <a:lnSpc>
              <a:spcPct val="90000"/>
            </a:lnSpc>
            <a:spcBef>
              <a:spcPct val="0"/>
            </a:spcBef>
            <a:spcAft>
              <a:spcPct val="35000"/>
            </a:spcAft>
          </a:pPr>
          <a:r>
            <a:rPr lang="sk-SK" sz="700" kern="1200">
              <a:latin typeface="Arial Narrow" panose="020B0606020202030204" pitchFamily="34" charset="0"/>
            </a:rPr>
            <a:t>Zavedenie indikátora </a:t>
          </a:r>
          <a:r>
            <a:rPr lang="sk-SK" sz="700" b="1" kern="1200">
              <a:latin typeface="Arial Narrow" panose="020B0606020202030204" pitchFamily="34" charset="0"/>
            </a:rPr>
            <a:t>štrukturálneho salda</a:t>
          </a:r>
          <a:r>
            <a:rPr lang="sk-SK" sz="700" kern="1200">
              <a:latin typeface="Arial Narrow" panose="020B0606020202030204" pitchFamily="34" charset="0"/>
            </a:rPr>
            <a:t> a konceptu strednodobého rozpočtového cieľa (MTO)</a:t>
          </a:r>
        </a:p>
      </dsp:txBody>
      <dsp:txXfrm>
        <a:off x="783475" y="349420"/>
        <a:ext cx="635167" cy="706318"/>
      </dsp:txXfrm>
    </dsp:sp>
    <dsp:sp modelId="{3FB3BC4E-13E9-49AB-A374-0585E4434E77}">
      <dsp:nvSpPr>
        <dsp:cNvPr id="0" name=""/>
        <dsp:cNvSpPr/>
      </dsp:nvSpPr>
      <dsp:spPr>
        <a:xfrm>
          <a:off x="1469845" y="133221"/>
          <a:ext cx="1471091" cy="348084"/>
        </a:xfrm>
        <a:prstGeom prst="rightArrow">
          <a:avLst>
            <a:gd name="adj1" fmla="val 50000"/>
            <a:gd name="adj2" fmla="val 5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254000" bIns="55258" numCol="1" spcCol="1270" anchor="ctr" anchorCtr="0">
          <a:noAutofit/>
        </a:bodyPr>
        <a:lstStyle/>
        <a:p>
          <a:pPr lvl="0" algn="l" defTabSz="355600">
            <a:lnSpc>
              <a:spcPct val="90000"/>
            </a:lnSpc>
            <a:spcBef>
              <a:spcPct val="0"/>
            </a:spcBef>
            <a:spcAft>
              <a:spcPct val="35000"/>
            </a:spcAft>
          </a:pPr>
          <a:r>
            <a:rPr lang="sk-SK" sz="800" b="1" kern="1200">
              <a:latin typeface="Arial Narrow" panose="020B0606020202030204" pitchFamily="34" charset="0"/>
            </a:rPr>
            <a:t>2011</a:t>
          </a:r>
        </a:p>
      </dsp:txBody>
      <dsp:txXfrm>
        <a:off x="1469845" y="220242"/>
        <a:ext cx="1384070" cy="174042"/>
      </dsp:txXfrm>
    </dsp:sp>
    <dsp:sp modelId="{37832732-A451-48AA-8A56-AE7DD7B5F970}">
      <dsp:nvSpPr>
        <dsp:cNvPr id="0" name=""/>
        <dsp:cNvSpPr/>
      </dsp:nvSpPr>
      <dsp:spPr>
        <a:xfrm>
          <a:off x="1484232" y="396569"/>
          <a:ext cx="567569" cy="619447"/>
        </a:xfrm>
        <a:prstGeom prst="re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lvl="0" algn="l" defTabSz="311150">
            <a:lnSpc>
              <a:spcPct val="90000"/>
            </a:lnSpc>
            <a:spcBef>
              <a:spcPct val="0"/>
            </a:spcBef>
            <a:spcAft>
              <a:spcPct val="35000"/>
            </a:spcAft>
          </a:pPr>
          <a:r>
            <a:rPr lang="sk-SK" sz="700" kern="1200">
              <a:latin typeface="Arial Narrow" panose="020B0606020202030204" pitchFamily="34" charset="0"/>
            </a:rPr>
            <a:t>Six-Pack implementuje </a:t>
          </a:r>
          <a:r>
            <a:rPr lang="sk-SK" sz="700" b="1" kern="1200">
              <a:latin typeface="Arial Narrow" panose="020B0606020202030204" pitchFamily="34" charset="0"/>
            </a:rPr>
            <a:t>výdavkové pravidlo </a:t>
          </a:r>
          <a:r>
            <a:rPr lang="sk-SK" sz="700" kern="1200">
              <a:latin typeface="Arial Narrow" panose="020B0606020202030204" pitchFamily="34" charset="0"/>
            </a:rPr>
            <a:t>a </a:t>
          </a:r>
          <a:r>
            <a:rPr lang="sk-SK" sz="700" b="1" kern="1200">
              <a:latin typeface="Arial Narrow" panose="020B0606020202030204" pitchFamily="34" charset="0"/>
            </a:rPr>
            <a:t>dlhové pravidlo 1/20</a:t>
          </a:r>
          <a:r>
            <a:rPr lang="sk-SK" sz="700" kern="1200">
              <a:latin typeface="Arial Narrow" panose="020B0606020202030204" pitchFamily="34" charset="0"/>
            </a:rPr>
            <a:t>*</a:t>
          </a:r>
        </a:p>
      </dsp:txBody>
      <dsp:txXfrm>
        <a:off x="1484232" y="396569"/>
        <a:ext cx="567569" cy="619447"/>
      </dsp:txXfrm>
    </dsp:sp>
    <dsp:sp modelId="{BA639CA4-82BB-44E9-9FBC-4527358DF61F}">
      <dsp:nvSpPr>
        <dsp:cNvPr id="0" name=""/>
        <dsp:cNvSpPr/>
      </dsp:nvSpPr>
      <dsp:spPr>
        <a:xfrm>
          <a:off x="2086756" y="191293"/>
          <a:ext cx="1066312" cy="348084"/>
        </a:xfrm>
        <a:prstGeom prst="rightArrow">
          <a:avLst>
            <a:gd name="adj1" fmla="val 50000"/>
            <a:gd name="adj2" fmla="val 5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254000" bIns="55258" numCol="1" spcCol="1270" anchor="ctr" anchorCtr="0">
          <a:noAutofit/>
        </a:bodyPr>
        <a:lstStyle/>
        <a:p>
          <a:pPr lvl="0" algn="l" defTabSz="355600">
            <a:lnSpc>
              <a:spcPct val="90000"/>
            </a:lnSpc>
            <a:spcBef>
              <a:spcPct val="0"/>
            </a:spcBef>
            <a:spcAft>
              <a:spcPct val="35000"/>
            </a:spcAft>
          </a:pPr>
          <a:r>
            <a:rPr lang="sk-SK" sz="800" b="1" kern="1200">
              <a:latin typeface="Arial Narrow" panose="020B0606020202030204" pitchFamily="34" charset="0"/>
            </a:rPr>
            <a:t>2012</a:t>
          </a:r>
        </a:p>
      </dsp:txBody>
      <dsp:txXfrm>
        <a:off x="2086756" y="278314"/>
        <a:ext cx="979291" cy="174042"/>
      </dsp:txXfrm>
    </dsp:sp>
    <dsp:sp modelId="{37DDE91A-B7B0-4080-A296-F1AEE7E16691}">
      <dsp:nvSpPr>
        <dsp:cNvPr id="0" name=""/>
        <dsp:cNvSpPr/>
      </dsp:nvSpPr>
      <dsp:spPr>
        <a:xfrm>
          <a:off x="2084832" y="456305"/>
          <a:ext cx="519205" cy="603602"/>
        </a:xfrm>
        <a:prstGeom prst="re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lvl="0" algn="l" defTabSz="311150">
            <a:lnSpc>
              <a:spcPct val="90000"/>
            </a:lnSpc>
            <a:spcBef>
              <a:spcPct val="0"/>
            </a:spcBef>
            <a:spcAft>
              <a:spcPct val="35000"/>
            </a:spcAft>
          </a:pPr>
          <a:r>
            <a:rPr lang="sk-SK" sz="700" kern="1200">
              <a:latin typeface="Arial Narrow" panose="020B0606020202030204" pitchFamily="34" charset="0"/>
            </a:rPr>
            <a:t>Fiškálny kompakt zavádza </a:t>
          </a:r>
          <a:r>
            <a:rPr lang="sk-SK" sz="700" b="1" kern="1200">
              <a:latin typeface="Arial Narrow" panose="020B0606020202030204" pitchFamily="34" charset="0"/>
            </a:rPr>
            <a:t>pravidlo vyrovnaného rozpočtu</a:t>
          </a:r>
        </a:p>
      </dsp:txBody>
      <dsp:txXfrm>
        <a:off x="2084832" y="456305"/>
        <a:ext cx="519205" cy="603602"/>
      </dsp:txXfrm>
    </dsp:sp>
    <dsp:sp modelId="{3D41A64E-F240-4AEB-99F6-EAAD789C8FE2}">
      <dsp:nvSpPr>
        <dsp:cNvPr id="0" name=""/>
        <dsp:cNvSpPr/>
      </dsp:nvSpPr>
      <dsp:spPr>
        <a:xfrm>
          <a:off x="2632962" y="242047"/>
          <a:ext cx="743796" cy="348084"/>
        </a:xfrm>
        <a:prstGeom prst="rightArrow">
          <a:avLst>
            <a:gd name="adj1" fmla="val 50000"/>
            <a:gd name="adj2" fmla="val 5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254000" bIns="55258" numCol="1" spcCol="1270" anchor="ctr" anchorCtr="0">
          <a:noAutofit/>
        </a:bodyPr>
        <a:lstStyle/>
        <a:p>
          <a:pPr lvl="0" algn="l" defTabSz="355600">
            <a:lnSpc>
              <a:spcPct val="90000"/>
            </a:lnSpc>
            <a:spcBef>
              <a:spcPct val="0"/>
            </a:spcBef>
            <a:spcAft>
              <a:spcPct val="35000"/>
            </a:spcAft>
          </a:pPr>
          <a:r>
            <a:rPr lang="sk-SK" sz="800" b="1" kern="1200">
              <a:latin typeface="Arial Narrow" panose="020B0606020202030204" pitchFamily="34" charset="0"/>
            </a:rPr>
            <a:t>2013</a:t>
          </a:r>
        </a:p>
      </dsp:txBody>
      <dsp:txXfrm>
        <a:off x="2632962" y="329068"/>
        <a:ext cx="656775" cy="174042"/>
      </dsp:txXfrm>
    </dsp:sp>
    <dsp:sp modelId="{139B0F2F-32EE-40B7-B5DB-3E0EA2AA6FDA}">
      <dsp:nvSpPr>
        <dsp:cNvPr id="0" name=""/>
        <dsp:cNvSpPr/>
      </dsp:nvSpPr>
      <dsp:spPr>
        <a:xfrm>
          <a:off x="2647662" y="505354"/>
          <a:ext cx="497365" cy="554549"/>
        </a:xfrm>
        <a:prstGeom prst="re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lvl="0" algn="l" defTabSz="311150">
            <a:lnSpc>
              <a:spcPct val="90000"/>
            </a:lnSpc>
            <a:spcBef>
              <a:spcPct val="0"/>
            </a:spcBef>
            <a:spcAft>
              <a:spcPct val="35000"/>
            </a:spcAft>
          </a:pPr>
          <a:r>
            <a:rPr lang="sk-SK" sz="700" kern="1200">
              <a:latin typeface="Arial Narrow" panose="020B0606020202030204" pitchFamily="34" charset="0"/>
            </a:rPr>
            <a:t>Two Pack posilňuje dohľad nad rozpočtovým procesom</a:t>
          </a:r>
        </a:p>
      </dsp:txBody>
      <dsp:txXfrm>
        <a:off x="2647662" y="505354"/>
        <a:ext cx="497365" cy="5545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7106B1-1383-40B9-BBBA-E06F20002249}">
      <dsp:nvSpPr>
        <dsp:cNvPr id="0" name=""/>
        <dsp:cNvSpPr/>
      </dsp:nvSpPr>
      <dsp:spPr>
        <a:xfrm>
          <a:off x="109167" y="399513"/>
          <a:ext cx="486009" cy="198619"/>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ts val="0"/>
            </a:spcAft>
          </a:pPr>
          <a:r>
            <a:rPr lang="sk-SK" sz="800" b="1" kern="1200">
              <a:latin typeface="Arial Narrow" panose="020B0606020202030204" pitchFamily="34" charset="0"/>
            </a:rPr>
            <a:t>2020-2023</a:t>
          </a:r>
          <a:endParaRPr lang="sk-SK" sz="900" b="1" kern="1200">
            <a:latin typeface="Arial Narrow" panose="020B0606020202030204" pitchFamily="34" charset="0"/>
          </a:endParaRPr>
        </a:p>
      </dsp:txBody>
      <dsp:txXfrm>
        <a:off x="109167" y="399513"/>
        <a:ext cx="486009" cy="198619"/>
      </dsp:txXfrm>
    </dsp:sp>
    <dsp:sp modelId="{58BF0780-B80D-4ED7-ADDE-4716B7500ED1}">
      <dsp:nvSpPr>
        <dsp:cNvPr id="0" name=""/>
        <dsp:cNvSpPr/>
      </dsp:nvSpPr>
      <dsp:spPr>
        <a:xfrm>
          <a:off x="106000" y="619491"/>
          <a:ext cx="486004" cy="683752"/>
        </a:xfrm>
        <a:prstGeom prst="rect">
          <a:avLst/>
        </a:prstGeom>
        <a:solidFill>
          <a:schemeClr val="bg1">
            <a:lumMod val="6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lvl="0" algn="l" defTabSz="311150">
            <a:lnSpc>
              <a:spcPct val="90000"/>
            </a:lnSpc>
            <a:spcBef>
              <a:spcPct val="0"/>
            </a:spcBef>
            <a:spcAft>
              <a:spcPct val="35000"/>
            </a:spcAft>
          </a:pPr>
          <a:r>
            <a:rPr lang="sk-SK" sz="700" kern="1200">
              <a:solidFill>
                <a:schemeClr val="bg1"/>
              </a:solidFill>
              <a:latin typeface="Arial Narrow" panose="020B0606020202030204" pitchFamily="34" charset="0"/>
            </a:rPr>
            <a:t>Fiškálne pravidlá dočasne neaktívne </a:t>
          </a:r>
          <a:br>
            <a:rPr lang="sk-SK" sz="700" kern="1200">
              <a:solidFill>
                <a:schemeClr val="bg1"/>
              </a:solidFill>
              <a:latin typeface="Arial Narrow" panose="020B0606020202030204" pitchFamily="34" charset="0"/>
            </a:rPr>
          </a:br>
          <a:r>
            <a:rPr lang="sk-SK" sz="700" kern="1200">
              <a:solidFill>
                <a:schemeClr val="bg1"/>
              </a:solidFill>
              <a:latin typeface="Arial Narrow" panose="020B0606020202030204" pitchFamily="34" charset="0"/>
            </a:rPr>
            <a:t>z dôvodu pandémie COVID-19</a:t>
          </a:r>
        </a:p>
      </dsp:txBody>
      <dsp:txXfrm>
        <a:off x="106000" y="619491"/>
        <a:ext cx="486004" cy="683752"/>
      </dsp:txXfrm>
    </dsp:sp>
    <dsp:sp modelId="{87E11A21-836A-42AA-A4B8-1E5BD73714DD}">
      <dsp:nvSpPr>
        <dsp:cNvPr id="0" name=""/>
        <dsp:cNvSpPr/>
      </dsp:nvSpPr>
      <dsp:spPr>
        <a:xfrm>
          <a:off x="679991" y="251925"/>
          <a:ext cx="1148892" cy="406622"/>
        </a:xfrm>
        <a:prstGeom prst="rightArrow">
          <a:avLst>
            <a:gd name="adj1" fmla="val 50000"/>
            <a:gd name="adj2" fmla="val 50000"/>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254000" bIns="55808" numCol="1" spcCol="1270" anchor="ctr" anchorCtr="0">
          <a:noAutofit/>
        </a:bodyPr>
        <a:lstStyle/>
        <a:p>
          <a:pPr lvl="0" algn="l" defTabSz="355600">
            <a:lnSpc>
              <a:spcPct val="90000"/>
            </a:lnSpc>
            <a:spcBef>
              <a:spcPct val="0"/>
            </a:spcBef>
            <a:spcAft>
              <a:spcPct val="35000"/>
            </a:spcAft>
          </a:pPr>
          <a:r>
            <a:rPr lang="sk-SK" sz="800" b="1" kern="1200">
              <a:latin typeface="Arial Narrow" panose="020B0606020202030204" pitchFamily="34" charset="0"/>
            </a:rPr>
            <a:t>2024</a:t>
          </a:r>
        </a:p>
      </dsp:txBody>
      <dsp:txXfrm>
        <a:off x="679991" y="353581"/>
        <a:ext cx="1047237" cy="203311"/>
      </dsp:txXfrm>
    </dsp:sp>
    <dsp:sp modelId="{B7A9EFB8-6C10-4809-938D-82D8F4C1D3C0}">
      <dsp:nvSpPr>
        <dsp:cNvPr id="0" name=""/>
        <dsp:cNvSpPr/>
      </dsp:nvSpPr>
      <dsp:spPr>
        <a:xfrm>
          <a:off x="691990" y="566317"/>
          <a:ext cx="922599" cy="789314"/>
        </a:xfrm>
        <a:prstGeom prst="rect">
          <a:avLst/>
        </a:prstGeom>
        <a:solidFill>
          <a:srgbClr val="002060"/>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sk-SK" sz="800" kern="1200">
              <a:solidFill>
                <a:schemeClr val="bg1"/>
              </a:solidFill>
              <a:latin typeface="Arial Narrow" panose="020B0606020202030204" pitchFamily="34" charset="0"/>
            </a:rPr>
            <a:t>Reforma fiškálnych pravidiel - </a:t>
          </a:r>
          <a:r>
            <a:rPr lang="sk-SK" sz="800" b="1" kern="1200">
              <a:solidFill>
                <a:schemeClr val="bg1"/>
              </a:solidFill>
              <a:latin typeface="Arial Narrow" panose="020B0606020202030204" pitchFamily="34" charset="0"/>
            </a:rPr>
            <a:t>dlhová udržateľnosť </a:t>
          </a:r>
          <a:r>
            <a:rPr lang="sk-SK" sz="800" kern="1200">
              <a:solidFill>
                <a:schemeClr val="bg1"/>
              </a:solidFill>
              <a:latin typeface="Arial Narrow" panose="020B0606020202030204" pitchFamily="34" charset="0"/>
            </a:rPr>
            <a:t>ako cieľ, </a:t>
          </a:r>
          <a:r>
            <a:rPr lang="sk-SK" sz="800" b="1" kern="1200">
              <a:solidFill>
                <a:schemeClr val="bg1"/>
              </a:solidFill>
              <a:latin typeface="Arial Narrow" panose="020B0606020202030204" pitchFamily="34" charset="0"/>
            </a:rPr>
            <a:t>nové výdavkové pravidlo </a:t>
          </a:r>
          <a:r>
            <a:rPr lang="sk-SK" sz="800" kern="1200">
              <a:solidFill>
                <a:schemeClr val="bg1"/>
              </a:solidFill>
              <a:latin typeface="Arial Narrow" panose="020B0606020202030204" pitchFamily="34" charset="0"/>
            </a:rPr>
            <a:t>ako jediný operatívny nástroj</a:t>
          </a:r>
        </a:p>
      </dsp:txBody>
      <dsp:txXfrm>
        <a:off x="691990" y="566317"/>
        <a:ext cx="922599" cy="78931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AB041D-74CD-4F3B-8C28-225E81E1493C}">
      <dsp:nvSpPr>
        <dsp:cNvPr id="0" name=""/>
        <dsp:cNvSpPr/>
      </dsp:nvSpPr>
      <dsp:spPr>
        <a:xfrm>
          <a:off x="50241" y="33038"/>
          <a:ext cx="1046284" cy="388806"/>
        </a:xfrm>
        <a:prstGeom prst="rect">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latin typeface="Arial Narrow" panose="020B0606020202030204" pitchFamily="34" charset="0"/>
            </a:rPr>
            <a:t>Cieľ</a:t>
          </a:r>
        </a:p>
      </dsp:txBody>
      <dsp:txXfrm>
        <a:off x="50241" y="33038"/>
        <a:ext cx="1046284" cy="388806"/>
      </dsp:txXfrm>
    </dsp:sp>
    <dsp:sp modelId="{19874094-88F5-4006-B1D0-E8B7D45BBB46}">
      <dsp:nvSpPr>
        <dsp:cNvPr id="0" name=""/>
        <dsp:cNvSpPr/>
      </dsp:nvSpPr>
      <dsp:spPr>
        <a:xfrm>
          <a:off x="1161981" y="33038"/>
          <a:ext cx="697240" cy="388806"/>
        </a:xfrm>
        <a:prstGeom prst="ellips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288925">
            <a:lnSpc>
              <a:spcPct val="90000"/>
            </a:lnSpc>
            <a:spcBef>
              <a:spcPct val="0"/>
            </a:spcBef>
            <a:spcAft>
              <a:spcPct val="35000"/>
            </a:spcAft>
          </a:pPr>
          <a:r>
            <a:rPr lang="sk-SK" sz="650" b="1" kern="1200">
              <a:latin typeface="Arial Narrow" panose="020B0606020202030204" pitchFamily="34" charset="0"/>
            </a:rPr>
            <a:t>DEFICIT</a:t>
          </a:r>
          <a:br>
            <a:rPr lang="sk-SK" sz="650" b="1" kern="1200">
              <a:latin typeface="Arial Narrow" panose="020B0606020202030204" pitchFamily="34" charset="0"/>
            </a:rPr>
          </a:br>
          <a:r>
            <a:rPr lang="sk-SK" sz="650" b="1" kern="1200">
              <a:latin typeface="Arial Narrow" panose="020B0606020202030204" pitchFamily="34" charset="0"/>
            </a:rPr>
            <a:t>(pod 3 % HDP)</a:t>
          </a:r>
        </a:p>
      </dsp:txBody>
      <dsp:txXfrm>
        <a:off x="1264089" y="89977"/>
        <a:ext cx="493024" cy="274928"/>
      </dsp:txXfrm>
    </dsp:sp>
    <dsp:sp modelId="{684C5057-1360-428F-8FCA-635030CC7209}">
      <dsp:nvSpPr>
        <dsp:cNvPr id="0" name=""/>
        <dsp:cNvSpPr/>
      </dsp:nvSpPr>
      <dsp:spPr>
        <a:xfrm>
          <a:off x="1862299" y="33038"/>
          <a:ext cx="713070" cy="388806"/>
        </a:xfrm>
        <a:prstGeom prst="ellips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288925">
            <a:lnSpc>
              <a:spcPct val="90000"/>
            </a:lnSpc>
            <a:spcBef>
              <a:spcPct val="0"/>
            </a:spcBef>
            <a:spcAft>
              <a:spcPct val="35000"/>
            </a:spcAft>
          </a:pPr>
          <a:r>
            <a:rPr lang="sk-SK" sz="650" b="1" kern="1200">
              <a:latin typeface="Arial Narrow" panose="020B0606020202030204" pitchFamily="34" charset="0"/>
            </a:rPr>
            <a:t>DLH</a:t>
          </a:r>
          <a:br>
            <a:rPr lang="sk-SK" sz="650" b="1" kern="1200">
              <a:latin typeface="Arial Narrow" panose="020B0606020202030204" pitchFamily="34" charset="0"/>
            </a:rPr>
          </a:br>
          <a:r>
            <a:rPr lang="sk-SK" sz="650" b="1" kern="1200">
              <a:latin typeface="Arial Narrow" panose="020B0606020202030204" pitchFamily="34" charset="0"/>
            </a:rPr>
            <a:t>(pod 60 % HDP)</a:t>
          </a:r>
        </a:p>
      </dsp:txBody>
      <dsp:txXfrm>
        <a:off x="1966726" y="89977"/>
        <a:ext cx="504216" cy="274928"/>
      </dsp:txXfrm>
    </dsp:sp>
    <dsp:sp modelId="{2F6A629F-49E1-4B75-822B-567BB1A17CAD}">
      <dsp:nvSpPr>
        <dsp:cNvPr id="0" name=""/>
        <dsp:cNvSpPr/>
      </dsp:nvSpPr>
      <dsp:spPr>
        <a:xfrm>
          <a:off x="56831" y="486646"/>
          <a:ext cx="1046284" cy="388806"/>
        </a:xfrm>
        <a:prstGeom prst="rect">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latin typeface="Arial Narrow" panose="020B0606020202030204" pitchFamily="34" charset="0"/>
            </a:rPr>
            <a:t>Operatívny nástroj</a:t>
          </a:r>
        </a:p>
      </dsp:txBody>
      <dsp:txXfrm>
        <a:off x="56831" y="486646"/>
        <a:ext cx="1046284" cy="388806"/>
      </dsp:txXfrm>
    </dsp:sp>
    <dsp:sp modelId="{411E1267-587B-4461-9E0B-5574FFEDF70B}">
      <dsp:nvSpPr>
        <dsp:cNvPr id="0" name=""/>
        <dsp:cNvSpPr/>
      </dsp:nvSpPr>
      <dsp:spPr>
        <a:xfrm>
          <a:off x="1167917" y="486646"/>
          <a:ext cx="1362241" cy="388806"/>
        </a:xfrm>
        <a:prstGeom prst="ellips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b="1" kern="1200">
              <a:latin typeface="Arial Narrow" panose="020B0606020202030204" pitchFamily="34" charset="0"/>
            </a:rPr>
            <a:t>rast čistých výdavkov* v podobe tzv. referenčnej trajektórie</a:t>
          </a:r>
        </a:p>
      </dsp:txBody>
      <dsp:txXfrm>
        <a:off x="1367413" y="543585"/>
        <a:ext cx="963249" cy="274928"/>
      </dsp:txXfrm>
    </dsp:sp>
    <dsp:sp modelId="{A5BBBF42-5496-4255-8E67-8CE645BF5C31}">
      <dsp:nvSpPr>
        <dsp:cNvPr id="0" name=""/>
        <dsp:cNvSpPr/>
      </dsp:nvSpPr>
      <dsp:spPr>
        <a:xfrm>
          <a:off x="56115" y="940253"/>
          <a:ext cx="1045863" cy="388806"/>
        </a:xfrm>
        <a:prstGeom prst="rect">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solidFill>
                <a:schemeClr val="bg1"/>
              </a:solidFill>
              <a:latin typeface="Arial Narrow" panose="020B0606020202030204" pitchFamily="34" charset="0"/>
            </a:rPr>
            <a:t>Horizont referenčnej trajektórie</a:t>
          </a:r>
        </a:p>
      </dsp:txBody>
      <dsp:txXfrm>
        <a:off x="56115" y="940253"/>
        <a:ext cx="1045863" cy="388806"/>
      </dsp:txXfrm>
    </dsp:sp>
    <dsp:sp modelId="{9749555E-DDD9-487A-A6FB-A43EC3E0E6EC}">
      <dsp:nvSpPr>
        <dsp:cNvPr id="0" name=""/>
        <dsp:cNvSpPr/>
      </dsp:nvSpPr>
      <dsp:spPr>
        <a:xfrm>
          <a:off x="1442508" y="940253"/>
          <a:ext cx="812637" cy="388806"/>
        </a:xfrm>
        <a:prstGeom prst="ellips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b="1" kern="1200">
              <a:latin typeface="Arial Narrow" panose="020B0606020202030204" pitchFamily="34" charset="0"/>
            </a:rPr>
            <a:t>4 až 7 rokov</a:t>
          </a:r>
        </a:p>
      </dsp:txBody>
      <dsp:txXfrm>
        <a:off x="1561516" y="997192"/>
        <a:ext cx="574621" cy="274928"/>
      </dsp:txXfrm>
    </dsp:sp>
    <dsp:sp modelId="{2E5465F8-128A-4218-89FA-1441AB39B043}">
      <dsp:nvSpPr>
        <dsp:cNvPr id="0" name=""/>
        <dsp:cNvSpPr/>
      </dsp:nvSpPr>
      <dsp:spPr>
        <a:xfrm>
          <a:off x="53290" y="1425490"/>
          <a:ext cx="1045863" cy="388806"/>
        </a:xfrm>
        <a:prstGeom prst="rect">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latin typeface="Arial Narrow" panose="020B0606020202030204" pitchFamily="34" charset="0"/>
            </a:rPr>
            <a:t>Minimálne požiadavky na ročnú konsolidáciu</a:t>
          </a:r>
          <a:endParaRPr lang="sk-SK" sz="800" b="1" kern="1200">
            <a:solidFill>
              <a:schemeClr val="bg1"/>
            </a:solidFill>
            <a:latin typeface="Arial Narrow" panose="020B0606020202030204" pitchFamily="34" charset="0"/>
          </a:endParaRPr>
        </a:p>
      </dsp:txBody>
      <dsp:txXfrm>
        <a:off x="53290" y="1425490"/>
        <a:ext cx="1045863" cy="388806"/>
      </dsp:txXfrm>
    </dsp:sp>
    <dsp:sp modelId="{8686B6DF-F05B-443B-917C-5E86C49C8B0D}">
      <dsp:nvSpPr>
        <dsp:cNvPr id="0" name=""/>
        <dsp:cNvSpPr/>
      </dsp:nvSpPr>
      <dsp:spPr>
        <a:xfrm>
          <a:off x="1163954" y="1393861"/>
          <a:ext cx="1369745" cy="452065"/>
        </a:xfrm>
        <a:prstGeom prst="ellips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ts val="0"/>
            </a:spcAft>
          </a:pPr>
          <a:r>
            <a:rPr lang="sk-SK" sz="700" b="1" kern="1200">
              <a:latin typeface="Arial Narrow" panose="020B0606020202030204" pitchFamily="34" charset="0"/>
            </a:rPr>
            <a:t>znižovanie štrukturálneho deficitu o min 0,5 % HDP; znižovanie dlhu o 1 p. b., resp. 0,5 p. b.</a:t>
          </a:r>
        </a:p>
      </dsp:txBody>
      <dsp:txXfrm>
        <a:off x="1364549" y="1460064"/>
        <a:ext cx="968555" cy="31965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6A629F-49E1-4B75-822B-567BB1A17CAD}">
      <dsp:nvSpPr>
        <dsp:cNvPr id="0" name=""/>
        <dsp:cNvSpPr/>
      </dsp:nvSpPr>
      <dsp:spPr>
        <a:xfrm>
          <a:off x="160853" y="62361"/>
          <a:ext cx="830093" cy="308468"/>
        </a:xfrm>
        <a:prstGeom prst="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latin typeface="Arial Narrow" panose="020B0606020202030204" pitchFamily="34" charset="0"/>
            </a:rPr>
            <a:t>Flexibilita</a:t>
          </a:r>
        </a:p>
      </dsp:txBody>
      <dsp:txXfrm>
        <a:off x="160853" y="62361"/>
        <a:ext cx="830093" cy="308468"/>
      </dsp:txXfrm>
    </dsp:sp>
    <dsp:sp modelId="{411E1267-587B-4461-9E0B-5574FFEDF70B}">
      <dsp:nvSpPr>
        <dsp:cNvPr id="0" name=""/>
        <dsp:cNvSpPr/>
      </dsp:nvSpPr>
      <dsp:spPr>
        <a:xfrm>
          <a:off x="1042358" y="533"/>
          <a:ext cx="1383778" cy="432123"/>
        </a:xfrm>
        <a:prstGeom prst="ellipse">
          <a:avLst/>
        </a:prstGeom>
        <a:solidFill>
          <a:srgbClr val="2C9AD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288925">
            <a:lnSpc>
              <a:spcPct val="90000"/>
            </a:lnSpc>
            <a:spcBef>
              <a:spcPct val="0"/>
            </a:spcBef>
            <a:spcAft>
              <a:spcPct val="35000"/>
            </a:spcAft>
          </a:pPr>
          <a:r>
            <a:rPr lang="sk-SK" sz="650" b="1" kern="1200">
              <a:latin typeface="Arial Narrow" panose="020B0606020202030204" pitchFamily="34" charset="0"/>
            </a:rPr>
            <a:t>rozloženie konsolidácie o max 3 roky pri dodatočných reformách a investíciách</a:t>
          </a:r>
        </a:p>
      </dsp:txBody>
      <dsp:txXfrm>
        <a:off x="1245008" y="63816"/>
        <a:ext cx="978478" cy="305557"/>
      </dsp:txXfrm>
    </dsp:sp>
    <dsp:sp modelId="{A5BBBF42-5496-4255-8E67-8CE645BF5C31}">
      <dsp:nvSpPr>
        <dsp:cNvPr id="0" name=""/>
        <dsp:cNvSpPr/>
      </dsp:nvSpPr>
      <dsp:spPr>
        <a:xfrm>
          <a:off x="160851" y="479271"/>
          <a:ext cx="829759" cy="308468"/>
        </a:xfrm>
        <a:prstGeom prst="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solidFill>
                <a:schemeClr val="bg1"/>
              </a:solidFill>
              <a:latin typeface="Arial Narrow" panose="020B0606020202030204" pitchFamily="34" charset="0"/>
            </a:rPr>
            <a:t>Monitoring</a:t>
          </a:r>
        </a:p>
      </dsp:txBody>
      <dsp:txXfrm>
        <a:off x="160851" y="479271"/>
        <a:ext cx="829759" cy="308468"/>
      </dsp:txXfrm>
    </dsp:sp>
    <dsp:sp modelId="{9749555E-DDD9-487A-A6FB-A43EC3E0E6EC}">
      <dsp:nvSpPr>
        <dsp:cNvPr id="0" name=""/>
        <dsp:cNvSpPr/>
      </dsp:nvSpPr>
      <dsp:spPr>
        <a:xfrm>
          <a:off x="1042021" y="484068"/>
          <a:ext cx="1384117" cy="351727"/>
        </a:xfrm>
        <a:prstGeom prst="ellipse">
          <a:avLst/>
        </a:prstGeom>
        <a:solidFill>
          <a:srgbClr val="2C9AD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288925">
            <a:lnSpc>
              <a:spcPct val="90000"/>
            </a:lnSpc>
            <a:spcBef>
              <a:spcPct val="0"/>
            </a:spcBef>
            <a:spcAft>
              <a:spcPct val="35000"/>
            </a:spcAft>
          </a:pPr>
          <a:r>
            <a:rPr lang="sk-SK" sz="650" b="1" kern="1200">
              <a:latin typeface="Arial Narrow" panose="020B0606020202030204" pitchFamily="34" charset="0"/>
            </a:rPr>
            <a:t>odchýlenia od referenčnej trajektórie zaznamenávané na kontrolný účet</a:t>
          </a:r>
        </a:p>
      </dsp:txBody>
      <dsp:txXfrm>
        <a:off x="1244720" y="535577"/>
        <a:ext cx="978719" cy="248709"/>
      </dsp:txXfrm>
    </dsp:sp>
    <dsp:sp modelId="{2E5465F8-128A-4218-89FA-1441AB39B043}">
      <dsp:nvSpPr>
        <dsp:cNvPr id="0" name=""/>
        <dsp:cNvSpPr/>
      </dsp:nvSpPr>
      <dsp:spPr>
        <a:xfrm>
          <a:off x="166136" y="897768"/>
          <a:ext cx="829759" cy="308468"/>
        </a:xfrm>
        <a:prstGeom prst="rect">
          <a:avLst/>
        </a:prstGeom>
        <a:solidFill>
          <a:schemeClr val="bg1">
            <a:lumMod val="6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solidFill>
                <a:schemeClr val="bg1"/>
              </a:solidFill>
              <a:latin typeface="Arial Narrow" panose="020B0606020202030204" pitchFamily="34" charset="0"/>
            </a:rPr>
            <a:t>Ukotvenie</a:t>
          </a:r>
        </a:p>
      </dsp:txBody>
      <dsp:txXfrm>
        <a:off x="166136" y="897768"/>
        <a:ext cx="829759" cy="308468"/>
      </dsp:txXfrm>
    </dsp:sp>
    <dsp:sp modelId="{8686B6DF-F05B-443B-917C-5E86C49C8B0D}">
      <dsp:nvSpPr>
        <dsp:cNvPr id="0" name=""/>
        <dsp:cNvSpPr/>
      </dsp:nvSpPr>
      <dsp:spPr>
        <a:xfrm>
          <a:off x="1031451" y="887207"/>
          <a:ext cx="1405257" cy="329589"/>
        </a:xfrm>
        <a:prstGeom prst="ellipse">
          <a:avLst/>
        </a:prstGeom>
        <a:solidFill>
          <a:srgbClr val="2C9AD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k-SK" sz="700" b="1" kern="1200">
              <a:latin typeface="Arial Narrow" panose="020B0606020202030204" pitchFamily="34" charset="0"/>
            </a:rPr>
            <a:t>národný strednodobý fiškálno-štrukturálny plán</a:t>
          </a:r>
        </a:p>
      </dsp:txBody>
      <dsp:txXfrm>
        <a:off x="1237246" y="935474"/>
        <a:ext cx="993667" cy="233055"/>
      </dsp:txXfrm>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0.81837</cdr:x>
      <cdr:y>0.23349</cdr:y>
    </cdr:from>
    <cdr:to>
      <cdr:x>0.96851</cdr:x>
      <cdr:y>0.83728</cdr:y>
    </cdr:to>
    <cdr:sp macro="" textlink="">
      <cdr:nvSpPr>
        <cdr:cNvPr id="2" name="Obdĺžnik 1"/>
        <cdr:cNvSpPr/>
      </cdr:nvSpPr>
      <cdr:spPr>
        <a:xfrm xmlns:a="http://schemas.openxmlformats.org/drawingml/2006/main">
          <a:off x="2305234" y="501135"/>
          <a:ext cx="422923" cy="1295915"/>
        </a:xfrm>
        <a:prstGeom xmlns:a="http://schemas.openxmlformats.org/drawingml/2006/main" prst="rect">
          <a:avLst/>
        </a:prstGeom>
        <a:solidFill xmlns:a="http://schemas.openxmlformats.org/drawingml/2006/main">
          <a:schemeClr val="bg1">
            <a:lumMod val="95000"/>
            <a:alpha val="2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sk-SK"/>
        </a:p>
      </cdr:txBody>
    </cdr:sp>
  </cdr:relSizeAnchor>
  <cdr:relSizeAnchor xmlns:cdr="http://schemas.openxmlformats.org/drawingml/2006/chartDrawing">
    <cdr:from>
      <cdr:x>0.07466</cdr:x>
      <cdr:y>0.23349</cdr:y>
    </cdr:from>
    <cdr:to>
      <cdr:x>0.2248</cdr:x>
      <cdr:y>0.83728</cdr:y>
    </cdr:to>
    <cdr:sp macro="" textlink="">
      <cdr:nvSpPr>
        <cdr:cNvPr id="3" name="Obdĺžnik 2"/>
        <cdr:cNvSpPr/>
      </cdr:nvSpPr>
      <cdr:spPr>
        <a:xfrm xmlns:a="http://schemas.openxmlformats.org/drawingml/2006/main">
          <a:off x="210307" y="501135"/>
          <a:ext cx="422923" cy="1295915"/>
        </a:xfrm>
        <a:prstGeom xmlns:a="http://schemas.openxmlformats.org/drawingml/2006/main" prst="rect">
          <a:avLst/>
        </a:prstGeom>
        <a:solidFill xmlns:a="http://schemas.openxmlformats.org/drawingml/2006/main">
          <a:schemeClr val="bg1">
            <a:lumMod val="95000"/>
            <a:alpha val="2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sk-SK"/>
        </a:p>
      </cdr:txBody>
    </cdr:sp>
  </cdr:relSizeAnchor>
  <cdr:relSizeAnchor xmlns:cdr="http://schemas.openxmlformats.org/drawingml/2006/chartDrawing">
    <cdr:from>
      <cdr:x>0.33915</cdr:x>
      <cdr:y>0.58007</cdr:y>
    </cdr:from>
    <cdr:to>
      <cdr:x>0.74856</cdr:x>
      <cdr:y>0.71163</cdr:y>
    </cdr:to>
    <cdr:sp macro="" textlink="">
      <cdr:nvSpPr>
        <cdr:cNvPr id="4" name="Textové pole 3"/>
        <cdr:cNvSpPr txBox="1"/>
      </cdr:nvSpPr>
      <cdr:spPr>
        <a:xfrm xmlns:a="http://schemas.openxmlformats.org/drawingml/2006/main">
          <a:off x="955343" y="1323832"/>
          <a:ext cx="1153236" cy="30025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sk-SK" sz="800">
              <a:solidFill>
                <a:schemeClr val="bg1">
                  <a:lumMod val="85000"/>
                </a:schemeClr>
              </a:solidFill>
              <a:latin typeface="Arial Narrow" panose="020B0606020202030204" pitchFamily="34" charset="0"/>
            </a:rPr>
            <a:t>Aktuálne</a:t>
          </a:r>
          <a:r>
            <a:rPr lang="sk-SK" sz="800" baseline="0">
              <a:solidFill>
                <a:schemeClr val="bg1">
                  <a:lumMod val="85000"/>
                </a:schemeClr>
              </a:solidFill>
              <a:latin typeface="Arial Narrow" panose="020B0606020202030204" pitchFamily="34" charset="0"/>
            </a:rPr>
            <a:t> volebné obdobie</a:t>
          </a:r>
          <a:endParaRPr lang="sk-SK" sz="800">
            <a:solidFill>
              <a:schemeClr val="bg1">
                <a:lumMod val="85000"/>
              </a:schemeClr>
            </a:solidFill>
            <a:latin typeface="Arial Narrow" panose="020B0606020202030204" pitchFamily="34" charset="0"/>
          </a:endParaRPr>
        </a:p>
      </cdr:txBody>
    </cdr:sp>
  </cdr:relSizeAnchor>
  <cdr:relSizeAnchor xmlns:cdr="http://schemas.openxmlformats.org/drawingml/2006/chartDrawing">
    <cdr:from>
      <cdr:x>0.58478</cdr:x>
      <cdr:y>0.28557</cdr:y>
    </cdr:from>
    <cdr:to>
      <cdr:x>0.93801</cdr:x>
      <cdr:y>0.41604</cdr:y>
    </cdr:to>
    <cdr:sp macro="" textlink="">
      <cdr:nvSpPr>
        <cdr:cNvPr id="5" name="Textové pole 1"/>
        <cdr:cNvSpPr txBox="1"/>
      </cdr:nvSpPr>
      <cdr:spPr>
        <a:xfrm xmlns:a="http://schemas.openxmlformats.org/drawingml/2006/main">
          <a:off x="1647249" y="612925"/>
          <a:ext cx="994986" cy="280028"/>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07000"/>
            </a:lnSpc>
            <a:spcAft>
              <a:spcPts val="800"/>
            </a:spcAft>
          </a:pPr>
          <a:r>
            <a:rPr lang="sk-SK" sz="700" u="none">
              <a:solidFill>
                <a:srgbClr val="FF0000"/>
              </a:solidFill>
              <a:effectLst/>
              <a:latin typeface="Arial Narrow" panose="020B0606020202030204" pitchFamily="34" charset="0"/>
              <a:ea typeface="Calibri" panose="020F0502020204030204" pitchFamily="34" charset="0"/>
              <a:cs typeface="Times New Roman" panose="02020603050405020304" pitchFamily="18" charset="0"/>
            </a:rPr>
            <a:t>referenčná úroveň dlhu</a:t>
          </a:r>
          <a:endParaRPr lang="sk-SK" sz="700" u="none">
            <a:solidFill>
              <a:srgbClr val="FF0000"/>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0.40487</cdr:x>
      <cdr:y>0</cdr:y>
    </cdr:from>
    <cdr:to>
      <cdr:x>0.85574</cdr:x>
      <cdr:y>0.24278</cdr:y>
    </cdr:to>
    <cdr:sp macro="" textlink="">
      <cdr:nvSpPr>
        <cdr:cNvPr id="5" name="BlokTextu 4"/>
        <cdr:cNvSpPr txBox="1"/>
      </cdr:nvSpPr>
      <cdr:spPr>
        <a:xfrm xmlns:a="http://schemas.openxmlformats.org/drawingml/2006/main">
          <a:off x="1887444" y="0"/>
          <a:ext cx="2101850" cy="76050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sk-SK" sz="1100"/>
        </a:p>
      </cdr:txBody>
    </cdr:sp>
  </cdr:relSizeAnchor>
</c:userShapes>
</file>

<file path=word/drawings/drawing3.xml><?xml version="1.0" encoding="utf-8"?>
<c:userShapes xmlns:c="http://schemas.openxmlformats.org/drawingml/2006/chart">
  <cdr:relSizeAnchor xmlns:cdr="http://schemas.openxmlformats.org/drawingml/2006/chartDrawing">
    <cdr:from>
      <cdr:x>0.14808</cdr:x>
      <cdr:y>0.17544</cdr:y>
    </cdr:from>
    <cdr:to>
      <cdr:x>0.32684</cdr:x>
      <cdr:y>0.85243</cdr:y>
    </cdr:to>
    <cdr:sp macro="" textlink="">
      <cdr:nvSpPr>
        <cdr:cNvPr id="2" name="Obdĺžnik 1">
          <a:extLst xmlns:a="http://schemas.openxmlformats.org/drawingml/2006/main">
            <a:ext uri="{FF2B5EF4-FFF2-40B4-BE49-F238E27FC236}">
              <a16:creationId xmlns:a16="http://schemas.microsoft.com/office/drawing/2014/main" id="{9942FFE5-92F2-FB04-5E27-6AA214533962}"/>
            </a:ext>
          </a:extLst>
        </cdr:cNvPr>
        <cdr:cNvSpPr/>
      </cdr:nvSpPr>
      <cdr:spPr>
        <a:xfrm xmlns:a="http://schemas.openxmlformats.org/drawingml/2006/main">
          <a:off x="410444" y="344127"/>
          <a:ext cx="495483" cy="1327926"/>
        </a:xfrm>
        <a:prstGeom xmlns:a="http://schemas.openxmlformats.org/drawingml/2006/main" prst="rect">
          <a:avLst/>
        </a:prstGeom>
        <a:solidFill xmlns:a="http://schemas.openxmlformats.org/drawingml/2006/main">
          <a:schemeClr val="bg1">
            <a:lumMod val="75000"/>
            <a:alpha val="3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sk-SK"/>
        </a:p>
      </cdr:txBody>
    </cdr:sp>
  </cdr:relSizeAnchor>
  <cdr:relSizeAnchor xmlns:cdr="http://schemas.openxmlformats.org/drawingml/2006/chartDrawing">
    <cdr:from>
      <cdr:x>0.13647</cdr:x>
      <cdr:y>0.17748</cdr:y>
    </cdr:from>
    <cdr:to>
      <cdr:x>0.35346</cdr:x>
      <cdr:y>0.25529</cdr:y>
    </cdr:to>
    <cdr:sp macro="" textlink="">
      <cdr:nvSpPr>
        <cdr:cNvPr id="3" name="Textové pole 11">
          <a:extLst xmlns:a="http://schemas.openxmlformats.org/drawingml/2006/main">
            <a:ext uri="{FF2B5EF4-FFF2-40B4-BE49-F238E27FC236}">
              <a16:creationId xmlns:a16="http://schemas.microsoft.com/office/drawing/2014/main" id="{E0A8C645-0D06-02D6-8BD6-FD82DB64A3C5}"/>
            </a:ext>
          </a:extLst>
        </cdr:cNvPr>
        <cdr:cNvSpPr txBox="1"/>
      </cdr:nvSpPr>
      <cdr:spPr>
        <a:xfrm xmlns:a="http://schemas.openxmlformats.org/drawingml/2006/main">
          <a:off x="378256" y="348121"/>
          <a:ext cx="601448" cy="152626"/>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sk-SK" sz="600" b="1" u="none">
              <a:solidFill>
                <a:schemeClr val="tx1"/>
              </a:solidFill>
              <a:effectLst/>
              <a:latin typeface="Arial Narrow" panose="020B0606020202030204" pitchFamily="34" charset="0"/>
              <a:ea typeface="Calibri" panose="020F0502020204030204" pitchFamily="34" charset="0"/>
              <a:cs typeface="Times New Roman" panose="02020603050405020304" pitchFamily="18" charset="0"/>
            </a:rPr>
            <a:t>Konsolidácia</a:t>
          </a:r>
          <a:endParaRPr lang="sk-SK" sz="1200" u="none">
            <a:solidFill>
              <a:schemeClr val="tx1"/>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0.36402</cdr:x>
      <cdr:y>0.34409</cdr:y>
    </cdr:from>
    <cdr:to>
      <cdr:x>0.73792</cdr:x>
      <cdr:y>0.49154</cdr:y>
    </cdr:to>
    <cdr:sp macro="" textlink="">
      <cdr:nvSpPr>
        <cdr:cNvPr id="6" name="Šípka: doprava 5"/>
        <cdr:cNvSpPr/>
      </cdr:nvSpPr>
      <cdr:spPr>
        <a:xfrm xmlns:a="http://schemas.openxmlformats.org/drawingml/2006/main">
          <a:off x="1008990" y="674936"/>
          <a:ext cx="1036358" cy="289231"/>
        </a:xfrm>
        <a:prstGeom xmlns:a="http://schemas.openxmlformats.org/drawingml/2006/main" prst="rightArrow">
          <a:avLst/>
        </a:prstGeom>
        <a:solidFill xmlns:a="http://schemas.openxmlformats.org/drawingml/2006/main">
          <a:schemeClr val="accent1">
            <a:lumMod val="40000"/>
            <a:lumOff val="6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sk-SK"/>
        </a:p>
      </cdr:txBody>
    </cdr:sp>
  </cdr:relSizeAnchor>
  <cdr:relSizeAnchor xmlns:cdr="http://schemas.openxmlformats.org/drawingml/2006/chartDrawing">
    <cdr:from>
      <cdr:x>0.35708</cdr:x>
      <cdr:y>0.26068</cdr:y>
    </cdr:from>
    <cdr:to>
      <cdr:x>0.69351</cdr:x>
      <cdr:y>0.3835</cdr:y>
    </cdr:to>
    <cdr:sp macro="" textlink="">
      <cdr:nvSpPr>
        <cdr:cNvPr id="7" name="Textové pole 11"/>
        <cdr:cNvSpPr txBox="1"/>
      </cdr:nvSpPr>
      <cdr:spPr>
        <a:xfrm xmlns:a="http://schemas.openxmlformats.org/drawingml/2006/main">
          <a:off x="989745" y="511322"/>
          <a:ext cx="932517" cy="2409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07000"/>
            </a:lnSpc>
            <a:spcAft>
              <a:spcPts val="800"/>
            </a:spcAft>
          </a:pPr>
          <a:r>
            <a:rPr lang="sk-SK" sz="500" u="none">
              <a:solidFill>
                <a:schemeClr val="accent1">
                  <a:lumMod val="75000"/>
                </a:schemeClr>
              </a:solidFill>
              <a:effectLst/>
              <a:latin typeface="Arial Narrow" panose="020B0606020202030204" pitchFamily="34" charset="0"/>
              <a:ea typeface="Calibri" panose="020F0502020204030204" pitchFamily="34" charset="0"/>
              <a:cs typeface="Times New Roman" panose="02020603050405020304" pitchFamily="18" charset="0"/>
            </a:rPr>
            <a:t>10-ročný</a:t>
          </a:r>
          <a:r>
            <a:rPr lang="sk-SK" sz="500" u="none" baseline="0">
              <a:solidFill>
                <a:schemeClr val="accent1">
                  <a:lumMod val="75000"/>
                </a:schemeClr>
              </a:solidFill>
              <a:effectLst/>
              <a:latin typeface="Arial Narrow" panose="020B0606020202030204" pitchFamily="34" charset="0"/>
              <a:ea typeface="Calibri" panose="020F0502020204030204" pitchFamily="34" charset="0"/>
              <a:cs typeface="Times New Roman" panose="02020603050405020304" pitchFamily="18" charset="0"/>
            </a:rPr>
            <a:t> scenár bez zmeny politík (NPC) do 2038</a:t>
          </a:r>
          <a:endParaRPr lang="sk-SK" sz="1100" u="none">
            <a:solidFill>
              <a:schemeClr val="accent1">
                <a:lumMod val="75000"/>
              </a:schemeClr>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0.7893</cdr:x>
      <cdr:y>0.34725</cdr:y>
    </cdr:from>
    <cdr:to>
      <cdr:x>0.91484</cdr:x>
      <cdr:y>0.49472</cdr:y>
    </cdr:to>
    <cdr:sp macro="" textlink="">
      <cdr:nvSpPr>
        <cdr:cNvPr id="8" name="Šípka: doprava 7"/>
        <cdr:cNvSpPr/>
      </cdr:nvSpPr>
      <cdr:spPr>
        <a:xfrm xmlns:a="http://schemas.openxmlformats.org/drawingml/2006/main">
          <a:off x="2187749" y="681140"/>
          <a:ext cx="347969" cy="289252"/>
        </a:xfrm>
        <a:prstGeom xmlns:a="http://schemas.openxmlformats.org/drawingml/2006/main" prst="rightArrow">
          <a:avLst/>
        </a:prstGeom>
        <a:solidFill xmlns:a="http://schemas.openxmlformats.org/drawingml/2006/main">
          <a:srgbClr val="E8EEF8"/>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sk-SK"/>
        </a:p>
      </cdr:txBody>
    </cdr:sp>
  </cdr:relSizeAnchor>
  <cdr:relSizeAnchor xmlns:cdr="http://schemas.openxmlformats.org/drawingml/2006/chartDrawing">
    <cdr:from>
      <cdr:x>0.69996</cdr:x>
      <cdr:y>0.24222</cdr:y>
    </cdr:from>
    <cdr:to>
      <cdr:x>0.97953</cdr:x>
      <cdr:y>0.38034</cdr:y>
    </cdr:to>
    <cdr:sp macro="" textlink="">
      <cdr:nvSpPr>
        <cdr:cNvPr id="9" name="Textové pole 11"/>
        <cdr:cNvSpPr txBox="1"/>
      </cdr:nvSpPr>
      <cdr:spPr>
        <a:xfrm xmlns:a="http://schemas.openxmlformats.org/drawingml/2006/main">
          <a:off x="1940139" y="475122"/>
          <a:ext cx="774903" cy="2709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07000"/>
            </a:lnSpc>
            <a:spcAft>
              <a:spcPts val="800"/>
            </a:spcAft>
          </a:pPr>
          <a:r>
            <a:rPr lang="sk-SK" sz="500" u="none">
              <a:solidFill>
                <a:schemeClr val="accent1">
                  <a:lumMod val="40000"/>
                  <a:lumOff val="60000"/>
                </a:schemeClr>
              </a:solidFill>
              <a:effectLst/>
              <a:latin typeface="Arial Narrow" panose="020B0606020202030204" pitchFamily="34" charset="0"/>
              <a:ea typeface="Calibri" panose="020F0502020204030204" pitchFamily="34" charset="0"/>
              <a:cs typeface="Times New Roman" panose="02020603050405020304" pitchFamily="18" charset="0"/>
            </a:rPr>
            <a:t>NPC ďalšieho </a:t>
          </a:r>
          <a:br>
            <a:rPr lang="sk-SK" sz="500" u="none">
              <a:solidFill>
                <a:schemeClr val="accent1">
                  <a:lumMod val="40000"/>
                  <a:lumOff val="60000"/>
                </a:schemeClr>
              </a:solidFill>
              <a:effectLst/>
              <a:latin typeface="Arial Narrow" panose="020B0606020202030204" pitchFamily="34" charset="0"/>
              <a:ea typeface="Calibri" panose="020F0502020204030204" pitchFamily="34" charset="0"/>
              <a:cs typeface="Times New Roman" panose="02020603050405020304" pitchFamily="18" charset="0"/>
            </a:rPr>
          </a:br>
          <a:r>
            <a:rPr lang="sk-SK" sz="500" u="none">
              <a:solidFill>
                <a:schemeClr val="accent1">
                  <a:lumMod val="40000"/>
                  <a:lumOff val="60000"/>
                </a:schemeClr>
              </a:solidFill>
              <a:effectLst/>
              <a:latin typeface="Arial Narrow" panose="020B0606020202030204" pitchFamily="34" charset="0"/>
              <a:ea typeface="Calibri" panose="020F0502020204030204" pitchFamily="34" charset="0"/>
              <a:cs typeface="Times New Roman" panose="02020603050405020304" pitchFamily="18" charset="0"/>
            </a:rPr>
            <a:t>plánu</a:t>
          </a:r>
          <a:r>
            <a:rPr lang="sk-SK" sz="500" u="none" baseline="0">
              <a:solidFill>
                <a:schemeClr val="accent1">
                  <a:lumMod val="40000"/>
                  <a:lumOff val="60000"/>
                </a:schemeClr>
              </a:solidFill>
              <a:effectLst/>
              <a:latin typeface="Arial Narrow" panose="020B0606020202030204" pitchFamily="34" charset="0"/>
              <a:ea typeface="Calibri" panose="020F0502020204030204" pitchFamily="34" charset="0"/>
              <a:cs typeface="Times New Roman" panose="02020603050405020304" pitchFamily="18" charset="0"/>
            </a:rPr>
            <a:t> do 2042</a:t>
          </a:r>
          <a:endParaRPr lang="sk-SK" sz="1100" u="none">
            <a:solidFill>
              <a:schemeClr val="accent1">
                <a:lumMod val="40000"/>
                <a:lumOff val="60000"/>
              </a:schemeClr>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0.13184</cdr:x>
      <cdr:y>0.16559</cdr:y>
    </cdr:from>
    <cdr:to>
      <cdr:x>0.32048</cdr:x>
      <cdr:y>0.85418</cdr:y>
    </cdr:to>
    <cdr:sp macro="" textlink="">
      <cdr:nvSpPr>
        <cdr:cNvPr id="4" name="Obdĺžnik 3">
          <a:extLst xmlns:a="http://schemas.openxmlformats.org/drawingml/2006/main">
            <a:ext uri="{FF2B5EF4-FFF2-40B4-BE49-F238E27FC236}">
              <a16:creationId xmlns:a16="http://schemas.microsoft.com/office/drawing/2014/main" id="{5AB08D08-C695-82E6-B4A3-9D47EA92A95C}"/>
            </a:ext>
          </a:extLst>
        </cdr:cNvPr>
        <cdr:cNvSpPr/>
      </cdr:nvSpPr>
      <cdr:spPr>
        <a:xfrm xmlns:a="http://schemas.openxmlformats.org/drawingml/2006/main">
          <a:off x="360491" y="325964"/>
          <a:ext cx="515801" cy="1355492"/>
        </a:xfrm>
        <a:prstGeom xmlns:a="http://schemas.openxmlformats.org/drawingml/2006/main" prst="rect">
          <a:avLst/>
        </a:prstGeom>
        <a:solidFill xmlns:a="http://schemas.openxmlformats.org/drawingml/2006/main">
          <a:schemeClr val="bg1">
            <a:lumMod val="75000"/>
            <a:alpha val="3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sk-SK"/>
        </a:p>
      </cdr:txBody>
    </cdr:sp>
  </cdr:relSizeAnchor>
  <cdr:relSizeAnchor xmlns:cdr="http://schemas.openxmlformats.org/drawingml/2006/chartDrawing">
    <cdr:from>
      <cdr:x>0.12426</cdr:x>
      <cdr:y>0.42344</cdr:y>
    </cdr:from>
    <cdr:to>
      <cdr:x>0.33763</cdr:x>
      <cdr:y>0.50141</cdr:y>
    </cdr:to>
    <cdr:sp macro="" textlink="">
      <cdr:nvSpPr>
        <cdr:cNvPr id="5" name="Textové pole 11">
          <a:extLst xmlns:a="http://schemas.openxmlformats.org/drawingml/2006/main">
            <a:ext uri="{FF2B5EF4-FFF2-40B4-BE49-F238E27FC236}">
              <a16:creationId xmlns:a16="http://schemas.microsoft.com/office/drawing/2014/main" id="{4B079763-3CB3-B018-6351-C2E2AF39293F}"/>
            </a:ext>
          </a:extLst>
        </cdr:cNvPr>
        <cdr:cNvSpPr txBox="1"/>
      </cdr:nvSpPr>
      <cdr:spPr>
        <a:xfrm xmlns:a="http://schemas.openxmlformats.org/drawingml/2006/main">
          <a:off x="339758" y="833543"/>
          <a:ext cx="583419" cy="153484"/>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sk-SK" sz="600" b="1" u="none">
              <a:solidFill>
                <a:schemeClr val="tx1"/>
              </a:solidFill>
              <a:effectLst/>
              <a:latin typeface="Arial Narrow" panose="020B0606020202030204" pitchFamily="34" charset="0"/>
              <a:ea typeface="Calibri" panose="020F0502020204030204" pitchFamily="34" charset="0"/>
              <a:cs typeface="Times New Roman" panose="02020603050405020304" pitchFamily="18" charset="0"/>
            </a:rPr>
            <a:t>Konsolidácia</a:t>
          </a:r>
          <a:endParaRPr lang="sk-SK" sz="1200" u="none">
            <a:solidFill>
              <a:schemeClr val="tx1"/>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0.34555</cdr:x>
      <cdr:y>0.19839</cdr:y>
    </cdr:from>
    <cdr:to>
      <cdr:x>0.72457</cdr:x>
      <cdr:y>0.34532</cdr:y>
    </cdr:to>
    <cdr:sp macro="" textlink="">
      <cdr:nvSpPr>
        <cdr:cNvPr id="6" name="Šípka: doprava 5">
          <a:extLst xmlns:a="http://schemas.openxmlformats.org/drawingml/2006/main">
            <a:ext uri="{FF2B5EF4-FFF2-40B4-BE49-F238E27FC236}">
              <a16:creationId xmlns:a16="http://schemas.microsoft.com/office/drawing/2014/main" id="{F03E161B-2A5D-56FC-699E-986A78CEB88A}"/>
            </a:ext>
          </a:extLst>
        </cdr:cNvPr>
        <cdr:cNvSpPr/>
      </cdr:nvSpPr>
      <cdr:spPr>
        <a:xfrm xmlns:a="http://schemas.openxmlformats.org/drawingml/2006/main">
          <a:off x="944839" y="390526"/>
          <a:ext cx="1036361" cy="289236"/>
        </a:xfrm>
        <a:prstGeom xmlns:a="http://schemas.openxmlformats.org/drawingml/2006/main" prst="rightArrow">
          <a:avLst/>
        </a:prstGeom>
        <a:solidFill xmlns:a="http://schemas.openxmlformats.org/drawingml/2006/main">
          <a:schemeClr val="accent1">
            <a:lumMod val="40000"/>
            <a:lumOff val="6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sk-SK"/>
        </a:p>
      </cdr:txBody>
    </cdr:sp>
  </cdr:relSizeAnchor>
  <cdr:relSizeAnchor xmlns:cdr="http://schemas.openxmlformats.org/drawingml/2006/chartDrawing">
    <cdr:from>
      <cdr:x>0.33851</cdr:x>
      <cdr:y>0.11527</cdr:y>
    </cdr:from>
    <cdr:to>
      <cdr:x>0.67955</cdr:x>
      <cdr:y>0.23766</cdr:y>
    </cdr:to>
    <cdr:sp macro="" textlink="">
      <cdr:nvSpPr>
        <cdr:cNvPr id="7" name="Textové pole 11">
          <a:extLst xmlns:a="http://schemas.openxmlformats.org/drawingml/2006/main">
            <a:ext uri="{FF2B5EF4-FFF2-40B4-BE49-F238E27FC236}">
              <a16:creationId xmlns:a16="http://schemas.microsoft.com/office/drawing/2014/main" id="{E3283D3C-01E1-E3D1-B45B-DE148B079D50}"/>
            </a:ext>
          </a:extLst>
        </cdr:cNvPr>
        <cdr:cNvSpPr txBox="1"/>
      </cdr:nvSpPr>
      <cdr:spPr>
        <a:xfrm xmlns:a="http://schemas.openxmlformats.org/drawingml/2006/main">
          <a:off x="925596" y="226917"/>
          <a:ext cx="932517" cy="2409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07000"/>
            </a:lnSpc>
            <a:spcAft>
              <a:spcPts val="800"/>
            </a:spcAft>
          </a:pPr>
          <a:r>
            <a:rPr lang="sk-SK" sz="500" u="none">
              <a:solidFill>
                <a:schemeClr val="accent1">
                  <a:lumMod val="75000"/>
                </a:schemeClr>
              </a:solidFill>
              <a:effectLst/>
              <a:latin typeface="Arial Narrow" panose="020B0606020202030204" pitchFamily="34" charset="0"/>
              <a:ea typeface="Calibri" panose="020F0502020204030204" pitchFamily="34" charset="0"/>
              <a:cs typeface="Times New Roman" panose="02020603050405020304" pitchFamily="18" charset="0"/>
            </a:rPr>
            <a:t>10-ročný</a:t>
          </a:r>
          <a:r>
            <a:rPr lang="sk-SK" sz="500" u="none" baseline="0">
              <a:solidFill>
                <a:schemeClr val="accent1">
                  <a:lumMod val="75000"/>
                </a:schemeClr>
              </a:solidFill>
              <a:effectLst/>
              <a:latin typeface="Arial Narrow" panose="020B0606020202030204" pitchFamily="34" charset="0"/>
              <a:ea typeface="Calibri" panose="020F0502020204030204" pitchFamily="34" charset="0"/>
              <a:cs typeface="Times New Roman" panose="02020603050405020304" pitchFamily="18" charset="0"/>
            </a:rPr>
            <a:t> scenár bez zmeny politík (NPC) do 2038</a:t>
          </a:r>
          <a:endParaRPr lang="sk-SK" sz="1100" u="none">
            <a:solidFill>
              <a:schemeClr val="accent1">
                <a:lumMod val="75000"/>
              </a:schemeClr>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0.80228</cdr:x>
      <cdr:y>0.67205</cdr:y>
    </cdr:from>
    <cdr:to>
      <cdr:x>0.92954</cdr:x>
      <cdr:y>0.81899</cdr:y>
    </cdr:to>
    <cdr:sp macro="" textlink="">
      <cdr:nvSpPr>
        <cdr:cNvPr id="2" name="Šípka: doprava 1"/>
        <cdr:cNvSpPr/>
      </cdr:nvSpPr>
      <cdr:spPr>
        <a:xfrm xmlns:a="http://schemas.openxmlformats.org/drawingml/2006/main">
          <a:off x="2193683" y="1322921"/>
          <a:ext cx="347968" cy="289252"/>
        </a:xfrm>
        <a:prstGeom xmlns:a="http://schemas.openxmlformats.org/drawingml/2006/main" prst="rightArrow">
          <a:avLst/>
        </a:prstGeom>
        <a:solidFill xmlns:a="http://schemas.openxmlformats.org/drawingml/2006/main">
          <a:srgbClr val="E8EEF8"/>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sk-SK"/>
        </a:p>
      </cdr:txBody>
    </cdr:sp>
  </cdr:relSizeAnchor>
  <cdr:relSizeAnchor xmlns:cdr="http://schemas.openxmlformats.org/drawingml/2006/chartDrawing">
    <cdr:from>
      <cdr:x>0.7166</cdr:x>
      <cdr:y>0.56739</cdr:y>
    </cdr:from>
    <cdr:to>
      <cdr:x>1</cdr:x>
      <cdr:y>0.70502</cdr:y>
    </cdr:to>
    <cdr:sp macro="" textlink="">
      <cdr:nvSpPr>
        <cdr:cNvPr id="3" name="Textové pole 11"/>
        <cdr:cNvSpPr txBox="1"/>
      </cdr:nvSpPr>
      <cdr:spPr>
        <a:xfrm xmlns:a="http://schemas.openxmlformats.org/drawingml/2006/main">
          <a:off x="1959407" y="1116912"/>
          <a:ext cx="774903" cy="2709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07000"/>
            </a:lnSpc>
            <a:spcAft>
              <a:spcPts val="800"/>
            </a:spcAft>
          </a:pPr>
          <a:r>
            <a:rPr lang="sk-SK" sz="500" u="none">
              <a:solidFill>
                <a:schemeClr val="accent1">
                  <a:lumMod val="40000"/>
                  <a:lumOff val="60000"/>
                </a:schemeClr>
              </a:solidFill>
              <a:effectLst/>
              <a:latin typeface="Arial Narrow" panose="020B0606020202030204" pitchFamily="34" charset="0"/>
              <a:ea typeface="Calibri" panose="020F0502020204030204" pitchFamily="34" charset="0"/>
              <a:cs typeface="Times New Roman" panose="02020603050405020304" pitchFamily="18" charset="0"/>
            </a:rPr>
            <a:t>NPC ďalšieho </a:t>
          </a:r>
          <a:br>
            <a:rPr lang="sk-SK" sz="500" u="none">
              <a:solidFill>
                <a:schemeClr val="accent1">
                  <a:lumMod val="40000"/>
                  <a:lumOff val="60000"/>
                </a:schemeClr>
              </a:solidFill>
              <a:effectLst/>
              <a:latin typeface="Arial Narrow" panose="020B0606020202030204" pitchFamily="34" charset="0"/>
              <a:ea typeface="Calibri" panose="020F0502020204030204" pitchFamily="34" charset="0"/>
              <a:cs typeface="Times New Roman" panose="02020603050405020304" pitchFamily="18" charset="0"/>
            </a:rPr>
          </a:br>
          <a:r>
            <a:rPr lang="sk-SK" sz="500" u="none">
              <a:solidFill>
                <a:schemeClr val="accent1">
                  <a:lumMod val="40000"/>
                  <a:lumOff val="60000"/>
                </a:schemeClr>
              </a:solidFill>
              <a:effectLst/>
              <a:latin typeface="Arial Narrow" panose="020B0606020202030204" pitchFamily="34" charset="0"/>
              <a:ea typeface="Calibri" panose="020F0502020204030204" pitchFamily="34" charset="0"/>
              <a:cs typeface="Times New Roman" panose="02020603050405020304" pitchFamily="18" charset="0"/>
            </a:rPr>
            <a:t>plánu</a:t>
          </a:r>
          <a:r>
            <a:rPr lang="sk-SK" sz="500" u="none" baseline="0">
              <a:solidFill>
                <a:schemeClr val="accent1">
                  <a:lumMod val="40000"/>
                  <a:lumOff val="60000"/>
                </a:schemeClr>
              </a:solidFill>
              <a:effectLst/>
              <a:latin typeface="Arial Narrow" panose="020B0606020202030204" pitchFamily="34" charset="0"/>
              <a:ea typeface="Calibri" panose="020F0502020204030204" pitchFamily="34" charset="0"/>
              <a:cs typeface="Times New Roman" panose="02020603050405020304" pitchFamily="18" charset="0"/>
            </a:rPr>
            <a:t> do 2042</a:t>
          </a:r>
          <a:endParaRPr lang="sk-SK" sz="1100" u="none">
            <a:solidFill>
              <a:schemeClr val="accent1">
                <a:lumMod val="40000"/>
                <a:lumOff val="60000"/>
              </a:schemeClr>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0.90093</cdr:x>
      <cdr:y>0.37639</cdr:y>
    </cdr:from>
    <cdr:to>
      <cdr:x>1</cdr:x>
      <cdr:y>0.71219</cdr:y>
    </cdr:to>
    <cdr:sp macro="" textlink="">
      <cdr:nvSpPr>
        <cdr:cNvPr id="2" name="BlokTextu 4">
          <a:extLst xmlns:a="http://schemas.openxmlformats.org/drawingml/2006/main">
            <a:ext uri="{FF2B5EF4-FFF2-40B4-BE49-F238E27FC236}">
              <a16:creationId xmlns:a16="http://schemas.microsoft.com/office/drawing/2014/main" id="{72B5CBA3-660B-3442-9ACF-8DDAE149CE41}"/>
            </a:ext>
          </a:extLst>
        </cdr:cNvPr>
        <cdr:cNvSpPr txBox="1"/>
      </cdr:nvSpPr>
      <cdr:spPr>
        <a:xfrm xmlns:a="http://schemas.openxmlformats.org/drawingml/2006/main" rot="16200000">
          <a:off x="2062964" y="1417008"/>
          <a:ext cx="955924" cy="26484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sk-SK" sz="700" baseline="0">
              <a:solidFill>
                <a:srgbClr val="FF0000"/>
              </a:solidFill>
              <a:latin typeface="Arial Narrow" panose="020B0606020202030204" pitchFamily="34" charset="0"/>
            </a:rPr>
            <a:t>Doddatočne potrebné opatrenia  (2,9 % HDP)</a:t>
          </a:r>
          <a:endParaRPr lang="sk-SK" sz="700">
            <a:solidFill>
              <a:srgbClr val="FF0000"/>
            </a:solidFill>
            <a:latin typeface="Arial Narrow" panose="020B0606020202030204" pitchFamily="34" charset="0"/>
          </a:endParaRPr>
        </a:p>
      </cdr:txBody>
    </cdr:sp>
  </cdr:relSizeAnchor>
  <cdr:relSizeAnchor xmlns:cdr="http://schemas.openxmlformats.org/drawingml/2006/chartDrawing">
    <cdr:from>
      <cdr:x>0.88942</cdr:x>
      <cdr:y>0.14704</cdr:y>
    </cdr:from>
    <cdr:to>
      <cdr:x>0.88984</cdr:x>
      <cdr:y>0.33569</cdr:y>
    </cdr:to>
    <cdr:cxnSp macro="">
      <cdr:nvCxnSpPr>
        <cdr:cNvPr id="3" name="Rovná spojovacia šípka 2">
          <a:extLst xmlns:a="http://schemas.openxmlformats.org/drawingml/2006/main">
            <a:ext uri="{FF2B5EF4-FFF2-40B4-BE49-F238E27FC236}">
              <a16:creationId xmlns:a16="http://schemas.microsoft.com/office/drawing/2014/main" id="{0E964F13-DB5E-C82A-3B41-413E1DCB492D}"/>
            </a:ext>
          </a:extLst>
        </cdr:cNvPr>
        <cdr:cNvCxnSpPr/>
      </cdr:nvCxnSpPr>
      <cdr:spPr>
        <a:xfrm xmlns:a="http://schemas.openxmlformats.org/drawingml/2006/main" flipH="1">
          <a:off x="2455107" y="418582"/>
          <a:ext cx="1159" cy="537031"/>
        </a:xfrm>
        <a:prstGeom xmlns:a="http://schemas.openxmlformats.org/drawingml/2006/main" prst="straightConnector1">
          <a:avLst/>
        </a:prstGeom>
        <a:ln xmlns:a="http://schemas.openxmlformats.org/drawingml/2006/main">
          <a:solidFill>
            <a:srgbClr val="FF0000"/>
          </a:solidFill>
          <a:headEnd type="triangl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0.89253</cdr:x>
      <cdr:y>0.36407</cdr:y>
    </cdr:from>
    <cdr:to>
      <cdr:x>0.89253</cdr:x>
      <cdr:y>0.71794</cdr:y>
    </cdr:to>
    <cdr:cxnSp macro="">
      <cdr:nvCxnSpPr>
        <cdr:cNvPr id="4" name="Rovná spojovacia šípka 3"/>
        <cdr:cNvCxnSpPr/>
      </cdr:nvCxnSpPr>
      <cdr:spPr>
        <a:xfrm xmlns:a="http://schemas.openxmlformats.org/drawingml/2006/main">
          <a:off x="2386045" y="1036396"/>
          <a:ext cx="0" cy="1007363"/>
        </a:xfrm>
        <a:prstGeom xmlns:a="http://schemas.openxmlformats.org/drawingml/2006/main" prst="straightConnector1">
          <a:avLst/>
        </a:prstGeom>
        <a:ln xmlns:a="http://schemas.openxmlformats.org/drawingml/2006/main">
          <a:solidFill>
            <a:srgbClr val="FF0000"/>
          </a:solidFill>
          <a:headEnd type="triangl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0.89916</cdr:x>
      <cdr:y>0</cdr:y>
    </cdr:from>
    <cdr:to>
      <cdr:x>1</cdr:x>
      <cdr:y>0.35876</cdr:y>
    </cdr:to>
    <cdr:sp macro="" textlink="">
      <cdr:nvSpPr>
        <cdr:cNvPr id="6" name="BlokTextu 4"/>
        <cdr:cNvSpPr txBox="1"/>
      </cdr:nvSpPr>
      <cdr:spPr>
        <a:xfrm xmlns:a="http://schemas.openxmlformats.org/drawingml/2006/main" rot="16200000">
          <a:off x="2027915" y="375849"/>
          <a:ext cx="1021284" cy="269586"/>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sk-SK" sz="700" baseline="0">
              <a:solidFill>
                <a:srgbClr val="FF0000"/>
              </a:solidFill>
              <a:latin typeface="Arial Narrow" panose="020B0606020202030204" pitchFamily="34" charset="0"/>
            </a:rPr>
            <a:t>Predstavené opatrenia </a:t>
          </a:r>
        </a:p>
        <a:p xmlns:a="http://schemas.openxmlformats.org/drawingml/2006/main">
          <a:r>
            <a:rPr lang="sk-SK" sz="700" baseline="0">
              <a:solidFill>
                <a:srgbClr val="FF0000"/>
              </a:solidFill>
              <a:latin typeface="Arial Narrow" panose="020B0606020202030204" pitchFamily="34" charset="0"/>
            </a:rPr>
            <a:t>(1,6 % HDP)</a:t>
          </a:r>
          <a:endParaRPr lang="sk-SK" sz="700">
            <a:solidFill>
              <a:srgbClr val="FF0000"/>
            </a:solidFill>
            <a:latin typeface="Arial Narrow" panose="020B0606020202030204" pitchFamily="34" charset="0"/>
          </a:endParaRPr>
        </a:p>
      </cdr:txBody>
    </cdr:sp>
  </cdr:relSizeAnchor>
</c:userShape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IFP motív">
    <a:dk1>
      <a:srgbClr val="686767"/>
    </a:dk1>
    <a:lt1>
      <a:srgbClr val="FFFFFF"/>
    </a:lt1>
    <a:dk2>
      <a:srgbClr val="C3C2C2"/>
    </a:dk2>
    <a:lt2>
      <a:srgbClr val="FFFFFF"/>
    </a:lt2>
    <a:accent1>
      <a:srgbClr val="2EAAE1"/>
    </a:accent1>
    <a:accent2>
      <a:srgbClr val="131D2B"/>
    </a:accent2>
    <a:accent3>
      <a:srgbClr val="1AA380"/>
    </a:accent3>
    <a:accent4>
      <a:srgbClr val="E85477"/>
    </a:accent4>
    <a:accent5>
      <a:srgbClr val="F2CA6D"/>
    </a:accent5>
    <a:accent6>
      <a:srgbClr val="7D5708"/>
    </a:accent6>
    <a:hlink>
      <a:srgbClr val="65358E"/>
    </a:hlink>
    <a:folHlink>
      <a:srgbClr val="868585"/>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IFP motív">
    <a:dk1>
      <a:srgbClr val="686767"/>
    </a:dk1>
    <a:lt1>
      <a:srgbClr val="FFFFFF"/>
    </a:lt1>
    <a:dk2>
      <a:srgbClr val="C3C2C2"/>
    </a:dk2>
    <a:lt2>
      <a:srgbClr val="FFFFFF"/>
    </a:lt2>
    <a:accent1>
      <a:srgbClr val="2EAAE1"/>
    </a:accent1>
    <a:accent2>
      <a:srgbClr val="131D2B"/>
    </a:accent2>
    <a:accent3>
      <a:srgbClr val="1AA380"/>
    </a:accent3>
    <a:accent4>
      <a:srgbClr val="E85477"/>
    </a:accent4>
    <a:accent5>
      <a:srgbClr val="F2CA6D"/>
    </a:accent5>
    <a:accent6>
      <a:srgbClr val="7D5708"/>
    </a:accent6>
    <a:hlink>
      <a:srgbClr val="65358E"/>
    </a:hlink>
    <a:folHlink>
      <a:srgbClr val="868585"/>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IFP motív">
    <a:dk1>
      <a:srgbClr val="686767"/>
    </a:dk1>
    <a:lt1>
      <a:srgbClr val="FFFFFF"/>
    </a:lt1>
    <a:dk2>
      <a:srgbClr val="C3C2C2"/>
    </a:dk2>
    <a:lt2>
      <a:srgbClr val="FFFFFF"/>
    </a:lt2>
    <a:accent1>
      <a:srgbClr val="2EAAE1"/>
    </a:accent1>
    <a:accent2>
      <a:srgbClr val="131D2B"/>
    </a:accent2>
    <a:accent3>
      <a:srgbClr val="1AA380"/>
    </a:accent3>
    <a:accent4>
      <a:srgbClr val="E85477"/>
    </a:accent4>
    <a:accent5>
      <a:srgbClr val="F2CA6D"/>
    </a:accent5>
    <a:accent6>
      <a:srgbClr val="7D5708"/>
    </a:accent6>
    <a:hlink>
      <a:srgbClr val="65358E"/>
    </a:hlink>
    <a:folHlink>
      <a:srgbClr val="868585"/>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IFP motív">
    <a:dk1>
      <a:srgbClr val="686767"/>
    </a:dk1>
    <a:lt1>
      <a:srgbClr val="FFFFFF"/>
    </a:lt1>
    <a:dk2>
      <a:srgbClr val="C3C2C2"/>
    </a:dk2>
    <a:lt2>
      <a:srgbClr val="FFFFFF"/>
    </a:lt2>
    <a:accent1>
      <a:srgbClr val="2EAAE1"/>
    </a:accent1>
    <a:accent2>
      <a:srgbClr val="131D2B"/>
    </a:accent2>
    <a:accent3>
      <a:srgbClr val="1AA380"/>
    </a:accent3>
    <a:accent4>
      <a:srgbClr val="E85477"/>
    </a:accent4>
    <a:accent5>
      <a:srgbClr val="F2CA6D"/>
    </a:accent5>
    <a:accent6>
      <a:srgbClr val="7D5708"/>
    </a:accent6>
    <a:hlink>
      <a:srgbClr val="65358E"/>
    </a:hlink>
    <a:folHlink>
      <a:srgbClr val="868585"/>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IFP motív">
    <a:dk1>
      <a:srgbClr val="686767"/>
    </a:dk1>
    <a:lt1>
      <a:srgbClr val="FFFFFF"/>
    </a:lt1>
    <a:dk2>
      <a:srgbClr val="C3C2C2"/>
    </a:dk2>
    <a:lt2>
      <a:srgbClr val="FFFFFF"/>
    </a:lt2>
    <a:accent1>
      <a:srgbClr val="2EAAE1"/>
    </a:accent1>
    <a:accent2>
      <a:srgbClr val="131D2B"/>
    </a:accent2>
    <a:accent3>
      <a:srgbClr val="1AA380"/>
    </a:accent3>
    <a:accent4>
      <a:srgbClr val="E85477"/>
    </a:accent4>
    <a:accent5>
      <a:srgbClr val="F2CA6D"/>
    </a:accent5>
    <a:accent6>
      <a:srgbClr val="7D5708"/>
    </a:accent6>
    <a:hlink>
      <a:srgbClr val="65358E"/>
    </a:hlink>
    <a:folHlink>
      <a:srgbClr val="868585"/>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IFP motív">
    <a:dk1>
      <a:srgbClr val="131D2B"/>
    </a:dk1>
    <a:lt1>
      <a:srgbClr val="FFFFFF"/>
    </a:lt1>
    <a:dk2>
      <a:srgbClr val="FFFFFF"/>
    </a:dk2>
    <a:lt2>
      <a:srgbClr val="FFFFFF"/>
    </a:lt2>
    <a:accent1>
      <a:srgbClr val="2EAAE1"/>
    </a:accent1>
    <a:accent2>
      <a:srgbClr val="131D2B"/>
    </a:accent2>
    <a:accent3>
      <a:srgbClr val="1AA380"/>
    </a:accent3>
    <a:accent4>
      <a:srgbClr val="F2CA6D"/>
    </a:accent4>
    <a:accent5>
      <a:srgbClr val="E85477"/>
    </a:accent5>
    <a:accent6>
      <a:srgbClr val="686767"/>
    </a:accent6>
    <a:hlink>
      <a:srgbClr val="6535F2"/>
    </a:hlink>
    <a:folHlink>
      <a:srgbClr val="7D5207"/>
    </a:folHlink>
  </a:clrScheme>
  <a:fontScheme name="Vlastné 1">
    <a:majorFont>
      <a:latin typeface="Yu Gothic UI"/>
      <a:ea typeface=""/>
      <a:cs typeface=""/>
    </a:majorFont>
    <a:minorFont>
      <a:latin typeface="Yu Gothic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B13E9-A71D-484B-AE7D-B1B021906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15743</Words>
  <Characters>89741</Characters>
  <Application>Microsoft Office Word</Application>
  <DocSecurity>0</DocSecurity>
  <Lines>747</Lines>
  <Paragraphs>210</Paragraphs>
  <ScaleCrop>false</ScaleCrop>
  <HeadingPairs>
    <vt:vector size="2" baseType="variant">
      <vt:variant>
        <vt:lpstr>Názov</vt:lpstr>
      </vt:variant>
      <vt:variant>
        <vt:i4>1</vt:i4>
      </vt:variant>
    </vt:vector>
  </HeadingPairs>
  <TitlesOfParts>
    <vt:vector size="1" baseType="lpstr">
      <vt:lpstr/>
    </vt:vector>
  </TitlesOfParts>
  <Company>Ministerstvo financii Slovenskej republiky</Company>
  <LinksUpToDate>false</LinksUpToDate>
  <CharactersWithSpaces>105274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Kubala Jozef</dc:creator>
  <cp:keywords/>
  <dc:description/>
  <cp:lastModifiedBy>Ujlakyova Andrea</cp:lastModifiedBy>
  <cp:revision>2</cp:revision>
  <cp:lastPrinted>2024-10-15T11:38:00Z</cp:lastPrinted>
  <dcterms:created xsi:type="dcterms:W3CDTF">2024-10-15T11:38:00Z</dcterms:created>
  <dcterms:modified xsi:type="dcterms:W3CDTF">2024-10-15T11:38:00Z</dcterms:modified>
</cp:coreProperties>
</file>