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1C9CF36" w:rsidR="00FF209E" w:rsidRDefault="002F1381" w:rsidP="00FF209E">
      <w:pPr>
        <w:ind w:left="4955" w:firstLine="709"/>
      </w:pPr>
      <w:r>
        <w:t>6</w:t>
      </w:r>
      <w:r w:rsidR="00D21E87">
        <w:t>3</w:t>
      </w:r>
      <w:r w:rsidR="00FF209E">
        <w:t>. schôdza</w:t>
      </w:r>
    </w:p>
    <w:p w14:paraId="14276CE5" w14:textId="1CE22913" w:rsidR="002F1381" w:rsidRDefault="00FF209E" w:rsidP="002F1381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 w:rsidR="002F1381" w:rsidRPr="00573211">
        <w:t>Č.: KNR-UPV</w:t>
      </w:r>
      <w:r w:rsidR="002F1381">
        <w:t>-1634</w:t>
      </w:r>
      <w:r w:rsidR="002F1381" w:rsidRPr="00573211">
        <w:t>/2024</w:t>
      </w:r>
      <w:r w:rsidR="002F1381">
        <w:t>-</w:t>
      </w:r>
      <w:r w:rsidR="002211A3">
        <w:t>3</w:t>
      </w:r>
    </w:p>
    <w:p w14:paraId="2FAFF62C" w14:textId="47894B9B" w:rsidR="002F1381" w:rsidRDefault="002F1381" w:rsidP="00FF209E">
      <w:pPr>
        <w:ind w:left="1418" w:firstLine="709"/>
      </w:pP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057B544E" w:rsidR="00212AB6" w:rsidRPr="00991DCE" w:rsidRDefault="002211A3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159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7EC518C3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21D88ADF" w14:textId="59AD73EF" w:rsidR="00D87F46" w:rsidRPr="00D87F46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D87F46" w:rsidRPr="00D87F46">
        <w:rPr>
          <w:shd w:val="clear" w:color="auto" w:fill="FFFFFF"/>
          <w:lang w:eastAsia="en-US"/>
        </w:rPr>
        <w:t xml:space="preserve">zákona </w:t>
      </w:r>
      <w:r w:rsidR="00D87F46" w:rsidRPr="00D87F46">
        <w:rPr>
          <w:b/>
          <w:shd w:val="clear" w:color="auto" w:fill="FFFFFF"/>
          <w:lang w:eastAsia="en-US"/>
        </w:rPr>
        <w:t xml:space="preserve">o niektorých opatreniach súvisiacich s riadením kótovanej spoločnosti </w:t>
      </w:r>
      <w:r w:rsidR="00D87F46" w:rsidRPr="00D87F46">
        <w:rPr>
          <w:shd w:val="clear" w:color="auto" w:fill="FFFFFF"/>
          <w:lang w:eastAsia="en-US"/>
        </w:rPr>
        <w:t xml:space="preserve">(tlač 397) 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9E5CFC" w14:textId="710EEA3B" w:rsidR="00D87F46" w:rsidRPr="00D87F46" w:rsidRDefault="00BC1C98" w:rsidP="00F24980">
      <w:pPr>
        <w:tabs>
          <w:tab w:val="left" w:pos="1276"/>
        </w:tabs>
        <w:jc w:val="both"/>
        <w:rPr>
          <w:bCs/>
        </w:rPr>
      </w:pPr>
      <w:r w:rsidRPr="00CD0180">
        <w:tab/>
        <w:t>s </w:t>
      </w:r>
      <w:r w:rsidR="0031096C" w:rsidRPr="00CD0180">
        <w:t xml:space="preserve">vládnym návrhom </w:t>
      </w:r>
      <w:r w:rsidR="00D87F46" w:rsidRPr="00D87F46">
        <w:rPr>
          <w:shd w:val="clear" w:color="auto" w:fill="FFFFFF"/>
          <w:lang w:eastAsia="en-US"/>
        </w:rPr>
        <w:t xml:space="preserve">zákona </w:t>
      </w:r>
      <w:r w:rsidR="00D87F46" w:rsidRPr="00D87F46">
        <w:rPr>
          <w:bCs/>
          <w:shd w:val="clear" w:color="auto" w:fill="FFFFFF"/>
          <w:lang w:eastAsia="en-US"/>
        </w:rPr>
        <w:t>o niektorých opatreniach súvisiacich s riadením kótovanej spoločnosti (tlač 397);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307E43F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vládny návrh </w:t>
      </w:r>
      <w:r w:rsidR="00D87F46" w:rsidRPr="00D87F46">
        <w:rPr>
          <w:shd w:val="clear" w:color="auto" w:fill="FFFFFF"/>
          <w:lang w:eastAsia="en-US"/>
        </w:rPr>
        <w:t xml:space="preserve">zákona </w:t>
      </w:r>
      <w:r w:rsidR="00D87F46" w:rsidRPr="00D87F46">
        <w:rPr>
          <w:bCs/>
          <w:shd w:val="clear" w:color="auto" w:fill="FFFFFF"/>
          <w:lang w:eastAsia="en-US"/>
        </w:rPr>
        <w:t>o niektorých opatreniach súvisiacich s riadením kótovanej spoločnosti (tlač 397)</w:t>
      </w:r>
      <w:r w:rsidR="00D87F46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B61D0B0" w14:textId="7080D356" w:rsidR="00D87F46" w:rsidRPr="004F6CED" w:rsidRDefault="00BC1C98" w:rsidP="00D87F46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  <w:r w:rsidR="00D87F46">
        <w:t xml:space="preserve">, </w:t>
      </w:r>
      <w:r w:rsidR="00D87F46" w:rsidRPr="004F6CED">
        <w:rPr>
          <w:rStyle w:val="awspan1"/>
        </w:rPr>
        <w:t>aby</w:t>
      </w:r>
      <w:r w:rsidR="00D87F46" w:rsidRPr="004F6CED">
        <w:rPr>
          <w:rStyle w:val="awspan1"/>
          <w:spacing w:val="77"/>
        </w:rPr>
        <w:t xml:space="preserve"> </w:t>
      </w:r>
      <w:r w:rsidR="00D87F46" w:rsidRPr="004F6CED">
        <w:rPr>
          <w:rStyle w:val="awspan1"/>
        </w:rPr>
        <w:t>spracoval</w:t>
      </w:r>
      <w:r w:rsidR="00D87F46" w:rsidRPr="004F6CED">
        <w:rPr>
          <w:rStyle w:val="awspan1"/>
          <w:spacing w:val="77"/>
        </w:rPr>
        <w:t xml:space="preserve"> </w:t>
      </w:r>
      <w:r w:rsidR="00D87F46" w:rsidRPr="004F6CED">
        <w:rPr>
          <w:rStyle w:val="awspan1"/>
        </w:rPr>
        <w:t>výsledky</w:t>
      </w:r>
      <w:r w:rsidR="00D87F46" w:rsidRPr="004F6CED">
        <w:rPr>
          <w:rStyle w:val="awspan1"/>
          <w:spacing w:val="77"/>
        </w:rPr>
        <w:t xml:space="preserve"> </w:t>
      </w:r>
      <w:r w:rsidR="00D87F46" w:rsidRPr="004F6CED">
        <w:rPr>
          <w:rStyle w:val="awspan1"/>
        </w:rPr>
        <w:t>rokovania</w:t>
      </w:r>
      <w:r w:rsidR="00D87F46" w:rsidRPr="004F6CED">
        <w:rPr>
          <w:rStyle w:val="awspan1"/>
          <w:spacing w:val="77"/>
        </w:rPr>
        <w:t xml:space="preserve"> </w:t>
      </w:r>
      <w:r w:rsidR="00D87F46" w:rsidRPr="004F6CED">
        <w:rPr>
          <w:rStyle w:val="awspan1"/>
        </w:rPr>
        <w:t>Ústavnoprávneho výboru</w:t>
      </w:r>
      <w:r w:rsidR="00D87F46" w:rsidRPr="004F6CED">
        <w:rPr>
          <w:rStyle w:val="awspan1"/>
          <w:spacing w:val="4"/>
        </w:rPr>
        <w:t xml:space="preserve"> </w:t>
      </w:r>
      <w:r w:rsidR="00D87F46" w:rsidRPr="004F6CED">
        <w:rPr>
          <w:rStyle w:val="awspan1"/>
        </w:rPr>
        <w:t>Národnej</w:t>
      </w:r>
      <w:r w:rsidR="00D87F46" w:rsidRPr="004F6CED">
        <w:rPr>
          <w:rStyle w:val="awspan1"/>
          <w:spacing w:val="4"/>
        </w:rPr>
        <w:t xml:space="preserve"> </w:t>
      </w:r>
      <w:r w:rsidR="00D87F46" w:rsidRPr="004F6CED">
        <w:rPr>
          <w:rStyle w:val="awspan1"/>
        </w:rPr>
        <w:t>rady</w:t>
      </w:r>
      <w:r w:rsidR="00D87F46" w:rsidRPr="004F6CED">
        <w:rPr>
          <w:rStyle w:val="awspan1"/>
          <w:spacing w:val="4"/>
        </w:rPr>
        <w:t xml:space="preserve"> </w:t>
      </w:r>
      <w:r w:rsidR="00D87F46" w:rsidRPr="004F6CED">
        <w:rPr>
          <w:rStyle w:val="awspan1"/>
        </w:rPr>
        <w:t>Slovenskej</w:t>
      </w:r>
      <w:r w:rsidR="00D87F46" w:rsidRPr="004F6CED">
        <w:rPr>
          <w:rStyle w:val="awspan1"/>
          <w:spacing w:val="4"/>
        </w:rPr>
        <w:t xml:space="preserve"> </w:t>
      </w:r>
      <w:r w:rsidR="00D87F46" w:rsidRPr="004F6CED">
        <w:rPr>
          <w:rStyle w:val="awspan1"/>
        </w:rPr>
        <w:t>republiky</w:t>
      </w:r>
      <w:r w:rsidR="00D87F46" w:rsidRPr="004F6CED">
        <w:rPr>
          <w:rStyle w:val="awspan1"/>
          <w:spacing w:val="4"/>
        </w:rPr>
        <w:t xml:space="preserve"> </w:t>
      </w:r>
      <w:r w:rsidR="00D87F46" w:rsidRPr="004F6CED">
        <w:rPr>
          <w:rStyle w:val="awspan1"/>
        </w:rPr>
        <w:t>z</w:t>
      </w:r>
      <w:r w:rsidR="002F1381">
        <w:rPr>
          <w:rStyle w:val="awspan1"/>
        </w:rPr>
        <w:t>o 17.</w:t>
      </w:r>
      <w:r w:rsidR="00D87F46">
        <w:rPr>
          <w:rStyle w:val="awspan1"/>
        </w:rPr>
        <w:t xml:space="preserve"> októbra </w:t>
      </w:r>
      <w:r w:rsidR="00D87F46" w:rsidRPr="004F6CED">
        <w:rPr>
          <w:rStyle w:val="awspan1"/>
        </w:rPr>
        <w:t>2024</w:t>
      </w:r>
      <w:r w:rsidR="00D87F46" w:rsidRPr="004F6CED">
        <w:rPr>
          <w:rStyle w:val="awspan1"/>
          <w:spacing w:val="4"/>
        </w:rPr>
        <w:t xml:space="preserve"> </w:t>
      </w:r>
      <w:r w:rsidR="00D87F46" w:rsidRPr="00EE7D68">
        <w:t xml:space="preserve">spolu s výsledkami rokovania </w:t>
      </w:r>
      <w:r w:rsidR="002211A3">
        <w:t>v</w:t>
      </w:r>
      <w:r w:rsidR="00D87F46" w:rsidRPr="00EE7D68">
        <w:t>ýbor</w:t>
      </w:r>
      <w:r w:rsidR="00D87F46">
        <w:t>ov</w:t>
      </w:r>
      <w:r w:rsidR="00D87F46" w:rsidRPr="00EE7D68">
        <w:t xml:space="preserve"> Národnej rady Slovenskej republiky</w:t>
      </w:r>
      <w:r w:rsidR="00D87F46" w:rsidRPr="004F6CED">
        <w:t xml:space="preserve"> do písomnej spoločnej správy výborov Národnej rady Slovenskej republiky a predložil ju na schválenie gestorskému výboru.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310FCCB4" w:rsidR="00D8539D" w:rsidRDefault="00D8539D" w:rsidP="008D7E05">
      <w:pPr>
        <w:jc w:val="both"/>
      </w:pPr>
    </w:p>
    <w:p w14:paraId="462CE26B" w14:textId="42F6F238" w:rsidR="006C45D4" w:rsidRDefault="006C45D4" w:rsidP="008D7E05">
      <w:pPr>
        <w:jc w:val="both"/>
      </w:pPr>
    </w:p>
    <w:p w14:paraId="16B735E6" w14:textId="77777777" w:rsidR="006C45D4" w:rsidRPr="00CD0180" w:rsidRDefault="006C45D4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Default="00622EC1" w:rsidP="008D7E05"/>
    <w:p w14:paraId="5AA9ED1F" w14:textId="77777777" w:rsidR="00D87F46" w:rsidRDefault="00D87F46" w:rsidP="008D7E05"/>
    <w:p w14:paraId="036A03ED" w14:textId="77777777" w:rsidR="00D87F46" w:rsidRDefault="00D87F46" w:rsidP="008D7E05"/>
    <w:p w14:paraId="53E527D5" w14:textId="77777777" w:rsidR="00D87F46" w:rsidRPr="00CD0180" w:rsidRDefault="00D87F46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1A5614C6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2211A3">
        <w:rPr>
          <w:b/>
        </w:rPr>
        <w:t>159</w:t>
      </w:r>
    </w:p>
    <w:p w14:paraId="041DEB44" w14:textId="4547D202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o 17. </w:t>
      </w:r>
      <w:r w:rsidR="00F24980">
        <w:rPr>
          <w:b/>
        </w:rPr>
        <w:t>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275A6CD4" w14:textId="57E5987E" w:rsidR="00E20DC3" w:rsidRDefault="00924ECA" w:rsidP="00E20DC3">
      <w:pPr>
        <w:pBdr>
          <w:bottom w:val="single" w:sz="12" w:space="1" w:color="auto"/>
        </w:pBd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  <w:lang w:eastAsia="en-US"/>
        </w:rPr>
      </w:pPr>
      <w:r w:rsidRPr="00D87F46">
        <w:rPr>
          <w:b/>
        </w:rPr>
        <w:t xml:space="preserve">k vládnemu návrhu </w:t>
      </w:r>
      <w:r w:rsidR="00D87F46" w:rsidRPr="00D87F46">
        <w:rPr>
          <w:b/>
          <w:shd w:val="clear" w:color="auto" w:fill="FFFFFF"/>
          <w:lang w:eastAsia="en-US"/>
        </w:rPr>
        <w:t>zákona o niektorých opatreniach súvisiacich s riadením kótovanej spoločnosti (tlač 397)</w:t>
      </w:r>
    </w:p>
    <w:p w14:paraId="1E180646" w14:textId="77777777" w:rsidR="00473564" w:rsidRDefault="00473564" w:rsidP="00E20DC3">
      <w:pPr>
        <w:pBdr>
          <w:bottom w:val="single" w:sz="12" w:space="1" w:color="auto"/>
        </w:pBd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  <w:lang w:eastAsia="en-US"/>
        </w:rPr>
      </w:pPr>
    </w:p>
    <w:p w14:paraId="3A728F05" w14:textId="77777777" w:rsidR="00473564" w:rsidRDefault="00473564" w:rsidP="00E20DC3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09F5918" w14:textId="77777777" w:rsidR="00FB446D" w:rsidRPr="00FB446D" w:rsidRDefault="00FB446D" w:rsidP="002C4349">
      <w:pPr>
        <w:tabs>
          <w:tab w:val="left" w:pos="284"/>
          <w:tab w:val="left" w:pos="3402"/>
          <w:tab w:val="left" w:pos="3828"/>
        </w:tabs>
        <w:jc w:val="both"/>
        <w:rPr>
          <w:bCs/>
        </w:rPr>
      </w:pPr>
    </w:p>
    <w:p w14:paraId="6C29AFBA" w14:textId="77777777" w:rsidR="00FB446D" w:rsidRPr="00FB446D" w:rsidRDefault="00FB446D" w:rsidP="002C4349">
      <w:pPr>
        <w:ind w:left="284" w:hanging="284"/>
        <w:jc w:val="both"/>
        <w:rPr>
          <w:bCs/>
          <w:lang w:eastAsia="cs-CZ"/>
        </w:rPr>
      </w:pPr>
      <w:r w:rsidRPr="00FB446D">
        <w:rPr>
          <w:bCs/>
          <w:lang w:eastAsia="cs-CZ"/>
        </w:rPr>
        <w:t>1. V § 3 písm. a) sa za slová „Európskej únie“ vkladajú slová „alebo v štáte, ktorý je zmluvnou stranou Dohody o Európskom hospodárskom priestore,“.</w:t>
      </w:r>
    </w:p>
    <w:p w14:paraId="164773C0" w14:textId="77777777" w:rsidR="00FB446D" w:rsidRPr="00FB446D" w:rsidRDefault="00FB446D" w:rsidP="002C4349">
      <w:pPr>
        <w:pStyle w:val="Bezriadkovania"/>
        <w:ind w:left="2127" w:hanging="2127"/>
        <w:jc w:val="both"/>
      </w:pPr>
    </w:p>
    <w:p w14:paraId="4E3045EB" w14:textId="77777777" w:rsidR="00FB446D" w:rsidRPr="00FB446D" w:rsidRDefault="00FB446D" w:rsidP="002C4349">
      <w:pPr>
        <w:pStyle w:val="Bezriadkovania"/>
        <w:ind w:left="2835" w:hanging="2835"/>
        <w:jc w:val="both"/>
      </w:pPr>
      <w:r w:rsidRPr="00FB446D">
        <w:tab/>
        <w:t>Smernica (EÚ) 2022/2381 z 23. 11. 2022 o zlepšení rodovej vyváženosti medzi riadiacimi pracovníkmi kótovaných spoločností a súvisiacich opatreniach má podľa článku 1 za cieľ dosiahnutie vyváženejšieho zastúpenia žien a mužov medzi riadiacimi pracovníkmi kótovaných spoločností. Smernica v čl.  3 ods. 1 pri pojme „kótovaná spoločnosť“ odkazuje na smernicu 2014/65/EÚ o trhoch s finančnými nástrojmi, ktorá sa vzťahuje aj na Európsky hospodársky priestor. Z tohto dôvodu je potrebné v § 3 písm. a) vládneho návrhu zákona v rámci definície kótovanej spoločnosti upresniť, že kótovanou spoločnosťou sa na účely zákona rozumie spoločnosť so sídlom na území Slovenskej republiky, ktorej akcie sú v jednom alebo vo viacerých členských štátoch Európskej únie,</w:t>
      </w:r>
      <w:r w:rsidRPr="00FB446D">
        <w:rPr>
          <w:bCs/>
          <w:lang w:eastAsia="cs-CZ"/>
        </w:rPr>
        <w:t xml:space="preserve"> alebo v štáte, ktorý je zmluvnou stranou Dohody o Európskom hospodárskom priestore</w:t>
      </w:r>
      <w:r w:rsidRPr="00FB446D">
        <w:t xml:space="preserve"> prijaté na obchodovanie na regulovanom trhu.</w:t>
      </w:r>
    </w:p>
    <w:p w14:paraId="2CF738EA" w14:textId="77777777" w:rsidR="00FB446D" w:rsidRPr="00FB446D" w:rsidRDefault="00FB446D" w:rsidP="002C4349">
      <w:pPr>
        <w:pStyle w:val="Bezriadkovania"/>
        <w:jc w:val="both"/>
      </w:pPr>
    </w:p>
    <w:p w14:paraId="234F3C1B" w14:textId="77777777" w:rsidR="00FB446D" w:rsidRPr="00FB446D" w:rsidRDefault="00FB446D" w:rsidP="002C4349">
      <w:pPr>
        <w:pStyle w:val="Bezriadkovania"/>
        <w:jc w:val="both"/>
        <w:rPr>
          <w:u w:val="single"/>
        </w:rPr>
      </w:pPr>
      <w:r w:rsidRPr="00FB446D">
        <w:t>2. V § 5 o</w:t>
      </w:r>
      <w:bookmarkStart w:id="1" w:name="_GoBack"/>
      <w:bookmarkEnd w:id="1"/>
      <w:r w:rsidRPr="00FB446D">
        <w:t xml:space="preserve">ds. 3 druhej vete sa za slová „To neplatí“ vkladajú slová „vo výnimočných prípadoch“.  </w:t>
      </w:r>
    </w:p>
    <w:p w14:paraId="31C19C25" w14:textId="77777777" w:rsidR="00FB446D" w:rsidRPr="00FB446D" w:rsidRDefault="00FB446D" w:rsidP="002C4349">
      <w:pPr>
        <w:ind w:left="2268" w:hanging="2268"/>
        <w:jc w:val="both"/>
      </w:pPr>
    </w:p>
    <w:p w14:paraId="6B900417" w14:textId="77777777" w:rsidR="00FB446D" w:rsidRPr="00FB446D" w:rsidRDefault="00FB446D" w:rsidP="002C4349">
      <w:pPr>
        <w:ind w:left="2835" w:hanging="2835"/>
        <w:jc w:val="both"/>
      </w:pPr>
      <w:r w:rsidRPr="00FB446D">
        <w:tab/>
        <w:t xml:space="preserve">Navrhuje sa zdôrazniť v súlade s požiadavkami transponovanej smernice, že neuplatnenie pravidla uprednostnenia kandidáta menej zastúpeného pohlavia v procese výberu z viacerých rovnako spôsobilých kandidátov z hľadiska určených podmienok na obsadenie voľnej pozície je možné len vo výnimočných prípadoch a len z dôvodov hodných osobitného zreteľa. </w:t>
      </w:r>
    </w:p>
    <w:p w14:paraId="0EF9DF98" w14:textId="77777777" w:rsidR="00FB446D" w:rsidRPr="00FB446D" w:rsidRDefault="00FB446D" w:rsidP="002C4349">
      <w:pPr>
        <w:ind w:left="2268" w:hanging="2268"/>
        <w:jc w:val="both"/>
      </w:pPr>
    </w:p>
    <w:p w14:paraId="1A21096D" w14:textId="3D35B998" w:rsidR="002211A3" w:rsidRPr="002C4349" w:rsidRDefault="002211A3" w:rsidP="002C4349">
      <w:pPr>
        <w:pStyle w:val="Odsekzoznamu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4349">
        <w:rPr>
          <w:rFonts w:ascii="Times New Roman" w:hAnsi="Times New Roman"/>
          <w:sz w:val="24"/>
          <w:szCs w:val="24"/>
        </w:rPr>
        <w:t>V § 5 ods. 6 sa slová „Kótovaná spoločnosť v procese výberu, ktorý sa uskutočňuje formou hlasovania akcionárov alebo zamestnancov, informuje“ nahrádza slovami „Ak sa proces výberu uskutočňuje formou hlasovania akcionárov alebo zamestnancov, kótovaná spoločnosť informuje“.</w:t>
      </w:r>
    </w:p>
    <w:p w14:paraId="635BB701" w14:textId="77777777" w:rsidR="002211A3" w:rsidRPr="002C4349" w:rsidRDefault="002211A3" w:rsidP="002C4349">
      <w:pPr>
        <w:ind w:left="2832" w:firstLine="3"/>
        <w:jc w:val="both"/>
      </w:pPr>
      <w:r w:rsidRPr="002C4349">
        <w:t xml:space="preserve">Nové znenie jednoznačne určuje, že povinnosti kótovanej spoločnosti uvedené v uvedenom ustanovení sa na ňu vzťahujú </w:t>
      </w:r>
      <w:r w:rsidRPr="002C4349">
        <w:lastRenderedPageBreak/>
        <w:t xml:space="preserve">len vtedy, ak sa proces výberu uskutočňuje hlasovaním akcionárov alebo zamestnancov a vylučuje možnosť takého výkladu, ktorý by určoval kótovanej spoločnosti, akou formou má uskutočňovať proces výberu kandidátov.  </w:t>
      </w:r>
    </w:p>
    <w:p w14:paraId="50887CB4" w14:textId="77777777" w:rsidR="002211A3" w:rsidRPr="002C4349" w:rsidRDefault="002211A3" w:rsidP="002C4349">
      <w:pPr>
        <w:ind w:left="2832" w:firstLine="3"/>
        <w:jc w:val="both"/>
      </w:pPr>
    </w:p>
    <w:p w14:paraId="1F24D471" w14:textId="599571F5" w:rsidR="002211A3" w:rsidRPr="002C4349" w:rsidRDefault="002211A3" w:rsidP="002C4349">
      <w:pPr>
        <w:pStyle w:val="Odsekzoznamu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4349">
        <w:rPr>
          <w:rFonts w:ascii="Times New Roman" w:hAnsi="Times New Roman"/>
          <w:sz w:val="24"/>
          <w:szCs w:val="24"/>
        </w:rPr>
        <w:t>V § 6 ods. 1 v poslednej vete sa za slovo „aby“ vkladá slovo „mu“.</w:t>
      </w:r>
    </w:p>
    <w:p w14:paraId="62F6BEBA" w14:textId="77777777" w:rsidR="002211A3" w:rsidRPr="002C4349" w:rsidRDefault="002211A3" w:rsidP="002C4349">
      <w:pPr>
        <w:ind w:left="2832"/>
        <w:jc w:val="both"/>
      </w:pPr>
      <w:r w:rsidRPr="002C4349">
        <w:t>Legislatívno-technická úprava za účelom precizovania normatívneho textu.</w:t>
      </w:r>
    </w:p>
    <w:p w14:paraId="2EFFD0F2" w14:textId="77777777" w:rsidR="002211A3" w:rsidRPr="002C4349" w:rsidRDefault="002211A3" w:rsidP="002C434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7BB8E" w14:textId="18C9A646" w:rsidR="00FB446D" w:rsidRPr="002C4349" w:rsidRDefault="00FB446D" w:rsidP="002C4349">
      <w:pPr>
        <w:pStyle w:val="Bezriadkovania"/>
        <w:numPr>
          <w:ilvl w:val="0"/>
          <w:numId w:val="25"/>
        </w:numPr>
        <w:ind w:left="284" w:hanging="284"/>
        <w:jc w:val="both"/>
      </w:pPr>
      <w:r w:rsidRPr="002C4349">
        <w:t xml:space="preserve">V § 7 ods. 1 sa slová „31. januára príslušného“ nahrádzajú slovami „30. novembra“ a slová „31. decembru predchádzajúceho“ sa nahrádzajú slovami „31. októbru“. </w:t>
      </w:r>
    </w:p>
    <w:p w14:paraId="52B32002" w14:textId="77777777" w:rsidR="00FB446D" w:rsidRPr="002C4349" w:rsidRDefault="00FB446D" w:rsidP="002C4349">
      <w:pPr>
        <w:ind w:left="2268" w:hanging="2268"/>
        <w:jc w:val="both"/>
      </w:pPr>
    </w:p>
    <w:p w14:paraId="3CDFDC5F" w14:textId="5951CF0C" w:rsidR="00FB446D" w:rsidRPr="002C4349" w:rsidRDefault="00FB446D" w:rsidP="002C4349">
      <w:pPr>
        <w:ind w:left="2835" w:hanging="2835"/>
        <w:jc w:val="both"/>
      </w:pPr>
      <w:r w:rsidRPr="002C4349">
        <w:tab/>
        <w:t xml:space="preserve">Navrhuje sa úprava termínov plnenia informačnej povinnosti tak, aby bolo zabezpečené naplnenie požiadavky vyplývajúcej zo smernice pre členské štáty, ktorá požaduje, aby predložili Komisii do 29. decembra 2025 a potom každé dva roky správu o vykonávaní tejto smernice, nakoľko plnenie informačnej povinnosti podľa § 7 je nevyhnutne prepojené práve s plnením oznamovanej povinnosti členského štátu Komisii. </w:t>
      </w:r>
    </w:p>
    <w:p w14:paraId="7315F4B6" w14:textId="2A34CBC2" w:rsidR="00FB446D" w:rsidRPr="002C4349" w:rsidRDefault="00FB446D" w:rsidP="002C4349">
      <w:pPr>
        <w:ind w:left="2268" w:hanging="2268"/>
        <w:jc w:val="both"/>
        <w:rPr>
          <w:iCs/>
        </w:rPr>
      </w:pPr>
    </w:p>
    <w:p w14:paraId="400529C5" w14:textId="77777777" w:rsidR="00FB446D" w:rsidRPr="002C4349" w:rsidRDefault="00FB446D" w:rsidP="002C4349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4349">
        <w:rPr>
          <w:rFonts w:ascii="Times New Roman" w:hAnsi="Times New Roman"/>
          <w:sz w:val="24"/>
          <w:szCs w:val="24"/>
        </w:rPr>
        <w:t xml:space="preserve">V § 9 ods. 1 sa slová „odseky 2 a 3 neustanovujú“ nahrádzajú slovami „odsek 2 neustanovuje“. </w:t>
      </w:r>
    </w:p>
    <w:p w14:paraId="212033D9" w14:textId="77777777" w:rsidR="00FB446D" w:rsidRPr="002C4349" w:rsidRDefault="00FB446D" w:rsidP="002C4349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2C4349">
        <w:rPr>
          <w:rFonts w:ascii="Times New Roman" w:hAnsi="Times New Roman"/>
          <w:sz w:val="24"/>
          <w:szCs w:val="24"/>
        </w:rPr>
        <w:t>Legislatívno-technická úprava. Odsek 3 neobsahuje iný postup pri zabezpečení cieľov vyváženosti, ale sa týka informačnej povinnosti pre všetky kótované spoločnosti bez výnimky.</w:t>
      </w:r>
    </w:p>
    <w:p w14:paraId="46798C38" w14:textId="77777777" w:rsidR="00FB446D" w:rsidRPr="002C4349" w:rsidRDefault="00FB446D" w:rsidP="002C4349">
      <w:pPr>
        <w:ind w:left="2268" w:hanging="2268"/>
        <w:jc w:val="both"/>
        <w:rPr>
          <w:iCs/>
        </w:rPr>
      </w:pPr>
    </w:p>
    <w:p w14:paraId="2C59DFE8" w14:textId="02D003C6" w:rsidR="00FB446D" w:rsidRPr="002C4349" w:rsidRDefault="00FB446D" w:rsidP="00E20DC3">
      <w:pPr>
        <w:pStyle w:val="Odsekzoznamu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2C4349">
        <w:rPr>
          <w:rFonts w:ascii="Times New Roman" w:hAnsi="Times New Roman"/>
          <w:iCs/>
          <w:sz w:val="24"/>
          <w:szCs w:val="24"/>
        </w:rPr>
        <w:t>V § 9 sa vypúšťa odsek 3.</w:t>
      </w:r>
    </w:p>
    <w:p w14:paraId="175E9275" w14:textId="65582BBE" w:rsidR="00FB446D" w:rsidRPr="002C4349" w:rsidRDefault="00FB446D" w:rsidP="002C4349">
      <w:pPr>
        <w:ind w:left="2835" w:hanging="2835"/>
        <w:jc w:val="both"/>
      </w:pPr>
      <w:r w:rsidRPr="002C4349">
        <w:tab/>
        <w:t>V súlade s úpravou termínov plnenia informačnej povinnosti je nevyhnutné vypustenie špecifického pravidla upravujúceho osobitný termín plnenia informačnej povinnosti, ktorý sa vzhľadom na úpravu § 7 ods. 1 stal nadbytočným.</w:t>
      </w:r>
    </w:p>
    <w:p w14:paraId="3F2CACCF" w14:textId="77777777" w:rsidR="002211A3" w:rsidRPr="002C4349" w:rsidRDefault="002211A3" w:rsidP="002C4349">
      <w:pPr>
        <w:tabs>
          <w:tab w:val="left" w:pos="284"/>
          <w:tab w:val="left" w:pos="3402"/>
          <w:tab w:val="left" w:pos="3828"/>
        </w:tabs>
        <w:ind w:left="2835" w:hanging="2835"/>
        <w:jc w:val="both"/>
        <w:rPr>
          <w:bCs/>
        </w:rPr>
      </w:pPr>
    </w:p>
    <w:sectPr w:rsidR="002211A3" w:rsidRPr="002C4349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F18"/>
    <w:multiLevelType w:val="hybridMultilevel"/>
    <w:tmpl w:val="05D4D644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53C5"/>
    <w:multiLevelType w:val="hybridMultilevel"/>
    <w:tmpl w:val="1D1C3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4E4E"/>
    <w:multiLevelType w:val="hybridMultilevel"/>
    <w:tmpl w:val="10806EA8"/>
    <w:lvl w:ilvl="0" w:tplc="F072DF3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463DD"/>
    <w:multiLevelType w:val="hybridMultilevel"/>
    <w:tmpl w:val="A278464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8FD4D8E"/>
    <w:multiLevelType w:val="hybridMultilevel"/>
    <w:tmpl w:val="7DC43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19"/>
  </w:num>
  <w:num w:numId="12">
    <w:abstractNumId w:val="7"/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23"/>
  </w:num>
  <w:num w:numId="18">
    <w:abstractNumId w:val="4"/>
  </w:num>
  <w:num w:numId="19">
    <w:abstractNumId w:val="22"/>
  </w:num>
  <w:num w:numId="20">
    <w:abstractNumId w:val="2"/>
  </w:num>
  <w:num w:numId="21">
    <w:abstractNumId w:val="6"/>
  </w:num>
  <w:num w:numId="22">
    <w:abstractNumId w:val="20"/>
  </w:num>
  <w:num w:numId="23">
    <w:abstractNumId w:val="10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2AAE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1A3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C4349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73564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4372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C45D4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6AD0"/>
    <w:rsid w:val="00CD76B2"/>
    <w:rsid w:val="00CF2580"/>
    <w:rsid w:val="00CF53B8"/>
    <w:rsid w:val="00D07A2D"/>
    <w:rsid w:val="00D21A79"/>
    <w:rsid w:val="00D21E87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0DC3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B446D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104</cp:revision>
  <cp:lastPrinted>2024-10-16T09:00:00Z</cp:lastPrinted>
  <dcterms:created xsi:type="dcterms:W3CDTF">2023-03-28T09:22:00Z</dcterms:created>
  <dcterms:modified xsi:type="dcterms:W3CDTF">2024-10-16T09:01:00Z</dcterms:modified>
</cp:coreProperties>
</file>