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DA377" w14:textId="77777777" w:rsidR="0093541E" w:rsidRDefault="0093541E" w:rsidP="001D1FE6">
      <w:pPr>
        <w:rPr>
          <w:rFonts w:ascii="Arial Narrow" w:hAnsi="Arial Narrow" w:cs="Arial"/>
          <w:b/>
        </w:rPr>
      </w:pPr>
    </w:p>
    <w:p w14:paraId="270CD54C" w14:textId="53E138D2" w:rsidR="00366707" w:rsidRPr="006D1723" w:rsidRDefault="00B031DE" w:rsidP="001D1FE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object w:dxaOrig="1440" w:dyaOrig="1440" w14:anchorId="0546C6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4.35pt;margin-top:-3.75pt;width:87.75pt;height:91.5pt;z-index:251657728">
            <v:imagedata r:id="rId8" o:title=""/>
            <w10:wrap type="square"/>
          </v:shape>
          <o:OLEObject Type="Embed" ProgID="PBrush" ShapeID="_x0000_s1027" DrawAspect="Content" ObjectID="_1789204904" r:id="rId9"/>
        </w:object>
      </w:r>
      <w:r w:rsidR="00A221BF" w:rsidRPr="006D1723">
        <w:rPr>
          <w:rFonts w:ascii="Arial Narrow" w:hAnsi="Arial Narrow" w:cs="Arial"/>
          <w:b/>
        </w:rPr>
        <w:t>Ústav pamäti národa</w:t>
      </w:r>
    </w:p>
    <w:p w14:paraId="325F9502" w14:textId="7FE69F34" w:rsidR="003C6A10" w:rsidRPr="006D1723" w:rsidRDefault="003C6A10" w:rsidP="001D1FE6">
      <w:pPr>
        <w:rPr>
          <w:rFonts w:ascii="Arial Narrow" w:hAnsi="Arial Narrow" w:cs="Arial"/>
          <w:b/>
        </w:rPr>
      </w:pPr>
      <w:proofErr w:type="spellStart"/>
      <w:r w:rsidRPr="006D1723">
        <w:rPr>
          <w:rFonts w:ascii="Arial Narrow" w:hAnsi="Arial Narrow" w:cs="Arial"/>
          <w:b/>
        </w:rPr>
        <w:t>Miletičova</w:t>
      </w:r>
      <w:proofErr w:type="spellEnd"/>
      <w:r w:rsidRPr="006D1723">
        <w:rPr>
          <w:rFonts w:ascii="Arial Narrow" w:hAnsi="Arial Narrow" w:cs="Arial"/>
          <w:b/>
        </w:rPr>
        <w:t xml:space="preserve"> </w:t>
      </w:r>
      <w:r w:rsidR="006D1723" w:rsidRPr="006D1723">
        <w:rPr>
          <w:rFonts w:ascii="Arial Narrow" w:hAnsi="Arial Narrow" w:cs="Arial"/>
          <w:b/>
        </w:rPr>
        <w:t>2</w:t>
      </w:r>
      <w:r w:rsidRPr="006D1723">
        <w:rPr>
          <w:rFonts w:ascii="Arial Narrow" w:hAnsi="Arial Narrow" w:cs="Arial"/>
          <w:b/>
        </w:rPr>
        <w:t xml:space="preserve">1, </w:t>
      </w:r>
      <w:r w:rsidR="00BC207A" w:rsidRPr="006D1723">
        <w:rPr>
          <w:rFonts w:ascii="Arial Narrow" w:hAnsi="Arial Narrow" w:cs="Arial"/>
          <w:b/>
        </w:rPr>
        <w:t>82</w:t>
      </w:r>
      <w:r w:rsidR="00926F0D" w:rsidRPr="006D1723">
        <w:rPr>
          <w:rFonts w:ascii="Arial Narrow" w:hAnsi="Arial Narrow" w:cs="Arial"/>
          <w:b/>
        </w:rPr>
        <w:t>1</w:t>
      </w:r>
      <w:r w:rsidR="00BC207A" w:rsidRPr="006D1723">
        <w:rPr>
          <w:rFonts w:ascii="Arial Narrow" w:hAnsi="Arial Narrow" w:cs="Arial"/>
          <w:b/>
        </w:rPr>
        <w:t xml:space="preserve"> </w:t>
      </w:r>
      <w:r w:rsidR="00926F0D" w:rsidRPr="006D1723">
        <w:rPr>
          <w:rFonts w:ascii="Arial Narrow" w:hAnsi="Arial Narrow" w:cs="Arial"/>
          <w:b/>
        </w:rPr>
        <w:t>0</w:t>
      </w:r>
      <w:r w:rsidR="00BC207A" w:rsidRPr="006D1723">
        <w:rPr>
          <w:rFonts w:ascii="Arial Narrow" w:hAnsi="Arial Narrow" w:cs="Arial"/>
          <w:b/>
        </w:rPr>
        <w:t>8</w:t>
      </w:r>
      <w:r w:rsidRPr="006D1723">
        <w:rPr>
          <w:rFonts w:ascii="Arial Narrow" w:hAnsi="Arial Narrow" w:cs="Arial"/>
          <w:b/>
        </w:rPr>
        <w:t xml:space="preserve"> Bratislava</w:t>
      </w:r>
    </w:p>
    <w:p w14:paraId="17E443BF" w14:textId="77777777" w:rsidR="00376A2F" w:rsidRPr="006D1723" w:rsidRDefault="003C6A10" w:rsidP="001D1FE6">
      <w:pPr>
        <w:rPr>
          <w:rFonts w:ascii="Arial Narrow" w:hAnsi="Arial Narrow" w:cs="Arial"/>
        </w:rPr>
      </w:pPr>
      <w:r w:rsidRPr="006D1723">
        <w:rPr>
          <w:rFonts w:ascii="Arial Narrow" w:hAnsi="Arial Narrow" w:cs="Arial"/>
        </w:rPr>
        <w:t>___________________________________________________________________</w:t>
      </w:r>
    </w:p>
    <w:p w14:paraId="2B07BDF2" w14:textId="77777777" w:rsidR="00046DD6" w:rsidRPr="006D1723" w:rsidRDefault="00046DD6" w:rsidP="001D1FE6">
      <w:pPr>
        <w:rPr>
          <w:rFonts w:ascii="Arial Narrow" w:hAnsi="Arial Narrow" w:cs="Arial"/>
          <w:highlight w:val="yellow"/>
        </w:rPr>
      </w:pPr>
    </w:p>
    <w:p w14:paraId="630EB24C" w14:textId="3FB96E1A" w:rsidR="00A221BF" w:rsidRPr="006D1723" w:rsidRDefault="00A221BF" w:rsidP="003C6A10">
      <w:pPr>
        <w:ind w:right="196"/>
        <w:jc w:val="right"/>
        <w:rPr>
          <w:rFonts w:ascii="Arial Narrow" w:hAnsi="Arial Narrow" w:cs="Arial"/>
        </w:rPr>
      </w:pPr>
      <w:r w:rsidRPr="006D1723">
        <w:rPr>
          <w:rFonts w:ascii="Arial Narrow" w:hAnsi="Arial Narrow" w:cs="Arial"/>
        </w:rPr>
        <w:t>Číslo</w:t>
      </w:r>
      <w:r w:rsidR="004A307D" w:rsidRPr="006D1723">
        <w:rPr>
          <w:rFonts w:ascii="Arial Narrow" w:hAnsi="Arial Narrow" w:cs="Arial"/>
        </w:rPr>
        <w:t xml:space="preserve"> spisu: </w:t>
      </w:r>
      <w:r w:rsidR="00A528A2">
        <w:rPr>
          <w:rFonts w:ascii="Arial Narrow" w:hAnsi="Arial Narrow" w:cs="Arial"/>
        </w:rPr>
        <w:t>ÚPN-K-</w:t>
      </w:r>
      <w:r w:rsidR="00235ED7">
        <w:rPr>
          <w:rFonts w:ascii="Arial Narrow" w:hAnsi="Arial Narrow" w:cs="Arial"/>
        </w:rPr>
        <w:t>2024/02908</w:t>
      </w:r>
    </w:p>
    <w:p w14:paraId="45DAEF17" w14:textId="77777777" w:rsidR="00A221BF" w:rsidRPr="006D1723" w:rsidRDefault="00A221BF" w:rsidP="001D1FE6">
      <w:pPr>
        <w:rPr>
          <w:rFonts w:ascii="Arial Narrow" w:hAnsi="Arial Narrow" w:cs="Arial"/>
          <w:highlight w:val="yellow"/>
        </w:rPr>
      </w:pPr>
    </w:p>
    <w:p w14:paraId="7B132B41" w14:textId="77777777" w:rsidR="00641A81" w:rsidRPr="006D1723" w:rsidRDefault="00641A81" w:rsidP="001D1FE6">
      <w:pPr>
        <w:rPr>
          <w:rFonts w:ascii="Arial Narrow" w:hAnsi="Arial Narrow" w:cs="Arial"/>
          <w:highlight w:val="yellow"/>
        </w:rPr>
      </w:pPr>
    </w:p>
    <w:p w14:paraId="296F5E04" w14:textId="77777777" w:rsidR="00376A2F" w:rsidRPr="006D1723" w:rsidRDefault="00376A2F" w:rsidP="001D1FE6">
      <w:pPr>
        <w:rPr>
          <w:rFonts w:ascii="Arial Narrow" w:hAnsi="Arial Narrow" w:cs="Arial"/>
          <w:highlight w:val="yellow"/>
        </w:rPr>
      </w:pPr>
    </w:p>
    <w:p w14:paraId="30768D9B" w14:textId="77777777" w:rsidR="00376A2F" w:rsidRPr="006D1723" w:rsidRDefault="00376A2F" w:rsidP="001D1FE6">
      <w:pPr>
        <w:rPr>
          <w:rFonts w:ascii="Arial Narrow" w:hAnsi="Arial Narrow" w:cs="Arial"/>
          <w:highlight w:val="yellow"/>
        </w:rPr>
      </w:pPr>
    </w:p>
    <w:p w14:paraId="4F233818" w14:textId="77777777" w:rsidR="00366707" w:rsidRPr="006D1723" w:rsidRDefault="00366707" w:rsidP="001D1FE6">
      <w:pPr>
        <w:rPr>
          <w:rFonts w:ascii="Arial Narrow" w:hAnsi="Arial Narrow" w:cs="Arial"/>
          <w:highlight w:val="yellow"/>
        </w:rPr>
      </w:pPr>
    </w:p>
    <w:p w14:paraId="152BC0D2" w14:textId="77777777" w:rsidR="00376A2F" w:rsidRPr="006D1723" w:rsidRDefault="00376A2F" w:rsidP="001D1FE6">
      <w:pPr>
        <w:rPr>
          <w:rFonts w:ascii="Arial Narrow" w:hAnsi="Arial Narrow" w:cs="Arial"/>
          <w:highlight w:val="yellow"/>
        </w:rPr>
      </w:pPr>
    </w:p>
    <w:p w14:paraId="4A90F26F" w14:textId="77777777" w:rsidR="00376A2F" w:rsidRPr="006D1723" w:rsidRDefault="00376A2F" w:rsidP="001D1FE6">
      <w:pPr>
        <w:rPr>
          <w:rFonts w:ascii="Arial Narrow" w:hAnsi="Arial Narrow" w:cs="Arial"/>
          <w:highlight w:val="yellow"/>
        </w:rPr>
      </w:pPr>
    </w:p>
    <w:p w14:paraId="35B1645E" w14:textId="77777777" w:rsidR="00AE21B1" w:rsidRPr="006D1723" w:rsidRDefault="00AE21B1" w:rsidP="001D1FE6">
      <w:pPr>
        <w:rPr>
          <w:rFonts w:ascii="Arial Narrow" w:hAnsi="Arial Narrow" w:cs="Arial"/>
          <w:highlight w:val="yellow"/>
        </w:rPr>
      </w:pPr>
    </w:p>
    <w:p w14:paraId="71642E08" w14:textId="77777777" w:rsidR="00AE21B1" w:rsidRPr="006D1723" w:rsidRDefault="00AE21B1" w:rsidP="001D1FE6">
      <w:pPr>
        <w:rPr>
          <w:rFonts w:ascii="Arial Narrow" w:hAnsi="Arial Narrow" w:cs="Arial"/>
        </w:rPr>
      </w:pPr>
    </w:p>
    <w:p w14:paraId="2B46D87A" w14:textId="77777777" w:rsidR="003C6A10" w:rsidRPr="006D1723" w:rsidRDefault="003C6A10" w:rsidP="001D1FE6">
      <w:pPr>
        <w:rPr>
          <w:rFonts w:ascii="Arial Narrow" w:hAnsi="Arial Narrow" w:cs="Arial"/>
        </w:rPr>
      </w:pPr>
    </w:p>
    <w:p w14:paraId="57EB85A1" w14:textId="77777777" w:rsidR="00AE21B1" w:rsidRPr="006D1723" w:rsidRDefault="00AE21B1" w:rsidP="001D1FE6">
      <w:pPr>
        <w:rPr>
          <w:rFonts w:ascii="Arial Narrow" w:hAnsi="Arial Narrow" w:cs="Arial"/>
        </w:rPr>
      </w:pPr>
    </w:p>
    <w:p w14:paraId="01724C01" w14:textId="77777777" w:rsidR="00AE21B1" w:rsidRPr="006D1723" w:rsidRDefault="00AE21B1" w:rsidP="001D1FE6">
      <w:pPr>
        <w:rPr>
          <w:rFonts w:ascii="Arial Narrow" w:hAnsi="Arial Narrow" w:cs="Arial"/>
        </w:rPr>
      </w:pPr>
    </w:p>
    <w:p w14:paraId="18DA8607" w14:textId="77777777" w:rsidR="00AE21B1" w:rsidRPr="006D1723" w:rsidRDefault="00AE21B1" w:rsidP="001D1FE6">
      <w:pPr>
        <w:rPr>
          <w:rFonts w:ascii="Arial Narrow" w:hAnsi="Arial Narrow" w:cs="Arial"/>
        </w:rPr>
      </w:pPr>
    </w:p>
    <w:p w14:paraId="12546ED9" w14:textId="77777777" w:rsidR="00AE21B1" w:rsidRPr="006D1723" w:rsidRDefault="00AE21B1" w:rsidP="001D1FE6">
      <w:pPr>
        <w:rPr>
          <w:rFonts w:ascii="Arial Narrow" w:hAnsi="Arial Narrow" w:cs="Arial"/>
        </w:rPr>
      </w:pPr>
    </w:p>
    <w:p w14:paraId="4C2D3191" w14:textId="77777777" w:rsidR="00AE21B1" w:rsidRPr="006D1723" w:rsidRDefault="00AE21B1" w:rsidP="001D1FE6">
      <w:pPr>
        <w:rPr>
          <w:rFonts w:ascii="Arial Narrow" w:hAnsi="Arial Narrow" w:cs="Arial"/>
        </w:rPr>
      </w:pPr>
    </w:p>
    <w:p w14:paraId="7CD368BE" w14:textId="77777777" w:rsidR="003C6A10" w:rsidRPr="006D1723" w:rsidRDefault="001D1FE6" w:rsidP="001D1FE6">
      <w:pPr>
        <w:jc w:val="center"/>
        <w:rPr>
          <w:rFonts w:ascii="Arial Narrow" w:hAnsi="Arial Narrow" w:cs="Arial"/>
          <w:b/>
          <w:caps/>
          <w:sz w:val="32"/>
          <w:szCs w:val="32"/>
        </w:rPr>
      </w:pPr>
      <w:r w:rsidRPr="006D1723">
        <w:rPr>
          <w:rFonts w:ascii="Arial Narrow" w:hAnsi="Arial Narrow" w:cs="Arial"/>
          <w:b/>
          <w:caps/>
          <w:sz w:val="32"/>
          <w:szCs w:val="32"/>
        </w:rPr>
        <w:t>Návrh rozpočtu</w:t>
      </w:r>
    </w:p>
    <w:p w14:paraId="55663A1B" w14:textId="77777777" w:rsidR="001D1FE6" w:rsidRPr="006D1723" w:rsidRDefault="003C6A10" w:rsidP="001D1FE6">
      <w:pPr>
        <w:jc w:val="center"/>
        <w:rPr>
          <w:rFonts w:ascii="Arial Narrow" w:hAnsi="Arial Narrow" w:cs="Arial"/>
          <w:b/>
          <w:caps/>
          <w:sz w:val="32"/>
          <w:szCs w:val="32"/>
        </w:rPr>
      </w:pPr>
      <w:r w:rsidRPr="006D1723">
        <w:rPr>
          <w:rFonts w:ascii="Arial Narrow" w:hAnsi="Arial Narrow" w:cs="Arial"/>
          <w:b/>
          <w:caps/>
          <w:sz w:val="32"/>
          <w:szCs w:val="32"/>
        </w:rPr>
        <w:t>Ústavu pamäti národa</w:t>
      </w:r>
    </w:p>
    <w:p w14:paraId="4DD00C07" w14:textId="7BD9CDDF" w:rsidR="00376A2F" w:rsidRPr="006D1723" w:rsidRDefault="00376A2F" w:rsidP="001D1FE6">
      <w:pPr>
        <w:jc w:val="center"/>
        <w:rPr>
          <w:rFonts w:ascii="Arial Narrow" w:hAnsi="Arial Narrow" w:cs="Arial"/>
          <w:b/>
          <w:caps/>
          <w:sz w:val="32"/>
          <w:szCs w:val="32"/>
        </w:rPr>
      </w:pPr>
      <w:r w:rsidRPr="006D1723">
        <w:rPr>
          <w:rFonts w:ascii="Arial Narrow" w:hAnsi="Arial Narrow" w:cs="Arial"/>
          <w:b/>
          <w:caps/>
          <w:sz w:val="32"/>
          <w:szCs w:val="32"/>
        </w:rPr>
        <w:t>na rok</w:t>
      </w:r>
      <w:r w:rsidR="00437417" w:rsidRPr="006D1723">
        <w:rPr>
          <w:rFonts w:ascii="Arial Narrow" w:hAnsi="Arial Narrow" w:cs="Arial"/>
          <w:b/>
          <w:caps/>
          <w:sz w:val="32"/>
          <w:szCs w:val="32"/>
        </w:rPr>
        <w:t>y</w:t>
      </w:r>
      <w:r w:rsidR="00AB1150" w:rsidRPr="006D1723">
        <w:rPr>
          <w:rFonts w:ascii="Arial Narrow" w:hAnsi="Arial Narrow" w:cs="Arial"/>
          <w:b/>
          <w:caps/>
          <w:sz w:val="32"/>
          <w:szCs w:val="32"/>
        </w:rPr>
        <w:t xml:space="preserve"> </w:t>
      </w:r>
      <w:r w:rsidR="00A221BF" w:rsidRPr="006D1723">
        <w:rPr>
          <w:rFonts w:ascii="Arial Narrow" w:hAnsi="Arial Narrow" w:cs="Arial"/>
          <w:b/>
          <w:caps/>
          <w:sz w:val="32"/>
          <w:szCs w:val="32"/>
        </w:rPr>
        <w:t>202</w:t>
      </w:r>
      <w:r w:rsidR="006D1723" w:rsidRPr="006D1723">
        <w:rPr>
          <w:rFonts w:ascii="Arial Narrow" w:hAnsi="Arial Narrow" w:cs="Arial"/>
          <w:b/>
          <w:caps/>
          <w:sz w:val="32"/>
          <w:szCs w:val="32"/>
        </w:rPr>
        <w:t>5</w:t>
      </w:r>
      <w:r w:rsidR="00AB1150" w:rsidRPr="006D1723">
        <w:rPr>
          <w:rFonts w:ascii="Arial Narrow" w:hAnsi="Arial Narrow" w:cs="Arial"/>
          <w:b/>
          <w:caps/>
          <w:sz w:val="32"/>
          <w:szCs w:val="32"/>
        </w:rPr>
        <w:t xml:space="preserve"> </w:t>
      </w:r>
      <w:r w:rsidR="003C6A10" w:rsidRPr="006D1723">
        <w:rPr>
          <w:rFonts w:ascii="Arial Narrow" w:hAnsi="Arial Narrow" w:cs="Arial"/>
          <w:b/>
          <w:sz w:val="32"/>
          <w:szCs w:val="32"/>
        </w:rPr>
        <w:t>–</w:t>
      </w:r>
      <w:r w:rsidR="0068435F" w:rsidRPr="006D1723">
        <w:rPr>
          <w:rFonts w:ascii="Arial Narrow" w:hAnsi="Arial Narrow" w:cs="Arial"/>
          <w:b/>
          <w:caps/>
          <w:sz w:val="32"/>
          <w:szCs w:val="32"/>
        </w:rPr>
        <w:t xml:space="preserve"> 20</w:t>
      </w:r>
      <w:r w:rsidR="00A221BF" w:rsidRPr="006D1723">
        <w:rPr>
          <w:rFonts w:ascii="Arial Narrow" w:hAnsi="Arial Narrow" w:cs="Arial"/>
          <w:b/>
          <w:caps/>
          <w:sz w:val="32"/>
          <w:szCs w:val="32"/>
        </w:rPr>
        <w:t>2</w:t>
      </w:r>
      <w:r w:rsidR="006D1723" w:rsidRPr="006D1723">
        <w:rPr>
          <w:rFonts w:ascii="Arial Narrow" w:hAnsi="Arial Narrow" w:cs="Arial"/>
          <w:b/>
          <w:caps/>
          <w:sz w:val="32"/>
          <w:szCs w:val="32"/>
        </w:rPr>
        <w:t>7</w:t>
      </w:r>
      <w:bookmarkStart w:id="0" w:name="_GoBack"/>
      <w:bookmarkEnd w:id="0"/>
    </w:p>
    <w:p w14:paraId="416A49CD" w14:textId="77777777" w:rsidR="007731EE" w:rsidRPr="006D1723" w:rsidRDefault="007731EE" w:rsidP="001D1FE6">
      <w:pPr>
        <w:rPr>
          <w:rFonts w:ascii="Arial Narrow" w:hAnsi="Arial Narrow" w:cs="Arial"/>
          <w:b/>
          <w:caps/>
          <w:spacing w:val="40"/>
        </w:rPr>
      </w:pPr>
    </w:p>
    <w:p w14:paraId="259E0E79" w14:textId="77777777" w:rsidR="001D1FE6" w:rsidRPr="006D1723" w:rsidRDefault="001D1FE6" w:rsidP="001D1FE6">
      <w:pPr>
        <w:rPr>
          <w:rFonts w:ascii="Arial Narrow" w:hAnsi="Arial Narrow" w:cs="Arial"/>
          <w:b/>
          <w:caps/>
          <w:spacing w:val="40"/>
        </w:rPr>
      </w:pPr>
    </w:p>
    <w:p w14:paraId="3B9DF8FF" w14:textId="77777777" w:rsidR="007731EE" w:rsidRPr="006D1723" w:rsidRDefault="007731EE" w:rsidP="001D1FE6">
      <w:pPr>
        <w:rPr>
          <w:rFonts w:ascii="Arial Narrow" w:hAnsi="Arial Narrow" w:cs="Arial"/>
          <w:b/>
          <w:caps/>
          <w:spacing w:val="40"/>
        </w:rPr>
      </w:pPr>
    </w:p>
    <w:p w14:paraId="36661B97" w14:textId="77777777" w:rsidR="007731EE" w:rsidRPr="006D1723" w:rsidRDefault="007731EE" w:rsidP="001D1FE6">
      <w:pPr>
        <w:rPr>
          <w:rFonts w:ascii="Arial Narrow" w:hAnsi="Arial Narrow" w:cs="Arial"/>
          <w:b/>
          <w:caps/>
          <w:spacing w:val="40"/>
        </w:rPr>
      </w:pPr>
    </w:p>
    <w:p w14:paraId="063D383D" w14:textId="77777777" w:rsidR="003C6A10" w:rsidRPr="006D1723" w:rsidRDefault="003C6A10" w:rsidP="001D1FE6">
      <w:pPr>
        <w:rPr>
          <w:rFonts w:ascii="Arial Narrow" w:hAnsi="Arial Narrow" w:cs="Arial"/>
          <w:b/>
          <w:caps/>
          <w:spacing w:val="40"/>
        </w:rPr>
      </w:pPr>
    </w:p>
    <w:p w14:paraId="75A34177" w14:textId="77777777" w:rsidR="003C6A10" w:rsidRPr="006D1723" w:rsidRDefault="003C6A10" w:rsidP="001D1FE6">
      <w:pPr>
        <w:rPr>
          <w:rFonts w:ascii="Arial Narrow" w:hAnsi="Arial Narrow" w:cs="Arial"/>
          <w:b/>
          <w:caps/>
          <w:spacing w:val="40"/>
          <w:highlight w:val="yellow"/>
        </w:rPr>
      </w:pPr>
    </w:p>
    <w:p w14:paraId="1313731C" w14:textId="77777777" w:rsidR="003C6A10" w:rsidRPr="006D1723" w:rsidRDefault="003C6A10" w:rsidP="001D1FE6">
      <w:pPr>
        <w:rPr>
          <w:rFonts w:ascii="Arial Narrow" w:hAnsi="Arial Narrow" w:cs="Arial"/>
          <w:b/>
          <w:caps/>
          <w:spacing w:val="40"/>
          <w:highlight w:val="yellow"/>
        </w:rPr>
      </w:pPr>
    </w:p>
    <w:p w14:paraId="6C33BCD4" w14:textId="77777777" w:rsidR="007731EE" w:rsidRPr="006D1723" w:rsidRDefault="007731EE" w:rsidP="001D1FE6">
      <w:pPr>
        <w:rPr>
          <w:rFonts w:ascii="Arial Narrow" w:hAnsi="Arial Narrow" w:cs="Arial"/>
          <w:b/>
          <w:caps/>
          <w:spacing w:val="40"/>
          <w:highlight w:val="yellow"/>
        </w:rPr>
      </w:pPr>
    </w:p>
    <w:p w14:paraId="17E0120C" w14:textId="77777777" w:rsidR="007731EE" w:rsidRPr="006D1723" w:rsidRDefault="007731EE" w:rsidP="001D1FE6">
      <w:pPr>
        <w:rPr>
          <w:rFonts w:ascii="Arial Narrow" w:hAnsi="Arial Narrow" w:cs="Arial"/>
          <w:b/>
          <w:caps/>
          <w:spacing w:val="40"/>
          <w:highlight w:val="yellow"/>
        </w:rPr>
      </w:pPr>
    </w:p>
    <w:p w14:paraId="0A2101BF" w14:textId="77777777" w:rsidR="00A31DBA" w:rsidRPr="006D1723" w:rsidRDefault="00A31DBA" w:rsidP="001D1FE6">
      <w:pPr>
        <w:rPr>
          <w:rFonts w:ascii="Arial Narrow" w:hAnsi="Arial Narrow" w:cs="Arial"/>
          <w:b/>
          <w:caps/>
          <w:spacing w:val="40"/>
        </w:rPr>
      </w:pPr>
    </w:p>
    <w:p w14:paraId="2F4CB662" w14:textId="77777777" w:rsidR="00A31DBA" w:rsidRPr="006D1723" w:rsidRDefault="00A31DBA" w:rsidP="001D1FE6">
      <w:pPr>
        <w:rPr>
          <w:rFonts w:ascii="Arial Narrow" w:hAnsi="Arial Narrow" w:cs="Arial"/>
          <w:b/>
          <w:caps/>
          <w:spacing w:val="40"/>
        </w:rPr>
      </w:pPr>
    </w:p>
    <w:p w14:paraId="2CFD97B5" w14:textId="77777777" w:rsidR="007731EE" w:rsidRPr="006D1723" w:rsidRDefault="007731EE" w:rsidP="001D1FE6">
      <w:pPr>
        <w:rPr>
          <w:rFonts w:ascii="Arial Narrow" w:hAnsi="Arial Narrow" w:cs="Arial"/>
          <w:b/>
          <w:caps/>
          <w:spacing w:val="40"/>
        </w:rPr>
      </w:pPr>
    </w:p>
    <w:p w14:paraId="17B1C6E2" w14:textId="77777777" w:rsidR="007731EE" w:rsidRPr="006D1723" w:rsidRDefault="007731EE" w:rsidP="001D1FE6">
      <w:pPr>
        <w:rPr>
          <w:rFonts w:ascii="Arial Narrow" w:hAnsi="Arial Narrow" w:cs="Arial"/>
          <w:b/>
          <w:caps/>
          <w:spacing w:val="40"/>
        </w:rPr>
      </w:pPr>
    </w:p>
    <w:p w14:paraId="1A27948F" w14:textId="77777777" w:rsidR="003C6A10" w:rsidRPr="006D1723" w:rsidRDefault="003C6A10" w:rsidP="001D1FE6">
      <w:pPr>
        <w:rPr>
          <w:rFonts w:ascii="Arial Narrow" w:hAnsi="Arial Narrow" w:cs="Arial"/>
          <w:u w:val="single"/>
        </w:rPr>
      </w:pPr>
      <w:r w:rsidRPr="006D1723">
        <w:rPr>
          <w:rFonts w:ascii="Arial Narrow" w:hAnsi="Arial Narrow" w:cs="Arial"/>
          <w:u w:val="single"/>
        </w:rPr>
        <w:t>Za Správnu radu ÚPN predkladá:</w:t>
      </w:r>
    </w:p>
    <w:p w14:paraId="7B7AFE39" w14:textId="77777777" w:rsidR="003C6A10" w:rsidRPr="006D1723" w:rsidRDefault="003C6A10" w:rsidP="001D1FE6">
      <w:pPr>
        <w:rPr>
          <w:rFonts w:ascii="Arial Narrow" w:hAnsi="Arial Narrow" w:cs="Arial"/>
        </w:rPr>
      </w:pPr>
    </w:p>
    <w:p w14:paraId="39AEEE7B" w14:textId="77777777" w:rsidR="00170D8B" w:rsidRPr="006D1723" w:rsidRDefault="00170D8B" w:rsidP="001D1FE6">
      <w:pPr>
        <w:rPr>
          <w:rFonts w:ascii="Arial Narrow" w:hAnsi="Arial Narrow" w:cs="Arial"/>
        </w:rPr>
      </w:pPr>
      <w:r w:rsidRPr="006D1723">
        <w:rPr>
          <w:rFonts w:ascii="Arial Narrow" w:hAnsi="Arial Narrow" w:cs="Arial"/>
        </w:rPr>
        <w:t>Jerguš Sivoš, PhD.</w:t>
      </w:r>
    </w:p>
    <w:p w14:paraId="67121257" w14:textId="251F37DD" w:rsidR="000E5BA5" w:rsidRPr="006D1723" w:rsidRDefault="000E5BA5" w:rsidP="001D1FE6">
      <w:pPr>
        <w:rPr>
          <w:rFonts w:ascii="Arial Narrow" w:hAnsi="Arial Narrow" w:cs="Arial"/>
        </w:rPr>
      </w:pPr>
      <w:r w:rsidRPr="006D1723">
        <w:rPr>
          <w:rFonts w:ascii="Arial Narrow" w:hAnsi="Arial Narrow" w:cs="Arial"/>
        </w:rPr>
        <w:t>predseda</w:t>
      </w:r>
    </w:p>
    <w:p w14:paraId="3B5671B7" w14:textId="77777777" w:rsidR="004D0277" w:rsidRPr="006D1723" w:rsidRDefault="00A221BF" w:rsidP="001D1FE6">
      <w:pPr>
        <w:rPr>
          <w:rFonts w:ascii="Arial Narrow" w:hAnsi="Arial Narrow" w:cs="Arial"/>
        </w:rPr>
      </w:pPr>
      <w:r w:rsidRPr="006D1723">
        <w:rPr>
          <w:rFonts w:ascii="Arial Narrow" w:hAnsi="Arial Narrow" w:cs="Arial"/>
        </w:rPr>
        <w:t xml:space="preserve">Správnej rady </w:t>
      </w:r>
    </w:p>
    <w:p w14:paraId="7E5558B6" w14:textId="77777777" w:rsidR="00A221BF" w:rsidRPr="006D1723" w:rsidRDefault="00A221BF" w:rsidP="001D1FE6">
      <w:pPr>
        <w:rPr>
          <w:rFonts w:ascii="Arial Narrow" w:hAnsi="Arial Narrow" w:cs="Arial"/>
        </w:rPr>
      </w:pPr>
      <w:r w:rsidRPr="006D1723">
        <w:rPr>
          <w:rFonts w:ascii="Arial Narrow" w:hAnsi="Arial Narrow" w:cs="Arial"/>
        </w:rPr>
        <w:t>Ústavu pamäti národa</w:t>
      </w:r>
    </w:p>
    <w:p w14:paraId="2B393927" w14:textId="77777777" w:rsidR="00FC71EE" w:rsidRPr="006D1723" w:rsidRDefault="00FC71EE" w:rsidP="001D1FE6">
      <w:pPr>
        <w:rPr>
          <w:rFonts w:ascii="Arial Narrow" w:hAnsi="Arial Narrow" w:cs="Arial"/>
        </w:rPr>
      </w:pPr>
    </w:p>
    <w:p w14:paraId="4D524A89" w14:textId="77777777" w:rsidR="00A221BF" w:rsidRPr="006D1723" w:rsidRDefault="00A221BF" w:rsidP="001D1FE6">
      <w:pPr>
        <w:rPr>
          <w:rFonts w:ascii="Arial Narrow" w:hAnsi="Arial Narrow" w:cs="Arial"/>
        </w:rPr>
      </w:pPr>
    </w:p>
    <w:p w14:paraId="69023A8A" w14:textId="77777777" w:rsidR="00A221BF" w:rsidRPr="006D1723" w:rsidRDefault="00A221BF" w:rsidP="001D1FE6">
      <w:pPr>
        <w:rPr>
          <w:rFonts w:ascii="Arial Narrow" w:hAnsi="Arial Narrow" w:cs="Arial"/>
        </w:rPr>
      </w:pPr>
    </w:p>
    <w:p w14:paraId="158CB8FF" w14:textId="77777777" w:rsidR="00A221BF" w:rsidRPr="006D1723" w:rsidRDefault="00A221BF" w:rsidP="001D1FE6">
      <w:pPr>
        <w:rPr>
          <w:rFonts w:ascii="Arial Narrow" w:hAnsi="Arial Narrow" w:cs="Arial"/>
        </w:rPr>
      </w:pPr>
    </w:p>
    <w:p w14:paraId="52A1C196" w14:textId="77777777" w:rsidR="004A307D" w:rsidRPr="006D1723" w:rsidRDefault="004A307D" w:rsidP="001D1FE6">
      <w:pPr>
        <w:rPr>
          <w:rFonts w:ascii="Arial Narrow" w:hAnsi="Arial Narrow" w:cs="Arial"/>
        </w:rPr>
      </w:pPr>
    </w:p>
    <w:p w14:paraId="228C851D" w14:textId="77777777" w:rsidR="00FC71EE" w:rsidRPr="006D1723" w:rsidRDefault="00FC71EE" w:rsidP="001D1FE6">
      <w:pPr>
        <w:rPr>
          <w:rFonts w:ascii="Arial Narrow" w:hAnsi="Arial Narrow" w:cs="Arial"/>
        </w:rPr>
      </w:pPr>
    </w:p>
    <w:p w14:paraId="03DB796A" w14:textId="7F7C6440" w:rsidR="009370CE" w:rsidRPr="006D1723" w:rsidRDefault="00FC71EE" w:rsidP="001479A7">
      <w:pPr>
        <w:jc w:val="center"/>
        <w:rPr>
          <w:rFonts w:ascii="Arial Narrow" w:hAnsi="Arial Narrow" w:cs="Arial"/>
        </w:rPr>
      </w:pPr>
      <w:r w:rsidRPr="006D1723">
        <w:rPr>
          <w:rFonts w:ascii="Arial Narrow" w:hAnsi="Arial Narrow" w:cs="Arial"/>
        </w:rPr>
        <w:t xml:space="preserve">Bratislava, </w:t>
      </w:r>
      <w:r w:rsidR="00B70429">
        <w:rPr>
          <w:rFonts w:ascii="Arial Narrow" w:hAnsi="Arial Narrow" w:cs="Arial"/>
        </w:rPr>
        <w:t>septembe</w:t>
      </w:r>
      <w:r w:rsidR="006D1723" w:rsidRPr="006D1723">
        <w:rPr>
          <w:rFonts w:ascii="Arial Narrow" w:hAnsi="Arial Narrow" w:cs="Arial"/>
        </w:rPr>
        <w:t>r</w:t>
      </w:r>
      <w:r w:rsidR="0072664A" w:rsidRPr="006D1723">
        <w:rPr>
          <w:rFonts w:ascii="Arial Narrow" w:hAnsi="Arial Narrow" w:cs="Arial"/>
        </w:rPr>
        <w:t xml:space="preserve"> </w:t>
      </w:r>
      <w:r w:rsidR="00547522" w:rsidRPr="006D1723">
        <w:rPr>
          <w:rFonts w:ascii="Arial Narrow" w:hAnsi="Arial Narrow" w:cs="Arial"/>
        </w:rPr>
        <w:t>20</w:t>
      </w:r>
      <w:r w:rsidR="0087152D" w:rsidRPr="006D1723">
        <w:rPr>
          <w:rFonts w:ascii="Arial Narrow" w:hAnsi="Arial Narrow" w:cs="Arial"/>
        </w:rPr>
        <w:t>2</w:t>
      </w:r>
      <w:r w:rsidR="006D1723" w:rsidRPr="006D1723">
        <w:rPr>
          <w:rFonts w:ascii="Arial Narrow" w:hAnsi="Arial Narrow" w:cs="Arial"/>
        </w:rPr>
        <w:t>4</w:t>
      </w:r>
    </w:p>
    <w:p w14:paraId="13C490C7" w14:textId="77777777" w:rsidR="00792AC8" w:rsidRPr="00792AC8" w:rsidRDefault="004D0277" w:rsidP="00792AC8">
      <w:pPr>
        <w:rPr>
          <w:rFonts w:ascii="Arial Narrow" w:hAnsi="Arial Narrow" w:cs="Arial"/>
          <w:b/>
          <w:caps/>
        </w:rPr>
      </w:pPr>
      <w:r w:rsidRPr="006D1723">
        <w:rPr>
          <w:rFonts w:ascii="Arial Narrow" w:hAnsi="Arial Narrow" w:cs="Arial"/>
        </w:rPr>
        <w:br w:type="page"/>
      </w:r>
      <w:r w:rsidR="00792AC8" w:rsidRPr="00792AC8">
        <w:rPr>
          <w:rFonts w:ascii="Arial Narrow" w:hAnsi="Arial Narrow" w:cs="Arial"/>
          <w:b/>
          <w:caps/>
        </w:rPr>
        <w:lastRenderedPageBreak/>
        <w:t>Úvod</w:t>
      </w:r>
    </w:p>
    <w:p w14:paraId="76F2DD42" w14:textId="77777777" w:rsidR="00792AC8" w:rsidRPr="00792AC8" w:rsidRDefault="00792AC8" w:rsidP="00792AC8">
      <w:pPr>
        <w:rPr>
          <w:rFonts w:ascii="Arial Narrow" w:hAnsi="Arial Narrow" w:cs="Arial"/>
          <w:b/>
        </w:rPr>
      </w:pPr>
    </w:p>
    <w:p w14:paraId="5E1F2B4E" w14:textId="77777777" w:rsidR="00792AC8" w:rsidRPr="00792AC8" w:rsidRDefault="00792AC8" w:rsidP="00792AC8">
      <w:pPr>
        <w:jc w:val="both"/>
        <w:rPr>
          <w:rFonts w:ascii="Arial Narrow" w:hAnsi="Arial Narrow" w:cs="Arial"/>
        </w:rPr>
      </w:pPr>
      <w:r w:rsidRPr="00792AC8">
        <w:rPr>
          <w:rFonts w:ascii="Arial Narrow" w:hAnsi="Arial Narrow" w:cs="Arial"/>
        </w:rPr>
        <w:t xml:space="preserve">Ústav pamäti národa (ďalej len „ústav“ alebo „ÚPN“) bol zriadený zákonom č. 553/2002 Z. z. o sprístupnení dokumentov o činnosti bezpečnostných zložiek štátu 1939 – 1989 a o založení Ústavu pamäti národa a o doplnení niektorých zákonov v znení neskorších predpisov (ďalej ako „zákon o pamäti národa“). ÚPN je verejnoprávna ustanovizeň, ktorá je financovaná z prostriedkov štátneho rozpočtu transferom z kapitoly Všeobecná pokladničná správa. </w:t>
      </w:r>
    </w:p>
    <w:p w14:paraId="6CCD32C3" w14:textId="77777777" w:rsidR="00792AC8" w:rsidRPr="00792AC8" w:rsidRDefault="00792AC8" w:rsidP="00792AC8">
      <w:pPr>
        <w:jc w:val="both"/>
        <w:rPr>
          <w:rFonts w:ascii="Arial Narrow" w:hAnsi="Arial Narrow" w:cs="Arial"/>
        </w:rPr>
      </w:pPr>
    </w:p>
    <w:p w14:paraId="322E5279" w14:textId="04586F93" w:rsidR="000432BE" w:rsidRPr="00792AC8" w:rsidRDefault="00792AC8" w:rsidP="00792AC8">
      <w:pPr>
        <w:jc w:val="both"/>
        <w:rPr>
          <w:rFonts w:ascii="Arial Narrow" w:hAnsi="Arial Narrow" w:cs="Arial"/>
        </w:rPr>
      </w:pPr>
      <w:r w:rsidRPr="00792AC8">
        <w:rPr>
          <w:rFonts w:ascii="Arial Narrow" w:hAnsi="Arial Narrow" w:cs="Arial"/>
        </w:rPr>
        <w:t>V súlade so zákonom o pamäti národa a zákonom č. 523/2004 Z. z. o rozpočtových pravidlách verejnej správy v znení neskorších predpisov predkladá ÚPN návrh rozpočtu na roky 2025 – 2027</w:t>
      </w:r>
      <w:r w:rsidR="000432BE" w:rsidRPr="00792AC8">
        <w:rPr>
          <w:rFonts w:ascii="Arial Narrow" w:hAnsi="Arial Narrow" w:cs="Arial"/>
        </w:rPr>
        <w:t>.</w:t>
      </w:r>
    </w:p>
    <w:p w14:paraId="361EC7D2" w14:textId="77777777" w:rsidR="000432BE" w:rsidRPr="00347CCD" w:rsidRDefault="000432BE" w:rsidP="000432BE">
      <w:pPr>
        <w:jc w:val="both"/>
        <w:rPr>
          <w:rFonts w:ascii="Arial Narrow" w:hAnsi="Arial Narrow" w:cs="Arial"/>
          <w:sz w:val="20"/>
          <w:szCs w:val="20"/>
          <w:highlight w:val="yellow"/>
        </w:rPr>
      </w:pPr>
    </w:p>
    <w:p w14:paraId="55E4914A" w14:textId="77777777" w:rsidR="00220BEC" w:rsidRPr="00347CCD" w:rsidRDefault="00220BEC" w:rsidP="001D1FE6">
      <w:pPr>
        <w:pStyle w:val="Zkladntext"/>
        <w:spacing w:after="0"/>
        <w:jc w:val="both"/>
        <w:rPr>
          <w:rFonts w:ascii="Arial Narrow" w:hAnsi="Arial Narrow" w:cs="Arial"/>
          <w:sz w:val="20"/>
          <w:szCs w:val="20"/>
          <w:highlight w:val="yellow"/>
        </w:rPr>
      </w:pPr>
    </w:p>
    <w:p w14:paraId="28A75D9A" w14:textId="77777777" w:rsidR="00792AC8" w:rsidRPr="00792AC8" w:rsidRDefault="00792AC8" w:rsidP="00792AC8">
      <w:pPr>
        <w:jc w:val="both"/>
        <w:rPr>
          <w:rFonts w:ascii="Arial Narrow" w:hAnsi="Arial Narrow" w:cs="Arial"/>
          <w:b/>
          <w:caps/>
        </w:rPr>
      </w:pPr>
      <w:bookmarkStart w:id="1" w:name="_Hlk103346421"/>
      <w:r w:rsidRPr="00792AC8">
        <w:rPr>
          <w:rFonts w:ascii="Arial Narrow" w:hAnsi="Arial Narrow" w:cs="Arial"/>
          <w:b/>
          <w:caps/>
        </w:rPr>
        <w:t>Navrhované Limity výdavkov MF SR pre ÚPN na roky 2025 – 2027</w:t>
      </w:r>
    </w:p>
    <w:p w14:paraId="37BEABB2" w14:textId="77777777" w:rsidR="00792AC8" w:rsidRPr="00347CCD" w:rsidRDefault="00792AC8" w:rsidP="00792AC8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28CDA1D5" w14:textId="40C02635" w:rsidR="00792AC8" w:rsidRPr="00792AC8" w:rsidRDefault="00792AC8" w:rsidP="00792AC8">
      <w:pPr>
        <w:jc w:val="both"/>
        <w:rPr>
          <w:rFonts w:ascii="Arial Narrow" w:hAnsi="Arial Narrow" w:cs="Arial"/>
        </w:rPr>
      </w:pPr>
      <w:r w:rsidRPr="00792AC8">
        <w:rPr>
          <w:rFonts w:ascii="Arial Narrow" w:hAnsi="Arial Narrow" w:cs="Arial"/>
        </w:rPr>
        <w:t>Návrh transferu zo štátneho rozpočtu pre ÚPN na roky 2025 – 2027 bol oznámen</w:t>
      </w:r>
      <w:r w:rsidR="00B67E14">
        <w:rPr>
          <w:rFonts w:ascii="Arial Narrow" w:hAnsi="Arial Narrow" w:cs="Arial"/>
        </w:rPr>
        <w:t>ý</w:t>
      </w:r>
      <w:r w:rsidRPr="00792AC8">
        <w:rPr>
          <w:rFonts w:ascii="Arial Narrow" w:hAnsi="Arial Narrow" w:cs="Arial"/>
        </w:rPr>
        <w:t xml:space="preserve"> listom MF SR</w:t>
      </w:r>
      <w:r w:rsidRPr="00792AC8">
        <w:rPr>
          <w:rFonts w:ascii="Arial Narrow" w:hAnsi="Arial Narrow" w:cs="Arial"/>
        </w:rPr>
        <w:br/>
        <w:t xml:space="preserve">č. MF/009865/2024–442 zo dňa 25. apríla 2024 </w:t>
      </w:r>
      <w:r w:rsidRPr="00792AC8">
        <w:rPr>
          <w:rFonts w:ascii="Arial Narrow" w:hAnsi="Arial Narrow"/>
          <w:bCs/>
          <w:color w:val="000000"/>
        </w:rPr>
        <w:t>(</w:t>
      </w:r>
      <w:r w:rsidRPr="00792AC8">
        <w:rPr>
          <w:rFonts w:ascii="Arial Narrow" w:hAnsi="Arial Narrow"/>
          <w:color w:val="000000"/>
        </w:rPr>
        <w:t>v eurách)</w:t>
      </w:r>
      <w:r w:rsidRPr="00792AC8">
        <w:rPr>
          <w:rFonts w:ascii="Arial Narrow" w:hAnsi="Arial Narrow" w:cs="Arial"/>
        </w:rPr>
        <w:t>:</w:t>
      </w:r>
    </w:p>
    <w:p w14:paraId="708BF156" w14:textId="77777777" w:rsidR="00873C82" w:rsidRPr="006D1723" w:rsidRDefault="00873C82" w:rsidP="000432BE">
      <w:pPr>
        <w:jc w:val="both"/>
        <w:rPr>
          <w:rFonts w:ascii="Arial Narrow" w:hAnsi="Arial Narrow" w:cs="Arial"/>
          <w:highlight w:val="yellow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14"/>
        <w:gridCol w:w="2127"/>
        <w:gridCol w:w="2268"/>
      </w:tblGrid>
      <w:tr w:rsidR="00873C82" w:rsidRPr="006D1723" w14:paraId="2C8D72C0" w14:textId="77777777" w:rsidTr="00ED4FAA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3B65D56" w14:textId="77777777" w:rsidR="00873C82" w:rsidRPr="008D7DDF" w:rsidRDefault="00430B3E">
            <w:pPr>
              <w:rPr>
                <w:rFonts w:ascii="Arial Narrow" w:hAnsi="Arial Narrow" w:cs="Calibri"/>
                <w:color w:val="000000"/>
              </w:rPr>
            </w:pPr>
            <w:r w:rsidRPr="008D7DDF">
              <w:rPr>
                <w:rFonts w:ascii="Arial Narrow" w:hAnsi="Arial Narrow" w:cs="Arial"/>
                <w:color w:val="000000"/>
              </w:rPr>
              <w:t>R</w:t>
            </w:r>
            <w:r w:rsidR="00421740" w:rsidRPr="008D7DDF">
              <w:rPr>
                <w:rFonts w:ascii="Arial Narrow" w:hAnsi="Arial Narrow" w:cs="Arial"/>
                <w:color w:val="000000"/>
              </w:rPr>
              <w:t>ok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46279810" w14:textId="2BD6DA62" w:rsidR="00873C82" w:rsidRPr="008D7DDF" w:rsidRDefault="00873C82" w:rsidP="00792AC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D7DDF">
              <w:rPr>
                <w:rFonts w:ascii="Arial Narrow" w:hAnsi="Arial Narrow" w:cs="Arial"/>
                <w:b/>
                <w:bCs/>
                <w:iCs/>
                <w:color w:val="000000"/>
              </w:rPr>
              <w:t>202</w:t>
            </w:r>
            <w:r w:rsidR="00792AC8" w:rsidRPr="008D7DDF">
              <w:rPr>
                <w:rFonts w:ascii="Arial Narrow" w:hAnsi="Arial Narrow" w:cs="Arial"/>
                <w:b/>
                <w:bCs/>
                <w:iCs/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8018642" w14:textId="752BFAF1" w:rsidR="00873C82" w:rsidRPr="008D7DDF" w:rsidRDefault="00873C82" w:rsidP="00792AC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D7DDF">
              <w:rPr>
                <w:rFonts w:ascii="Arial Narrow" w:hAnsi="Arial Narrow" w:cs="Arial"/>
                <w:b/>
                <w:bCs/>
                <w:iCs/>
                <w:color w:val="000000"/>
              </w:rPr>
              <w:t>202</w:t>
            </w:r>
            <w:r w:rsidR="00792AC8" w:rsidRPr="008D7DDF">
              <w:rPr>
                <w:rFonts w:ascii="Arial Narrow" w:hAnsi="Arial Narrow" w:cs="Arial"/>
                <w:b/>
                <w:bCs/>
                <w:iCs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889A1E" w14:textId="39A7EF8B" w:rsidR="00873C82" w:rsidRPr="008D7DDF" w:rsidRDefault="00873C82" w:rsidP="00792AC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8D7DDF">
              <w:rPr>
                <w:rFonts w:ascii="Arial Narrow" w:hAnsi="Arial Narrow" w:cs="Arial"/>
                <w:b/>
                <w:bCs/>
                <w:iCs/>
                <w:color w:val="000000"/>
              </w:rPr>
              <w:t>202</w:t>
            </w:r>
            <w:r w:rsidR="00792AC8" w:rsidRPr="008D7DDF">
              <w:rPr>
                <w:rFonts w:ascii="Arial Narrow" w:hAnsi="Arial Narrow" w:cs="Arial"/>
                <w:b/>
                <w:bCs/>
                <w:iCs/>
                <w:color w:val="000000"/>
              </w:rPr>
              <w:t>7</w:t>
            </w:r>
          </w:p>
        </w:tc>
      </w:tr>
      <w:tr w:rsidR="00873C82" w:rsidRPr="006D1723" w14:paraId="34735963" w14:textId="77777777" w:rsidTr="00ED4FAA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9780159" w14:textId="77777777" w:rsidR="00873C82" w:rsidRPr="00792AC8" w:rsidRDefault="00873C82" w:rsidP="004F0D48">
            <w:pPr>
              <w:rPr>
                <w:rFonts w:ascii="Arial Narrow" w:hAnsi="Arial Narrow" w:cs="Calibri"/>
                <w:color w:val="000000"/>
              </w:rPr>
            </w:pPr>
            <w:r w:rsidRPr="00792AC8">
              <w:rPr>
                <w:rFonts w:ascii="Arial Narrow" w:hAnsi="Arial Narrow" w:cs="Arial"/>
                <w:color w:val="000000"/>
              </w:rPr>
              <w:t xml:space="preserve">Návrh transferu </w:t>
            </w:r>
            <w:r w:rsidR="00CC06A1" w:rsidRPr="00792AC8">
              <w:rPr>
                <w:rFonts w:ascii="Arial Narrow" w:hAnsi="Arial Narrow" w:cs="Arial"/>
                <w:color w:val="000000"/>
              </w:rPr>
              <w:t>zo štátneho rozpočtu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1BD885C1" w14:textId="2599AF21" w:rsidR="00873C82" w:rsidRPr="00792AC8" w:rsidRDefault="00792AC8" w:rsidP="005F058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792AC8">
              <w:rPr>
                <w:rFonts w:ascii="Arial Narrow" w:hAnsi="Arial Narrow" w:cs="Arial"/>
                <w:color w:val="000000"/>
              </w:rPr>
              <w:t>2 956 874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C900F75" w14:textId="3BF2AE0F" w:rsidR="00873C82" w:rsidRPr="00792AC8" w:rsidRDefault="00792AC8" w:rsidP="005F058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792AC8">
              <w:rPr>
                <w:rFonts w:ascii="Arial Narrow" w:hAnsi="Arial Narrow" w:cs="Arial"/>
                <w:color w:val="000000"/>
              </w:rPr>
              <w:t>2 978 117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ADED3F" w14:textId="0F74C7CC" w:rsidR="00873C82" w:rsidRPr="006D1723" w:rsidRDefault="00792AC8" w:rsidP="005F058C">
            <w:pPr>
              <w:jc w:val="center"/>
              <w:rPr>
                <w:rFonts w:ascii="Arial Narrow" w:hAnsi="Arial Narrow" w:cs="Calibri"/>
                <w:color w:val="000000"/>
                <w:highlight w:val="yellow"/>
              </w:rPr>
            </w:pPr>
            <w:r w:rsidRPr="00792AC8">
              <w:rPr>
                <w:rFonts w:ascii="Arial Narrow" w:hAnsi="Arial Narrow" w:cs="Arial"/>
                <w:color w:val="000000"/>
              </w:rPr>
              <w:t>2 995 818</w:t>
            </w:r>
          </w:p>
        </w:tc>
      </w:tr>
      <w:bookmarkEnd w:id="1"/>
    </w:tbl>
    <w:p w14:paraId="4838FA17" w14:textId="50CF1C48" w:rsidR="00484E8E" w:rsidRPr="006D1723" w:rsidRDefault="00484E8E" w:rsidP="001D1FE6">
      <w:pPr>
        <w:jc w:val="both"/>
        <w:rPr>
          <w:rFonts w:ascii="Arial Narrow" w:hAnsi="Arial Narrow" w:cs="Arial"/>
          <w:highlight w:val="yellow"/>
        </w:rPr>
      </w:pPr>
    </w:p>
    <w:p w14:paraId="60347032" w14:textId="5937065C" w:rsidR="00454EA7" w:rsidRPr="00792AC8" w:rsidRDefault="00454EA7" w:rsidP="00454EA7">
      <w:pPr>
        <w:jc w:val="both"/>
        <w:rPr>
          <w:rFonts w:ascii="Arial Narrow" w:hAnsi="Arial Narrow" w:cs="Arial"/>
        </w:rPr>
      </w:pPr>
      <w:r w:rsidRPr="00792AC8">
        <w:rPr>
          <w:rFonts w:ascii="Arial Narrow" w:hAnsi="Arial Narrow" w:cs="Arial"/>
        </w:rPr>
        <w:t>Ministerstvom financií SR oznámené návrhy limitov výdavkov pre ÚPN na roky 202</w:t>
      </w:r>
      <w:r w:rsidR="00792AC8" w:rsidRPr="00792AC8">
        <w:rPr>
          <w:rFonts w:ascii="Arial Narrow" w:hAnsi="Arial Narrow" w:cs="Arial"/>
        </w:rPr>
        <w:t>5</w:t>
      </w:r>
      <w:r w:rsidRPr="00792AC8">
        <w:rPr>
          <w:rFonts w:ascii="Arial Narrow" w:hAnsi="Arial Narrow" w:cs="Arial"/>
        </w:rPr>
        <w:t xml:space="preserve"> – 202</w:t>
      </w:r>
      <w:r w:rsidR="00792AC8" w:rsidRPr="00792AC8">
        <w:rPr>
          <w:rFonts w:ascii="Arial Narrow" w:hAnsi="Arial Narrow" w:cs="Arial"/>
        </w:rPr>
        <w:t>7</w:t>
      </w:r>
      <w:r w:rsidRPr="00792AC8">
        <w:rPr>
          <w:rFonts w:ascii="Arial Narrow" w:hAnsi="Arial Narrow" w:cs="Arial"/>
        </w:rPr>
        <w:t xml:space="preserve"> nepokrývali objem finančných prostriedkov potrebný</w:t>
      </w:r>
      <w:r w:rsidR="00DF247A">
        <w:rPr>
          <w:rFonts w:ascii="Arial Narrow" w:hAnsi="Arial Narrow" w:cs="Arial"/>
        </w:rPr>
        <w:t>ch</w:t>
      </w:r>
      <w:r w:rsidRPr="00792AC8">
        <w:rPr>
          <w:rFonts w:ascii="Arial Narrow" w:hAnsi="Arial Narrow" w:cs="Arial"/>
        </w:rPr>
        <w:t xml:space="preserve"> na plnenie zákonných úloh ÚPN.</w:t>
      </w:r>
    </w:p>
    <w:p w14:paraId="56C127C6" w14:textId="77777777" w:rsidR="00454EA7" w:rsidRPr="006D1723" w:rsidRDefault="00454EA7" w:rsidP="00454EA7">
      <w:pPr>
        <w:jc w:val="both"/>
        <w:rPr>
          <w:rFonts w:ascii="Arial Narrow" w:hAnsi="Arial Narrow" w:cs="Arial"/>
          <w:highlight w:val="yellow"/>
        </w:rPr>
      </w:pPr>
    </w:p>
    <w:p w14:paraId="40F885DB" w14:textId="206B274C" w:rsidR="005E7CFE" w:rsidRDefault="00454EA7" w:rsidP="00454EA7">
      <w:pPr>
        <w:jc w:val="both"/>
        <w:rPr>
          <w:rFonts w:ascii="Arial Narrow" w:hAnsi="Arial Narrow" w:cs="Arial"/>
        </w:rPr>
      </w:pPr>
      <w:r w:rsidRPr="005E7CFE">
        <w:rPr>
          <w:rFonts w:ascii="Arial Narrow" w:hAnsi="Arial Narrow" w:cs="Arial"/>
        </w:rPr>
        <w:t xml:space="preserve">Rokovanie zástupcov Ministerstva financií SR a ÚPN sa uskutočnilo </w:t>
      </w:r>
      <w:r w:rsidR="00EF781D">
        <w:rPr>
          <w:rFonts w:ascii="Arial Narrow" w:hAnsi="Arial Narrow" w:cs="Arial"/>
        </w:rPr>
        <w:t xml:space="preserve">dňa </w:t>
      </w:r>
      <w:r w:rsidR="005E7CFE" w:rsidRPr="005E7CFE">
        <w:rPr>
          <w:rFonts w:ascii="Arial Narrow" w:hAnsi="Arial Narrow" w:cs="Arial"/>
        </w:rPr>
        <w:t>18</w:t>
      </w:r>
      <w:r w:rsidRPr="005E7CFE">
        <w:rPr>
          <w:rFonts w:ascii="Arial Narrow" w:hAnsi="Arial Narrow" w:cs="Arial"/>
        </w:rPr>
        <w:t>. júna 202</w:t>
      </w:r>
      <w:r w:rsidR="005E7CFE" w:rsidRPr="005E7CFE">
        <w:rPr>
          <w:rFonts w:ascii="Arial Narrow" w:hAnsi="Arial Narrow" w:cs="Arial"/>
        </w:rPr>
        <w:t>4</w:t>
      </w:r>
      <w:r w:rsidR="00EF781D">
        <w:rPr>
          <w:rFonts w:ascii="Arial Narrow" w:hAnsi="Arial Narrow" w:cs="Arial"/>
        </w:rPr>
        <w:t>, v</w:t>
      </w:r>
      <w:r w:rsidRPr="005E7CFE">
        <w:rPr>
          <w:rFonts w:ascii="Arial Narrow" w:hAnsi="Arial Narrow" w:cs="Arial"/>
        </w:rPr>
        <w:t> zmysle jeho záverov bol</w:t>
      </w:r>
      <w:r w:rsidR="005C642C" w:rsidRPr="005E7CFE">
        <w:rPr>
          <w:rFonts w:ascii="Arial Narrow" w:hAnsi="Arial Narrow" w:cs="Arial"/>
        </w:rPr>
        <w:t>i</w:t>
      </w:r>
      <w:r w:rsidRPr="005E7CFE">
        <w:rPr>
          <w:rFonts w:ascii="Arial Narrow" w:hAnsi="Arial Narrow" w:cs="Arial"/>
        </w:rPr>
        <w:t xml:space="preserve"> ÚPN dňa </w:t>
      </w:r>
      <w:r w:rsidR="005E7CFE" w:rsidRPr="005E7CFE">
        <w:rPr>
          <w:rFonts w:ascii="Arial Narrow" w:hAnsi="Arial Narrow" w:cs="Arial"/>
        </w:rPr>
        <w:t>17</w:t>
      </w:r>
      <w:r w:rsidRPr="005E7CFE">
        <w:rPr>
          <w:rFonts w:ascii="Arial Narrow" w:hAnsi="Arial Narrow" w:cs="Arial"/>
        </w:rPr>
        <w:t xml:space="preserve">. </w:t>
      </w:r>
      <w:r w:rsidR="005E7CFE" w:rsidRPr="005E7CFE">
        <w:rPr>
          <w:rFonts w:ascii="Arial Narrow" w:hAnsi="Arial Narrow" w:cs="Arial"/>
        </w:rPr>
        <w:t>júla</w:t>
      </w:r>
      <w:r w:rsidRPr="005E7CFE">
        <w:rPr>
          <w:rFonts w:ascii="Arial Narrow" w:hAnsi="Arial Narrow" w:cs="Arial"/>
        </w:rPr>
        <w:t xml:space="preserve"> 202</w:t>
      </w:r>
      <w:r w:rsidR="005E7CFE" w:rsidRPr="005E7CFE">
        <w:rPr>
          <w:rFonts w:ascii="Arial Narrow" w:hAnsi="Arial Narrow" w:cs="Arial"/>
        </w:rPr>
        <w:t>4</w:t>
      </w:r>
      <w:r w:rsidRPr="005E7CFE">
        <w:rPr>
          <w:rFonts w:ascii="Arial Narrow" w:hAnsi="Arial Narrow" w:cs="Arial"/>
        </w:rPr>
        <w:t xml:space="preserve"> schválen</w:t>
      </w:r>
      <w:r w:rsidR="005C642C" w:rsidRPr="005E7CFE">
        <w:rPr>
          <w:rFonts w:ascii="Arial Narrow" w:hAnsi="Arial Narrow" w:cs="Arial"/>
        </w:rPr>
        <w:t>é</w:t>
      </w:r>
      <w:r w:rsidRPr="005E7CFE">
        <w:rPr>
          <w:rFonts w:ascii="Arial Narrow" w:hAnsi="Arial Narrow" w:cs="Arial"/>
        </w:rPr>
        <w:t xml:space="preserve"> </w:t>
      </w:r>
      <w:r w:rsidR="005C642C" w:rsidRPr="005E7CFE">
        <w:rPr>
          <w:rFonts w:ascii="Arial Narrow" w:hAnsi="Arial Narrow" w:cs="Arial"/>
        </w:rPr>
        <w:t xml:space="preserve">zmeny </w:t>
      </w:r>
      <w:r w:rsidR="00347CCD">
        <w:rPr>
          <w:rFonts w:ascii="Arial Narrow" w:hAnsi="Arial Narrow" w:cs="Arial"/>
        </w:rPr>
        <w:t xml:space="preserve">v návrhu </w:t>
      </w:r>
      <w:r w:rsidR="005C642C" w:rsidRPr="005E7CFE">
        <w:rPr>
          <w:rFonts w:ascii="Arial Narrow" w:hAnsi="Arial Narrow" w:cs="Arial"/>
        </w:rPr>
        <w:t>rozpočtu na roky 202</w:t>
      </w:r>
      <w:r w:rsidR="005E7CFE" w:rsidRPr="005E7CFE">
        <w:rPr>
          <w:rFonts w:ascii="Arial Narrow" w:hAnsi="Arial Narrow" w:cs="Arial"/>
        </w:rPr>
        <w:t>5</w:t>
      </w:r>
      <w:r w:rsidR="005C642C" w:rsidRPr="005E7CFE">
        <w:rPr>
          <w:rFonts w:ascii="Arial Narrow" w:hAnsi="Arial Narrow" w:cs="Arial"/>
        </w:rPr>
        <w:t xml:space="preserve"> – 202</w:t>
      </w:r>
      <w:r w:rsidR="005E7CFE" w:rsidRPr="005E7CFE">
        <w:rPr>
          <w:rFonts w:ascii="Arial Narrow" w:hAnsi="Arial Narrow" w:cs="Arial"/>
        </w:rPr>
        <w:t>7</w:t>
      </w:r>
      <w:r w:rsidR="000166A4">
        <w:rPr>
          <w:rFonts w:ascii="Arial Narrow" w:hAnsi="Arial Narrow" w:cs="Arial"/>
        </w:rPr>
        <w:t>.</w:t>
      </w:r>
    </w:p>
    <w:p w14:paraId="0AFDEA57" w14:textId="32DAD8C0" w:rsidR="00454EA7" w:rsidRPr="005E7CFE" w:rsidRDefault="00454EA7" w:rsidP="00454EA7">
      <w:pPr>
        <w:jc w:val="both"/>
        <w:rPr>
          <w:rFonts w:ascii="Arial Narrow" w:hAnsi="Arial Narrow" w:cs="Arial"/>
        </w:rPr>
      </w:pPr>
      <w:r w:rsidRPr="005E7CFE">
        <w:rPr>
          <w:rFonts w:ascii="Arial Narrow" w:hAnsi="Arial Narrow" w:cs="Arial"/>
        </w:rPr>
        <w:t xml:space="preserve">Po uskutočnených </w:t>
      </w:r>
      <w:r w:rsidR="00562227">
        <w:rPr>
          <w:rFonts w:ascii="Arial Narrow" w:hAnsi="Arial Narrow" w:cs="Arial"/>
        </w:rPr>
        <w:t>zmenách</w:t>
      </w:r>
      <w:r w:rsidRPr="005E7CFE">
        <w:rPr>
          <w:rFonts w:ascii="Arial Narrow" w:hAnsi="Arial Narrow" w:cs="Arial"/>
        </w:rPr>
        <w:t xml:space="preserve"> </w:t>
      </w:r>
      <w:r w:rsidR="00721D99">
        <w:rPr>
          <w:rFonts w:ascii="Arial Narrow" w:hAnsi="Arial Narrow" w:cs="Arial"/>
        </w:rPr>
        <w:t>bol</w:t>
      </w:r>
      <w:r w:rsidRPr="005E7CFE">
        <w:rPr>
          <w:rFonts w:ascii="Arial Narrow" w:hAnsi="Arial Narrow" w:cs="Arial"/>
        </w:rPr>
        <w:t xml:space="preserve"> návrh transferu zo štátneho rozpočtu z MF SR pre ÚPN na roky 202</w:t>
      </w:r>
      <w:r w:rsidR="005E7CFE" w:rsidRPr="005E7CFE">
        <w:rPr>
          <w:rFonts w:ascii="Arial Narrow" w:hAnsi="Arial Narrow" w:cs="Arial"/>
        </w:rPr>
        <w:t>5</w:t>
      </w:r>
      <w:r w:rsidRPr="005E7CFE">
        <w:rPr>
          <w:rFonts w:ascii="Arial Narrow" w:hAnsi="Arial Narrow" w:cs="Arial"/>
        </w:rPr>
        <w:t xml:space="preserve"> – 202</w:t>
      </w:r>
      <w:r w:rsidR="005E7CFE" w:rsidRPr="005E7CFE">
        <w:rPr>
          <w:rFonts w:ascii="Arial Narrow" w:hAnsi="Arial Narrow" w:cs="Arial"/>
        </w:rPr>
        <w:t>7</w:t>
      </w:r>
      <w:r w:rsidRPr="005E7CFE">
        <w:rPr>
          <w:rFonts w:ascii="Arial Narrow" w:hAnsi="Arial Narrow" w:cs="Arial"/>
        </w:rPr>
        <w:t xml:space="preserve"> (v </w:t>
      </w:r>
      <w:r w:rsidR="005E7CFE" w:rsidRPr="005E7CFE">
        <w:rPr>
          <w:rFonts w:ascii="Arial Narrow" w:hAnsi="Arial Narrow" w:cs="Arial"/>
        </w:rPr>
        <w:t>eurách</w:t>
      </w:r>
      <w:r w:rsidRPr="005E7CFE">
        <w:rPr>
          <w:rFonts w:ascii="Arial Narrow" w:hAnsi="Arial Narrow" w:cs="Arial"/>
        </w:rPr>
        <w:t>):</w:t>
      </w:r>
    </w:p>
    <w:p w14:paraId="4A13C1B4" w14:textId="77777777" w:rsidR="00454EA7" w:rsidRPr="005E7CFE" w:rsidRDefault="00454EA7" w:rsidP="00454EA7">
      <w:pPr>
        <w:jc w:val="both"/>
        <w:rPr>
          <w:rFonts w:ascii="Arial Narrow" w:hAnsi="Arial Narrow" w:cs="Arial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14"/>
        <w:gridCol w:w="2127"/>
        <w:gridCol w:w="2268"/>
      </w:tblGrid>
      <w:tr w:rsidR="00454EA7" w:rsidRPr="006D1723" w14:paraId="0D386D2D" w14:textId="77777777" w:rsidTr="00B44DB7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2FAF5C6" w14:textId="77777777" w:rsidR="00454EA7" w:rsidRPr="005E7CFE" w:rsidRDefault="00454EA7" w:rsidP="00B44DB7">
            <w:pPr>
              <w:rPr>
                <w:rFonts w:ascii="Arial Narrow" w:hAnsi="Arial Narrow" w:cs="Calibri"/>
                <w:color w:val="000000"/>
              </w:rPr>
            </w:pPr>
            <w:r w:rsidRPr="005E7CFE">
              <w:rPr>
                <w:rFonts w:ascii="Arial Narrow" w:hAnsi="Arial Narrow" w:cs="Arial"/>
                <w:color w:val="000000"/>
              </w:rPr>
              <w:t>Rok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20B38F8A" w14:textId="39DFFF8E" w:rsidR="00454EA7" w:rsidRPr="005E7CFE" w:rsidRDefault="00454EA7" w:rsidP="005E7CF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E7CFE">
              <w:rPr>
                <w:rFonts w:ascii="Arial Narrow" w:hAnsi="Arial Narrow" w:cs="Arial"/>
                <w:b/>
                <w:bCs/>
                <w:iCs/>
                <w:color w:val="000000"/>
              </w:rPr>
              <w:t>202</w:t>
            </w:r>
            <w:r w:rsidR="005E7CFE" w:rsidRPr="005E7CFE">
              <w:rPr>
                <w:rFonts w:ascii="Arial Narrow" w:hAnsi="Arial Narrow" w:cs="Arial"/>
                <w:b/>
                <w:bCs/>
                <w:iCs/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396561C" w14:textId="65CF09AE" w:rsidR="00454EA7" w:rsidRPr="005E7CFE" w:rsidRDefault="00454EA7" w:rsidP="005E7CF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E7CFE">
              <w:rPr>
                <w:rFonts w:ascii="Arial Narrow" w:hAnsi="Arial Narrow" w:cs="Arial"/>
                <w:b/>
                <w:bCs/>
                <w:iCs/>
                <w:color w:val="000000"/>
              </w:rPr>
              <w:t>202</w:t>
            </w:r>
            <w:r w:rsidR="005E7CFE" w:rsidRPr="005E7CFE">
              <w:rPr>
                <w:rFonts w:ascii="Arial Narrow" w:hAnsi="Arial Narrow" w:cs="Arial"/>
                <w:b/>
                <w:bCs/>
                <w:iCs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7233C2" w14:textId="163C8C73" w:rsidR="00454EA7" w:rsidRPr="005E7CFE" w:rsidRDefault="00454EA7" w:rsidP="005E7CF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E7CFE">
              <w:rPr>
                <w:rFonts w:ascii="Arial Narrow" w:hAnsi="Arial Narrow" w:cs="Arial"/>
                <w:b/>
                <w:bCs/>
                <w:iCs/>
                <w:color w:val="000000"/>
              </w:rPr>
              <w:t>202</w:t>
            </w:r>
            <w:r w:rsidR="005E7CFE" w:rsidRPr="005E7CFE">
              <w:rPr>
                <w:rFonts w:ascii="Arial Narrow" w:hAnsi="Arial Narrow" w:cs="Arial"/>
                <w:b/>
                <w:bCs/>
                <w:iCs/>
                <w:color w:val="000000"/>
              </w:rPr>
              <w:t>7</w:t>
            </w:r>
          </w:p>
        </w:tc>
      </w:tr>
      <w:tr w:rsidR="00454EA7" w:rsidRPr="006D1723" w14:paraId="509AC4BD" w14:textId="77777777" w:rsidTr="00B44DB7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8C106B4" w14:textId="77777777" w:rsidR="00454EA7" w:rsidRPr="005E7CFE" w:rsidRDefault="00454EA7" w:rsidP="00B44DB7">
            <w:pPr>
              <w:rPr>
                <w:rFonts w:ascii="Arial Narrow" w:hAnsi="Arial Narrow" w:cs="Calibri"/>
                <w:color w:val="000000"/>
              </w:rPr>
            </w:pPr>
            <w:r w:rsidRPr="005E7CFE">
              <w:rPr>
                <w:rFonts w:ascii="Arial Narrow" w:hAnsi="Arial Narrow" w:cs="Arial"/>
                <w:color w:val="000000"/>
              </w:rPr>
              <w:t>Návrh transferu zo štátneho rozpočtu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302AF970" w14:textId="001B1637" w:rsidR="00454EA7" w:rsidRPr="005E7CFE" w:rsidRDefault="005C642C" w:rsidP="005E7CFE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E7CFE">
              <w:rPr>
                <w:rFonts w:ascii="Arial Narrow" w:hAnsi="Arial Narrow" w:cs="Arial"/>
                <w:color w:val="000000"/>
              </w:rPr>
              <w:t>3</w:t>
            </w:r>
            <w:r w:rsidR="00454EA7" w:rsidRPr="005E7CFE">
              <w:rPr>
                <w:rFonts w:ascii="Arial Narrow" w:hAnsi="Arial Narrow" w:cs="Arial"/>
                <w:color w:val="000000"/>
              </w:rPr>
              <w:t> 3</w:t>
            </w:r>
            <w:r w:rsidR="005E7CFE" w:rsidRPr="005E7CFE">
              <w:rPr>
                <w:rFonts w:ascii="Arial Narrow" w:hAnsi="Arial Narrow" w:cs="Arial"/>
                <w:color w:val="000000"/>
              </w:rPr>
              <w:t>38</w:t>
            </w:r>
            <w:r w:rsidR="00454EA7" w:rsidRPr="005E7CFE">
              <w:rPr>
                <w:rFonts w:ascii="Arial Narrow" w:hAnsi="Arial Narrow" w:cs="Arial"/>
                <w:color w:val="000000"/>
              </w:rPr>
              <w:t xml:space="preserve"> </w:t>
            </w:r>
            <w:r w:rsidR="005E7CFE" w:rsidRPr="005E7CFE">
              <w:rPr>
                <w:rFonts w:ascii="Arial Narrow" w:hAnsi="Arial Narrow" w:cs="Arial"/>
                <w:color w:val="000000"/>
              </w:rPr>
              <w:t>171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BB0138D" w14:textId="0A8153A5" w:rsidR="00454EA7" w:rsidRPr="005E7CFE" w:rsidRDefault="005E7CFE" w:rsidP="005E7CFE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E7CFE">
              <w:rPr>
                <w:rFonts w:ascii="Arial Narrow" w:hAnsi="Arial Narrow" w:cs="Arial"/>
                <w:color w:val="000000"/>
              </w:rPr>
              <w:t>3</w:t>
            </w:r>
            <w:r w:rsidR="005C642C" w:rsidRPr="005E7CFE">
              <w:rPr>
                <w:rFonts w:ascii="Arial Narrow" w:hAnsi="Arial Narrow" w:cs="Arial"/>
                <w:color w:val="000000"/>
              </w:rPr>
              <w:t> </w:t>
            </w:r>
            <w:r w:rsidRPr="005E7CFE">
              <w:rPr>
                <w:rFonts w:ascii="Arial Narrow" w:hAnsi="Arial Narrow" w:cs="Arial"/>
                <w:color w:val="000000"/>
              </w:rPr>
              <w:t>261</w:t>
            </w:r>
            <w:r w:rsidR="005C642C" w:rsidRPr="005E7CFE">
              <w:rPr>
                <w:rFonts w:ascii="Arial Narrow" w:hAnsi="Arial Narrow" w:cs="Arial"/>
                <w:color w:val="000000"/>
              </w:rPr>
              <w:t xml:space="preserve"> </w:t>
            </w:r>
            <w:r w:rsidRPr="005E7CFE">
              <w:rPr>
                <w:rFonts w:ascii="Arial Narrow" w:hAnsi="Arial Narrow" w:cs="Arial"/>
                <w:color w:val="000000"/>
              </w:rPr>
              <w:t>690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EB0E92" w14:textId="45CB9152" w:rsidR="00454EA7" w:rsidRPr="005E7CFE" w:rsidRDefault="005E7CFE" w:rsidP="005E7CFE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5E7CFE">
              <w:rPr>
                <w:rFonts w:ascii="Arial Narrow" w:hAnsi="Arial Narrow" w:cs="Arial"/>
                <w:color w:val="000000"/>
              </w:rPr>
              <w:t>3 283 689</w:t>
            </w:r>
          </w:p>
        </w:tc>
      </w:tr>
    </w:tbl>
    <w:p w14:paraId="5CB93125" w14:textId="77777777" w:rsidR="00454EA7" w:rsidRPr="006D1723" w:rsidRDefault="00454EA7" w:rsidP="001D1FE6">
      <w:pPr>
        <w:jc w:val="both"/>
        <w:rPr>
          <w:rFonts w:ascii="Arial Narrow" w:hAnsi="Arial Narrow" w:cs="Arial"/>
          <w:highlight w:val="yellow"/>
        </w:rPr>
      </w:pPr>
    </w:p>
    <w:p w14:paraId="2B82CACE" w14:textId="24BBB3C8" w:rsidR="00B15F70" w:rsidRPr="00235ED7" w:rsidRDefault="00B15F70" w:rsidP="00B15F70">
      <w:pPr>
        <w:jc w:val="both"/>
        <w:rPr>
          <w:rFonts w:ascii="Arial Narrow" w:hAnsi="Arial Narrow" w:cs="Arial"/>
        </w:rPr>
      </w:pPr>
      <w:r w:rsidRPr="00235ED7">
        <w:rPr>
          <w:rFonts w:ascii="Arial Narrow" w:hAnsi="Arial Narrow" w:cs="Arial"/>
        </w:rPr>
        <w:t xml:space="preserve">Za tretí štvrťrok 2024 boli ÚPN z MF SR zaslané zmeny rozpočtu </w:t>
      </w:r>
      <w:r w:rsidR="00B0183D" w:rsidRPr="00235ED7">
        <w:rPr>
          <w:rFonts w:ascii="Arial Narrow" w:hAnsi="Arial Narrow" w:cs="Arial"/>
        </w:rPr>
        <w:t xml:space="preserve">v etape </w:t>
      </w:r>
      <w:r w:rsidRPr="00235ED7">
        <w:rPr>
          <w:rFonts w:ascii="Arial Narrow" w:hAnsi="Arial Narrow" w:cs="Arial"/>
        </w:rPr>
        <w:t>2. úpravy odmien členov Dozornej a Správnej rady ÚPN podľa makroekonomických ukazovateľov (v eurách):</w:t>
      </w:r>
    </w:p>
    <w:p w14:paraId="53AB1AD3" w14:textId="77777777" w:rsidR="00B15F70" w:rsidRPr="00235ED7" w:rsidRDefault="00B15F70" w:rsidP="00B15F70">
      <w:pPr>
        <w:jc w:val="both"/>
        <w:rPr>
          <w:rFonts w:ascii="Arial Narrow" w:hAnsi="Arial Narrow" w:cs="Arial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14"/>
        <w:gridCol w:w="2127"/>
        <w:gridCol w:w="2268"/>
      </w:tblGrid>
      <w:tr w:rsidR="00B15F70" w:rsidRPr="00B0183D" w14:paraId="19C2F8B9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630F042" w14:textId="77777777" w:rsidR="00B15F70" w:rsidRPr="00235ED7" w:rsidRDefault="00B15F70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Rok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7E7E0B7C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iCs/>
                <w:color w:val="000000"/>
              </w:rPr>
              <w:t>2025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48B8962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iCs/>
                <w:color w:val="000000"/>
              </w:rPr>
              <w:t>2026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225FD3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iCs/>
                <w:color w:val="000000"/>
              </w:rPr>
              <w:t>2027</w:t>
            </w:r>
          </w:p>
        </w:tc>
      </w:tr>
      <w:tr w:rsidR="00B15F70" w:rsidRPr="00B0183D" w14:paraId="5E6BA51D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CC873A" w14:textId="77777777" w:rsidR="00B15F70" w:rsidRPr="00235ED7" w:rsidRDefault="00B15F70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Odmeny a príspevky (637 026)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2C6CBADA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-372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248FD8F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-930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3431EA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-1 488</w:t>
            </w:r>
          </w:p>
        </w:tc>
      </w:tr>
      <w:tr w:rsidR="00B15F70" w:rsidRPr="00B0183D" w14:paraId="3CB92E4A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2AA31D5" w14:textId="77777777" w:rsidR="00B15F70" w:rsidRPr="00235ED7" w:rsidRDefault="00B15F70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Poistné a príspevky do poisťovní (620)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3646B296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-134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13E0825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-334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CB639C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-535</w:t>
            </w:r>
          </w:p>
        </w:tc>
      </w:tr>
      <w:tr w:rsidR="00B15F70" w:rsidRPr="00B0183D" w14:paraId="5607C24E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731A5D3" w14:textId="77777777" w:rsidR="00B15F70" w:rsidRPr="00235ED7" w:rsidRDefault="00B15F70" w:rsidP="006B05B5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color w:val="000000"/>
              </w:rPr>
              <w:t>Zmeny spolu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36B35A6F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235ED7">
              <w:rPr>
                <w:rFonts w:ascii="Arial Narrow" w:hAnsi="Arial Narrow" w:cs="Arial"/>
                <w:b/>
                <w:color w:val="000000"/>
              </w:rPr>
              <w:t>-506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9A11271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235ED7">
              <w:rPr>
                <w:rFonts w:ascii="Arial Narrow" w:hAnsi="Arial Narrow" w:cs="Arial"/>
                <w:b/>
                <w:color w:val="000000"/>
              </w:rPr>
              <w:t>-1 264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4D42C8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235ED7">
              <w:rPr>
                <w:rFonts w:ascii="Arial Narrow" w:hAnsi="Arial Narrow" w:cs="Arial"/>
                <w:b/>
                <w:color w:val="000000"/>
              </w:rPr>
              <w:t>-2 023</w:t>
            </w:r>
          </w:p>
        </w:tc>
      </w:tr>
    </w:tbl>
    <w:p w14:paraId="02B60767" w14:textId="77777777" w:rsidR="00B15F70" w:rsidRPr="00235ED7" w:rsidRDefault="00B15F70" w:rsidP="00B15F70">
      <w:pPr>
        <w:jc w:val="both"/>
        <w:rPr>
          <w:rFonts w:ascii="Arial Narrow" w:hAnsi="Arial Narrow" w:cs="Arial"/>
          <w:b/>
          <w:bCs/>
        </w:rPr>
      </w:pPr>
    </w:p>
    <w:p w14:paraId="1C469E76" w14:textId="77777777" w:rsidR="00B15F70" w:rsidRPr="00235ED7" w:rsidRDefault="00B15F70" w:rsidP="00B15F70">
      <w:pPr>
        <w:jc w:val="both"/>
        <w:rPr>
          <w:rFonts w:ascii="Arial Narrow" w:hAnsi="Arial Narrow" w:cs="Arial"/>
        </w:rPr>
      </w:pPr>
      <w:r w:rsidRPr="00235ED7">
        <w:rPr>
          <w:rFonts w:ascii="Arial Narrow" w:hAnsi="Arial Narrow" w:cs="Arial"/>
        </w:rPr>
        <w:t>Po uskutočnených úpravách je návrh transferu zo štátneho rozpočtu z MF SR pre ÚPN na roky 2025 – 2027 (v eurách):</w:t>
      </w:r>
    </w:p>
    <w:p w14:paraId="5C39D681" w14:textId="77777777" w:rsidR="00B15F70" w:rsidRPr="00235ED7" w:rsidRDefault="00B15F70" w:rsidP="00B15F70">
      <w:pPr>
        <w:jc w:val="both"/>
        <w:rPr>
          <w:rFonts w:ascii="Arial Narrow" w:hAnsi="Arial Narrow" w:cs="Arial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14"/>
        <w:gridCol w:w="2127"/>
        <w:gridCol w:w="2268"/>
      </w:tblGrid>
      <w:tr w:rsidR="00B15F70" w:rsidRPr="00B0183D" w14:paraId="182CBA13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1E70834" w14:textId="77777777" w:rsidR="00B15F70" w:rsidRPr="00235ED7" w:rsidRDefault="00B15F70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Rok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0732779B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iCs/>
                <w:color w:val="000000"/>
              </w:rPr>
              <w:t>2025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6231814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iCs/>
                <w:color w:val="000000"/>
              </w:rPr>
              <w:t>2026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5F7587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iCs/>
                <w:color w:val="000000"/>
              </w:rPr>
              <w:t>2027</w:t>
            </w:r>
          </w:p>
        </w:tc>
      </w:tr>
      <w:tr w:rsidR="00B15F70" w:rsidRPr="00B0183D" w14:paraId="648299C7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6EB3276" w14:textId="77777777" w:rsidR="00B15F70" w:rsidRPr="00235ED7" w:rsidRDefault="00B15F70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Návrh transferu zo štátneho rozpočtu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07FB9E41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3 337 665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AF2DEBB" w14:textId="77777777" w:rsidR="00B15F70" w:rsidRPr="00235ED7" w:rsidRDefault="00B15F70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3 260 426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5791D6" w14:textId="77777777" w:rsidR="00B15F70" w:rsidRPr="003E4905" w:rsidRDefault="00B15F70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3 281 666</w:t>
            </w:r>
          </w:p>
        </w:tc>
      </w:tr>
    </w:tbl>
    <w:p w14:paraId="4CDF1700" w14:textId="77777777" w:rsidR="00F56917" w:rsidRPr="00235ED7" w:rsidRDefault="00F56917" w:rsidP="001D1FE6">
      <w:pPr>
        <w:jc w:val="both"/>
        <w:rPr>
          <w:rFonts w:ascii="Arial Narrow" w:hAnsi="Arial Narrow" w:cs="Arial"/>
        </w:rPr>
      </w:pPr>
    </w:p>
    <w:p w14:paraId="275C8F7E" w14:textId="77777777" w:rsidR="00B0183D" w:rsidRDefault="00B0183D" w:rsidP="00740761">
      <w:pPr>
        <w:jc w:val="both"/>
        <w:rPr>
          <w:rFonts w:ascii="Arial Narrow" w:hAnsi="Arial Narrow" w:cs="Arial"/>
          <w:b/>
          <w:caps/>
        </w:rPr>
      </w:pPr>
    </w:p>
    <w:p w14:paraId="5CFD8539" w14:textId="14E16E99" w:rsidR="00740761" w:rsidRPr="00B67E14" w:rsidRDefault="00740761" w:rsidP="00740761">
      <w:pPr>
        <w:jc w:val="both"/>
        <w:rPr>
          <w:rFonts w:ascii="Arial Narrow" w:hAnsi="Arial Narrow" w:cs="Arial"/>
          <w:b/>
          <w:caps/>
        </w:rPr>
      </w:pPr>
      <w:r w:rsidRPr="00B67E14">
        <w:rPr>
          <w:rFonts w:ascii="Arial Narrow" w:hAnsi="Arial Narrow" w:cs="Arial"/>
          <w:b/>
          <w:caps/>
        </w:rPr>
        <w:lastRenderedPageBreak/>
        <w:t>ROZPIS NÁvrhU LimitU TRANSFERU ZO ŠTÁTNEHO ROZPOČTU na roky 202</w:t>
      </w:r>
      <w:r w:rsidR="003038C4" w:rsidRPr="00B67E14">
        <w:rPr>
          <w:rFonts w:ascii="Arial Narrow" w:hAnsi="Arial Narrow" w:cs="Arial"/>
          <w:b/>
          <w:caps/>
        </w:rPr>
        <w:t>5</w:t>
      </w:r>
      <w:r w:rsidRPr="00B67E14">
        <w:rPr>
          <w:rFonts w:ascii="Arial Narrow" w:hAnsi="Arial Narrow" w:cs="Arial"/>
          <w:b/>
          <w:caps/>
        </w:rPr>
        <w:t xml:space="preserve"> – 202</w:t>
      </w:r>
      <w:r w:rsidR="003038C4" w:rsidRPr="00B67E14">
        <w:rPr>
          <w:rFonts w:ascii="Arial Narrow" w:hAnsi="Arial Narrow" w:cs="Arial"/>
          <w:b/>
          <w:caps/>
        </w:rPr>
        <w:t>7</w:t>
      </w:r>
    </w:p>
    <w:p w14:paraId="04ECD52B" w14:textId="77777777" w:rsidR="00740761" w:rsidRPr="00B67E14" w:rsidRDefault="00740761" w:rsidP="00740761">
      <w:pPr>
        <w:jc w:val="both"/>
        <w:rPr>
          <w:rFonts w:ascii="Arial Narrow" w:hAnsi="Arial Narrow" w:cs="Arial"/>
          <w:b/>
        </w:rPr>
      </w:pPr>
    </w:p>
    <w:p w14:paraId="6D3E01A7" w14:textId="4A72F28B" w:rsidR="00740761" w:rsidRPr="0099611F" w:rsidRDefault="00C2796A" w:rsidP="00740761">
      <w:pPr>
        <w:jc w:val="both"/>
        <w:rPr>
          <w:rFonts w:ascii="Arial Narrow" w:hAnsi="Arial Narrow" w:cs="Arial"/>
        </w:rPr>
      </w:pPr>
      <w:r w:rsidRPr="00B67E14">
        <w:rPr>
          <w:rFonts w:ascii="Arial Narrow" w:hAnsi="Arial Narrow" w:cs="Arial"/>
        </w:rPr>
        <w:t xml:space="preserve">Limit transferu </w:t>
      </w:r>
      <w:r w:rsidR="00C152CB">
        <w:rPr>
          <w:rFonts w:ascii="Arial Narrow" w:hAnsi="Arial Narrow" w:cs="Arial"/>
        </w:rPr>
        <w:t xml:space="preserve">zo štátneho rozpočtu </w:t>
      </w:r>
      <w:r w:rsidRPr="00B67E14">
        <w:rPr>
          <w:rFonts w:ascii="Arial Narrow" w:hAnsi="Arial Narrow" w:cs="Arial"/>
        </w:rPr>
        <w:t xml:space="preserve">oznámený listom </w:t>
      </w:r>
      <w:r w:rsidRPr="0099611F">
        <w:rPr>
          <w:rFonts w:ascii="Arial Narrow" w:hAnsi="Arial Narrow" w:cs="Arial"/>
        </w:rPr>
        <w:t xml:space="preserve">MF SR spolu s jednotlivými </w:t>
      </w:r>
      <w:r w:rsidR="00B67E14" w:rsidRPr="0099611F">
        <w:rPr>
          <w:rFonts w:ascii="Arial Narrow" w:hAnsi="Arial Narrow" w:cs="Arial"/>
        </w:rPr>
        <w:t>zv</w:t>
      </w:r>
      <w:r w:rsidRPr="0099611F">
        <w:rPr>
          <w:rFonts w:ascii="Arial Narrow" w:hAnsi="Arial Narrow" w:cs="Arial"/>
        </w:rPr>
        <w:t>ýšeniami limitov výdavkov ÚPN a úpravami na rok 202</w:t>
      </w:r>
      <w:r w:rsidR="00B67E14" w:rsidRPr="0099611F">
        <w:rPr>
          <w:rFonts w:ascii="Arial Narrow" w:hAnsi="Arial Narrow" w:cs="Arial"/>
        </w:rPr>
        <w:t>5</w:t>
      </w:r>
      <w:r w:rsidRPr="0099611F">
        <w:rPr>
          <w:rFonts w:ascii="Arial Narrow" w:hAnsi="Arial Narrow" w:cs="Arial"/>
        </w:rPr>
        <w:t xml:space="preserve"> – 202</w:t>
      </w:r>
      <w:r w:rsidR="00B67E14" w:rsidRPr="0099611F">
        <w:rPr>
          <w:rFonts w:ascii="Arial Narrow" w:hAnsi="Arial Narrow" w:cs="Arial"/>
        </w:rPr>
        <w:t>7</w:t>
      </w:r>
      <w:r w:rsidRPr="0099611F">
        <w:rPr>
          <w:rFonts w:ascii="Arial Narrow" w:hAnsi="Arial Narrow" w:cs="Arial"/>
        </w:rPr>
        <w:t xml:space="preserve"> </w:t>
      </w:r>
      <w:r w:rsidR="00B67E14" w:rsidRPr="0099611F">
        <w:rPr>
          <w:rFonts w:ascii="Arial Narrow" w:hAnsi="Arial Narrow" w:cs="Arial"/>
        </w:rPr>
        <w:t xml:space="preserve">bol </w:t>
      </w:r>
      <w:r w:rsidRPr="0099611F">
        <w:rPr>
          <w:rFonts w:ascii="Arial Narrow" w:hAnsi="Arial Narrow" w:cs="Arial"/>
        </w:rPr>
        <w:t>rozpísaný podľa hlavných kategórií ekonomickej klasifikácie nasledovne</w:t>
      </w:r>
      <w:r w:rsidR="001D1103">
        <w:rPr>
          <w:rFonts w:ascii="Arial Narrow" w:hAnsi="Arial Narrow" w:cs="Arial"/>
        </w:rPr>
        <w:t xml:space="preserve"> </w:t>
      </w:r>
      <w:r w:rsidR="001D1103" w:rsidRPr="001D1103">
        <w:rPr>
          <w:rFonts w:ascii="Arial Narrow" w:hAnsi="Arial Narrow" w:cs="Arial"/>
        </w:rPr>
        <w:t>(v eurách</w:t>
      </w:r>
      <w:r w:rsidR="001D1103">
        <w:rPr>
          <w:rFonts w:ascii="Arial Narrow" w:hAnsi="Arial Narrow" w:cs="Arial"/>
        </w:rPr>
        <w:t>)</w:t>
      </w:r>
      <w:r w:rsidRPr="0099611F">
        <w:rPr>
          <w:rFonts w:ascii="Arial Narrow" w:hAnsi="Arial Narrow" w:cs="Arial"/>
        </w:rPr>
        <w:t>:</w:t>
      </w:r>
    </w:p>
    <w:p w14:paraId="2ADEAAE8" w14:textId="45C6DD59" w:rsidR="00C2796A" w:rsidRDefault="00C2796A" w:rsidP="00740761">
      <w:pPr>
        <w:jc w:val="both"/>
        <w:rPr>
          <w:rFonts w:ascii="Arial Narrow" w:hAnsi="Arial Narrow" w:cs="Arial"/>
          <w:highlight w:val="yellow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14"/>
        <w:gridCol w:w="2127"/>
        <w:gridCol w:w="2268"/>
      </w:tblGrid>
      <w:tr w:rsidR="00AB186F" w:rsidRPr="00B0183D" w14:paraId="32EFC847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DA56D5" w14:textId="77777777" w:rsidR="00AB186F" w:rsidRPr="00235ED7" w:rsidRDefault="00AB186F" w:rsidP="006B05B5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color w:val="000000"/>
              </w:rPr>
              <w:t>Kategória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5F4215F3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iCs/>
                <w:color w:val="000000"/>
              </w:rPr>
              <w:t xml:space="preserve"> Rok 2025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550ECC3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iCs/>
                <w:color w:val="000000"/>
              </w:rPr>
              <w:t>Rok 2026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97B462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iCs/>
                <w:color w:val="000000"/>
              </w:rPr>
              <w:t>Rok 2027</w:t>
            </w:r>
          </w:p>
        </w:tc>
      </w:tr>
      <w:tr w:rsidR="00AB186F" w:rsidRPr="00B0183D" w14:paraId="05862107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3E319DF" w14:textId="77777777" w:rsidR="00AB186F" w:rsidRPr="00235ED7" w:rsidRDefault="00AB186F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Mzdy (610)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2A643DD4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1 544 601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2A4C23C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1 544 601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BC57EE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1 544 601</w:t>
            </w:r>
          </w:p>
        </w:tc>
      </w:tr>
      <w:tr w:rsidR="00AB186F" w:rsidRPr="00B0183D" w14:paraId="4E0C5E15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5ADBBAD" w14:textId="77777777" w:rsidR="00AB186F" w:rsidRPr="00235ED7" w:rsidRDefault="00AB186F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Poistné a príspevky do poisťovní (620)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75057CD0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670 623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E9234C4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676 752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FF311F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683 268</w:t>
            </w:r>
          </w:p>
        </w:tc>
      </w:tr>
      <w:tr w:rsidR="00AB186F" w:rsidRPr="00B0183D" w14:paraId="60CD11FD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B823427" w14:textId="77777777" w:rsidR="00AB186F" w:rsidRPr="00235ED7" w:rsidRDefault="00AB186F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Tovary a služby (630)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5D17A4EB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968 441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1EA2A9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985 073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531EB1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999 797</w:t>
            </w:r>
          </w:p>
        </w:tc>
      </w:tr>
      <w:tr w:rsidR="00AB186F" w:rsidRPr="00B0183D" w14:paraId="355A6D73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637FEC3" w14:textId="77777777" w:rsidR="00AB186F" w:rsidRPr="00235ED7" w:rsidRDefault="00AB186F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Bežné transfery (640)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1D354F3E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54 000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12DAD2E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54 000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598544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54 000</w:t>
            </w:r>
          </w:p>
        </w:tc>
      </w:tr>
      <w:tr w:rsidR="00AB186F" w:rsidRPr="00B0183D" w14:paraId="4570EE11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925B668" w14:textId="77777777" w:rsidR="00AB186F" w:rsidRPr="00235ED7" w:rsidRDefault="00AB186F" w:rsidP="006B05B5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color w:val="000000"/>
              </w:rPr>
              <w:t>Bežné výdavky spolu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66D3A79E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235ED7">
              <w:rPr>
                <w:rFonts w:ascii="Arial Narrow" w:hAnsi="Arial Narrow" w:cs="Arial"/>
                <w:b/>
                <w:color w:val="000000"/>
              </w:rPr>
              <w:t>3 237 665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0D2518E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235ED7">
              <w:rPr>
                <w:rFonts w:ascii="Arial Narrow" w:hAnsi="Arial Narrow" w:cs="Arial"/>
                <w:b/>
                <w:color w:val="000000"/>
              </w:rPr>
              <w:t>3 260 426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8FA9C5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235ED7">
              <w:rPr>
                <w:rFonts w:ascii="Arial Narrow" w:hAnsi="Arial Narrow" w:cs="Arial"/>
                <w:b/>
                <w:color w:val="000000"/>
              </w:rPr>
              <w:t>3 281 666</w:t>
            </w:r>
          </w:p>
        </w:tc>
      </w:tr>
      <w:tr w:rsidR="00AB186F" w:rsidRPr="00B0183D" w14:paraId="226850A3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869D3A0" w14:textId="77777777" w:rsidR="00AB186F" w:rsidRPr="00235ED7" w:rsidRDefault="00AB186F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Obstarávanie kapitálových aktív (710)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2EE8659C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100 000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48EEC43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0A90F9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0</w:t>
            </w:r>
          </w:p>
        </w:tc>
      </w:tr>
      <w:tr w:rsidR="00AB186F" w:rsidRPr="00B0183D" w14:paraId="1F73AD63" w14:textId="77777777" w:rsidTr="006B05B5">
        <w:trPr>
          <w:trHeight w:val="32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6EA4F30" w14:textId="77777777" w:rsidR="00AB186F" w:rsidRPr="00235ED7" w:rsidRDefault="00AB186F" w:rsidP="006B05B5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color w:val="000000"/>
              </w:rPr>
              <w:t>Kapitálové výdavky spolu</w:t>
            </w:r>
          </w:p>
        </w:tc>
        <w:tc>
          <w:tcPr>
            <w:tcW w:w="2414" w:type="dxa"/>
            <w:shd w:val="clear" w:color="auto" w:fill="auto"/>
            <w:noWrap/>
            <w:vAlign w:val="center"/>
            <w:hideMark/>
          </w:tcPr>
          <w:p w14:paraId="35ECB357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235ED7">
              <w:rPr>
                <w:rFonts w:ascii="Arial Narrow" w:hAnsi="Arial Narrow" w:cs="Arial"/>
                <w:b/>
                <w:color w:val="000000"/>
              </w:rPr>
              <w:t>100 000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4A8CE58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235ED7">
              <w:rPr>
                <w:rFonts w:ascii="Arial Narrow" w:hAnsi="Arial Narrow" w:cs="Arial"/>
                <w:b/>
                <w:color w:val="000000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00F995" w14:textId="77777777" w:rsidR="00AB186F" w:rsidRPr="00235ED7" w:rsidRDefault="00AB186F" w:rsidP="006B05B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235ED7">
              <w:rPr>
                <w:rFonts w:ascii="Arial Narrow" w:hAnsi="Arial Narrow" w:cs="Arial"/>
                <w:b/>
                <w:color w:val="000000"/>
              </w:rPr>
              <w:t>0</w:t>
            </w:r>
          </w:p>
        </w:tc>
      </w:tr>
      <w:tr w:rsidR="00AB186F" w:rsidRPr="00C412E5" w14:paraId="006FF756" w14:textId="77777777" w:rsidTr="006B05B5">
        <w:trPr>
          <w:trHeight w:val="3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63F1" w14:textId="77777777" w:rsidR="00AB186F" w:rsidRPr="00235ED7" w:rsidRDefault="00AB186F" w:rsidP="006B05B5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235ED7">
              <w:rPr>
                <w:rFonts w:ascii="Arial Narrow" w:hAnsi="Arial Narrow" w:cs="Arial"/>
                <w:b/>
                <w:bCs/>
                <w:color w:val="000000"/>
              </w:rPr>
              <w:t>Bežné a kapitálové výdavky spolu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D823" w14:textId="77777777" w:rsidR="00AB186F" w:rsidRPr="00235ED7" w:rsidRDefault="00AB186F" w:rsidP="006B05B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35ED7">
              <w:rPr>
                <w:rFonts w:ascii="Arial Narrow" w:hAnsi="Arial Narrow" w:cs="Arial"/>
                <w:b/>
                <w:color w:val="000000"/>
              </w:rPr>
              <w:t>3 337 665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A68" w14:textId="77777777" w:rsidR="00AB186F" w:rsidRPr="00235ED7" w:rsidRDefault="00AB186F" w:rsidP="006B05B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35ED7">
              <w:rPr>
                <w:rFonts w:ascii="Arial Narrow" w:hAnsi="Arial Narrow" w:cs="Arial"/>
                <w:b/>
                <w:color w:val="000000"/>
              </w:rPr>
              <w:t>3 260 426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B3DE" w14:textId="77777777" w:rsidR="00AB186F" w:rsidRPr="00C412E5" w:rsidRDefault="00AB186F" w:rsidP="006B05B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235ED7">
              <w:rPr>
                <w:rFonts w:ascii="Arial Narrow" w:hAnsi="Arial Narrow" w:cs="Arial"/>
                <w:b/>
                <w:color w:val="000000"/>
              </w:rPr>
              <w:t>3 281 666</w:t>
            </w:r>
          </w:p>
        </w:tc>
      </w:tr>
    </w:tbl>
    <w:p w14:paraId="79267319" w14:textId="77777777" w:rsidR="00AB186F" w:rsidRDefault="00AB186F" w:rsidP="00740761">
      <w:pPr>
        <w:jc w:val="both"/>
        <w:rPr>
          <w:rFonts w:ascii="Arial Narrow" w:hAnsi="Arial Narrow" w:cs="Arial"/>
          <w:highlight w:val="yellow"/>
        </w:rPr>
      </w:pPr>
    </w:p>
    <w:tbl>
      <w:tblPr>
        <w:tblW w:w="7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1"/>
        <w:gridCol w:w="1116"/>
      </w:tblGrid>
      <w:tr w:rsidR="009F6B16" w:rsidRPr="006D1723" w14:paraId="3848C91F" w14:textId="77777777" w:rsidTr="0002732D">
        <w:trPr>
          <w:trHeight w:val="312"/>
        </w:trPr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D65C" w14:textId="16387C6D" w:rsidR="009F6B16" w:rsidRPr="006D1723" w:rsidRDefault="009F6B16" w:rsidP="0002732D">
            <w:pPr>
              <w:rPr>
                <w:rFonts w:ascii="Arial Narrow" w:hAnsi="Arial Narrow" w:cs="Calibri"/>
                <w:color w:val="000000"/>
                <w:highlight w:val="yellow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E4563" w14:textId="4C394C69" w:rsidR="009F6B16" w:rsidRPr="006D1723" w:rsidRDefault="009F6B16" w:rsidP="00DD1FEE">
            <w:pPr>
              <w:jc w:val="right"/>
              <w:rPr>
                <w:rFonts w:ascii="Arial Narrow" w:hAnsi="Arial Narrow" w:cs="Calibri"/>
                <w:color w:val="000000"/>
                <w:highlight w:val="yellow"/>
              </w:rPr>
            </w:pPr>
          </w:p>
        </w:tc>
      </w:tr>
    </w:tbl>
    <w:p w14:paraId="2C904BF6" w14:textId="5DE3D501" w:rsidR="0002732D" w:rsidRPr="006A0E5B" w:rsidRDefault="0002732D" w:rsidP="0002732D">
      <w:pPr>
        <w:jc w:val="both"/>
        <w:rPr>
          <w:rFonts w:ascii="Arial Narrow" w:hAnsi="Arial Narrow" w:cs="Arial"/>
          <w:b/>
          <w:bCs/>
        </w:rPr>
      </w:pPr>
      <w:r w:rsidRPr="006A0E5B">
        <w:rPr>
          <w:rFonts w:ascii="Arial Narrow" w:hAnsi="Arial Narrow" w:cs="Arial"/>
          <w:b/>
          <w:bCs/>
        </w:rPr>
        <w:t>ROZPIS FINANČNÝCH PROSTRIEDKOV NÁVRHU LIMITU TRANSFERU ZO ŠTÁTNEHO ROZPOČTU NA ROK 202</w:t>
      </w:r>
      <w:r w:rsidR="006A0E5B" w:rsidRPr="006A0E5B">
        <w:rPr>
          <w:rFonts w:ascii="Arial Narrow" w:hAnsi="Arial Narrow" w:cs="Arial"/>
          <w:b/>
          <w:bCs/>
        </w:rPr>
        <w:t>5</w:t>
      </w:r>
    </w:p>
    <w:p w14:paraId="675FA846" w14:textId="77777777" w:rsidR="00AB186F" w:rsidRPr="00235ED7" w:rsidRDefault="00AB186F" w:rsidP="00AB186F">
      <w:pPr>
        <w:jc w:val="both"/>
        <w:rPr>
          <w:rFonts w:ascii="Arial Narrow" w:hAnsi="Arial Narrow" w:cs="Arial"/>
          <w:b/>
          <w:bCs/>
        </w:rPr>
      </w:pPr>
    </w:p>
    <w:p w14:paraId="6B9EFBF0" w14:textId="2D81CB44" w:rsidR="00AB186F" w:rsidRPr="00235ED7" w:rsidRDefault="00AB186F" w:rsidP="00AB186F">
      <w:pPr>
        <w:jc w:val="both"/>
        <w:rPr>
          <w:rFonts w:ascii="Arial Narrow" w:hAnsi="Arial Narrow" w:cs="Arial"/>
          <w:b/>
          <w:bCs/>
        </w:rPr>
      </w:pPr>
      <w:r w:rsidRPr="00235ED7">
        <w:rPr>
          <w:rFonts w:ascii="Arial Narrow" w:hAnsi="Arial Narrow" w:cs="Arial"/>
          <w:b/>
          <w:bCs/>
        </w:rPr>
        <w:t>Transfer zo štátneho rozpočtu celkom (v eurách)</w:t>
      </w:r>
      <w:r w:rsidRPr="00235ED7">
        <w:rPr>
          <w:rFonts w:ascii="Arial Narrow" w:hAnsi="Arial Narrow" w:cs="Arial"/>
          <w:b/>
          <w:bCs/>
        </w:rPr>
        <w:tab/>
      </w:r>
      <w:r w:rsidRPr="00235ED7">
        <w:rPr>
          <w:rFonts w:ascii="Arial Narrow" w:hAnsi="Arial Narrow" w:cs="Arial"/>
          <w:b/>
          <w:bCs/>
        </w:rPr>
        <w:tab/>
      </w:r>
      <w:r w:rsidRPr="00235ED7">
        <w:rPr>
          <w:rFonts w:ascii="Arial Narrow" w:hAnsi="Arial Narrow" w:cs="Arial"/>
          <w:b/>
          <w:bCs/>
        </w:rPr>
        <w:tab/>
      </w:r>
      <w:r w:rsidRPr="00235ED7">
        <w:rPr>
          <w:rFonts w:ascii="Arial Narrow" w:hAnsi="Arial Narrow" w:cs="Arial"/>
          <w:b/>
          <w:color w:val="000000"/>
        </w:rPr>
        <w:t>3 337 665</w:t>
      </w:r>
    </w:p>
    <w:p w14:paraId="4D341B3A" w14:textId="77777777" w:rsidR="00AB186F" w:rsidRPr="00235ED7" w:rsidRDefault="00AB186F" w:rsidP="00AB186F">
      <w:pPr>
        <w:jc w:val="both"/>
        <w:rPr>
          <w:rFonts w:ascii="Arial Narrow" w:hAnsi="Arial Narrow" w:cs="Arial"/>
          <w:b/>
          <w:bCs/>
        </w:rPr>
      </w:pPr>
    </w:p>
    <w:p w14:paraId="63054F6B" w14:textId="77777777" w:rsidR="00AB186F" w:rsidRPr="00235ED7" w:rsidRDefault="00AB186F" w:rsidP="00AB186F">
      <w:pPr>
        <w:jc w:val="both"/>
        <w:rPr>
          <w:rFonts w:ascii="Arial Narrow" w:hAnsi="Arial Narrow" w:cs="Arial"/>
          <w:b/>
          <w:bCs/>
        </w:rPr>
      </w:pPr>
      <w:r w:rsidRPr="00235ED7">
        <w:rPr>
          <w:rFonts w:ascii="Arial Narrow" w:hAnsi="Arial Narrow" w:cs="Arial"/>
          <w:b/>
          <w:bCs/>
        </w:rPr>
        <w:t>Bežné výdavky celkom</w:t>
      </w:r>
      <w:r w:rsidRPr="00235ED7">
        <w:rPr>
          <w:rFonts w:ascii="Arial Narrow" w:hAnsi="Arial Narrow" w:cs="Arial"/>
          <w:b/>
          <w:bCs/>
        </w:rPr>
        <w:tab/>
      </w:r>
      <w:r w:rsidRPr="00235ED7">
        <w:rPr>
          <w:rFonts w:ascii="Arial Narrow" w:hAnsi="Arial Narrow" w:cs="Arial"/>
          <w:b/>
          <w:bCs/>
        </w:rPr>
        <w:tab/>
      </w:r>
      <w:r w:rsidRPr="00235ED7">
        <w:rPr>
          <w:rFonts w:ascii="Arial Narrow" w:hAnsi="Arial Narrow" w:cs="Arial"/>
          <w:b/>
          <w:bCs/>
        </w:rPr>
        <w:tab/>
      </w:r>
      <w:r w:rsidRPr="00235ED7">
        <w:rPr>
          <w:rFonts w:ascii="Arial Narrow" w:hAnsi="Arial Narrow" w:cs="Arial"/>
          <w:b/>
          <w:bCs/>
        </w:rPr>
        <w:tab/>
      </w:r>
      <w:r w:rsidRPr="00235ED7">
        <w:rPr>
          <w:rFonts w:ascii="Arial Narrow" w:hAnsi="Arial Narrow" w:cs="Arial"/>
          <w:b/>
          <w:bCs/>
        </w:rPr>
        <w:tab/>
      </w:r>
      <w:r w:rsidRPr="00235ED7">
        <w:rPr>
          <w:rFonts w:ascii="Arial Narrow" w:hAnsi="Arial Narrow" w:cs="Arial"/>
          <w:b/>
          <w:bCs/>
        </w:rPr>
        <w:tab/>
      </w:r>
      <w:r w:rsidRPr="00235ED7">
        <w:rPr>
          <w:rFonts w:ascii="Arial Narrow" w:hAnsi="Arial Narrow" w:cs="Arial"/>
          <w:b/>
          <w:color w:val="000000"/>
        </w:rPr>
        <w:t>3 237 665</w:t>
      </w:r>
    </w:p>
    <w:p w14:paraId="5DC4A36C" w14:textId="77777777" w:rsidR="00AB186F" w:rsidRPr="00235ED7" w:rsidRDefault="00AB186F" w:rsidP="00AB186F">
      <w:pPr>
        <w:jc w:val="both"/>
        <w:rPr>
          <w:rFonts w:ascii="Arial Narrow" w:hAnsi="Arial Narrow" w:cs="Arial"/>
        </w:rPr>
      </w:pPr>
      <w:r w:rsidRPr="00235ED7">
        <w:rPr>
          <w:rFonts w:ascii="Arial Narrow" w:hAnsi="Arial Narrow" w:cs="Arial"/>
        </w:rPr>
        <w:t xml:space="preserve">     v tom:</w:t>
      </w:r>
    </w:p>
    <w:p w14:paraId="5BBE411F" w14:textId="77777777" w:rsidR="00AB186F" w:rsidRPr="00235ED7" w:rsidRDefault="00AB186F" w:rsidP="00AB186F">
      <w:pPr>
        <w:jc w:val="both"/>
        <w:rPr>
          <w:rFonts w:ascii="Arial Narrow" w:hAnsi="Arial Narrow" w:cs="Arial"/>
          <w:b/>
        </w:rPr>
      </w:pPr>
      <w:r w:rsidRPr="00235ED7">
        <w:rPr>
          <w:rFonts w:ascii="Arial Narrow" w:hAnsi="Arial Narrow" w:cs="Arial"/>
          <w:b/>
        </w:rPr>
        <w:t xml:space="preserve">     Mzdové prostriedky (610)</w:t>
      </w:r>
      <w:r w:rsidRPr="00235ED7">
        <w:rPr>
          <w:rFonts w:ascii="Arial Narrow" w:hAnsi="Arial Narrow" w:cs="Arial"/>
          <w:b/>
        </w:rPr>
        <w:tab/>
      </w:r>
      <w:r w:rsidRPr="00235ED7">
        <w:rPr>
          <w:rFonts w:ascii="Arial Narrow" w:hAnsi="Arial Narrow" w:cs="Arial"/>
          <w:b/>
        </w:rPr>
        <w:tab/>
      </w:r>
      <w:r w:rsidRPr="00235ED7">
        <w:rPr>
          <w:rFonts w:ascii="Arial Narrow" w:hAnsi="Arial Narrow" w:cs="Arial"/>
          <w:b/>
        </w:rPr>
        <w:tab/>
      </w:r>
      <w:r w:rsidRPr="00235ED7">
        <w:rPr>
          <w:rFonts w:ascii="Arial Narrow" w:hAnsi="Arial Narrow" w:cs="Arial"/>
          <w:b/>
        </w:rPr>
        <w:tab/>
      </w:r>
      <w:r w:rsidRPr="00235ED7">
        <w:rPr>
          <w:rFonts w:ascii="Arial Narrow" w:hAnsi="Arial Narrow" w:cs="Arial"/>
          <w:b/>
        </w:rPr>
        <w:tab/>
        <w:t xml:space="preserve">            1 544 601</w:t>
      </w:r>
    </w:p>
    <w:p w14:paraId="2CD528C4" w14:textId="77777777" w:rsidR="00AB186F" w:rsidRPr="00235ED7" w:rsidRDefault="00AB186F" w:rsidP="00AB186F">
      <w:pPr>
        <w:jc w:val="both"/>
        <w:rPr>
          <w:rFonts w:ascii="Arial Narrow" w:hAnsi="Arial Narrow" w:cs="Arial"/>
        </w:rPr>
      </w:pPr>
      <w:r w:rsidRPr="00235ED7">
        <w:rPr>
          <w:rFonts w:ascii="Arial Narrow" w:hAnsi="Arial Narrow" w:cs="Arial"/>
        </w:rPr>
        <w:t xml:space="preserve">          v tom:</w:t>
      </w:r>
      <w:r w:rsidRPr="00235ED7">
        <w:rPr>
          <w:rFonts w:ascii="Arial Narrow" w:hAnsi="Arial Narrow" w:cs="Arial"/>
        </w:rPr>
        <w:tab/>
      </w:r>
    </w:p>
    <w:tbl>
      <w:tblPr>
        <w:tblW w:w="7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46"/>
        <w:gridCol w:w="146"/>
        <w:gridCol w:w="1116"/>
      </w:tblGrid>
      <w:tr w:rsidR="00AB186F" w:rsidRPr="00B0183D" w14:paraId="590CE349" w14:textId="77777777" w:rsidTr="006B05B5">
        <w:trPr>
          <w:trHeight w:val="312"/>
        </w:trPr>
        <w:tc>
          <w:tcPr>
            <w:tcW w:w="6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AD44" w14:textId="77777777" w:rsidR="00AB186F" w:rsidRPr="00235ED7" w:rsidRDefault="00AB186F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Calibri"/>
                <w:color w:val="000000"/>
              </w:rPr>
              <w:t xml:space="preserve">         mzdy zamestnancov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B6D0" w14:textId="77777777" w:rsidR="00AB186F" w:rsidRPr="00235ED7" w:rsidRDefault="00AB186F" w:rsidP="006B05B5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0A60" w14:textId="77777777" w:rsidR="00AB186F" w:rsidRPr="00235ED7" w:rsidRDefault="00AB186F" w:rsidP="006B05B5">
            <w:pPr>
              <w:ind w:left="154" w:hanging="142"/>
              <w:jc w:val="right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Calibri"/>
                <w:color w:val="000000"/>
              </w:rPr>
              <w:t xml:space="preserve"> 1 544 601</w:t>
            </w:r>
          </w:p>
        </w:tc>
      </w:tr>
      <w:tr w:rsidR="00AB186F" w:rsidRPr="00B0183D" w14:paraId="0F70A98C" w14:textId="77777777" w:rsidTr="006B05B5">
        <w:trPr>
          <w:trHeight w:val="312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3C43" w14:textId="77777777" w:rsidR="00AB186F" w:rsidRPr="00235ED7" w:rsidRDefault="00AB186F" w:rsidP="006B05B5">
            <w:pPr>
              <w:rPr>
                <w:rFonts w:ascii="Arial Narrow" w:hAnsi="Arial Narrow" w:cs="Calibri"/>
                <w:b/>
                <w:color w:val="000000"/>
              </w:rPr>
            </w:pPr>
            <w:r w:rsidRPr="00235ED7">
              <w:rPr>
                <w:rFonts w:ascii="Arial Narrow" w:hAnsi="Arial Narrow" w:cs="Calibri"/>
                <w:b/>
                <w:color w:val="000000"/>
              </w:rPr>
              <w:t xml:space="preserve">    Poistné a príspevky do poisťovní (620)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C0E3" w14:textId="77777777" w:rsidR="00AB186F" w:rsidRPr="00235ED7" w:rsidRDefault="00AB186F" w:rsidP="006B05B5">
            <w:pPr>
              <w:jc w:val="right"/>
              <w:rPr>
                <w:rFonts w:ascii="Arial Narrow" w:hAnsi="Arial Narrow" w:cs="Calibri"/>
                <w:b/>
                <w:color w:val="000000"/>
              </w:rPr>
            </w:pPr>
            <w:r w:rsidRPr="00235ED7">
              <w:rPr>
                <w:rFonts w:ascii="Arial Narrow" w:hAnsi="Arial Narrow" w:cs="Calibri"/>
                <w:b/>
                <w:color w:val="000000"/>
              </w:rPr>
              <w:t>670 623</w:t>
            </w:r>
          </w:p>
        </w:tc>
      </w:tr>
      <w:tr w:rsidR="00AB186F" w:rsidRPr="00B0183D" w14:paraId="1E156913" w14:textId="77777777" w:rsidTr="006B05B5">
        <w:trPr>
          <w:trHeight w:val="312"/>
        </w:trPr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149B" w14:textId="77777777" w:rsidR="00AB186F" w:rsidRPr="00235ED7" w:rsidRDefault="00AB186F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Calibri"/>
                <w:color w:val="000000"/>
              </w:rPr>
              <w:t xml:space="preserve">         v tom: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79B7" w14:textId="77777777" w:rsidR="00AB186F" w:rsidRPr="00235ED7" w:rsidRDefault="00AB186F" w:rsidP="006B05B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19D" w14:textId="77777777" w:rsidR="00AB186F" w:rsidRPr="00235ED7" w:rsidRDefault="00AB186F" w:rsidP="006B05B5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FF99" w14:textId="77777777" w:rsidR="00AB186F" w:rsidRPr="00235ED7" w:rsidRDefault="00AB186F" w:rsidP="006B05B5">
            <w:pPr>
              <w:rPr>
                <w:sz w:val="20"/>
                <w:szCs w:val="20"/>
              </w:rPr>
            </w:pPr>
          </w:p>
        </w:tc>
      </w:tr>
      <w:tr w:rsidR="00AB186F" w:rsidRPr="00B0183D" w14:paraId="33630C10" w14:textId="77777777" w:rsidTr="006B05B5">
        <w:trPr>
          <w:trHeight w:val="312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C53C" w14:textId="77777777" w:rsidR="00AB186F" w:rsidRPr="00235ED7" w:rsidRDefault="00AB186F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Calibri"/>
                <w:color w:val="000000"/>
              </w:rPr>
              <w:t xml:space="preserve">         odvody do zdravotných poisťovní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65A5" w14:textId="77777777" w:rsidR="00AB186F" w:rsidRPr="00235ED7" w:rsidRDefault="00AB186F" w:rsidP="006B05B5">
            <w:pPr>
              <w:jc w:val="right"/>
              <w:rPr>
                <w:rFonts w:ascii="Arial Narrow" w:hAnsi="Arial Narrow" w:cs="Calibri"/>
              </w:rPr>
            </w:pPr>
            <w:r w:rsidRPr="00235ED7">
              <w:rPr>
                <w:rFonts w:ascii="Arial Narrow" w:hAnsi="Arial Narrow" w:cs="Calibri"/>
              </w:rPr>
              <w:t>213 838</w:t>
            </w:r>
          </w:p>
        </w:tc>
      </w:tr>
      <w:tr w:rsidR="00AB186F" w:rsidRPr="00B0183D" w14:paraId="3508AA03" w14:textId="77777777" w:rsidTr="006B05B5">
        <w:trPr>
          <w:trHeight w:val="312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8039" w14:textId="77777777" w:rsidR="00AB186F" w:rsidRPr="00235ED7" w:rsidRDefault="00AB186F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Calibri"/>
                <w:color w:val="000000"/>
              </w:rPr>
              <w:t xml:space="preserve">         odvody do Sociálnej poisťovne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16AD" w14:textId="77777777" w:rsidR="00AB186F" w:rsidRPr="00235ED7" w:rsidRDefault="00AB186F" w:rsidP="006B05B5">
            <w:pPr>
              <w:jc w:val="right"/>
              <w:rPr>
                <w:rFonts w:ascii="Arial Narrow" w:hAnsi="Arial Narrow" w:cs="Calibri"/>
              </w:rPr>
            </w:pPr>
            <w:r w:rsidRPr="00235ED7">
              <w:rPr>
                <w:rFonts w:ascii="Arial Narrow" w:hAnsi="Arial Narrow" w:cs="Calibri"/>
              </w:rPr>
              <w:t>456 785</w:t>
            </w:r>
          </w:p>
        </w:tc>
      </w:tr>
      <w:tr w:rsidR="00AB186F" w:rsidRPr="00B0183D" w14:paraId="18564154" w14:textId="77777777" w:rsidTr="006B05B5">
        <w:trPr>
          <w:trHeight w:val="660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13A7" w14:textId="77777777" w:rsidR="00AB186F" w:rsidRPr="00235ED7" w:rsidRDefault="00AB186F" w:rsidP="006B05B5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Calibri"/>
                <w:color w:val="000000"/>
              </w:rPr>
              <w:t xml:space="preserve">         odvody do Doplnkových dôchodkových poisťovní (III. pilier)                     </w:t>
            </w:r>
          </w:p>
          <w:p w14:paraId="4851A9FC" w14:textId="77777777" w:rsidR="00AB186F" w:rsidRPr="00235ED7" w:rsidRDefault="00AB186F" w:rsidP="006B05B5">
            <w:pPr>
              <w:rPr>
                <w:rFonts w:ascii="Arial Narrow" w:hAnsi="Arial Narrow" w:cs="Calibri"/>
                <w:b/>
                <w:color w:val="000000"/>
              </w:rPr>
            </w:pPr>
            <w:r w:rsidRPr="00235ED7">
              <w:rPr>
                <w:rFonts w:ascii="Arial Narrow" w:hAnsi="Arial Narrow" w:cs="Calibri"/>
                <w:color w:val="000000"/>
              </w:rPr>
              <w:t xml:space="preserve">    </w:t>
            </w:r>
            <w:r w:rsidRPr="00235ED7">
              <w:rPr>
                <w:rFonts w:ascii="Arial Narrow" w:hAnsi="Arial Narrow" w:cs="Calibri"/>
                <w:b/>
                <w:color w:val="000000"/>
              </w:rPr>
              <w:t xml:space="preserve">Tovary a služby (630)                                      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30AD9" w14:textId="77777777" w:rsidR="00AB186F" w:rsidRPr="00235ED7" w:rsidRDefault="00AB186F" w:rsidP="006B05B5">
            <w:pPr>
              <w:widowControl w:val="0"/>
              <w:jc w:val="right"/>
              <w:rPr>
                <w:rFonts w:ascii="Arial Narrow" w:hAnsi="Arial Narrow" w:cs="Arial"/>
                <w:color w:val="000000"/>
              </w:rPr>
            </w:pPr>
            <w:r w:rsidRPr="00235ED7">
              <w:rPr>
                <w:rFonts w:ascii="Arial Narrow" w:hAnsi="Arial Narrow" w:cs="Arial"/>
                <w:color w:val="000000"/>
              </w:rPr>
              <w:t>0</w:t>
            </w:r>
          </w:p>
          <w:p w14:paraId="29F43306" w14:textId="77777777" w:rsidR="00AB186F" w:rsidRPr="00235ED7" w:rsidRDefault="00AB186F" w:rsidP="006B05B5">
            <w:pPr>
              <w:widowControl w:val="0"/>
              <w:jc w:val="right"/>
              <w:rPr>
                <w:rFonts w:ascii="Arial Narrow" w:hAnsi="Arial Narrow" w:cs="Calibri"/>
                <w:b/>
                <w:color w:val="000000"/>
              </w:rPr>
            </w:pPr>
            <w:r w:rsidRPr="00235ED7">
              <w:rPr>
                <w:rFonts w:ascii="Arial Narrow" w:hAnsi="Arial Narrow" w:cs="Arial"/>
                <w:b/>
                <w:color w:val="000000"/>
              </w:rPr>
              <w:t>968 441</w:t>
            </w:r>
          </w:p>
        </w:tc>
      </w:tr>
      <w:tr w:rsidR="00AB186F" w:rsidRPr="00B0183D" w14:paraId="01CFB74B" w14:textId="77777777" w:rsidTr="006B05B5">
        <w:trPr>
          <w:trHeight w:val="312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E651" w14:textId="77777777" w:rsidR="00AB186F" w:rsidRPr="00235ED7" w:rsidRDefault="00AB186F" w:rsidP="006B05B5">
            <w:pPr>
              <w:rPr>
                <w:rFonts w:ascii="Arial Narrow" w:hAnsi="Arial Narrow" w:cs="Calibri"/>
                <w:color w:val="000000"/>
              </w:rPr>
            </w:pPr>
            <w:r w:rsidRPr="00235ED7">
              <w:rPr>
                <w:rFonts w:ascii="Arial Narrow" w:hAnsi="Arial Narrow" w:cs="Calibri"/>
                <w:color w:val="000000"/>
              </w:rPr>
              <w:t xml:space="preserve">         v tom: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911B" w14:textId="77777777" w:rsidR="00AB186F" w:rsidRPr="00235ED7" w:rsidRDefault="00AB186F" w:rsidP="006B05B5">
            <w:pPr>
              <w:jc w:val="right"/>
              <w:rPr>
                <w:rFonts w:ascii="Arial Narrow" w:hAnsi="Arial Narrow" w:cs="Calibri"/>
                <w:color w:val="000000"/>
              </w:rPr>
            </w:pPr>
          </w:p>
        </w:tc>
      </w:tr>
      <w:tr w:rsidR="00AB186F" w:rsidRPr="00B0183D" w14:paraId="7D6412FF" w14:textId="77777777" w:rsidTr="006B05B5">
        <w:trPr>
          <w:trHeight w:val="312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5CBD" w14:textId="77777777" w:rsidR="00AB186F" w:rsidRPr="00235ED7" w:rsidRDefault="00AB186F" w:rsidP="006B05B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35ED7">
              <w:rPr>
                <w:rFonts w:ascii="Arial Narrow" w:hAnsi="Arial Narrow" w:cs="Calibri"/>
                <w:color w:val="000000"/>
              </w:rPr>
              <w:t xml:space="preserve">         odmeny členom správnej a dozornej rady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83BF" w14:textId="77777777" w:rsidR="00AB186F" w:rsidRPr="00235ED7" w:rsidRDefault="00AB186F" w:rsidP="006B05B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35ED7">
              <w:rPr>
                <w:rFonts w:ascii="Arial Narrow" w:hAnsi="Arial Narrow" w:cs="Calibri"/>
                <w:color w:val="000000"/>
              </w:rPr>
              <w:t xml:space="preserve">    284 208</w:t>
            </w:r>
          </w:p>
        </w:tc>
      </w:tr>
      <w:tr w:rsidR="0002732D" w:rsidRPr="00CA18BD" w14:paraId="025A9D9D" w14:textId="77777777" w:rsidTr="00905850">
        <w:trPr>
          <w:trHeight w:val="312"/>
        </w:trPr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54D3" w14:textId="6C9F8A25" w:rsidR="0002732D" w:rsidRDefault="0002732D" w:rsidP="00C724D9">
            <w:pPr>
              <w:rPr>
                <w:rFonts w:ascii="Arial Narrow" w:hAnsi="Arial Narrow" w:cs="Calibri"/>
                <w:b/>
                <w:color w:val="000000"/>
              </w:rPr>
            </w:pPr>
            <w:r w:rsidRPr="00654F0F">
              <w:rPr>
                <w:rFonts w:ascii="Arial Narrow" w:hAnsi="Arial Narrow" w:cs="Calibri"/>
                <w:b/>
                <w:color w:val="000000"/>
              </w:rPr>
              <w:t xml:space="preserve">    </w:t>
            </w:r>
            <w:r w:rsidR="00C724D9">
              <w:rPr>
                <w:rFonts w:ascii="Arial Narrow" w:hAnsi="Arial Narrow" w:cs="Calibri"/>
                <w:b/>
                <w:color w:val="000000"/>
              </w:rPr>
              <w:t>Bežné t</w:t>
            </w:r>
            <w:r w:rsidRPr="00CA18BD">
              <w:rPr>
                <w:rFonts w:ascii="Arial Narrow" w:hAnsi="Arial Narrow" w:cs="Calibri"/>
                <w:b/>
                <w:color w:val="000000"/>
              </w:rPr>
              <w:t>ransfery</w:t>
            </w:r>
            <w:r w:rsidR="00C724D9">
              <w:rPr>
                <w:rFonts w:ascii="Arial Narrow" w:hAnsi="Arial Narrow" w:cs="Calibri"/>
                <w:b/>
                <w:color w:val="000000"/>
              </w:rPr>
              <w:t xml:space="preserve"> </w:t>
            </w:r>
            <w:r w:rsidRPr="00CA18BD">
              <w:rPr>
                <w:rFonts w:ascii="Arial Narrow" w:hAnsi="Arial Narrow" w:cs="Calibri"/>
                <w:b/>
                <w:color w:val="000000"/>
              </w:rPr>
              <w:t>(64</w:t>
            </w:r>
            <w:r w:rsidR="00C724D9">
              <w:rPr>
                <w:rFonts w:ascii="Arial Narrow" w:hAnsi="Arial Narrow" w:cs="Calibri"/>
                <w:b/>
                <w:color w:val="000000"/>
              </w:rPr>
              <w:t>0</w:t>
            </w:r>
            <w:r w:rsidRPr="00CA18BD">
              <w:rPr>
                <w:rFonts w:ascii="Arial Narrow" w:hAnsi="Arial Narrow" w:cs="Calibri"/>
                <w:b/>
                <w:color w:val="000000"/>
              </w:rPr>
              <w:t>)</w:t>
            </w:r>
          </w:p>
          <w:p w14:paraId="58E9DFBE" w14:textId="77777777" w:rsidR="008B6C32" w:rsidRDefault="008B6C32" w:rsidP="008B6C32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 xml:space="preserve">         </w:t>
            </w:r>
            <w:r w:rsidRPr="00654F0F">
              <w:rPr>
                <w:rFonts w:ascii="Arial Narrow" w:hAnsi="Arial Narrow" w:cs="Calibri"/>
                <w:color w:val="000000"/>
              </w:rPr>
              <w:t>v tom:</w:t>
            </w:r>
          </w:p>
          <w:p w14:paraId="3162FB45" w14:textId="7C4C1351" w:rsidR="008B6C32" w:rsidRPr="00CA18BD" w:rsidRDefault="008B6C32" w:rsidP="008B6C32">
            <w:pPr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         transfery jednotlivcom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8730" w14:textId="7868F09F" w:rsidR="0002732D" w:rsidRDefault="0002732D" w:rsidP="00905850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CA18BD">
              <w:rPr>
                <w:rFonts w:ascii="Arial Narrow" w:hAnsi="Arial Narrow" w:cs="Arial"/>
                <w:color w:val="000000"/>
              </w:rPr>
              <w:t xml:space="preserve">     </w:t>
            </w:r>
            <w:r w:rsidR="00654F0F" w:rsidRPr="00CA18BD">
              <w:rPr>
                <w:rFonts w:ascii="Arial Narrow" w:hAnsi="Arial Narrow" w:cs="Arial"/>
                <w:b/>
                <w:color w:val="000000"/>
              </w:rPr>
              <w:t>54</w:t>
            </w:r>
            <w:r w:rsidR="008B6C32">
              <w:rPr>
                <w:rFonts w:ascii="Arial Narrow" w:hAnsi="Arial Narrow" w:cs="Arial"/>
                <w:b/>
                <w:color w:val="000000"/>
              </w:rPr>
              <w:t> </w:t>
            </w:r>
            <w:r w:rsidR="00654F0F" w:rsidRPr="00CA18BD">
              <w:rPr>
                <w:rFonts w:ascii="Arial Narrow" w:hAnsi="Arial Narrow" w:cs="Arial"/>
                <w:b/>
                <w:color w:val="000000"/>
              </w:rPr>
              <w:t>000</w:t>
            </w:r>
          </w:p>
          <w:p w14:paraId="511B46C1" w14:textId="77777777" w:rsidR="008B6C32" w:rsidRDefault="008B6C32" w:rsidP="00905850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8B6C32">
              <w:rPr>
                <w:rFonts w:ascii="Arial Narrow" w:hAnsi="Arial Narrow" w:cs="Arial"/>
                <w:color w:val="000000"/>
              </w:rPr>
              <w:t xml:space="preserve">    </w:t>
            </w:r>
          </w:p>
          <w:p w14:paraId="3D4E5D35" w14:textId="5E14C569" w:rsidR="008B6C32" w:rsidRPr="008B6C32" w:rsidRDefault="008B6C32" w:rsidP="00905850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    </w:t>
            </w:r>
            <w:r w:rsidRPr="008B6C32">
              <w:rPr>
                <w:rFonts w:ascii="Arial Narrow" w:hAnsi="Arial Narrow" w:cs="Arial"/>
                <w:color w:val="000000"/>
              </w:rPr>
              <w:t>54 000</w:t>
            </w:r>
          </w:p>
        </w:tc>
      </w:tr>
    </w:tbl>
    <w:p w14:paraId="232DEE76" w14:textId="77777777" w:rsidR="000F3CC9" w:rsidRDefault="000F3CC9" w:rsidP="001D1FE6">
      <w:pPr>
        <w:jc w:val="both"/>
        <w:rPr>
          <w:rFonts w:ascii="Arial Narrow" w:hAnsi="Arial Narrow" w:cs="Arial"/>
          <w:b/>
          <w:bCs/>
        </w:rPr>
      </w:pPr>
    </w:p>
    <w:p w14:paraId="7690094E" w14:textId="3E6AD303" w:rsidR="009F6B16" w:rsidRPr="00CA18BD" w:rsidRDefault="00B01D87" w:rsidP="001D1FE6">
      <w:pPr>
        <w:jc w:val="both"/>
        <w:rPr>
          <w:rFonts w:ascii="Arial Narrow" w:hAnsi="Arial Narrow" w:cs="Arial"/>
        </w:rPr>
      </w:pPr>
      <w:r w:rsidRPr="00CA18BD">
        <w:rPr>
          <w:rFonts w:ascii="Arial Narrow" w:hAnsi="Arial Narrow" w:cs="Arial"/>
          <w:b/>
          <w:bCs/>
        </w:rPr>
        <w:t>Kapitálové výdavky celkom                                                                       100 000</w:t>
      </w:r>
    </w:p>
    <w:p w14:paraId="26372D83" w14:textId="5E2A6033" w:rsidR="007C2B54" w:rsidRPr="00CA18BD" w:rsidRDefault="00CA18BD">
      <w:pPr>
        <w:jc w:val="both"/>
        <w:rPr>
          <w:rFonts w:ascii="Arial Narrow" w:hAnsi="Arial Narrow" w:cs="Arial"/>
        </w:rPr>
      </w:pPr>
      <w:r w:rsidRPr="00CA18BD">
        <w:rPr>
          <w:rFonts w:ascii="Arial Narrow" w:hAnsi="Arial Narrow" w:cs="Arial"/>
        </w:rPr>
        <w:t xml:space="preserve">     v tom:</w:t>
      </w:r>
    </w:p>
    <w:p w14:paraId="64A44A09" w14:textId="026C232A" w:rsidR="00CA18BD" w:rsidRDefault="00CA18BD">
      <w:pPr>
        <w:jc w:val="both"/>
        <w:rPr>
          <w:rFonts w:ascii="Arial Narrow" w:hAnsi="Arial Narrow" w:cs="Arial"/>
        </w:rPr>
      </w:pPr>
      <w:r w:rsidRPr="00CA18BD">
        <w:rPr>
          <w:rFonts w:ascii="Arial Narrow" w:hAnsi="Arial Narrow" w:cs="Arial"/>
        </w:rPr>
        <w:t xml:space="preserve">     </w:t>
      </w:r>
      <w:r w:rsidRPr="00CA18BD">
        <w:rPr>
          <w:rFonts w:ascii="Arial Narrow" w:hAnsi="Arial Narrow" w:cs="Arial"/>
          <w:b/>
          <w:bCs/>
        </w:rPr>
        <w:t>Obstarávanie kapitálových aktív (71</w:t>
      </w:r>
      <w:r>
        <w:rPr>
          <w:rFonts w:ascii="Arial Narrow" w:hAnsi="Arial Narrow" w:cs="Arial"/>
          <w:b/>
          <w:bCs/>
        </w:rPr>
        <w:t>0</w:t>
      </w:r>
      <w:r w:rsidRPr="00CA18BD">
        <w:rPr>
          <w:rFonts w:ascii="Arial Narrow" w:hAnsi="Arial Narrow" w:cs="Arial"/>
          <w:b/>
          <w:bCs/>
        </w:rPr>
        <w:t>)</w:t>
      </w:r>
      <w:r>
        <w:rPr>
          <w:rFonts w:ascii="Arial Narrow" w:hAnsi="Arial Narrow" w:cs="Arial"/>
          <w:b/>
          <w:bCs/>
        </w:rPr>
        <w:t xml:space="preserve">                                                 100</w:t>
      </w:r>
      <w:r w:rsidR="004D6C43">
        <w:rPr>
          <w:rFonts w:ascii="Arial Narrow" w:hAnsi="Arial Narrow" w:cs="Arial"/>
          <w:b/>
          <w:bCs/>
        </w:rPr>
        <w:t> </w:t>
      </w:r>
      <w:r>
        <w:rPr>
          <w:rFonts w:ascii="Arial Narrow" w:hAnsi="Arial Narrow" w:cs="Arial"/>
          <w:b/>
          <w:bCs/>
        </w:rPr>
        <w:t>000</w:t>
      </w:r>
    </w:p>
    <w:p w14:paraId="0A7C9FC9" w14:textId="1E880E96" w:rsidR="00322543" w:rsidRDefault="00322543">
      <w:pPr>
        <w:jc w:val="both"/>
        <w:rPr>
          <w:rFonts w:ascii="Arial Narrow" w:hAnsi="Arial Narrow" w:cs="Arial"/>
          <w:highlight w:val="yellow"/>
        </w:rPr>
      </w:pPr>
      <w:r w:rsidRPr="00322543">
        <w:rPr>
          <w:rFonts w:ascii="Arial Narrow" w:hAnsi="Arial Narrow" w:cs="Arial"/>
        </w:rPr>
        <w:lastRenderedPageBreak/>
        <w:t>ÚPN predkladá údaje o výdavkoch potrebných na účely zostavenia rozpočtu verejnej správy na roky 2025 – 2027. Údaje o príjmoch sú predkladané na základe poskytnutého transferu na rok 2025 a taktiež aj na nasledujúce roky 2026 a 2027. Iné príjmy vo forme dotácií, tuzemských a zahraničných grantov či darov nie sú plánované, zväčša sa riešia v priebehu roka v súvislosti s podmienkami grantových schém alebo možnosťami spoluorganizátorov konkrétnych podujatí. Z dlhodobého hľadiska nie sú vopred známe, majú krátkodobý charakter a sú určené na použitie v obmedzenom časovom období.</w:t>
      </w:r>
    </w:p>
    <w:p w14:paraId="09FBA5BB" w14:textId="77777777" w:rsidR="00347CCD" w:rsidRDefault="00347CCD">
      <w:pPr>
        <w:rPr>
          <w:rFonts w:ascii="Arial Narrow" w:hAnsi="Arial Narrow" w:cs="Arial"/>
          <w:highlight w:val="yellow"/>
        </w:rPr>
      </w:pPr>
      <w:r>
        <w:rPr>
          <w:rFonts w:ascii="Arial Narrow" w:hAnsi="Arial Narrow" w:cs="Arial"/>
          <w:highlight w:val="yellow"/>
        </w:rPr>
        <w:br w:type="page"/>
      </w:r>
    </w:p>
    <w:p w14:paraId="606AC098" w14:textId="55A3DA54" w:rsidR="00006532" w:rsidRPr="00931C03" w:rsidRDefault="00006532">
      <w:pPr>
        <w:rPr>
          <w:rFonts w:ascii="Arial Narrow" w:hAnsi="Arial Narrow" w:cs="Arial"/>
          <w:b/>
        </w:rPr>
      </w:pPr>
      <w:r w:rsidRPr="00931C03">
        <w:rPr>
          <w:rFonts w:ascii="Arial Narrow" w:hAnsi="Arial Narrow" w:cs="Arial"/>
          <w:b/>
        </w:rPr>
        <w:lastRenderedPageBreak/>
        <w:t>Komentár k položkám návrhu rozpočtu Ústavu pamäti národa na roky 202</w:t>
      </w:r>
      <w:r w:rsidR="00931C03" w:rsidRPr="00931C03">
        <w:rPr>
          <w:rFonts w:ascii="Arial Narrow" w:hAnsi="Arial Narrow" w:cs="Arial"/>
          <w:b/>
        </w:rPr>
        <w:t>5</w:t>
      </w:r>
      <w:r w:rsidRPr="00931C03">
        <w:rPr>
          <w:rFonts w:ascii="Arial Narrow" w:hAnsi="Arial Narrow" w:cs="Arial"/>
          <w:b/>
        </w:rPr>
        <w:t xml:space="preserve"> – 202</w:t>
      </w:r>
      <w:r w:rsidR="00931C03" w:rsidRPr="00931C03">
        <w:rPr>
          <w:rFonts w:ascii="Arial Narrow" w:hAnsi="Arial Narrow" w:cs="Arial"/>
          <w:b/>
        </w:rPr>
        <w:t>7</w:t>
      </w:r>
    </w:p>
    <w:p w14:paraId="0A1EC195" w14:textId="2E500097" w:rsidR="00006532" w:rsidRDefault="00006532">
      <w:pPr>
        <w:rPr>
          <w:rFonts w:ascii="Arial Narrow" w:hAnsi="Arial Narrow" w:cs="Arial"/>
          <w:b/>
        </w:rPr>
      </w:pPr>
    </w:p>
    <w:p w14:paraId="4EED4AC0" w14:textId="77777777" w:rsidR="00295D5F" w:rsidRPr="00295D5F" w:rsidRDefault="00295D5F" w:rsidP="00295D5F">
      <w:pPr>
        <w:rPr>
          <w:rFonts w:ascii="Arial Narrow" w:hAnsi="Arial Narrow" w:cs="Arial"/>
          <w:b/>
          <w:bCs/>
        </w:rPr>
      </w:pPr>
      <w:r w:rsidRPr="00295D5F">
        <w:rPr>
          <w:rFonts w:ascii="Arial Narrow" w:hAnsi="Arial Narrow" w:cs="Arial"/>
          <w:b/>
          <w:bCs/>
        </w:rPr>
        <w:t>BEŽNÉ VÝDAVKY</w:t>
      </w:r>
    </w:p>
    <w:p w14:paraId="4A69DAFF" w14:textId="77777777" w:rsidR="004D6C43" w:rsidRDefault="004D6C43" w:rsidP="00267D27">
      <w:pPr>
        <w:rPr>
          <w:rFonts w:ascii="Arial Narrow" w:hAnsi="Arial Narrow" w:cs="Arial"/>
          <w:b/>
        </w:rPr>
      </w:pPr>
    </w:p>
    <w:p w14:paraId="383CCB79" w14:textId="1B84A2E5" w:rsidR="0010186F" w:rsidRPr="00931C03" w:rsidRDefault="00245328" w:rsidP="00267D27">
      <w:pPr>
        <w:rPr>
          <w:rFonts w:ascii="Arial Narrow" w:hAnsi="Arial Narrow" w:cs="Arial"/>
          <w:b/>
        </w:rPr>
      </w:pPr>
      <w:r w:rsidRPr="00931C03">
        <w:rPr>
          <w:rFonts w:ascii="Arial Narrow" w:hAnsi="Arial Narrow" w:cs="Arial"/>
          <w:b/>
        </w:rPr>
        <w:t>Mzdy, platy, služobné príjmy a ostatné osobné vyrovnania</w:t>
      </w:r>
      <w:r w:rsidR="002B18C5">
        <w:rPr>
          <w:rFonts w:ascii="Arial Narrow" w:hAnsi="Arial Narrow" w:cs="Arial"/>
          <w:b/>
        </w:rPr>
        <w:t xml:space="preserve"> </w:t>
      </w:r>
      <w:r w:rsidR="002B18C5" w:rsidRPr="002B18C5">
        <w:rPr>
          <w:rFonts w:ascii="Arial Narrow" w:hAnsi="Arial Narrow" w:cs="Arial"/>
          <w:b/>
        </w:rPr>
        <w:t>(610)</w:t>
      </w:r>
    </w:p>
    <w:p w14:paraId="003746F9" w14:textId="2F84986D" w:rsidR="00931C03" w:rsidRPr="00EB4A18" w:rsidRDefault="00931C03" w:rsidP="00931C0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A64234">
        <w:rPr>
          <w:rFonts w:ascii="Arial Narrow" w:hAnsi="Arial Narrow"/>
        </w:rPr>
        <w:t>Na rok</w:t>
      </w:r>
      <w:r w:rsidR="00A64234" w:rsidRPr="00A64234">
        <w:rPr>
          <w:rFonts w:ascii="Arial Narrow" w:hAnsi="Arial Narrow"/>
        </w:rPr>
        <w:t>y</w:t>
      </w:r>
      <w:r w:rsidRPr="00A64234">
        <w:rPr>
          <w:rFonts w:ascii="Arial Narrow" w:hAnsi="Arial Narrow"/>
        </w:rPr>
        <w:t xml:space="preserve"> 2025</w:t>
      </w:r>
      <w:r w:rsidR="00A64234" w:rsidRPr="00A64234">
        <w:rPr>
          <w:rFonts w:ascii="Arial Narrow" w:hAnsi="Arial Narrow"/>
        </w:rPr>
        <w:t xml:space="preserve"> až 2027</w:t>
      </w:r>
      <w:r w:rsidRPr="00A64234">
        <w:rPr>
          <w:rFonts w:ascii="Arial Narrow" w:hAnsi="Arial Narrow"/>
        </w:rPr>
        <w:t xml:space="preserve"> sú mzdové prostriedky rozpísané na jednotlivé podpoložky vo výške 1 544 601 eur. </w:t>
      </w:r>
      <w:r w:rsidRPr="00EB4A18">
        <w:rPr>
          <w:rFonts w:ascii="Arial Narrow" w:hAnsi="Arial Narrow"/>
        </w:rPr>
        <w:t xml:space="preserve">Na zabezpečenie úloh daných Ústavu pamäti národa zákonom je potrebných minimálne 86 zamestnancov s plným pracovným úväzkom. Nakoľko si Ústav pamäti národa uvedomuje situáciu a potrebu konsolidácie výdavkov štátu, pristúpil dňa 22. februára 2024 k organizačnej zmene, kedy sa počet systemizovaných miest znížil z počtu 96 pracovných miest na 86 pracovných miest. </w:t>
      </w:r>
    </w:p>
    <w:p w14:paraId="1E575EB0" w14:textId="7CE5A34E" w:rsidR="00931C03" w:rsidRPr="00931C03" w:rsidRDefault="00931C03" w:rsidP="00931C03">
      <w:pPr>
        <w:jc w:val="both"/>
        <w:rPr>
          <w:rFonts w:ascii="Arial Narrow" w:hAnsi="Arial Narrow"/>
        </w:rPr>
      </w:pPr>
      <w:r w:rsidRPr="00931C03">
        <w:rPr>
          <w:rFonts w:ascii="Arial Narrow" w:hAnsi="Arial Narrow"/>
        </w:rPr>
        <w:t>Odmeňovanie zamestnancov je realizované v zmysle Zákonníka práce a Mzdového poriadku ÚPN</w:t>
      </w:r>
      <w:r w:rsidR="001C280F">
        <w:rPr>
          <w:rFonts w:ascii="Arial Narrow" w:hAnsi="Arial Narrow"/>
        </w:rPr>
        <w:t>.</w:t>
      </w:r>
    </w:p>
    <w:p w14:paraId="18D848B4" w14:textId="77777777" w:rsidR="00931C03" w:rsidRPr="003B14E6" w:rsidRDefault="00931C03" w:rsidP="00931C03">
      <w:pPr>
        <w:jc w:val="both"/>
        <w:rPr>
          <w:rFonts w:ascii="Arial Narrow" w:hAnsi="Arial Narrow"/>
          <w:highlight w:val="cyan"/>
        </w:rPr>
      </w:pPr>
    </w:p>
    <w:p w14:paraId="4C6ED682" w14:textId="6A4EE6EC" w:rsidR="0010186F" w:rsidRPr="00792AC8" w:rsidRDefault="00CF5810" w:rsidP="001D1FE6">
      <w:pPr>
        <w:jc w:val="both"/>
        <w:rPr>
          <w:rFonts w:ascii="Arial Narrow" w:hAnsi="Arial Narrow" w:cs="Arial"/>
          <w:b/>
        </w:rPr>
      </w:pPr>
      <w:r w:rsidRPr="00792AC8">
        <w:rPr>
          <w:rFonts w:ascii="Arial Narrow" w:hAnsi="Arial Narrow" w:cs="Arial"/>
          <w:b/>
        </w:rPr>
        <w:t>P</w:t>
      </w:r>
      <w:r w:rsidR="002033BF" w:rsidRPr="00792AC8">
        <w:rPr>
          <w:rFonts w:ascii="Arial Narrow" w:hAnsi="Arial Narrow" w:cs="Arial"/>
          <w:b/>
        </w:rPr>
        <w:t>oistné a príspevok do poisťovní</w:t>
      </w:r>
      <w:r w:rsidR="0010186F" w:rsidRPr="00792AC8">
        <w:rPr>
          <w:rFonts w:ascii="Arial Narrow" w:hAnsi="Arial Narrow" w:cs="Arial"/>
          <w:b/>
        </w:rPr>
        <w:t xml:space="preserve"> (620)</w:t>
      </w:r>
    </w:p>
    <w:p w14:paraId="1F7A75D6" w14:textId="0BC65A2E" w:rsidR="00507E4B" w:rsidRPr="00792AC8" w:rsidRDefault="00507E4B" w:rsidP="00507E4B">
      <w:pPr>
        <w:jc w:val="both"/>
        <w:rPr>
          <w:rFonts w:ascii="Arial Narrow" w:hAnsi="Arial Narrow" w:cs="Arial"/>
        </w:rPr>
      </w:pPr>
      <w:r w:rsidRPr="00792AC8">
        <w:rPr>
          <w:rFonts w:ascii="Arial Narrow" w:hAnsi="Arial Narrow" w:cs="Arial"/>
        </w:rPr>
        <w:t>Výška poistného a príspevku do poisťovní je vypočítaná na základe uvedeného objemu mzdových prostriedkov v zmysle všeobecne platných právnych predpisov (vo výške 3</w:t>
      </w:r>
      <w:r w:rsidR="00792AC8" w:rsidRPr="00792AC8">
        <w:rPr>
          <w:rFonts w:ascii="Arial Narrow" w:hAnsi="Arial Narrow" w:cs="Arial"/>
        </w:rPr>
        <w:t>6</w:t>
      </w:r>
      <w:r w:rsidRPr="00792AC8">
        <w:rPr>
          <w:rFonts w:ascii="Arial Narrow" w:hAnsi="Arial Narrow" w:cs="Arial"/>
        </w:rPr>
        <w:t>,20 %). V objeme výdavkov na poistné a príspevok do poisťovní sú započítané aj odvody z odmien členov Správnej a Dozornej rady ÚPN, ako aj odvody z odmien pre zamestnancov pracujúcich na dohodu.</w:t>
      </w:r>
    </w:p>
    <w:p w14:paraId="629BF9CC" w14:textId="77777777" w:rsidR="00792AC8" w:rsidRPr="00792AC8" w:rsidRDefault="00507E4B" w:rsidP="00507E4B">
      <w:pPr>
        <w:jc w:val="both"/>
        <w:rPr>
          <w:rFonts w:ascii="Arial Narrow" w:hAnsi="Arial Narrow" w:cs="Arial"/>
        </w:rPr>
      </w:pPr>
      <w:r w:rsidRPr="00792AC8">
        <w:rPr>
          <w:rFonts w:ascii="Arial Narrow" w:hAnsi="Arial Narrow" w:cs="Arial"/>
        </w:rPr>
        <w:t xml:space="preserve">V uvedenej sume nie sú započítané výdavky na príspevok do doplnkových dôchodkových poisťovní, ktorý by mohol byť jedným z prostriedkov stabilizácie personálneho obsadenia ÚPN. </w:t>
      </w:r>
    </w:p>
    <w:p w14:paraId="5328159D" w14:textId="5A03E603" w:rsidR="00552A01" w:rsidRPr="002A7EF2" w:rsidRDefault="00507E4B" w:rsidP="00507E4B">
      <w:pPr>
        <w:jc w:val="both"/>
        <w:rPr>
          <w:rFonts w:ascii="Arial Narrow" w:hAnsi="Arial Narrow" w:cs="Arial"/>
        </w:rPr>
      </w:pPr>
      <w:r w:rsidRPr="00792AC8">
        <w:rPr>
          <w:rFonts w:ascii="Arial Narrow" w:hAnsi="Arial Narrow" w:cs="Arial"/>
        </w:rPr>
        <w:t xml:space="preserve">Príspevok do doplnkových dôchodkových poisťovní sa ani doposiaľ zamestnancom neposkytoval, </w:t>
      </w:r>
      <w:r w:rsidRPr="002A7EF2">
        <w:rPr>
          <w:rFonts w:ascii="Arial Narrow" w:hAnsi="Arial Narrow" w:cs="Arial"/>
        </w:rPr>
        <w:t>vzhľadom na obmedzené finančné prostriedky v rozpočte na bežnú činnosť ústavu.</w:t>
      </w:r>
    </w:p>
    <w:p w14:paraId="71A69579" w14:textId="77777777" w:rsidR="009938EA" w:rsidRPr="002A7EF2" w:rsidRDefault="00792AC8" w:rsidP="009938EA">
      <w:pPr>
        <w:jc w:val="both"/>
        <w:rPr>
          <w:rFonts w:ascii="Arial Narrow" w:hAnsi="Arial Narrow" w:cs="Arial"/>
        </w:rPr>
      </w:pPr>
      <w:r w:rsidRPr="002A7EF2">
        <w:rPr>
          <w:rFonts w:ascii="Arial Narrow" w:hAnsi="Arial Narrow" w:cs="Arial"/>
        </w:rPr>
        <w:t>Navrhované limity výdavkov MF SR pre ÚPN sú v kategórii 620 na rok 2025 rozpísané vo výške</w:t>
      </w:r>
      <w:r w:rsidR="00347CCD">
        <w:rPr>
          <w:rFonts w:ascii="Arial Narrow" w:hAnsi="Arial Narrow" w:cs="Arial"/>
        </w:rPr>
        <w:br/>
      </w:r>
      <w:r w:rsidR="009938EA" w:rsidRPr="00235ED7">
        <w:rPr>
          <w:rFonts w:ascii="Arial Narrow" w:hAnsi="Arial Narrow" w:cs="Arial"/>
        </w:rPr>
        <w:t>670 623 eur, na rok 2026 vo výške 676 752 eur a na rok 2027 vo výške 683 268 eur.</w:t>
      </w:r>
    </w:p>
    <w:p w14:paraId="40A8BFCF" w14:textId="77777777" w:rsidR="00D97B3D" w:rsidRPr="002A7EF2" w:rsidRDefault="00D97B3D" w:rsidP="001D1FE6">
      <w:pPr>
        <w:jc w:val="both"/>
        <w:rPr>
          <w:rFonts w:ascii="Arial Narrow" w:hAnsi="Arial Narrow" w:cs="Arial"/>
          <w:b/>
        </w:rPr>
      </w:pPr>
    </w:p>
    <w:p w14:paraId="42DCFC9E" w14:textId="77777777" w:rsidR="004954FC" w:rsidRPr="004954FC" w:rsidRDefault="004954FC" w:rsidP="004954FC">
      <w:pPr>
        <w:jc w:val="both"/>
        <w:rPr>
          <w:rFonts w:ascii="Arial Narrow" w:hAnsi="Arial Narrow" w:cs="Arial"/>
          <w:b/>
        </w:rPr>
      </w:pPr>
      <w:r w:rsidRPr="004954FC">
        <w:rPr>
          <w:rFonts w:ascii="Arial Narrow" w:hAnsi="Arial Narrow" w:cs="Arial"/>
          <w:b/>
        </w:rPr>
        <w:t>Tovary a služby (630)</w:t>
      </w:r>
    </w:p>
    <w:p w14:paraId="32D422AC" w14:textId="77777777" w:rsidR="004954FC" w:rsidRPr="004954FC" w:rsidRDefault="004954FC" w:rsidP="004954FC">
      <w:pPr>
        <w:jc w:val="both"/>
        <w:rPr>
          <w:rFonts w:ascii="Arial Narrow" w:hAnsi="Arial Narrow" w:cs="Arial"/>
        </w:rPr>
      </w:pPr>
    </w:p>
    <w:p w14:paraId="0F430232" w14:textId="594BAC59" w:rsidR="004954FC" w:rsidRPr="004954FC" w:rsidRDefault="004954FC" w:rsidP="004954FC">
      <w:pPr>
        <w:jc w:val="both"/>
        <w:rPr>
          <w:rFonts w:ascii="Arial Narrow" w:hAnsi="Arial Narrow" w:cs="Arial"/>
        </w:rPr>
      </w:pPr>
      <w:r w:rsidRPr="004954FC">
        <w:rPr>
          <w:rFonts w:ascii="Arial Narrow" w:hAnsi="Arial Narrow" w:cs="Arial"/>
        </w:rPr>
        <w:t xml:space="preserve">Prostriedky na tovary a služby budú v roku 2025 v sume </w:t>
      </w:r>
      <w:r w:rsidR="009938EA" w:rsidRPr="00235ED7">
        <w:rPr>
          <w:rFonts w:ascii="Arial Narrow" w:hAnsi="Arial Narrow" w:cs="Arial"/>
        </w:rPr>
        <w:t>968 441</w:t>
      </w:r>
      <w:r w:rsidR="009938EA" w:rsidRPr="004954FC">
        <w:rPr>
          <w:rFonts w:ascii="Arial Narrow" w:hAnsi="Arial Narrow" w:cs="Arial"/>
        </w:rPr>
        <w:t xml:space="preserve"> </w:t>
      </w:r>
      <w:r w:rsidRPr="004954FC">
        <w:rPr>
          <w:rFonts w:ascii="Arial Narrow" w:hAnsi="Arial Narrow" w:cs="Arial"/>
        </w:rPr>
        <w:t xml:space="preserve">eur prioritne použité na: </w:t>
      </w:r>
    </w:p>
    <w:p w14:paraId="18B7E63F" w14:textId="77777777" w:rsidR="004954FC" w:rsidRPr="00420C1C" w:rsidRDefault="004954FC" w:rsidP="004954FC">
      <w:pPr>
        <w:jc w:val="both"/>
        <w:rPr>
          <w:rFonts w:ascii="Arial Narrow" w:hAnsi="Arial Narrow" w:cs="Arial"/>
        </w:rPr>
      </w:pPr>
    </w:p>
    <w:p w14:paraId="6208CD8F" w14:textId="038134C9" w:rsidR="004954FC" w:rsidRPr="00803F2F" w:rsidRDefault="004954FC" w:rsidP="00420C1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bookmarkStart w:id="2" w:name="_Hlk103507289"/>
      <w:r w:rsidRPr="00803F2F">
        <w:rPr>
          <w:rFonts w:ascii="Arial Narrow" w:hAnsi="Arial Narrow" w:cs="Arial"/>
          <w:sz w:val="24"/>
          <w:szCs w:val="24"/>
        </w:rPr>
        <w:t xml:space="preserve">odmeny členov Správnej a Dozornej rady ÚPN vo výške </w:t>
      </w:r>
      <w:r w:rsidR="009938EA" w:rsidRPr="00235ED7">
        <w:rPr>
          <w:rFonts w:ascii="Arial Narrow" w:hAnsi="Arial Narrow" w:cs="Calibri"/>
          <w:iCs/>
          <w:color w:val="000000"/>
          <w:sz w:val="24"/>
          <w:szCs w:val="24"/>
        </w:rPr>
        <w:t>284 208</w:t>
      </w:r>
      <w:r w:rsidR="00420C1C" w:rsidRPr="00803F2F">
        <w:rPr>
          <w:rFonts w:ascii="Arial Narrow" w:hAnsi="Arial Narrow" w:cs="Calibri"/>
          <w:iCs/>
          <w:color w:val="000000"/>
          <w:sz w:val="24"/>
          <w:szCs w:val="24"/>
        </w:rPr>
        <w:t xml:space="preserve"> </w:t>
      </w:r>
      <w:r w:rsidRPr="00803F2F">
        <w:rPr>
          <w:rFonts w:ascii="Arial Narrow" w:hAnsi="Arial Narrow" w:cs="Arial"/>
          <w:color w:val="000000"/>
          <w:sz w:val="24"/>
          <w:szCs w:val="24"/>
        </w:rPr>
        <w:t>eur</w:t>
      </w:r>
      <w:bookmarkEnd w:id="2"/>
      <w:r w:rsidR="00D86CCE" w:rsidRPr="00803F2F">
        <w:rPr>
          <w:rFonts w:ascii="Arial Narrow" w:hAnsi="Arial Narrow" w:cs="Arial"/>
          <w:color w:val="000000"/>
          <w:sz w:val="24"/>
          <w:szCs w:val="24"/>
        </w:rPr>
        <w:t xml:space="preserve"> (uvedená suma je vypočítaná podľa priemernej mzdy v národnom hospodárstve za rok 2023, od čoho sa </w:t>
      </w:r>
      <w:r w:rsidR="00A528A2">
        <w:rPr>
          <w:rFonts w:ascii="Arial Narrow" w:hAnsi="Arial Narrow" w:cs="Arial"/>
          <w:color w:val="000000"/>
          <w:sz w:val="24"/>
          <w:szCs w:val="24"/>
        </w:rPr>
        <w:br/>
      </w:r>
      <w:r w:rsidR="00D86CCE" w:rsidRPr="00803F2F">
        <w:rPr>
          <w:rFonts w:ascii="Arial Narrow" w:hAnsi="Arial Narrow" w:cs="Arial"/>
          <w:color w:val="000000"/>
          <w:sz w:val="24"/>
          <w:szCs w:val="24"/>
        </w:rPr>
        <w:t xml:space="preserve">v zmysle zákona o pamäti národa odvíjajú odmeny členov Správnej a Dozornej rady ÚPN a je zohľadnená jej priebežná zmena za predchádzajúce </w:t>
      </w:r>
      <w:r w:rsidR="009938EA">
        <w:rPr>
          <w:rFonts w:ascii="Arial Narrow" w:hAnsi="Arial Narrow" w:cs="Arial"/>
          <w:color w:val="000000"/>
          <w:sz w:val="24"/>
          <w:szCs w:val="24"/>
        </w:rPr>
        <w:t>3</w:t>
      </w:r>
      <w:r w:rsidR="00D86CCE" w:rsidRPr="00803F2F">
        <w:rPr>
          <w:rFonts w:ascii="Arial Narrow" w:hAnsi="Arial Narrow" w:cs="Arial"/>
          <w:color w:val="000000"/>
          <w:sz w:val="24"/>
          <w:szCs w:val="24"/>
        </w:rPr>
        <w:t>. štvrťroky 2024 a tým zvýšený nárok na odmeny členov Správnej a Dozornej rady ÚPN),</w:t>
      </w:r>
    </w:p>
    <w:p w14:paraId="06C2DC84" w14:textId="378BFEB1" w:rsidR="004954FC" w:rsidRPr="00803F2F" w:rsidRDefault="004954FC" w:rsidP="004954FC">
      <w:pPr>
        <w:pStyle w:val="Odsekzoznamu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803F2F">
        <w:rPr>
          <w:rFonts w:ascii="Arial Narrow" w:hAnsi="Arial Narrow" w:cs="Arial"/>
          <w:b/>
          <w:bCs/>
          <w:color w:val="000000"/>
          <w:sz w:val="24"/>
          <w:szCs w:val="24"/>
        </w:rPr>
        <w:t>rozpočtová podpoložka 637 026 – Odmeny a príspevky</w:t>
      </w:r>
      <w:r w:rsidRPr="00803F2F">
        <w:rPr>
          <w:rFonts w:ascii="Arial Narrow" w:hAnsi="Arial Narrow" w:cs="Arial"/>
          <w:color w:val="000000"/>
          <w:sz w:val="24"/>
          <w:szCs w:val="24"/>
        </w:rPr>
        <w:t>;</w:t>
      </w:r>
    </w:p>
    <w:p w14:paraId="7C926733" w14:textId="37769089" w:rsidR="004954FC" w:rsidRPr="00803F2F" w:rsidRDefault="004954FC" w:rsidP="004954F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03F2F">
        <w:rPr>
          <w:rFonts w:ascii="Arial Narrow" w:hAnsi="Arial Narrow" w:cs="Arial"/>
          <w:color w:val="000000"/>
          <w:sz w:val="24"/>
          <w:szCs w:val="24"/>
        </w:rPr>
        <w:t xml:space="preserve">výdavky na úhradu služieb spojených s užívaním kancelárskych priestorov, v ktorých </w:t>
      </w:r>
      <w:r w:rsidRPr="00803F2F">
        <w:rPr>
          <w:rFonts w:ascii="Arial Narrow" w:hAnsi="Arial Narrow" w:cs="Arial"/>
          <w:color w:val="000000"/>
          <w:sz w:val="24"/>
          <w:szCs w:val="24"/>
        </w:rPr>
        <w:br/>
        <w:t xml:space="preserve">v súčasnosti ÚPN sídli (odpad, výťahy, upratovacie služby a pod.), tlačiarenské práce, grafické práce k časopisu </w:t>
      </w:r>
      <w:r w:rsidRPr="00803F2F">
        <w:rPr>
          <w:rFonts w:ascii="Arial Narrow" w:hAnsi="Arial Narrow" w:cs="Arial"/>
          <w:i/>
          <w:color w:val="000000"/>
          <w:sz w:val="24"/>
          <w:szCs w:val="24"/>
        </w:rPr>
        <w:t>Pamäť národa</w:t>
      </w:r>
      <w:r w:rsidRPr="00803F2F">
        <w:rPr>
          <w:rFonts w:ascii="Arial Narrow" w:hAnsi="Arial Narrow" w:cs="Arial"/>
          <w:color w:val="000000"/>
          <w:sz w:val="24"/>
          <w:szCs w:val="24"/>
        </w:rPr>
        <w:t xml:space="preserve">, k publikáciám, práce súvisiace s výrobou dokumentárnych filmov, prekladateľské práce, recenzné posudky, ako aj výdavky na revízie elektrických zariadení, výdavky na monitoring médií, služby súvisiace s rozšírením aktivít ÚPN na jednotlivé projekty, a to nielen momentálne prebiehajúce, ale aj v budúcnosti plánované, financovanie aktivít v rámci </w:t>
      </w:r>
      <w:r w:rsidRPr="00803F2F">
        <w:rPr>
          <w:rFonts w:ascii="Arial Narrow" w:hAnsi="Arial Narrow" w:cs="Arial"/>
          <w:i/>
          <w:color w:val="000000"/>
          <w:sz w:val="24"/>
          <w:szCs w:val="24"/>
        </w:rPr>
        <w:t>Európskej siete Pamäť a solidarita</w:t>
      </w:r>
      <w:r w:rsidRPr="00803F2F">
        <w:rPr>
          <w:rFonts w:ascii="Arial Narrow" w:hAnsi="Arial Narrow" w:cs="Arial"/>
          <w:color w:val="000000"/>
          <w:sz w:val="24"/>
          <w:szCs w:val="24"/>
        </w:rPr>
        <w:t xml:space="preserve"> (ďalej aj ako „ENRS“) a iné </w:t>
      </w:r>
      <w:r w:rsidRPr="00803F2F">
        <w:rPr>
          <w:rFonts w:ascii="Arial Narrow" w:hAnsi="Arial Narrow" w:cs="Arial"/>
          <w:sz w:val="24"/>
          <w:szCs w:val="24"/>
        </w:rPr>
        <w:t xml:space="preserve">vo výške </w:t>
      </w:r>
      <w:r w:rsidR="00420C1C" w:rsidRPr="00803F2F">
        <w:rPr>
          <w:rFonts w:ascii="Arial Narrow" w:hAnsi="Arial Narrow" w:cs="Arial"/>
          <w:sz w:val="24"/>
          <w:szCs w:val="24"/>
        </w:rPr>
        <w:t>72 959</w:t>
      </w:r>
      <w:r w:rsidRPr="00803F2F">
        <w:rPr>
          <w:rFonts w:ascii="Arial Narrow" w:hAnsi="Arial Narrow" w:cs="Arial"/>
          <w:sz w:val="24"/>
          <w:szCs w:val="24"/>
        </w:rPr>
        <w:t xml:space="preserve"> </w:t>
      </w:r>
      <w:r w:rsidRPr="00803F2F">
        <w:rPr>
          <w:rFonts w:ascii="Arial Narrow" w:hAnsi="Arial Narrow" w:cs="Arial"/>
          <w:color w:val="000000"/>
          <w:sz w:val="24"/>
          <w:szCs w:val="24"/>
        </w:rPr>
        <w:t>eur,</w:t>
      </w:r>
    </w:p>
    <w:p w14:paraId="178E1906" w14:textId="77777777" w:rsidR="004954FC" w:rsidRPr="00803F2F" w:rsidRDefault="004954FC" w:rsidP="004954FC">
      <w:pPr>
        <w:pStyle w:val="Odsekzoznamu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03F2F">
        <w:rPr>
          <w:rFonts w:ascii="Arial Narrow" w:hAnsi="Arial Narrow" w:cs="Arial"/>
          <w:b/>
          <w:bCs/>
          <w:color w:val="000000"/>
          <w:sz w:val="24"/>
          <w:szCs w:val="24"/>
        </w:rPr>
        <w:t>rozpočtová podpoložka 637 004 – Všeobecné služby</w:t>
      </w:r>
      <w:r w:rsidRPr="00803F2F">
        <w:rPr>
          <w:rFonts w:ascii="Arial Narrow" w:hAnsi="Arial Narrow" w:cs="Arial"/>
          <w:color w:val="000000"/>
          <w:sz w:val="24"/>
          <w:szCs w:val="24"/>
        </w:rPr>
        <w:t xml:space="preserve">; </w:t>
      </w:r>
    </w:p>
    <w:p w14:paraId="4162BAA5" w14:textId="62C07AD5" w:rsidR="004954FC" w:rsidRPr="00803F2F" w:rsidRDefault="004954FC" w:rsidP="004954F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03F2F">
        <w:rPr>
          <w:rFonts w:ascii="Arial Narrow" w:hAnsi="Arial Narrow" w:cs="Arial"/>
          <w:color w:val="000000"/>
          <w:sz w:val="24"/>
          <w:szCs w:val="24"/>
        </w:rPr>
        <w:t>v</w:t>
      </w:r>
      <w:r w:rsidRPr="00803F2F">
        <w:rPr>
          <w:rFonts w:ascii="Arial Narrow" w:hAnsi="Arial Narrow" w:cs="Arial"/>
          <w:bCs/>
          <w:sz w:val="24"/>
          <w:szCs w:val="24"/>
        </w:rPr>
        <w:t xml:space="preserve">ýdavky na energie vo výške </w:t>
      </w:r>
      <w:r w:rsidR="00803F2F" w:rsidRPr="00803F2F">
        <w:rPr>
          <w:rFonts w:ascii="Arial Narrow" w:hAnsi="Arial Narrow" w:cs="Arial"/>
          <w:bCs/>
          <w:sz w:val="24"/>
          <w:szCs w:val="24"/>
        </w:rPr>
        <w:t>7</w:t>
      </w:r>
      <w:r w:rsidRPr="00803F2F">
        <w:rPr>
          <w:rFonts w:ascii="Arial Narrow" w:hAnsi="Arial Narrow" w:cs="Arial"/>
          <w:bCs/>
          <w:sz w:val="24"/>
          <w:szCs w:val="24"/>
        </w:rPr>
        <w:t>2 </w:t>
      </w:r>
      <w:r w:rsidR="00803F2F" w:rsidRPr="00803F2F">
        <w:rPr>
          <w:rFonts w:ascii="Arial Narrow" w:hAnsi="Arial Narrow" w:cs="Arial"/>
          <w:bCs/>
          <w:sz w:val="24"/>
          <w:szCs w:val="24"/>
        </w:rPr>
        <w:t>747</w:t>
      </w:r>
      <w:r w:rsidRPr="00803F2F">
        <w:rPr>
          <w:rFonts w:ascii="Arial Narrow" w:hAnsi="Arial Narrow" w:cs="Arial"/>
          <w:bCs/>
          <w:sz w:val="24"/>
          <w:szCs w:val="24"/>
        </w:rPr>
        <w:t xml:space="preserve"> eur predstavujú náklady na elektrickú energiu a plyn a na vykurovanie kancelárskych priestorov v nájme, v podnájme a v prenájme kancelárskych priestorov ÚPN a v nehnuteľnostiach, ktoré má ÚPN od roku 2021 v správe,</w:t>
      </w:r>
    </w:p>
    <w:p w14:paraId="039F2004" w14:textId="77777777" w:rsidR="004954FC" w:rsidRPr="00803F2F" w:rsidRDefault="004954FC" w:rsidP="004954FC">
      <w:pPr>
        <w:pStyle w:val="Odsekzoznamu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03F2F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rozpočtová podpoložka 632 001 – </w:t>
      </w:r>
      <w:r w:rsidRPr="00803F2F">
        <w:rPr>
          <w:rFonts w:ascii="Arial Narrow" w:hAnsi="Arial Narrow" w:cs="Arial"/>
          <w:b/>
        </w:rPr>
        <w:t>Elektrická energia, plyn</w:t>
      </w:r>
      <w:r w:rsidRPr="00803F2F">
        <w:rPr>
          <w:rFonts w:ascii="Arial Narrow" w:hAnsi="Arial Narrow" w:cs="Arial"/>
          <w:color w:val="000000"/>
          <w:sz w:val="24"/>
          <w:szCs w:val="24"/>
        </w:rPr>
        <w:t xml:space="preserve">; </w:t>
      </w:r>
    </w:p>
    <w:p w14:paraId="0A9BE54A" w14:textId="1BB2CB83" w:rsidR="004954FC" w:rsidRPr="00EB5A48" w:rsidRDefault="004954FC" w:rsidP="00803F2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03F2F">
        <w:rPr>
          <w:rFonts w:ascii="Arial Narrow" w:hAnsi="Arial Narrow" w:cs="Arial"/>
          <w:color w:val="000000"/>
          <w:sz w:val="24"/>
          <w:szCs w:val="24"/>
        </w:rPr>
        <w:t xml:space="preserve">úhrada nájomného za </w:t>
      </w:r>
      <w:r w:rsidR="00803F2F" w:rsidRPr="00803F2F">
        <w:rPr>
          <w:rFonts w:ascii="Arial Narrow" w:hAnsi="Arial Narrow" w:cs="Arial"/>
          <w:color w:val="000000"/>
          <w:sz w:val="24"/>
          <w:szCs w:val="24"/>
        </w:rPr>
        <w:t xml:space="preserve">nájom a podnájom kancelárskych priestorov sídla ÚPN, </w:t>
      </w:r>
      <w:r w:rsidRPr="00803F2F">
        <w:rPr>
          <w:rFonts w:ascii="Arial Narrow" w:hAnsi="Arial Narrow" w:cs="Arial"/>
          <w:color w:val="000000"/>
          <w:sz w:val="24"/>
          <w:szCs w:val="24"/>
        </w:rPr>
        <w:t xml:space="preserve">nájom </w:t>
      </w:r>
      <w:r w:rsidR="00A528A2">
        <w:rPr>
          <w:rFonts w:ascii="Arial Narrow" w:hAnsi="Arial Narrow" w:cs="Arial"/>
          <w:color w:val="000000"/>
          <w:sz w:val="24"/>
          <w:szCs w:val="24"/>
        </w:rPr>
        <w:br/>
      </w:r>
      <w:r w:rsidRPr="00803F2F">
        <w:rPr>
          <w:rFonts w:ascii="Arial Narrow" w:hAnsi="Arial Narrow" w:cs="Arial"/>
          <w:color w:val="000000"/>
          <w:sz w:val="24"/>
          <w:szCs w:val="24"/>
        </w:rPr>
        <w:t xml:space="preserve">a prenájom kancelárskych priestorov archívu ÚPN, prenájom priestorov v rámci projektov ENRS a </w:t>
      </w:r>
      <w:r w:rsidRPr="00EB5A48">
        <w:rPr>
          <w:rFonts w:ascii="Arial Narrow" w:hAnsi="Arial Narrow" w:cs="Arial"/>
          <w:color w:val="000000"/>
          <w:sz w:val="24"/>
          <w:szCs w:val="24"/>
        </w:rPr>
        <w:t xml:space="preserve">iných podujatí ÚPN vo výške </w:t>
      </w:r>
      <w:r w:rsidR="00803F2F" w:rsidRPr="00EB5A48">
        <w:rPr>
          <w:rFonts w:ascii="Arial Narrow" w:hAnsi="Arial Narrow" w:cs="Arial"/>
          <w:color w:val="000000"/>
          <w:sz w:val="24"/>
          <w:szCs w:val="24"/>
        </w:rPr>
        <w:t>261 276</w:t>
      </w:r>
      <w:r w:rsidRPr="00EB5A48">
        <w:rPr>
          <w:rFonts w:ascii="Arial Narrow" w:hAnsi="Arial Narrow" w:cs="Arial"/>
          <w:color w:val="000000"/>
          <w:sz w:val="24"/>
          <w:szCs w:val="24"/>
        </w:rPr>
        <w:t xml:space="preserve"> eur;</w:t>
      </w:r>
    </w:p>
    <w:p w14:paraId="19B80554" w14:textId="77777777" w:rsidR="004954FC" w:rsidRPr="00EB5A48" w:rsidRDefault="004954FC" w:rsidP="004954FC">
      <w:pPr>
        <w:pStyle w:val="Odsekzoznamu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B5A48">
        <w:rPr>
          <w:rFonts w:ascii="Arial Narrow" w:hAnsi="Arial Narrow" w:cs="Arial"/>
          <w:b/>
          <w:bCs/>
          <w:color w:val="000000"/>
          <w:sz w:val="24"/>
          <w:szCs w:val="24"/>
        </w:rPr>
        <w:t>rozpočtová podpoložka 636 001 – Platby za prenájom budov, objektov alebo ich čast</w:t>
      </w:r>
      <w:r w:rsidRPr="00EB5A48">
        <w:rPr>
          <w:rFonts w:ascii="Arial Narrow" w:hAnsi="Arial Narrow" w:cs="Arial"/>
          <w:color w:val="000000"/>
          <w:sz w:val="24"/>
          <w:szCs w:val="24"/>
        </w:rPr>
        <w:t xml:space="preserve">í; </w:t>
      </w:r>
    </w:p>
    <w:p w14:paraId="43B118E5" w14:textId="559D4B1F" w:rsidR="004954FC" w:rsidRPr="00EB5A48" w:rsidRDefault="004954FC" w:rsidP="004954F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B5A48">
        <w:rPr>
          <w:rFonts w:ascii="Arial Narrow" w:hAnsi="Arial Narrow" w:cs="Arial"/>
          <w:color w:val="000000"/>
          <w:sz w:val="24"/>
          <w:szCs w:val="24"/>
        </w:rPr>
        <w:lastRenderedPageBreak/>
        <w:t>zabezpečenie stravovania zamestnancov vo výške 14 000 eur – nákup e-</w:t>
      </w:r>
      <w:proofErr w:type="spellStart"/>
      <w:r w:rsidRPr="00EB5A48">
        <w:rPr>
          <w:rFonts w:ascii="Arial Narrow" w:hAnsi="Arial Narrow" w:cs="Arial"/>
          <w:color w:val="000000"/>
          <w:sz w:val="24"/>
          <w:szCs w:val="24"/>
        </w:rPr>
        <w:t>straveniek</w:t>
      </w:r>
      <w:proofErr w:type="spellEnd"/>
      <w:r w:rsidRPr="00EB5A48">
        <w:rPr>
          <w:rFonts w:ascii="Arial Narrow" w:hAnsi="Arial Narrow" w:cs="Arial"/>
          <w:color w:val="000000"/>
          <w:sz w:val="24"/>
          <w:szCs w:val="24"/>
        </w:rPr>
        <w:t xml:space="preserve">, teda elektronických stravných lístkov v podobe karty (príspevok zamestnávateľa na stravovanie je </w:t>
      </w:r>
      <w:r w:rsidR="00A528A2">
        <w:rPr>
          <w:rFonts w:ascii="Arial Narrow" w:hAnsi="Arial Narrow" w:cs="Arial"/>
          <w:color w:val="000000"/>
          <w:sz w:val="24"/>
          <w:szCs w:val="24"/>
        </w:rPr>
        <w:t xml:space="preserve">takmer </w:t>
      </w:r>
      <w:r w:rsidRPr="00EB5A48">
        <w:rPr>
          <w:rFonts w:ascii="Arial Narrow" w:hAnsi="Arial Narrow" w:cs="Arial"/>
          <w:color w:val="000000"/>
          <w:sz w:val="24"/>
          <w:szCs w:val="24"/>
        </w:rPr>
        <w:t xml:space="preserve">na minimálnej povinnej hranici zo zákona; časť sa vypláca formou zabezpečenia elektronických stravných lístkov a časť ako finančný príspevok na stravovanie zamestnanca, podpoložka 642 014, všetko v zmysle platnej legislatívy podľa rozhodnutia jednotlivých zamestnancov, ÚPN ako zamestnávateľ nakupuje </w:t>
      </w:r>
      <w:r w:rsidR="00A528A2">
        <w:rPr>
          <w:rFonts w:ascii="Arial Narrow" w:hAnsi="Arial Narrow" w:cs="Arial"/>
          <w:color w:val="000000"/>
          <w:sz w:val="24"/>
          <w:szCs w:val="24"/>
        </w:rPr>
        <w:t xml:space="preserve">elektronické </w:t>
      </w:r>
      <w:r w:rsidRPr="00EB5A48">
        <w:rPr>
          <w:rFonts w:ascii="Arial Narrow" w:hAnsi="Arial Narrow" w:cs="Arial"/>
          <w:color w:val="000000"/>
          <w:sz w:val="24"/>
          <w:szCs w:val="24"/>
        </w:rPr>
        <w:t>stravné lístky s nulovou províziou dodávateľa),</w:t>
      </w:r>
    </w:p>
    <w:p w14:paraId="7C14D790" w14:textId="77777777" w:rsidR="004954FC" w:rsidRPr="00EB5A48" w:rsidRDefault="004954FC" w:rsidP="004954FC">
      <w:pPr>
        <w:pStyle w:val="Odsekzoznamu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B5A48">
        <w:rPr>
          <w:rFonts w:ascii="Arial Narrow" w:hAnsi="Arial Narrow" w:cs="Arial"/>
          <w:b/>
          <w:bCs/>
          <w:color w:val="000000"/>
          <w:sz w:val="24"/>
          <w:szCs w:val="24"/>
        </w:rPr>
        <w:t>rozpočtová podpoložka 637 014 – Stravovanie</w:t>
      </w:r>
      <w:r w:rsidRPr="00EB5A48">
        <w:rPr>
          <w:rFonts w:ascii="Arial Narrow" w:hAnsi="Arial Narrow" w:cs="Arial"/>
          <w:color w:val="000000"/>
          <w:sz w:val="24"/>
          <w:szCs w:val="24"/>
        </w:rPr>
        <w:t xml:space="preserve">; </w:t>
      </w:r>
    </w:p>
    <w:p w14:paraId="469EAF5D" w14:textId="77777777" w:rsidR="004954FC" w:rsidRPr="00EB5A48" w:rsidRDefault="004954FC" w:rsidP="004954F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B5A48">
        <w:rPr>
          <w:rFonts w:ascii="Arial Narrow" w:hAnsi="Arial Narrow" w:cs="Arial"/>
          <w:color w:val="000000"/>
          <w:sz w:val="24"/>
          <w:szCs w:val="24"/>
        </w:rPr>
        <w:t>prídel do sociálneho fondu 15 446 eur, tvorba vo výške 1 % z hrubých miezd zamestnancov,</w:t>
      </w:r>
    </w:p>
    <w:p w14:paraId="50BA6CF5" w14:textId="77777777" w:rsidR="004954FC" w:rsidRPr="00EB5A48" w:rsidRDefault="004954FC" w:rsidP="004954FC">
      <w:pPr>
        <w:pStyle w:val="Odsekzoznamu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B5A48">
        <w:rPr>
          <w:rFonts w:ascii="Arial Narrow" w:hAnsi="Arial Narrow" w:cs="Arial"/>
          <w:b/>
          <w:bCs/>
          <w:color w:val="000000"/>
          <w:sz w:val="24"/>
          <w:szCs w:val="24"/>
        </w:rPr>
        <w:t>rozpočtová podpoložka 637 016 – Prídel do sociálneho fondu</w:t>
      </w:r>
      <w:r w:rsidRPr="00EB5A48">
        <w:rPr>
          <w:rFonts w:ascii="Arial Narrow" w:hAnsi="Arial Narrow" w:cs="Arial"/>
          <w:color w:val="000000"/>
          <w:sz w:val="24"/>
          <w:szCs w:val="24"/>
        </w:rPr>
        <w:t>;</w:t>
      </w:r>
    </w:p>
    <w:p w14:paraId="1AF2DB9B" w14:textId="77777777" w:rsidR="004954FC" w:rsidRPr="00D33786" w:rsidRDefault="004954FC" w:rsidP="004954F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EB5A48">
        <w:rPr>
          <w:rFonts w:ascii="Arial Narrow" w:hAnsi="Arial Narrow" w:cs="Arial"/>
          <w:color w:val="000000"/>
          <w:sz w:val="24"/>
          <w:szCs w:val="24"/>
        </w:rPr>
        <w:t xml:space="preserve">príspevok zamestnancom na rekreáciu 18 975 eur (v zmysle zákona predpokladáme, že nárok </w:t>
      </w:r>
      <w:r w:rsidRPr="00D33786">
        <w:rPr>
          <w:rFonts w:ascii="Arial Narrow" w:hAnsi="Arial Narrow" w:cs="Arial"/>
          <w:color w:val="000000"/>
          <w:sz w:val="24"/>
          <w:szCs w:val="24"/>
        </w:rPr>
        <w:t xml:space="preserve">na príspevok v roku 2025 </w:t>
      </w:r>
      <w:r w:rsidRPr="008242CB">
        <w:rPr>
          <w:rFonts w:ascii="Arial Narrow" w:hAnsi="Arial Narrow" w:cs="Arial"/>
          <w:sz w:val="24"/>
          <w:szCs w:val="24"/>
        </w:rPr>
        <w:t>bude spĺňať 69 zamestnancov</w:t>
      </w:r>
      <w:r w:rsidRPr="00D33786">
        <w:rPr>
          <w:rFonts w:ascii="Arial Narrow" w:hAnsi="Arial Narrow" w:cs="Arial"/>
          <w:color w:val="000000"/>
          <w:sz w:val="24"/>
          <w:szCs w:val="24"/>
        </w:rPr>
        <w:t>, max. suma 275 eur),</w:t>
      </w:r>
    </w:p>
    <w:p w14:paraId="32E3293D" w14:textId="7405BECE" w:rsidR="000F5CFF" w:rsidRPr="00D33786" w:rsidRDefault="004954FC" w:rsidP="000F5CFF">
      <w:pPr>
        <w:pStyle w:val="Odsekzoznamu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33786">
        <w:rPr>
          <w:rFonts w:ascii="Arial Narrow" w:hAnsi="Arial Narrow" w:cs="Arial"/>
          <w:b/>
          <w:bCs/>
          <w:color w:val="000000"/>
          <w:sz w:val="24"/>
          <w:szCs w:val="24"/>
        </w:rPr>
        <w:t>rozpočtová podpoložka 637 006 – Náhrady</w:t>
      </w:r>
      <w:r w:rsidR="00D33786" w:rsidRPr="00D33786">
        <w:rPr>
          <w:rFonts w:ascii="Arial Narrow" w:hAnsi="Arial Narrow" w:cs="Arial"/>
          <w:color w:val="000000"/>
          <w:sz w:val="24"/>
          <w:szCs w:val="24"/>
        </w:rPr>
        <w:t>;</w:t>
      </w:r>
    </w:p>
    <w:p w14:paraId="7C9BFDCE" w14:textId="5554253E" w:rsidR="00F0151C" w:rsidRPr="00D33786" w:rsidRDefault="00F0151C" w:rsidP="00E221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33786">
        <w:rPr>
          <w:rFonts w:ascii="Arial Narrow" w:hAnsi="Arial Narrow" w:cs="Arial"/>
          <w:color w:val="000000"/>
          <w:sz w:val="24"/>
          <w:szCs w:val="24"/>
        </w:rPr>
        <w:t>financovanie aktivít v rámci E</w:t>
      </w:r>
      <w:r w:rsidR="00D33786" w:rsidRPr="00D33786">
        <w:rPr>
          <w:rFonts w:ascii="Arial Narrow" w:hAnsi="Arial Narrow" w:cs="Arial"/>
          <w:color w:val="000000"/>
          <w:sz w:val="24"/>
          <w:szCs w:val="24"/>
        </w:rPr>
        <w:t xml:space="preserve">NRS </w:t>
      </w:r>
      <w:r w:rsidR="00E221BF" w:rsidRPr="00D33786">
        <w:rPr>
          <w:rFonts w:ascii="Arial Narrow" w:hAnsi="Arial Narrow" w:cs="Arial"/>
          <w:color w:val="000000"/>
          <w:sz w:val="24"/>
          <w:szCs w:val="24"/>
        </w:rPr>
        <w:t>v sume 50 000 €, ktoré sú rozpočtované na viacerých po</w:t>
      </w:r>
      <w:r w:rsidR="00D33786" w:rsidRPr="00D33786">
        <w:rPr>
          <w:rFonts w:ascii="Arial Narrow" w:hAnsi="Arial Narrow" w:cs="Arial"/>
          <w:color w:val="000000"/>
          <w:sz w:val="24"/>
          <w:szCs w:val="24"/>
        </w:rPr>
        <w:t>dpo</w:t>
      </w:r>
      <w:r w:rsidR="00E221BF" w:rsidRPr="00D33786">
        <w:rPr>
          <w:rFonts w:ascii="Arial Narrow" w:hAnsi="Arial Narrow" w:cs="Arial"/>
          <w:color w:val="000000"/>
          <w:sz w:val="24"/>
          <w:szCs w:val="24"/>
        </w:rPr>
        <w:t>ložkách.</w:t>
      </w:r>
    </w:p>
    <w:p w14:paraId="20DBF2FB" w14:textId="77777777" w:rsidR="00B74D5B" w:rsidRPr="006C1FC9" w:rsidRDefault="00B74D5B" w:rsidP="000F5CFF">
      <w:pPr>
        <w:pStyle w:val="Odsekzoznamu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38EA7BD7" w14:textId="56B75D1E" w:rsidR="006C1FC9" w:rsidRPr="006C1FC9" w:rsidRDefault="006C1FC9" w:rsidP="006C1FC9">
      <w:pPr>
        <w:jc w:val="both"/>
        <w:rPr>
          <w:rFonts w:ascii="Arial Narrow" w:hAnsi="Arial Narrow" w:cs="Arial"/>
        </w:rPr>
      </w:pPr>
      <w:r w:rsidRPr="006C1FC9">
        <w:rPr>
          <w:rFonts w:ascii="Arial Narrow" w:hAnsi="Arial Narrow" w:cs="Arial"/>
        </w:rPr>
        <w:t xml:space="preserve">Prostriedky na transfery jednotlivcom budú v roku 2025 v sume </w:t>
      </w:r>
      <w:r w:rsidR="009C6962">
        <w:rPr>
          <w:rFonts w:ascii="Arial Narrow" w:hAnsi="Arial Narrow" w:cs="Arial"/>
        </w:rPr>
        <w:t>5</w:t>
      </w:r>
      <w:r w:rsidRPr="006C1FC9">
        <w:rPr>
          <w:rFonts w:ascii="Arial Narrow" w:hAnsi="Arial Narrow" w:cs="Arial"/>
        </w:rPr>
        <w:t>4 000 eur prioritne použité na:</w:t>
      </w:r>
    </w:p>
    <w:p w14:paraId="169DB8DB" w14:textId="7F5957A3" w:rsidR="006C1FC9" w:rsidRPr="006C1FC9" w:rsidRDefault="006C1FC9" w:rsidP="006C1FC9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C1FC9">
        <w:rPr>
          <w:rFonts w:ascii="Arial Narrow" w:hAnsi="Arial Narrow" w:cs="Arial"/>
          <w:color w:val="000000"/>
          <w:sz w:val="24"/>
          <w:szCs w:val="24"/>
        </w:rPr>
        <w:t>výdavky na finančný príspevok na stravovanie zamestnancov ÚPN v sume 46 000 eur podľa platnej legislatívy,</w:t>
      </w:r>
      <w:r w:rsidRPr="006C1FC9">
        <w:t xml:space="preserve"> v</w:t>
      </w:r>
      <w:r w:rsidRPr="006C1FC9">
        <w:rPr>
          <w:rFonts w:ascii="Arial Narrow" w:hAnsi="Arial Narrow" w:cs="Arial"/>
          <w:color w:val="000000"/>
          <w:sz w:val="24"/>
          <w:szCs w:val="24"/>
        </w:rPr>
        <w:t xml:space="preserve"> súčasnej dobe poberá väčšina zamestnancov finančný príspevok na stravovanie (príspevok zamestnávateľa je</w:t>
      </w:r>
      <w:r w:rsidR="00A528A2">
        <w:rPr>
          <w:rFonts w:ascii="Arial Narrow" w:hAnsi="Arial Narrow" w:cs="Arial"/>
          <w:color w:val="000000"/>
          <w:sz w:val="24"/>
          <w:szCs w:val="24"/>
        </w:rPr>
        <w:t xml:space="preserve"> takmer</w:t>
      </w:r>
      <w:r w:rsidRPr="006C1FC9">
        <w:rPr>
          <w:rFonts w:ascii="Arial Narrow" w:hAnsi="Arial Narrow" w:cs="Arial"/>
          <w:color w:val="000000"/>
          <w:sz w:val="24"/>
          <w:szCs w:val="24"/>
        </w:rPr>
        <w:t xml:space="preserve"> na minimálnej povinnej hranici zo zákona).</w:t>
      </w:r>
    </w:p>
    <w:p w14:paraId="3BC9638E" w14:textId="77777777" w:rsidR="006C1FC9" w:rsidRPr="006C1FC9" w:rsidRDefault="006C1FC9" w:rsidP="006C1FC9">
      <w:pPr>
        <w:pStyle w:val="Odsekzoznamu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C1FC9">
        <w:rPr>
          <w:rFonts w:ascii="Arial Narrow" w:hAnsi="Arial Narrow" w:cs="Arial"/>
          <w:b/>
          <w:color w:val="000000"/>
          <w:sz w:val="24"/>
          <w:szCs w:val="24"/>
        </w:rPr>
        <w:t>rozpočtová podpoložka</w:t>
      </w:r>
      <w:r w:rsidRPr="006C1FC9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6C1FC9">
        <w:rPr>
          <w:rFonts w:ascii="Arial Narrow" w:hAnsi="Arial Narrow" w:cs="Arial"/>
          <w:b/>
          <w:color w:val="000000"/>
          <w:sz w:val="24"/>
          <w:szCs w:val="24"/>
        </w:rPr>
        <w:t>642 014 – Jednotlivcovi – finančný príspevok na stravovanie</w:t>
      </w:r>
      <w:r w:rsidRPr="006C1FC9">
        <w:rPr>
          <w:rFonts w:ascii="Arial Narrow" w:hAnsi="Arial Narrow" w:cs="Arial"/>
          <w:color w:val="000000"/>
          <w:sz w:val="24"/>
          <w:szCs w:val="24"/>
        </w:rPr>
        <w:t>;</w:t>
      </w:r>
    </w:p>
    <w:p w14:paraId="0E7D5CD2" w14:textId="77777777" w:rsidR="00AC4297" w:rsidRPr="006C1FC9" w:rsidRDefault="00AC4297" w:rsidP="00AC4297">
      <w:pPr>
        <w:jc w:val="both"/>
        <w:rPr>
          <w:rFonts w:ascii="Arial Narrow" w:hAnsi="Arial Narrow" w:cs="Arial"/>
        </w:rPr>
      </w:pPr>
    </w:p>
    <w:p w14:paraId="7A5E9AC2" w14:textId="68CCD43F" w:rsidR="00AC4297" w:rsidRPr="006C1FC9" w:rsidRDefault="00AC4297" w:rsidP="00AC4297">
      <w:pPr>
        <w:jc w:val="both"/>
        <w:rPr>
          <w:rFonts w:ascii="Arial Narrow" w:hAnsi="Arial Narrow" w:cs="Arial"/>
        </w:rPr>
      </w:pPr>
      <w:r w:rsidRPr="006C1FC9">
        <w:rPr>
          <w:rFonts w:ascii="Arial Narrow" w:hAnsi="Arial Narrow" w:cs="Arial"/>
        </w:rPr>
        <w:t xml:space="preserve">Ďalej budú finančné prostriedky v rámci </w:t>
      </w:r>
      <w:r w:rsidR="00F413D2" w:rsidRPr="0025759B">
        <w:rPr>
          <w:rFonts w:ascii="Arial Narrow" w:hAnsi="Arial Narrow" w:cs="Arial"/>
          <w:b/>
        </w:rPr>
        <w:t xml:space="preserve">kategórie </w:t>
      </w:r>
      <w:r w:rsidRPr="0025759B">
        <w:rPr>
          <w:rFonts w:ascii="Arial Narrow" w:hAnsi="Arial Narrow" w:cs="Arial"/>
          <w:b/>
        </w:rPr>
        <w:t xml:space="preserve">tovarov a </w:t>
      </w:r>
      <w:r w:rsidRPr="0040570D">
        <w:rPr>
          <w:rFonts w:ascii="Arial Narrow" w:hAnsi="Arial Narrow" w:cs="Arial"/>
        </w:rPr>
        <w:t>služieb (630)</w:t>
      </w:r>
      <w:r w:rsidRPr="006C1FC9">
        <w:rPr>
          <w:rFonts w:ascii="Arial Narrow" w:hAnsi="Arial Narrow" w:cs="Arial"/>
        </w:rPr>
        <w:t xml:space="preserve"> a</w:t>
      </w:r>
      <w:r w:rsidR="008C7BFD">
        <w:rPr>
          <w:rFonts w:ascii="Arial Narrow" w:hAnsi="Arial Narrow" w:cs="Arial"/>
        </w:rPr>
        <w:t> </w:t>
      </w:r>
      <w:r w:rsidR="008C7BFD" w:rsidRPr="0025759B">
        <w:rPr>
          <w:rFonts w:ascii="Arial Narrow" w:hAnsi="Arial Narrow" w:cs="Arial"/>
          <w:b/>
        </w:rPr>
        <w:t xml:space="preserve">bežných </w:t>
      </w:r>
      <w:r w:rsidRPr="0025759B">
        <w:rPr>
          <w:rFonts w:ascii="Arial Narrow" w:hAnsi="Arial Narrow" w:cs="Arial"/>
          <w:b/>
        </w:rPr>
        <w:t>transferov</w:t>
      </w:r>
      <w:r w:rsidR="008C7BFD">
        <w:rPr>
          <w:rFonts w:ascii="Arial Narrow" w:hAnsi="Arial Narrow" w:cs="Arial"/>
        </w:rPr>
        <w:t xml:space="preserve"> </w:t>
      </w:r>
      <w:r w:rsidRPr="0040570D">
        <w:rPr>
          <w:rFonts w:ascii="Arial Narrow" w:hAnsi="Arial Narrow" w:cs="Arial"/>
          <w:b/>
        </w:rPr>
        <w:t>(64</w:t>
      </w:r>
      <w:r w:rsidR="008C7BFD" w:rsidRPr="0040570D">
        <w:rPr>
          <w:rFonts w:ascii="Arial Narrow" w:hAnsi="Arial Narrow" w:cs="Arial"/>
          <w:b/>
        </w:rPr>
        <w:t>0</w:t>
      </w:r>
      <w:r w:rsidRPr="0040570D">
        <w:rPr>
          <w:rFonts w:ascii="Arial Narrow" w:hAnsi="Arial Narrow" w:cs="Arial"/>
          <w:b/>
        </w:rPr>
        <w:t>)</w:t>
      </w:r>
      <w:r w:rsidRPr="006C1FC9">
        <w:rPr>
          <w:rFonts w:ascii="Arial Narrow" w:hAnsi="Arial Narrow" w:cs="Arial"/>
        </w:rPr>
        <w:t xml:space="preserve"> použité na:</w:t>
      </w:r>
    </w:p>
    <w:p w14:paraId="2045C823" w14:textId="77777777" w:rsidR="00254A78" w:rsidRPr="006D1723" w:rsidRDefault="00254A78" w:rsidP="001D1FE6">
      <w:pPr>
        <w:jc w:val="both"/>
        <w:rPr>
          <w:rFonts w:ascii="Arial Narrow" w:hAnsi="Arial Narrow" w:cs="Arial"/>
          <w:highlight w:val="yellow"/>
        </w:rPr>
      </w:pPr>
    </w:p>
    <w:p w14:paraId="15DF94EC" w14:textId="1F12F9A5" w:rsidR="00254A78" w:rsidRPr="00DF5F8B" w:rsidRDefault="00254A78" w:rsidP="00254A78">
      <w:pPr>
        <w:jc w:val="both"/>
        <w:rPr>
          <w:rFonts w:ascii="Arial Narrow" w:hAnsi="Arial Narrow" w:cs="Arial"/>
          <w:b/>
        </w:rPr>
      </w:pPr>
      <w:r w:rsidRPr="00DF5F8B">
        <w:rPr>
          <w:rFonts w:ascii="Arial Narrow" w:hAnsi="Arial Narrow" w:cs="Arial"/>
          <w:b/>
        </w:rPr>
        <w:t>Cestovné náhrady (631)</w:t>
      </w:r>
    </w:p>
    <w:p w14:paraId="50BA4533" w14:textId="797FFC7E" w:rsidR="00DF5F8B" w:rsidRPr="00C80E9B" w:rsidRDefault="00DF5F8B" w:rsidP="00DF5F8B">
      <w:pPr>
        <w:jc w:val="both"/>
        <w:rPr>
          <w:rFonts w:ascii="Arial Narrow" w:hAnsi="Arial Narrow" w:cs="Arial"/>
        </w:rPr>
      </w:pPr>
      <w:r w:rsidRPr="00DF5F8B">
        <w:rPr>
          <w:rFonts w:ascii="Arial Narrow" w:hAnsi="Arial Narrow" w:cs="Arial"/>
        </w:rPr>
        <w:t xml:space="preserve">Výdavky na tuzemské pracovné cesty realizované zamestnancami ÚPN. Vzhľadom na súčasnú infláciu je vyššia výška výdavkov na tuzemské pracovné cesty ovplyvnená zvýšením náhrad súvisiacich s pracovnými cestami (opätovne vyššia výška stravného od 1. </w:t>
      </w:r>
      <w:r w:rsidR="00CE74C8">
        <w:rPr>
          <w:rFonts w:ascii="Arial Narrow" w:hAnsi="Arial Narrow" w:cs="Arial"/>
        </w:rPr>
        <w:t>septembra</w:t>
      </w:r>
      <w:r w:rsidRPr="00DF5F8B">
        <w:rPr>
          <w:rFonts w:ascii="Arial Narrow" w:hAnsi="Arial Narrow" w:cs="Arial"/>
        </w:rPr>
        <w:t xml:space="preserve"> 202</w:t>
      </w:r>
      <w:r w:rsidR="00CE74C8">
        <w:rPr>
          <w:rFonts w:ascii="Arial Narrow" w:hAnsi="Arial Narrow" w:cs="Arial"/>
        </w:rPr>
        <w:t>4</w:t>
      </w:r>
      <w:r w:rsidRPr="00DF5F8B">
        <w:rPr>
          <w:rFonts w:ascii="Arial Narrow" w:hAnsi="Arial Narrow" w:cs="Arial"/>
        </w:rPr>
        <w:t xml:space="preserve">, ubytovanie, cestovné </w:t>
      </w:r>
      <w:r w:rsidRPr="00DF5F8B">
        <w:rPr>
          <w:rFonts w:ascii="Arial Narrow" w:hAnsi="Arial Narrow" w:cs="Arial"/>
        </w:rPr>
        <w:br/>
        <w:t xml:space="preserve">a ostatné výdavky s tým súvisiace), ako aj vyšším počtom pracovných ciest. Zamestnanci realizujú archívny výskum, zaznamenávajú audiovizuálne svedectvá pamätníkov a podieľajú sa na vzdelávaní žiakov základných a stredných škôl a študentov na vysokých školách a univerzitách. Výdavky na zahraničné pracovné cesty realizované zamestnancami ÚPN. Zahraničné pracovné cesty zamestnancov ÚPN sa realizujú prevažne za účelom archívneho výskumu, výmeny informácií </w:t>
      </w:r>
      <w:r w:rsidRPr="00DF5F8B">
        <w:rPr>
          <w:rFonts w:ascii="Arial Narrow" w:hAnsi="Arial Narrow" w:cs="Arial"/>
        </w:rPr>
        <w:br/>
        <w:t xml:space="preserve">a </w:t>
      </w:r>
      <w:r w:rsidRPr="00C80E9B">
        <w:rPr>
          <w:rFonts w:ascii="Arial Narrow" w:hAnsi="Arial Narrow" w:cs="Arial"/>
        </w:rPr>
        <w:t>skúseností, ako aj nadviazania a upevňovania spolupráce s partnerskými inštitúciami v zahraničí.</w:t>
      </w:r>
    </w:p>
    <w:p w14:paraId="35BC4693" w14:textId="15413151" w:rsidR="00650DC9" w:rsidRPr="00C80E9B" w:rsidRDefault="00650DC9" w:rsidP="00B14E65">
      <w:pPr>
        <w:jc w:val="both"/>
        <w:rPr>
          <w:rFonts w:ascii="Arial Narrow" w:hAnsi="Arial Narrow" w:cs="Arial"/>
        </w:rPr>
      </w:pPr>
    </w:p>
    <w:p w14:paraId="2ADDFA4D" w14:textId="10AB9AA3" w:rsidR="003537C5" w:rsidRPr="00C80E9B" w:rsidRDefault="00AF14BF" w:rsidP="00066CE9">
      <w:pPr>
        <w:ind w:left="360" w:hanging="360"/>
        <w:jc w:val="both"/>
        <w:rPr>
          <w:rFonts w:ascii="Arial Narrow" w:hAnsi="Arial Narrow" w:cs="Arial"/>
          <w:b/>
        </w:rPr>
      </w:pPr>
      <w:r w:rsidRPr="00C80E9B">
        <w:rPr>
          <w:rFonts w:ascii="Arial Narrow" w:hAnsi="Arial Narrow" w:cs="Arial"/>
          <w:b/>
        </w:rPr>
        <w:t>E</w:t>
      </w:r>
      <w:r w:rsidR="000C0CF9" w:rsidRPr="00C80E9B">
        <w:rPr>
          <w:rFonts w:ascii="Arial Narrow" w:hAnsi="Arial Narrow" w:cs="Arial"/>
          <w:b/>
        </w:rPr>
        <w:t>nergie, voda a</w:t>
      </w:r>
      <w:r w:rsidR="00A75611" w:rsidRPr="00C80E9B">
        <w:rPr>
          <w:rFonts w:ascii="Arial Narrow" w:hAnsi="Arial Narrow" w:cs="Arial"/>
          <w:b/>
        </w:rPr>
        <w:t> </w:t>
      </w:r>
      <w:r w:rsidR="000C0CF9" w:rsidRPr="00C80E9B">
        <w:rPr>
          <w:rFonts w:ascii="Arial Narrow" w:hAnsi="Arial Narrow" w:cs="Arial"/>
          <w:b/>
        </w:rPr>
        <w:t>komunikácie</w:t>
      </w:r>
      <w:r w:rsidR="00A75611" w:rsidRPr="00C80E9B">
        <w:rPr>
          <w:rFonts w:ascii="Arial Narrow" w:hAnsi="Arial Narrow" w:cs="Arial"/>
          <w:b/>
        </w:rPr>
        <w:t xml:space="preserve"> (632)</w:t>
      </w:r>
    </w:p>
    <w:p w14:paraId="0CCF61C3" w14:textId="2EBE212A" w:rsidR="00C80E9B" w:rsidRPr="00C80E9B" w:rsidRDefault="00C80E9B" w:rsidP="00C80E9B">
      <w:pPr>
        <w:jc w:val="both"/>
        <w:rPr>
          <w:rFonts w:ascii="Arial Narrow" w:hAnsi="Arial Narrow" w:cs="Arial"/>
        </w:rPr>
      </w:pPr>
      <w:r w:rsidRPr="00C80E9B">
        <w:rPr>
          <w:rFonts w:ascii="Arial Narrow" w:hAnsi="Arial Narrow" w:cs="Arial"/>
          <w:bCs/>
        </w:rPr>
        <w:t xml:space="preserve">Výdavky na energie, vodné a stočné predstavujú náklady na elektrickú energiu a plyn a na vykurovanie kancelárskych priestorov v nájme a v nehnuteľnostiach, ktoré má ÚPN od roku 2021 v správe. Zabezpečenie energií, vody a pod. je potrebné aj v období prípravy rekonštrukcie nehnuteľností. </w:t>
      </w:r>
      <w:r w:rsidRPr="00C80E9B">
        <w:rPr>
          <w:rFonts w:ascii="Arial Narrow" w:hAnsi="Arial Narrow" w:cs="Arial"/>
        </w:rPr>
        <w:t>Náklady na poštové a kuriérske služby (odosielanie zásielok, komunikácia s verejnosťou v zmysle platnej legislatívy, odosielanie publikácií), pričom ceny za poštové služby v poslednom období opätovne vzrástli.</w:t>
      </w:r>
      <w:r w:rsidR="00213F92">
        <w:rPr>
          <w:rFonts w:ascii="Arial Narrow" w:hAnsi="Arial Narrow" w:cs="Arial"/>
        </w:rPr>
        <w:t xml:space="preserve"> </w:t>
      </w:r>
      <w:r w:rsidRPr="00C80E9B">
        <w:rPr>
          <w:rFonts w:ascii="Arial Narrow" w:hAnsi="Arial Narrow" w:cs="Arial"/>
        </w:rPr>
        <w:t xml:space="preserve">Výdavky na telekomunikačné služby zahŕňajú služby mobilného operátora a tiež pevných liniek z dôvodu nevyhnutnosti zabezpečenia komunikácie s verejnosťou a tiež v rámci inštitúcie. </w:t>
      </w:r>
    </w:p>
    <w:p w14:paraId="1EFA5C3E" w14:textId="62D27209" w:rsidR="0093753C" w:rsidRPr="00213F92" w:rsidRDefault="001110A2" w:rsidP="001D1FE6">
      <w:pPr>
        <w:jc w:val="both"/>
        <w:rPr>
          <w:rFonts w:ascii="Arial Narrow" w:hAnsi="Arial Narrow" w:cs="Arial"/>
        </w:rPr>
      </w:pPr>
      <w:r w:rsidRPr="006D1723">
        <w:rPr>
          <w:rFonts w:ascii="Arial Narrow" w:hAnsi="Arial Narrow" w:cs="Arial"/>
          <w:highlight w:val="yellow"/>
        </w:rPr>
        <w:t xml:space="preserve"> </w:t>
      </w:r>
    </w:p>
    <w:p w14:paraId="5107C651" w14:textId="7BA3BB0E" w:rsidR="00622A88" w:rsidRPr="00213F92" w:rsidRDefault="00622A88" w:rsidP="00622A88">
      <w:pPr>
        <w:rPr>
          <w:rFonts w:ascii="Arial Narrow" w:hAnsi="Arial Narrow" w:cs="Arial"/>
          <w:b/>
        </w:rPr>
      </w:pPr>
      <w:r w:rsidRPr="00213F92">
        <w:rPr>
          <w:rFonts w:ascii="Arial Narrow" w:hAnsi="Arial Narrow" w:cs="Arial"/>
          <w:b/>
        </w:rPr>
        <w:t>Materiál (633)</w:t>
      </w:r>
    </w:p>
    <w:p w14:paraId="4B2CD016" w14:textId="77777777" w:rsidR="00A528A2" w:rsidRDefault="00213F92" w:rsidP="0022760C">
      <w:pPr>
        <w:jc w:val="both"/>
        <w:rPr>
          <w:rFonts w:ascii="Arial Narrow" w:hAnsi="Arial Narrow" w:cs="Arial"/>
          <w:bCs/>
        </w:rPr>
      </w:pPr>
      <w:r w:rsidRPr="00213F92">
        <w:rPr>
          <w:rFonts w:ascii="Arial Narrow" w:hAnsi="Arial Narrow" w:cs="Arial"/>
          <w:bCs/>
        </w:rPr>
        <w:t xml:space="preserve">Výdavky za </w:t>
      </w:r>
      <w:r w:rsidRPr="00461D4A">
        <w:rPr>
          <w:rFonts w:ascii="Arial Narrow" w:hAnsi="Arial Narrow" w:cs="Arial"/>
          <w:bCs/>
        </w:rPr>
        <w:t xml:space="preserve">materiál predstavujú náklady na nákup a obnovu kancelárskeho nábytku vrátane kancelárskych stoličiek, na nákup nových počítačov, notebookov, tlačiarní, monitorov v rámci výmeny zastaranej techniky v oblasti </w:t>
      </w:r>
      <w:r w:rsidR="00461D4A" w:rsidRPr="00461D4A">
        <w:rPr>
          <w:rFonts w:ascii="Arial Narrow" w:hAnsi="Arial Narrow" w:cs="Arial"/>
          <w:bCs/>
        </w:rPr>
        <w:t>IT, na n</w:t>
      </w:r>
      <w:r w:rsidRPr="00461D4A">
        <w:rPr>
          <w:rFonts w:ascii="Arial Narrow" w:hAnsi="Arial Narrow" w:cs="Arial"/>
          <w:bCs/>
        </w:rPr>
        <w:t>ákup a obnov</w:t>
      </w:r>
      <w:r w:rsidR="00461D4A" w:rsidRPr="00461D4A">
        <w:rPr>
          <w:rFonts w:ascii="Arial Narrow" w:hAnsi="Arial Narrow" w:cs="Arial"/>
          <w:bCs/>
        </w:rPr>
        <w:t>u</w:t>
      </w:r>
      <w:r w:rsidRPr="00461D4A">
        <w:rPr>
          <w:rFonts w:ascii="Arial Narrow" w:hAnsi="Arial Narrow" w:cs="Arial"/>
          <w:bCs/>
        </w:rPr>
        <w:t xml:space="preserve"> zastaraných pevných telefónnych aparátov, mobilných telefónov, mobilných routerov, obstaranie zvukových a obrazových prostriedkov, kamier na </w:t>
      </w:r>
      <w:r w:rsidR="00461D4A">
        <w:rPr>
          <w:rFonts w:ascii="Arial Narrow" w:hAnsi="Arial Narrow" w:cs="Arial"/>
          <w:bCs/>
        </w:rPr>
        <w:t xml:space="preserve">zabezpečenie online </w:t>
      </w:r>
      <w:r w:rsidR="00461D4A" w:rsidRPr="00461D4A">
        <w:rPr>
          <w:rFonts w:ascii="Arial Narrow" w:hAnsi="Arial Narrow" w:cs="Arial"/>
          <w:bCs/>
        </w:rPr>
        <w:t xml:space="preserve">komunikácie. </w:t>
      </w:r>
    </w:p>
    <w:p w14:paraId="16192FF2" w14:textId="6CEC9569" w:rsidR="0022760C" w:rsidRPr="003B14E6" w:rsidRDefault="00461D4A" w:rsidP="0022760C">
      <w:pPr>
        <w:jc w:val="both"/>
        <w:rPr>
          <w:rFonts w:ascii="Arial Narrow" w:hAnsi="Arial Narrow" w:cs="Arial"/>
          <w:highlight w:val="cyan"/>
        </w:rPr>
      </w:pPr>
      <w:r w:rsidRPr="00461D4A">
        <w:rPr>
          <w:rFonts w:ascii="Arial Narrow" w:hAnsi="Arial Narrow" w:cs="Arial"/>
          <w:bCs/>
        </w:rPr>
        <w:lastRenderedPageBreak/>
        <w:t xml:space="preserve">Najväčšiu finančnú položku tvoria </w:t>
      </w:r>
      <w:r w:rsidR="00213F92" w:rsidRPr="00461D4A">
        <w:rPr>
          <w:rFonts w:ascii="Arial Narrow" w:hAnsi="Arial Narrow" w:cs="Arial"/>
        </w:rPr>
        <w:t xml:space="preserve">výdavky na kancelárske potreby, kancelársky papier, tlačivá a formuláre, tonery, čistiaci a hygienický materiál, dezinfekčné prostriedky a iný spotrebný materiál, ako aj </w:t>
      </w:r>
      <w:r w:rsidR="003F4929">
        <w:rPr>
          <w:rFonts w:ascii="Arial Narrow" w:hAnsi="Arial Narrow" w:cs="Arial"/>
        </w:rPr>
        <w:t xml:space="preserve">na </w:t>
      </w:r>
      <w:r w:rsidR="00213F92" w:rsidRPr="00461D4A">
        <w:rPr>
          <w:rFonts w:ascii="Arial Narrow" w:hAnsi="Arial Narrow" w:cs="Arial"/>
        </w:rPr>
        <w:t xml:space="preserve">zabezpečenie archívnych krabíc a dosiek z dôvodu nevyhnutnosti uloženia archívnych dokumentov získaných </w:t>
      </w:r>
      <w:r w:rsidRPr="00461D4A">
        <w:rPr>
          <w:rFonts w:ascii="Arial Narrow" w:hAnsi="Arial Narrow" w:cs="Arial"/>
        </w:rPr>
        <w:t xml:space="preserve">delimitáciou z iných inštitúcií, tiež </w:t>
      </w:r>
      <w:r w:rsidR="003F4929">
        <w:rPr>
          <w:rFonts w:ascii="Arial Narrow" w:hAnsi="Arial Narrow" w:cs="Arial"/>
        </w:rPr>
        <w:t xml:space="preserve">na </w:t>
      </w:r>
      <w:r w:rsidRPr="00461D4A">
        <w:rPr>
          <w:rFonts w:ascii="Arial Narrow" w:hAnsi="Arial Narrow" w:cs="Arial"/>
          <w:bCs/>
        </w:rPr>
        <w:t>n</w:t>
      </w:r>
      <w:r w:rsidR="00213F92" w:rsidRPr="00461D4A">
        <w:rPr>
          <w:rFonts w:ascii="Arial Narrow" w:hAnsi="Arial Narrow" w:cs="Arial"/>
        </w:rPr>
        <w:t>ákup odbornej literatúry a časopisov, najmä z oblasti informačných technológií, práva, prístup k judikatúre slovens</w:t>
      </w:r>
      <w:r w:rsidR="00EF1294">
        <w:rPr>
          <w:rFonts w:ascii="Arial Narrow" w:hAnsi="Arial Narrow" w:cs="Arial"/>
        </w:rPr>
        <w:t>kých súdov a legislatíve online, výdavky na n</w:t>
      </w:r>
      <w:r w:rsidR="00213F92" w:rsidRPr="00461D4A">
        <w:rPr>
          <w:rFonts w:ascii="Arial Narrow" w:hAnsi="Arial Narrow" w:cs="Arial"/>
        </w:rPr>
        <w:t xml:space="preserve">ákup odbornej literatúry vo </w:t>
      </w:r>
      <w:r w:rsidR="00213F92" w:rsidRPr="00EF1294">
        <w:rPr>
          <w:rFonts w:ascii="Arial Narrow" w:hAnsi="Arial Narrow" w:cs="Arial"/>
        </w:rPr>
        <w:t>vyššom počte vyhotovení</w:t>
      </w:r>
      <w:r w:rsidR="00EF1294" w:rsidRPr="00EF1294">
        <w:rPr>
          <w:rFonts w:ascii="Arial Narrow" w:hAnsi="Arial Narrow" w:cs="Arial"/>
        </w:rPr>
        <w:t xml:space="preserve"> a k</w:t>
      </w:r>
      <w:r w:rsidR="00213F92" w:rsidRPr="00EF1294">
        <w:rPr>
          <w:rFonts w:ascii="Arial Narrow" w:hAnsi="Arial Narrow" w:cs="Arial"/>
        </w:rPr>
        <w:t>omentáre k</w:t>
      </w:r>
      <w:r w:rsidR="00EF1294" w:rsidRPr="00EF1294">
        <w:rPr>
          <w:rFonts w:ascii="Arial Narrow" w:hAnsi="Arial Narrow" w:cs="Arial"/>
        </w:rPr>
        <w:t> </w:t>
      </w:r>
      <w:r w:rsidR="00213F92" w:rsidRPr="00EF1294">
        <w:rPr>
          <w:rFonts w:ascii="Arial Narrow" w:hAnsi="Arial Narrow" w:cs="Arial"/>
        </w:rPr>
        <w:t>zákonom</w:t>
      </w:r>
      <w:r w:rsidR="00EF1294" w:rsidRPr="00EF1294">
        <w:rPr>
          <w:rFonts w:ascii="Arial Narrow" w:hAnsi="Arial Narrow" w:cs="Arial"/>
        </w:rPr>
        <w:t>, ktoré</w:t>
      </w:r>
      <w:r w:rsidR="00213F92" w:rsidRPr="00EF1294">
        <w:rPr>
          <w:rFonts w:ascii="Arial Narrow" w:hAnsi="Arial Narrow" w:cs="Arial"/>
        </w:rPr>
        <w:t xml:space="preserve"> sú využívané pri dennej pracovnej činnosti viacerých odborov</w:t>
      </w:r>
      <w:r w:rsidR="00EF1294" w:rsidRPr="00EF1294">
        <w:rPr>
          <w:rFonts w:ascii="Arial Narrow" w:hAnsi="Arial Narrow" w:cs="Arial"/>
        </w:rPr>
        <w:t>, v</w:t>
      </w:r>
      <w:r w:rsidR="00213F92" w:rsidRPr="00EF1294">
        <w:rPr>
          <w:rFonts w:ascii="Arial Narrow" w:hAnsi="Arial Narrow" w:cs="Arial"/>
        </w:rPr>
        <w:t>ýdavky na obstaranie softvéru vrátane výdavkov na obstaranie licencií súvisiacich s používaním softvéru na výkon bezpečnostných operácií a zvýšenie stupňa bezpečnosti v oblasti informač</w:t>
      </w:r>
      <w:r w:rsidR="0022760C">
        <w:rPr>
          <w:rFonts w:ascii="Arial Narrow" w:hAnsi="Arial Narrow" w:cs="Arial"/>
        </w:rPr>
        <w:t xml:space="preserve">ných technológií, ako aj </w:t>
      </w:r>
      <w:r w:rsidR="0022760C" w:rsidRPr="0022760C">
        <w:rPr>
          <w:rFonts w:ascii="Arial Narrow" w:hAnsi="Arial Narrow" w:cs="Arial"/>
        </w:rPr>
        <w:t xml:space="preserve">výdavky na obstaranie licencií a majetkových práv predovšetkým k fotografiám používaným v rámci publikačnej činnosti ÚPN, ako aj licencie potrebné na odvysielanie filmov v rámci projektov ÚPN ako </w:t>
      </w:r>
      <w:r w:rsidR="0022760C" w:rsidRPr="0022760C">
        <w:rPr>
          <w:rFonts w:ascii="Arial Narrow" w:hAnsi="Arial Narrow" w:cs="Arial"/>
          <w:i/>
        </w:rPr>
        <w:t>Festival slobody</w:t>
      </w:r>
      <w:r w:rsidR="0022760C" w:rsidRPr="0022760C">
        <w:rPr>
          <w:rFonts w:ascii="Arial Narrow" w:hAnsi="Arial Narrow" w:cs="Arial"/>
        </w:rPr>
        <w:t xml:space="preserve">. </w:t>
      </w:r>
    </w:p>
    <w:p w14:paraId="58ABA08D" w14:textId="14E41DB3" w:rsidR="00213F92" w:rsidRPr="00EF1294" w:rsidRDefault="00213F92" w:rsidP="00213F92">
      <w:pPr>
        <w:jc w:val="both"/>
        <w:rPr>
          <w:rFonts w:ascii="Arial Narrow" w:hAnsi="Arial Narrow" w:cs="Arial"/>
          <w:bCs/>
        </w:rPr>
      </w:pPr>
    </w:p>
    <w:p w14:paraId="2E48ECAB" w14:textId="708FE061" w:rsidR="00A874E2" w:rsidRPr="0022760C" w:rsidRDefault="00A874E2" w:rsidP="00A874E2">
      <w:pPr>
        <w:jc w:val="both"/>
        <w:rPr>
          <w:rFonts w:ascii="Arial Narrow" w:hAnsi="Arial Narrow" w:cs="Arial"/>
          <w:b/>
          <w:bCs/>
        </w:rPr>
      </w:pPr>
      <w:r w:rsidRPr="0022760C">
        <w:rPr>
          <w:rFonts w:ascii="Arial Narrow" w:hAnsi="Arial Narrow" w:cs="Arial"/>
          <w:b/>
          <w:bCs/>
        </w:rPr>
        <w:t>Dopravné (634)</w:t>
      </w:r>
    </w:p>
    <w:p w14:paraId="5A9FCB9E" w14:textId="6B5FDF5C" w:rsidR="00551CA3" w:rsidRPr="000B0D7D" w:rsidRDefault="00551CA3" w:rsidP="00A874E2">
      <w:pPr>
        <w:jc w:val="both"/>
        <w:rPr>
          <w:rFonts w:ascii="Arial Narrow" w:hAnsi="Arial Narrow" w:cs="Arial"/>
          <w:b/>
          <w:bCs/>
        </w:rPr>
      </w:pPr>
      <w:r w:rsidRPr="0022760C">
        <w:rPr>
          <w:rFonts w:ascii="Arial Narrow" w:hAnsi="Arial Narrow" w:cs="Arial"/>
        </w:rPr>
        <w:t xml:space="preserve">Zahŕňa nákup </w:t>
      </w:r>
      <w:r w:rsidR="0022760C" w:rsidRPr="0022760C">
        <w:rPr>
          <w:rFonts w:ascii="Arial Narrow" w:hAnsi="Arial Narrow" w:cs="Arial"/>
        </w:rPr>
        <w:t xml:space="preserve">pohonných hmôt a olejov do služobných motorových vozidiel, ktoré sa využívajú predovšetkým </w:t>
      </w:r>
      <w:r w:rsidR="0022760C" w:rsidRPr="000B0D7D">
        <w:rPr>
          <w:rFonts w:ascii="Arial Narrow" w:hAnsi="Arial Narrow" w:cs="Arial"/>
        </w:rPr>
        <w:t>pri vykonávaní pracovných ciest a bežnej prevádzky ÚPN</w:t>
      </w:r>
      <w:r w:rsidRPr="000B0D7D">
        <w:rPr>
          <w:rFonts w:ascii="Arial Narrow" w:hAnsi="Arial Narrow" w:cs="Arial"/>
        </w:rPr>
        <w:t xml:space="preserve">, vykonanie servisných prác na motorových vozidlách, </w:t>
      </w:r>
      <w:r w:rsidR="0022760C" w:rsidRPr="000B0D7D">
        <w:rPr>
          <w:rFonts w:ascii="Arial Narrow" w:hAnsi="Arial Narrow" w:cs="Arial"/>
        </w:rPr>
        <w:t xml:space="preserve">STK a EK a sezónna výmena a </w:t>
      </w:r>
      <w:r w:rsidR="00927186">
        <w:rPr>
          <w:rFonts w:ascii="Arial Narrow" w:hAnsi="Arial Narrow" w:cs="Arial"/>
        </w:rPr>
        <w:t>uskladnenie pneumatík</w:t>
      </w:r>
      <w:r w:rsidRPr="000B0D7D">
        <w:rPr>
          <w:rFonts w:ascii="Arial Narrow" w:hAnsi="Arial Narrow" w:cs="Arial"/>
        </w:rPr>
        <w:t>, výdavky na servis a údržbu služobných motorových vozidiel, ktorých servis a údržba sú vzhľadom na ich vek a najazdené kilometre v niektorých prípadoch vyššie. Vozový park sa v posledných rokoch obmieňa, ale staršie vozidlá si vyžadujú zvýšené výdavky na oprav</w:t>
      </w:r>
      <w:r w:rsidR="00927186">
        <w:rPr>
          <w:rFonts w:ascii="Arial Narrow" w:hAnsi="Arial Narrow" w:cs="Arial"/>
        </w:rPr>
        <w:t xml:space="preserve">y a údržbu. ÚPN má v súčasnosti </w:t>
      </w:r>
      <w:r w:rsidRPr="000B0D7D">
        <w:rPr>
          <w:rFonts w:ascii="Arial Narrow" w:hAnsi="Arial Narrow" w:cs="Arial"/>
        </w:rPr>
        <w:t xml:space="preserve">v správe </w:t>
      </w:r>
      <w:r w:rsidR="000B0D7D" w:rsidRPr="000B0D7D">
        <w:rPr>
          <w:rFonts w:ascii="Arial Narrow" w:hAnsi="Arial Narrow" w:cs="Arial"/>
        </w:rPr>
        <w:t>päť</w:t>
      </w:r>
      <w:r w:rsidRPr="000B0D7D">
        <w:rPr>
          <w:rFonts w:ascii="Arial Narrow" w:hAnsi="Arial Narrow" w:cs="Arial"/>
        </w:rPr>
        <w:t xml:space="preserve"> vozidiel, na ktoré platí povinné zmluvné poistenie a havarijné poistenie</w:t>
      </w:r>
      <w:r w:rsidR="007E4247" w:rsidRPr="000B0D7D">
        <w:rPr>
          <w:rFonts w:ascii="Arial Narrow" w:hAnsi="Arial Narrow" w:cs="Arial"/>
        </w:rPr>
        <w:t xml:space="preserve"> </w:t>
      </w:r>
      <w:r w:rsidR="000B0D7D" w:rsidRPr="000B0D7D">
        <w:rPr>
          <w:rFonts w:ascii="Arial Narrow" w:hAnsi="Arial Narrow" w:cs="Arial"/>
        </w:rPr>
        <w:t>pre služobné motorové vozidlá v zmysle platnej legislatívy</w:t>
      </w:r>
      <w:r w:rsidR="00CD303D">
        <w:rPr>
          <w:rFonts w:ascii="Arial Narrow" w:hAnsi="Arial Narrow" w:cs="Arial"/>
        </w:rPr>
        <w:t>, prenájom úžitkového vozidla</w:t>
      </w:r>
      <w:r w:rsidR="007E4247" w:rsidRPr="000B0D7D">
        <w:rPr>
          <w:rFonts w:ascii="Arial Narrow" w:hAnsi="Arial Narrow" w:cs="Arial"/>
        </w:rPr>
        <w:t xml:space="preserve"> a</w:t>
      </w:r>
      <w:r w:rsidRPr="000B0D7D">
        <w:rPr>
          <w:rFonts w:ascii="Arial Narrow" w:hAnsi="Arial Narrow" w:cs="Arial"/>
        </w:rPr>
        <w:t xml:space="preserve"> taktiež </w:t>
      </w:r>
      <w:r w:rsidR="00AA632B" w:rsidRPr="000B0D7D">
        <w:rPr>
          <w:rFonts w:ascii="Arial Narrow" w:hAnsi="Arial Narrow" w:cs="Arial"/>
        </w:rPr>
        <w:t xml:space="preserve">zahŕňa </w:t>
      </w:r>
      <w:r w:rsidRPr="000B0D7D">
        <w:rPr>
          <w:rFonts w:ascii="Arial Narrow" w:hAnsi="Arial Narrow" w:cs="Arial"/>
        </w:rPr>
        <w:t>výdavky na diaľničné známky, parkovacie karty, parkovanie a letiskové poplatky</w:t>
      </w:r>
      <w:r w:rsidR="0032573D" w:rsidRPr="000B0D7D">
        <w:rPr>
          <w:rFonts w:ascii="Arial Narrow" w:hAnsi="Arial Narrow" w:cs="Arial"/>
        </w:rPr>
        <w:t>.</w:t>
      </w:r>
    </w:p>
    <w:p w14:paraId="465361A8" w14:textId="77777777" w:rsidR="00F75A2F" w:rsidRPr="006D1723" w:rsidRDefault="00F75A2F" w:rsidP="0037093F">
      <w:pPr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14:paraId="4CDAF6A6" w14:textId="067492E0" w:rsidR="00377F4C" w:rsidRPr="0058683A" w:rsidRDefault="00377F4C" w:rsidP="00377F4C">
      <w:pPr>
        <w:jc w:val="both"/>
        <w:rPr>
          <w:rFonts w:ascii="Arial Narrow" w:hAnsi="Arial Narrow" w:cs="Arial"/>
          <w:b/>
          <w:bCs/>
        </w:rPr>
      </w:pPr>
      <w:bookmarkStart w:id="3" w:name="_Hlk103466202"/>
      <w:r w:rsidRPr="0058683A">
        <w:rPr>
          <w:rFonts w:ascii="Arial Narrow" w:hAnsi="Arial Narrow" w:cs="Arial"/>
          <w:b/>
          <w:bCs/>
        </w:rPr>
        <w:t>Rutinná a štandardná údržba (635)</w:t>
      </w:r>
    </w:p>
    <w:p w14:paraId="0EC0B989" w14:textId="31968387" w:rsidR="0032573D" w:rsidRPr="006D1723" w:rsidRDefault="0032573D" w:rsidP="0058683A">
      <w:pPr>
        <w:jc w:val="both"/>
        <w:rPr>
          <w:rFonts w:ascii="Arial Narrow" w:hAnsi="Arial Narrow" w:cs="Arial"/>
          <w:highlight w:val="yellow"/>
        </w:rPr>
      </w:pPr>
      <w:r w:rsidRPr="0058683A">
        <w:rPr>
          <w:rFonts w:ascii="Arial Narrow" w:hAnsi="Arial Narrow" w:cs="Arial"/>
        </w:rPr>
        <w:t xml:space="preserve">V položke sú výdavky na údržbu výpočtovej techniky, ktorú ÚPN využíva, údržbu a </w:t>
      </w:r>
      <w:r w:rsidR="0058683A" w:rsidRPr="0058683A">
        <w:rPr>
          <w:rFonts w:ascii="Arial Narrow" w:hAnsi="Arial Narrow" w:cs="Arial"/>
        </w:rPr>
        <w:t>servis zariadení (záložný zdroj a pod.</w:t>
      </w:r>
      <w:r w:rsidRPr="0058683A">
        <w:rPr>
          <w:rFonts w:ascii="Arial Narrow" w:hAnsi="Arial Narrow" w:cs="Arial"/>
        </w:rPr>
        <w:t>), servisné zásahy, oprava PC, serverov, sieťovej infraštruktúry, výmena náhradných dielov a inej drobnej výpočtovej techniky, náklady na opravu a servis kopírovacích strojov, tlačiarní, elektrospotrebičov, u ktorých sa predpokladá rýchl</w:t>
      </w:r>
      <w:r w:rsidR="00927186">
        <w:rPr>
          <w:rFonts w:ascii="Arial Narrow" w:hAnsi="Arial Narrow" w:cs="Arial"/>
        </w:rPr>
        <w:t xml:space="preserve">ejšie opotrebovanie komponentov </w:t>
      </w:r>
      <w:r w:rsidRPr="0058683A">
        <w:rPr>
          <w:rFonts w:ascii="Arial Narrow" w:hAnsi="Arial Narrow" w:cs="Arial"/>
        </w:rPr>
        <w:t>a častejšia údržba, výdavky na údržbu majetku,</w:t>
      </w:r>
      <w:r w:rsidRPr="0058683A">
        <w:t xml:space="preserve"> </w:t>
      </w:r>
      <w:r w:rsidRPr="0058683A">
        <w:rPr>
          <w:rFonts w:ascii="Arial Narrow" w:hAnsi="Arial Narrow" w:cs="Arial"/>
        </w:rPr>
        <w:t xml:space="preserve">ktoré súvisia </w:t>
      </w:r>
      <w:r w:rsidR="0058683A" w:rsidRPr="0058683A">
        <w:rPr>
          <w:rFonts w:ascii="Arial Narrow" w:hAnsi="Arial Narrow" w:cs="Arial"/>
        </w:rPr>
        <w:t xml:space="preserve">so správou nehnuteľností v nasledujúcom období (do ukončenia rekonštrukcie a presťahovania ÚPN do nových priestorov) </w:t>
      </w:r>
      <w:r w:rsidRPr="0058683A">
        <w:rPr>
          <w:rFonts w:ascii="Arial Narrow" w:hAnsi="Arial Narrow" w:cs="Arial"/>
        </w:rPr>
        <w:t>a pôjde predovšetkým o zabezpečenie udržiavania areálu (</w:t>
      </w:r>
      <w:r w:rsidR="0058683A" w:rsidRPr="0058683A">
        <w:rPr>
          <w:rFonts w:ascii="Arial Narrow" w:hAnsi="Arial Narrow" w:cs="Arial"/>
        </w:rPr>
        <w:t>zabezpečenie ochrany nehnuteľností, kosenie</w:t>
      </w:r>
      <w:r w:rsidR="00927186">
        <w:rPr>
          <w:rFonts w:ascii="Arial Narrow" w:hAnsi="Arial Narrow" w:cs="Arial"/>
        </w:rPr>
        <w:t xml:space="preserve"> a celková </w:t>
      </w:r>
      <w:r w:rsidR="0058683A" w:rsidRPr="0058683A">
        <w:rPr>
          <w:rFonts w:ascii="Arial Narrow" w:hAnsi="Arial Narrow" w:cs="Arial"/>
        </w:rPr>
        <w:t>starostlivosť o zeleň, prípadne odhŕňanie snehu</w:t>
      </w:r>
      <w:r w:rsidRPr="0058683A">
        <w:rPr>
          <w:rFonts w:ascii="Arial Narrow" w:hAnsi="Arial Narrow" w:cs="Arial"/>
        </w:rPr>
        <w:t>). Rozpočtové prostriedky sú tiež potrebné na aktualizáciu účtovného programu, mzdového programu a právnych programov, aktualizáciu antivírusového softvéru, na certifikáty a licencie a </w:t>
      </w:r>
      <w:r w:rsidR="0058683A" w:rsidRPr="0058683A">
        <w:rPr>
          <w:rFonts w:ascii="Arial Narrow" w:hAnsi="Arial Narrow" w:cs="Arial"/>
        </w:rPr>
        <w:t>ďalšieho softvérového vybav</w:t>
      </w:r>
      <w:r w:rsidR="0058683A" w:rsidRPr="005A0658">
        <w:rPr>
          <w:rFonts w:ascii="Arial Narrow" w:hAnsi="Arial Narrow" w:cs="Arial"/>
        </w:rPr>
        <w:t>enia</w:t>
      </w:r>
      <w:r w:rsidRPr="005A0658">
        <w:rPr>
          <w:rFonts w:ascii="Arial Narrow" w:hAnsi="Arial Narrow" w:cs="Arial"/>
        </w:rPr>
        <w:t>, ako aj na údržbu softvéru, ktorý ÚPN využíva (správa systémov a</w:t>
      </w:r>
      <w:r w:rsidR="008D62D4">
        <w:rPr>
          <w:rFonts w:ascii="Arial Narrow" w:hAnsi="Arial Narrow" w:cs="Arial"/>
        </w:rPr>
        <w:t> </w:t>
      </w:r>
      <w:r w:rsidRPr="005A0658">
        <w:rPr>
          <w:rFonts w:ascii="Arial Narrow" w:hAnsi="Arial Narrow" w:cs="Arial"/>
        </w:rPr>
        <w:t>data</w:t>
      </w:r>
      <w:r w:rsidR="008D62D4">
        <w:rPr>
          <w:rFonts w:ascii="Arial Narrow" w:hAnsi="Arial Narrow" w:cs="Arial"/>
        </w:rPr>
        <w:t>báz) a na</w:t>
      </w:r>
      <w:r w:rsidRPr="005A0658">
        <w:rPr>
          <w:rFonts w:ascii="Arial Narrow" w:hAnsi="Arial Narrow" w:cs="Arial"/>
        </w:rPr>
        <w:t xml:space="preserve"> podporu aplikačného programového vybavenia, ktoré sa využíva pre </w:t>
      </w:r>
      <w:r w:rsidR="008D62D4">
        <w:rPr>
          <w:rFonts w:ascii="Arial Narrow" w:hAnsi="Arial Narrow" w:cs="Arial"/>
        </w:rPr>
        <w:t>ekonomické a podporné činnosti.</w:t>
      </w:r>
    </w:p>
    <w:bookmarkEnd w:id="3"/>
    <w:p w14:paraId="5FDBA525" w14:textId="77777777" w:rsidR="00C52040" w:rsidRPr="000B0D7D" w:rsidRDefault="00C52040" w:rsidP="00377F4C">
      <w:pPr>
        <w:jc w:val="both"/>
        <w:rPr>
          <w:rFonts w:ascii="Arial Narrow" w:hAnsi="Arial Narrow" w:cs="Arial"/>
          <w:b/>
          <w:bCs/>
        </w:rPr>
      </w:pPr>
    </w:p>
    <w:p w14:paraId="60D544D0" w14:textId="29262BAE" w:rsidR="00467F65" w:rsidRPr="000B0D7D" w:rsidRDefault="000732B2" w:rsidP="001D1FE6">
      <w:pPr>
        <w:jc w:val="both"/>
        <w:rPr>
          <w:rFonts w:ascii="Arial Narrow" w:hAnsi="Arial Narrow" w:cs="Arial"/>
          <w:b/>
        </w:rPr>
      </w:pPr>
      <w:r w:rsidRPr="000B0D7D">
        <w:rPr>
          <w:rFonts w:ascii="Arial Narrow" w:hAnsi="Arial Narrow" w:cs="Arial"/>
          <w:b/>
        </w:rPr>
        <w:t>Nájomné za nájom</w:t>
      </w:r>
      <w:r w:rsidR="00AB3215" w:rsidRPr="000B0D7D">
        <w:rPr>
          <w:rFonts w:ascii="Arial Narrow" w:hAnsi="Arial Narrow" w:cs="Arial"/>
          <w:b/>
        </w:rPr>
        <w:t xml:space="preserve"> (636)</w:t>
      </w:r>
    </w:p>
    <w:p w14:paraId="4C046578" w14:textId="4E69E80E" w:rsidR="000B0D7D" w:rsidRPr="000B0D7D" w:rsidRDefault="003367C4" w:rsidP="000B0D7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Položka predstavuje nájom </w:t>
      </w:r>
      <w:r w:rsidR="00814BC9" w:rsidRPr="000B0D7D">
        <w:rPr>
          <w:rFonts w:ascii="Arial Narrow" w:hAnsi="Arial Narrow" w:cs="Arial"/>
        </w:rPr>
        <w:t xml:space="preserve">za </w:t>
      </w:r>
      <w:r>
        <w:rPr>
          <w:rFonts w:ascii="Arial Narrow" w:hAnsi="Arial Narrow" w:cs="Arial"/>
        </w:rPr>
        <w:t>využívané priestory</w:t>
      </w:r>
      <w:r w:rsidR="000B0D7D" w:rsidRPr="000B0D7D">
        <w:rPr>
          <w:rFonts w:ascii="Arial Narrow" w:hAnsi="Arial Narrow" w:cs="Arial"/>
        </w:rPr>
        <w:t>, ako aj prenájom priestorov na podujatiach ÚPN</w:t>
      </w:r>
      <w:r>
        <w:rPr>
          <w:rFonts w:ascii="Arial Narrow" w:hAnsi="Arial Narrow" w:cs="Arial"/>
        </w:rPr>
        <w:t>, tiež</w:t>
      </w:r>
      <w:r w:rsidR="000B0D7D" w:rsidRPr="000B0D7D">
        <w:rPr>
          <w:rFonts w:ascii="Arial Narrow" w:hAnsi="Arial Narrow" w:cs="Arial"/>
        </w:rPr>
        <w:t xml:space="preserve"> </w:t>
      </w:r>
      <w:r w:rsidR="00814BC9" w:rsidRPr="000B0D7D">
        <w:rPr>
          <w:rFonts w:ascii="Arial Narrow" w:hAnsi="Arial Narrow" w:cs="Arial"/>
        </w:rPr>
        <w:t xml:space="preserve">prenájom </w:t>
      </w:r>
      <w:r w:rsidR="000B0D7D" w:rsidRPr="000B0D7D">
        <w:rPr>
          <w:rFonts w:ascii="Arial Narrow" w:hAnsi="Arial Narrow" w:cs="Arial"/>
        </w:rPr>
        <w:t xml:space="preserve">uzamykateľných priečinkov, </w:t>
      </w:r>
      <w:r w:rsidR="00B80D7C">
        <w:rPr>
          <w:rFonts w:ascii="Arial Narrow" w:hAnsi="Arial Narrow" w:cs="Arial"/>
        </w:rPr>
        <w:t>prenájom priečinku na pošte a</w:t>
      </w:r>
      <w:r w:rsidR="000B0D7D" w:rsidRPr="000B0D7D">
        <w:rPr>
          <w:rFonts w:ascii="Arial Narrow" w:hAnsi="Arial Narrow" w:cs="Arial"/>
        </w:rPr>
        <w:t xml:space="preserve"> prenájom zásobníkov na pitnú vodu pre zamestnancov</w:t>
      </w:r>
      <w:r w:rsidR="00D553D0" w:rsidRPr="000B0D7D">
        <w:rPr>
          <w:rFonts w:ascii="Arial Narrow" w:hAnsi="Arial Narrow" w:cs="Arial"/>
        </w:rPr>
        <w:t>.</w:t>
      </w:r>
    </w:p>
    <w:p w14:paraId="5FB585D5" w14:textId="77777777" w:rsidR="000B0D7D" w:rsidRPr="005524A8" w:rsidRDefault="000B0D7D" w:rsidP="000B0D7D">
      <w:pPr>
        <w:jc w:val="both"/>
        <w:rPr>
          <w:rFonts w:ascii="Arial Narrow" w:hAnsi="Arial Narrow" w:cs="Arial"/>
        </w:rPr>
      </w:pPr>
    </w:p>
    <w:p w14:paraId="52B6B962" w14:textId="1AFD0DF1" w:rsidR="00EC441B" w:rsidRPr="005524A8" w:rsidRDefault="00E472F2" w:rsidP="00EC441B">
      <w:pPr>
        <w:ind w:left="360" w:hanging="360"/>
        <w:jc w:val="both"/>
        <w:rPr>
          <w:rFonts w:ascii="Arial Narrow" w:hAnsi="Arial Narrow" w:cs="Arial"/>
          <w:b/>
        </w:rPr>
      </w:pPr>
      <w:r w:rsidRPr="005524A8">
        <w:rPr>
          <w:rFonts w:ascii="Arial Narrow" w:hAnsi="Arial Narrow" w:cs="Arial"/>
          <w:b/>
        </w:rPr>
        <w:t xml:space="preserve">Služby </w:t>
      </w:r>
      <w:r w:rsidR="00EC441B" w:rsidRPr="005524A8">
        <w:rPr>
          <w:rFonts w:ascii="Arial Narrow" w:hAnsi="Arial Narrow" w:cs="Arial"/>
          <w:b/>
        </w:rPr>
        <w:t>(63</w:t>
      </w:r>
      <w:r w:rsidRPr="005524A8">
        <w:rPr>
          <w:rFonts w:ascii="Arial Narrow" w:hAnsi="Arial Narrow" w:cs="Arial"/>
          <w:b/>
        </w:rPr>
        <w:t>7</w:t>
      </w:r>
      <w:r w:rsidR="00EC441B" w:rsidRPr="005524A8">
        <w:rPr>
          <w:rFonts w:ascii="Arial Narrow" w:hAnsi="Arial Narrow" w:cs="Arial"/>
          <w:b/>
        </w:rPr>
        <w:t>)</w:t>
      </w:r>
    </w:p>
    <w:p w14:paraId="4DDFD1F1" w14:textId="77777777" w:rsidR="00927186" w:rsidRDefault="00814BC9" w:rsidP="006105D6">
      <w:pPr>
        <w:jc w:val="both"/>
        <w:rPr>
          <w:rFonts w:ascii="Arial Narrow" w:hAnsi="Arial Narrow" w:cs="Arial"/>
          <w:bCs/>
        </w:rPr>
      </w:pPr>
      <w:r w:rsidRPr="005524A8">
        <w:rPr>
          <w:rFonts w:ascii="Arial Narrow" w:hAnsi="Arial Narrow" w:cs="Arial"/>
          <w:bCs/>
        </w:rPr>
        <w:t xml:space="preserve">Vo výdavkoch na služby sú v návrhu započítané výdavky </w:t>
      </w:r>
      <w:r w:rsidR="009F5639" w:rsidRPr="005524A8">
        <w:rPr>
          <w:rFonts w:ascii="Arial Narrow" w:hAnsi="Arial Narrow" w:cs="Arial"/>
          <w:bCs/>
        </w:rPr>
        <w:t xml:space="preserve">na školenia a semináre, </w:t>
      </w:r>
      <w:r w:rsidRPr="005524A8">
        <w:rPr>
          <w:rFonts w:ascii="Arial Narrow" w:hAnsi="Arial Narrow" w:cs="Arial"/>
          <w:bCs/>
        </w:rPr>
        <w:t>prípravu a realizáciu výstav, seminárov, konferencií (aj s medzinárodnou účasťou), sympózií zameraných na činnosť ÚPN, diskusných večerov</w:t>
      </w:r>
      <w:r w:rsidR="006105D6" w:rsidRPr="005524A8">
        <w:rPr>
          <w:rFonts w:ascii="Arial Narrow" w:hAnsi="Arial Narrow" w:cs="Arial"/>
          <w:bCs/>
        </w:rPr>
        <w:t>, ako aj účasť na konferenciách a sympóziách zameraných na činnosť ÚPN, informačnú a kybernetickú bezpečnosť</w:t>
      </w:r>
      <w:r w:rsidRPr="005524A8">
        <w:rPr>
          <w:rFonts w:ascii="Arial Narrow" w:hAnsi="Arial Narrow" w:cs="Arial"/>
          <w:bCs/>
        </w:rPr>
        <w:t xml:space="preserve"> a pod., výdavky</w:t>
      </w:r>
      <w:r w:rsidR="006C1D5A" w:rsidRPr="005524A8">
        <w:rPr>
          <w:rFonts w:ascii="Arial Narrow" w:hAnsi="Arial Narrow" w:cs="Arial"/>
        </w:rPr>
        <w:t xml:space="preserve"> na realizáciu prípravy a tlače publikácií, časopisu </w:t>
      </w:r>
      <w:r w:rsidR="006C1D5A" w:rsidRPr="005524A8">
        <w:rPr>
          <w:rFonts w:ascii="Arial Narrow" w:hAnsi="Arial Narrow" w:cs="Arial"/>
          <w:i/>
        </w:rPr>
        <w:t>Pamäť národa</w:t>
      </w:r>
      <w:r w:rsidR="006C1D5A" w:rsidRPr="005524A8">
        <w:rPr>
          <w:rFonts w:ascii="Arial Narrow" w:hAnsi="Arial Narrow" w:cs="Arial"/>
        </w:rPr>
        <w:t xml:space="preserve">, </w:t>
      </w:r>
      <w:r w:rsidR="005524A8" w:rsidRPr="005524A8">
        <w:rPr>
          <w:rFonts w:ascii="Arial Narrow" w:hAnsi="Arial Narrow" w:cs="Arial"/>
        </w:rPr>
        <w:t>na propagačnú činnosť</w:t>
      </w:r>
      <w:r w:rsidR="005524A8" w:rsidRPr="005524A8">
        <w:rPr>
          <w:rFonts w:ascii="Arial Narrow" w:hAnsi="Arial Narrow" w:cs="Arial"/>
          <w:bCs/>
        </w:rPr>
        <w:t>, kde je informovanie mierené aj na kategóriu mladšej generácie, detí a mládeže a to aj inou formou, napr. vo verejno-právnych médiách</w:t>
      </w:r>
      <w:r w:rsidR="00927186">
        <w:rPr>
          <w:rFonts w:ascii="Arial Narrow" w:hAnsi="Arial Narrow" w:cs="Arial"/>
          <w:bCs/>
        </w:rPr>
        <w:t>, náklady na reklamu a inzerciu.</w:t>
      </w:r>
    </w:p>
    <w:p w14:paraId="11C592C5" w14:textId="26182149" w:rsidR="00BA135F" w:rsidRPr="003B14E6" w:rsidRDefault="00927186" w:rsidP="006105D6">
      <w:pPr>
        <w:jc w:val="both"/>
        <w:rPr>
          <w:rFonts w:ascii="Arial Narrow" w:hAnsi="Arial Narrow" w:cs="Arial"/>
          <w:highlight w:val="cyan"/>
        </w:rPr>
      </w:pPr>
      <w:r>
        <w:rPr>
          <w:rFonts w:ascii="Arial Narrow" w:hAnsi="Arial Narrow" w:cs="Arial"/>
          <w:bCs/>
        </w:rPr>
        <w:lastRenderedPageBreak/>
        <w:t>Ď</w:t>
      </w:r>
      <w:r w:rsidR="006C1D5A" w:rsidRPr="005524A8">
        <w:rPr>
          <w:rFonts w:ascii="Arial Narrow" w:hAnsi="Arial Narrow" w:cs="Arial"/>
        </w:rPr>
        <w:t xml:space="preserve">alej výdavky na služby </w:t>
      </w:r>
      <w:r>
        <w:rPr>
          <w:rFonts w:ascii="Arial Narrow" w:hAnsi="Arial Narrow" w:cs="Arial"/>
        </w:rPr>
        <w:t>v rámci bežnej činnosti ÚPN</w:t>
      </w:r>
      <w:r w:rsidR="0053506D" w:rsidRPr="005524A8">
        <w:rPr>
          <w:rFonts w:ascii="Arial Narrow" w:hAnsi="Arial Narrow" w:cs="Arial"/>
        </w:rPr>
        <w:t xml:space="preserve">, služby </w:t>
      </w:r>
      <w:r w:rsidR="006C1D5A" w:rsidRPr="005524A8">
        <w:rPr>
          <w:rFonts w:ascii="Arial Narrow" w:hAnsi="Arial Narrow" w:cs="Arial"/>
        </w:rPr>
        <w:t xml:space="preserve">v kancelárskych priestoroch v nájme </w:t>
      </w:r>
      <w:r>
        <w:rPr>
          <w:rFonts w:ascii="Arial Narrow" w:hAnsi="Arial Narrow" w:cs="Arial"/>
        </w:rPr>
        <w:br/>
      </w:r>
      <w:r w:rsidR="006C1D5A" w:rsidRPr="005524A8">
        <w:rPr>
          <w:rFonts w:ascii="Arial Narrow" w:hAnsi="Arial Narrow" w:cs="Arial"/>
        </w:rPr>
        <w:t>a podnájme ako upratovanie priestorov, údržbárske práce, výkon BOZP, služby PO a ZS, monitoring a pod, ako aj revízie elektrických</w:t>
      </w:r>
      <w:r w:rsidR="006C1D5A" w:rsidRPr="0053506D">
        <w:rPr>
          <w:rFonts w:ascii="Arial Narrow" w:hAnsi="Arial Narrow" w:cs="Arial"/>
        </w:rPr>
        <w:t xml:space="preserve"> zariadení a požiarneho zabezpečenia, elektronického zabezpečenia systémov v archíve, hasiacich prístrojov a elektrických spotrebičov</w:t>
      </w:r>
      <w:r w:rsidR="00814BC9" w:rsidRPr="0053506D">
        <w:rPr>
          <w:rFonts w:ascii="Arial Narrow" w:hAnsi="Arial Narrow" w:cs="Arial"/>
          <w:bCs/>
        </w:rPr>
        <w:t xml:space="preserve">, ale aj služby notárske, právne </w:t>
      </w:r>
      <w:r>
        <w:rPr>
          <w:rFonts w:ascii="Arial Narrow" w:hAnsi="Arial Narrow" w:cs="Arial"/>
          <w:bCs/>
        </w:rPr>
        <w:br/>
      </w:r>
      <w:r w:rsidR="006C1D5A" w:rsidRPr="0053506D">
        <w:rPr>
          <w:rFonts w:ascii="Arial Narrow" w:hAnsi="Arial Narrow" w:cs="Arial"/>
          <w:bCs/>
        </w:rPr>
        <w:t>a audítorské</w:t>
      </w:r>
      <w:r w:rsidR="00814BC9" w:rsidRPr="0053506D">
        <w:rPr>
          <w:rFonts w:ascii="Arial Narrow" w:hAnsi="Arial Narrow" w:cs="Arial"/>
          <w:bCs/>
        </w:rPr>
        <w:t>,</w:t>
      </w:r>
      <w:r w:rsidR="002F3589" w:rsidRPr="0053506D">
        <w:rPr>
          <w:rFonts w:ascii="Arial Narrow" w:hAnsi="Arial Narrow" w:cs="Arial"/>
          <w:bCs/>
        </w:rPr>
        <w:t xml:space="preserve"> </w:t>
      </w:r>
      <w:r w:rsidR="002F3589" w:rsidRPr="0053506D">
        <w:rPr>
          <w:rFonts w:ascii="Arial Narrow" w:hAnsi="Arial Narrow" w:cs="Arial"/>
        </w:rPr>
        <w:t xml:space="preserve">výdavky na monitorovanie objektov, nehnuteľností v správe ÚPN, </w:t>
      </w:r>
      <w:r w:rsidR="00814BC9" w:rsidRPr="0053506D">
        <w:rPr>
          <w:rFonts w:ascii="Arial Narrow" w:hAnsi="Arial Narrow" w:cs="Arial"/>
          <w:bCs/>
        </w:rPr>
        <w:t xml:space="preserve">poistenie zamestnancov pri zahraničných pracovných cestách, odmeny </w:t>
      </w:r>
      <w:r w:rsidR="00A662DD" w:rsidRPr="0053506D">
        <w:rPr>
          <w:rFonts w:ascii="Arial Narrow" w:hAnsi="Arial Narrow" w:cs="Arial"/>
        </w:rPr>
        <w:t>členov správnej a dozornej</w:t>
      </w:r>
      <w:r w:rsidR="00A662DD" w:rsidRPr="00A662DD">
        <w:rPr>
          <w:rFonts w:ascii="Arial Narrow" w:hAnsi="Arial Narrow" w:cs="Arial"/>
        </w:rPr>
        <w:t xml:space="preserve"> rady </w:t>
      </w:r>
      <w:r>
        <w:rPr>
          <w:rFonts w:ascii="Arial Narrow" w:hAnsi="Arial Narrow" w:cs="Arial"/>
        </w:rPr>
        <w:br/>
      </w:r>
      <w:r w:rsidR="00A662DD" w:rsidRPr="00A662DD">
        <w:rPr>
          <w:rFonts w:ascii="Arial Narrow" w:hAnsi="Arial Narrow" w:cs="Arial"/>
        </w:rPr>
        <w:t xml:space="preserve">v zmysle zákona o ÚPN, odmeny </w:t>
      </w:r>
      <w:r w:rsidR="00814BC9" w:rsidRPr="00A662DD">
        <w:rPr>
          <w:rFonts w:ascii="Arial Narrow" w:hAnsi="Arial Narrow" w:cs="Arial"/>
          <w:bCs/>
        </w:rPr>
        <w:t>zamestnancov mimo pracovného pomeru, výdavky na propagáciu,</w:t>
      </w:r>
      <w:r w:rsidR="007D5E0A" w:rsidRPr="00A662DD">
        <w:rPr>
          <w:rFonts w:ascii="Arial Narrow" w:hAnsi="Arial Narrow" w:cs="Arial"/>
          <w:bCs/>
        </w:rPr>
        <w:t xml:space="preserve"> </w:t>
      </w:r>
      <w:r w:rsidR="00814BC9" w:rsidRPr="00A662DD">
        <w:rPr>
          <w:rFonts w:ascii="Arial Narrow" w:hAnsi="Arial Narrow" w:cs="Arial"/>
          <w:bCs/>
        </w:rPr>
        <w:t>na cestovné náhrady</w:t>
      </w:r>
      <w:r w:rsidR="00814BC9" w:rsidRPr="007D5E0A">
        <w:rPr>
          <w:rFonts w:ascii="Arial Narrow" w:hAnsi="Arial Narrow" w:cs="Arial"/>
          <w:bCs/>
        </w:rPr>
        <w:t xml:space="preserve"> členov Správnej a Dozornej rady ÚPN, ako aj cestovné</w:t>
      </w:r>
      <w:r w:rsidR="00814BC9" w:rsidRPr="009F5639">
        <w:rPr>
          <w:rFonts w:ascii="Arial Narrow" w:hAnsi="Arial Narrow" w:cs="Arial"/>
          <w:bCs/>
        </w:rPr>
        <w:t xml:space="preserve"> náhrady a cestovné výdavky iným než vlastným zamestnancom participujúcim na aktivitách ÚPN</w:t>
      </w:r>
      <w:r w:rsidR="009F5639" w:rsidRPr="009F5639">
        <w:rPr>
          <w:rFonts w:ascii="Arial Narrow" w:hAnsi="Arial Narrow" w:cs="Arial"/>
          <w:bCs/>
        </w:rPr>
        <w:t xml:space="preserve"> na základe zmluvného vzťahu</w:t>
      </w:r>
      <w:r w:rsidR="00814BC9" w:rsidRPr="009F5639">
        <w:rPr>
          <w:rFonts w:ascii="Arial Narrow" w:hAnsi="Arial Narrow" w:cs="Arial"/>
          <w:bCs/>
        </w:rPr>
        <w:t xml:space="preserve">, poplatky </w:t>
      </w:r>
      <w:r w:rsidR="009F5639" w:rsidRPr="009F5639">
        <w:rPr>
          <w:rFonts w:ascii="Arial Narrow" w:hAnsi="Arial Narrow" w:cs="Arial"/>
          <w:bCs/>
        </w:rPr>
        <w:t>za vedenie účtov ÚPN vedených vo finančných inštitúciách, poplatky za hotovostné výbery, administratívn</w:t>
      </w:r>
      <w:r w:rsidR="00B55A85">
        <w:rPr>
          <w:rFonts w:ascii="Arial Narrow" w:hAnsi="Arial Narrow" w:cs="Arial"/>
          <w:bCs/>
        </w:rPr>
        <w:t>e</w:t>
      </w:r>
      <w:r w:rsidR="009F5639" w:rsidRPr="009F5639">
        <w:rPr>
          <w:rFonts w:ascii="Arial Narrow" w:hAnsi="Arial Narrow" w:cs="Arial"/>
          <w:bCs/>
        </w:rPr>
        <w:t xml:space="preserve"> poplatk</w:t>
      </w:r>
      <w:r w:rsidR="00B55A85">
        <w:rPr>
          <w:rFonts w:ascii="Arial Narrow" w:hAnsi="Arial Narrow" w:cs="Arial"/>
          <w:bCs/>
        </w:rPr>
        <w:t>y</w:t>
      </w:r>
      <w:r w:rsidR="00814BC9" w:rsidRPr="009F5639">
        <w:rPr>
          <w:rFonts w:ascii="Arial Narrow" w:hAnsi="Arial Narrow" w:cs="Arial"/>
          <w:bCs/>
        </w:rPr>
        <w:t>, platby za prevádzkované domény, výdavky na stravovanie zamestnancov ÚPN v súlade s platnou legislatívou, nákup stravných poukážok v elektronickej forme pre zamestnancov, príspevok zamestnancom na rekreáciu v zmysle zá</w:t>
      </w:r>
      <w:r w:rsidR="002F3589">
        <w:rPr>
          <w:rFonts w:ascii="Arial Narrow" w:hAnsi="Arial Narrow" w:cs="Arial"/>
          <w:bCs/>
        </w:rPr>
        <w:t xml:space="preserve">kona, výdavky na </w:t>
      </w:r>
      <w:r w:rsidR="002F3589" w:rsidRPr="002F3589">
        <w:rPr>
          <w:rFonts w:ascii="Arial Narrow" w:hAnsi="Arial Narrow" w:cs="Arial"/>
          <w:bCs/>
        </w:rPr>
        <w:t xml:space="preserve">úhradu dane z nehnuteľnosti budov v správe </w:t>
      </w:r>
      <w:r w:rsidR="002F3589" w:rsidRPr="00BA135F">
        <w:rPr>
          <w:rFonts w:ascii="Arial Narrow" w:hAnsi="Arial Narrow" w:cs="Arial"/>
          <w:bCs/>
        </w:rPr>
        <w:t>ÚPN</w:t>
      </w:r>
      <w:r w:rsidR="00BA135F" w:rsidRPr="00BA135F">
        <w:rPr>
          <w:rFonts w:ascii="Arial Narrow" w:hAnsi="Arial Narrow" w:cs="Arial"/>
          <w:bCs/>
        </w:rPr>
        <w:t xml:space="preserve"> a výdavky za s</w:t>
      </w:r>
      <w:r w:rsidR="00BA135F" w:rsidRPr="00BA135F">
        <w:rPr>
          <w:rFonts w:ascii="Arial Narrow" w:hAnsi="Arial Narrow" w:cs="Arial"/>
        </w:rPr>
        <w:t>lužby v oblasti IT – aplikácia systému riadenia informačnej bezpečnosti.</w:t>
      </w:r>
    </w:p>
    <w:p w14:paraId="0FF83E86" w14:textId="1F5E44CB" w:rsidR="009F5639" w:rsidRPr="003B14E6" w:rsidRDefault="009F5639" w:rsidP="009F5639">
      <w:pPr>
        <w:jc w:val="both"/>
        <w:rPr>
          <w:rFonts w:ascii="Arial Narrow" w:hAnsi="Arial Narrow" w:cs="Arial"/>
          <w:highlight w:val="cyan"/>
        </w:rPr>
      </w:pPr>
    </w:p>
    <w:p w14:paraId="568B0E79" w14:textId="74EED41E" w:rsidR="00EC441B" w:rsidRPr="00017A8D" w:rsidRDefault="00EC441B" w:rsidP="00EC441B">
      <w:pPr>
        <w:jc w:val="both"/>
        <w:rPr>
          <w:rFonts w:ascii="Arial Narrow" w:hAnsi="Arial Narrow" w:cs="Arial"/>
          <w:b/>
        </w:rPr>
      </w:pPr>
      <w:r w:rsidRPr="00017A8D">
        <w:rPr>
          <w:rFonts w:ascii="Arial Narrow" w:hAnsi="Arial Narrow" w:cs="Arial"/>
          <w:b/>
        </w:rPr>
        <w:t>Bežné transfery (640)</w:t>
      </w:r>
    </w:p>
    <w:p w14:paraId="4143C1A8" w14:textId="0D8B0813" w:rsidR="00CA4664" w:rsidRPr="00CA4664" w:rsidRDefault="00CA4664" w:rsidP="00CA4664">
      <w:pPr>
        <w:jc w:val="both"/>
        <w:rPr>
          <w:rFonts w:ascii="Arial Narrow" w:hAnsi="Arial Narrow" w:cs="Arial"/>
          <w:b/>
        </w:rPr>
      </w:pPr>
      <w:r w:rsidRPr="00017A8D">
        <w:rPr>
          <w:rFonts w:ascii="Arial Narrow" w:hAnsi="Arial Narrow" w:cs="Arial"/>
          <w:bCs/>
        </w:rPr>
        <w:t>Zahŕňajú výdavky na finančný príspevok na stravovanie zamestnancov ÚPN v zmysle platnej legislatívy, náklady na náhradu príjmu pri dočasnej pracovnej neschopnosti zamestnancov ÚPN podľa platnej legislatívy (pri práceneschopnos</w:t>
      </w:r>
      <w:r w:rsidR="00017A8D">
        <w:rPr>
          <w:rFonts w:ascii="Arial Narrow" w:hAnsi="Arial Narrow" w:cs="Arial"/>
          <w:bCs/>
        </w:rPr>
        <w:t>ti do 10 kalendárnych dní).</w:t>
      </w:r>
    </w:p>
    <w:p w14:paraId="094C6BA7" w14:textId="3A0D92CA" w:rsidR="00CA4664" w:rsidRDefault="00CA4664" w:rsidP="00EC441B">
      <w:pPr>
        <w:jc w:val="both"/>
        <w:rPr>
          <w:rFonts w:ascii="Arial Narrow" w:hAnsi="Arial Narrow" w:cs="Arial"/>
          <w:b/>
        </w:rPr>
      </w:pPr>
    </w:p>
    <w:p w14:paraId="5DD14CAA" w14:textId="77777777" w:rsidR="0087452B" w:rsidRDefault="0087452B" w:rsidP="00295D5F">
      <w:pPr>
        <w:jc w:val="both"/>
        <w:rPr>
          <w:rFonts w:ascii="Arial Narrow" w:hAnsi="Arial Narrow" w:cs="Arial"/>
          <w:b/>
          <w:bCs/>
        </w:rPr>
      </w:pPr>
    </w:p>
    <w:p w14:paraId="3F1E991D" w14:textId="4CE08EC0" w:rsidR="00295D5F" w:rsidRPr="00295D5F" w:rsidRDefault="00295D5F" w:rsidP="00295D5F">
      <w:pPr>
        <w:jc w:val="both"/>
        <w:rPr>
          <w:rFonts w:ascii="Arial Narrow" w:hAnsi="Arial Narrow" w:cs="Arial"/>
          <w:b/>
          <w:bCs/>
        </w:rPr>
      </w:pPr>
      <w:r w:rsidRPr="00295D5F">
        <w:rPr>
          <w:rFonts w:ascii="Arial Narrow" w:hAnsi="Arial Narrow" w:cs="Arial"/>
          <w:b/>
          <w:bCs/>
        </w:rPr>
        <w:t>KAPITÁLOVÉ VÝDAVKY</w:t>
      </w:r>
    </w:p>
    <w:p w14:paraId="18606802" w14:textId="4DAFEE91" w:rsidR="00295D5F" w:rsidRDefault="00295D5F" w:rsidP="00EC441B">
      <w:pPr>
        <w:jc w:val="both"/>
        <w:rPr>
          <w:rFonts w:ascii="Arial Narrow" w:hAnsi="Arial Narrow" w:cs="Arial"/>
          <w:b/>
        </w:rPr>
      </w:pPr>
    </w:p>
    <w:p w14:paraId="357CA5E1" w14:textId="7CF01536" w:rsidR="00295D5F" w:rsidRDefault="00295D5F" w:rsidP="00295D5F">
      <w:pPr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Obstarávanie kapitálových aktív (710)</w:t>
      </w:r>
    </w:p>
    <w:p w14:paraId="1EBD38DD" w14:textId="44A054AE" w:rsidR="00295D5F" w:rsidRPr="00CE3425" w:rsidRDefault="00AE327D" w:rsidP="00295D5F">
      <w:pPr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Prípravná a </w:t>
      </w:r>
      <w:r w:rsidR="00295D5F" w:rsidRPr="00295D5F">
        <w:rPr>
          <w:rFonts w:ascii="Arial Narrow" w:hAnsi="Arial Narrow" w:cs="Arial"/>
          <w:b/>
          <w:bCs/>
        </w:rPr>
        <w:t>projektov</w:t>
      </w:r>
      <w:r>
        <w:rPr>
          <w:rFonts w:ascii="Arial Narrow" w:hAnsi="Arial Narrow" w:cs="Arial"/>
          <w:b/>
          <w:bCs/>
        </w:rPr>
        <w:t>á dokumentácia</w:t>
      </w:r>
      <w:r w:rsidR="00295D5F">
        <w:rPr>
          <w:rFonts w:ascii="Arial Narrow" w:hAnsi="Arial Narrow" w:cs="Arial"/>
          <w:b/>
          <w:bCs/>
        </w:rPr>
        <w:t xml:space="preserve"> (71</w:t>
      </w:r>
      <w:r>
        <w:rPr>
          <w:rFonts w:ascii="Arial Narrow" w:hAnsi="Arial Narrow" w:cs="Arial"/>
          <w:b/>
          <w:bCs/>
        </w:rPr>
        <w:t>6</w:t>
      </w:r>
      <w:r w:rsidR="00295D5F">
        <w:rPr>
          <w:rFonts w:ascii="Arial Narrow" w:hAnsi="Arial Narrow" w:cs="Arial"/>
          <w:b/>
          <w:bCs/>
        </w:rPr>
        <w:t>)</w:t>
      </w:r>
    </w:p>
    <w:p w14:paraId="09F485F4" w14:textId="77777777" w:rsidR="00295D5F" w:rsidRPr="00CE3425" w:rsidRDefault="00295D5F" w:rsidP="00295D5F">
      <w:pPr>
        <w:jc w:val="both"/>
        <w:rPr>
          <w:rFonts w:ascii="Arial Narrow" w:hAnsi="Arial Narrow" w:cs="Arial"/>
          <w:bCs/>
        </w:rPr>
      </w:pPr>
      <w:r w:rsidRPr="00CE3425">
        <w:rPr>
          <w:rFonts w:ascii="Arial Narrow" w:hAnsi="Arial Narrow" w:cs="Arial"/>
          <w:bCs/>
        </w:rPr>
        <w:t xml:space="preserve">Na základe Uznesenia vlády Slovenskej republiky č. 774 zo 14. decembra 2021 bol vládou schválený návrh </w:t>
      </w:r>
      <w:r w:rsidRPr="00CE3425">
        <w:rPr>
          <w:rFonts w:ascii="Arial Narrow" w:hAnsi="Arial Narrow" w:cs="Arial"/>
          <w:bCs/>
          <w:i/>
        </w:rPr>
        <w:t>so začatím obstarávania stavby Bratislava, Ústav pamäti národa – rekonštrukcia sídla a jej financovaním z kapitálových výdavkov.</w:t>
      </w:r>
      <w:r w:rsidRPr="00CE3425">
        <w:rPr>
          <w:rFonts w:ascii="Arial Narrow" w:hAnsi="Arial Narrow" w:cs="Arial"/>
          <w:bCs/>
        </w:rPr>
        <w:t xml:space="preserve"> Správna rada ÚPN zabezpečuje proces verejného obstarávania a následnú realizáciu stavby – rekonštrukciu sídla.</w:t>
      </w:r>
    </w:p>
    <w:p w14:paraId="325D819E" w14:textId="77777777" w:rsidR="00295D5F" w:rsidRPr="00CE3425" w:rsidRDefault="00295D5F" w:rsidP="00295D5F">
      <w:pPr>
        <w:jc w:val="both"/>
        <w:rPr>
          <w:rFonts w:ascii="Arial Narrow" w:hAnsi="Arial Narrow" w:cs="Arial"/>
          <w:bCs/>
        </w:rPr>
      </w:pPr>
      <w:r w:rsidRPr="00CE3425">
        <w:rPr>
          <w:rFonts w:ascii="Arial Narrow" w:hAnsi="Arial Narrow" w:cs="Arial"/>
          <w:bCs/>
        </w:rPr>
        <w:t>V súčasnej dobe je realizácia prípravných prác na rekonštrukciu nehnuteľností v správe v procese.</w:t>
      </w:r>
    </w:p>
    <w:p w14:paraId="71601F44" w14:textId="77777777" w:rsidR="00295D5F" w:rsidRPr="00CA4664" w:rsidRDefault="00295D5F" w:rsidP="00EC441B">
      <w:pPr>
        <w:jc w:val="both"/>
        <w:rPr>
          <w:rFonts w:ascii="Arial Narrow" w:hAnsi="Arial Narrow" w:cs="Arial"/>
          <w:b/>
        </w:rPr>
      </w:pPr>
    </w:p>
    <w:sectPr w:rsidR="00295D5F" w:rsidRPr="00CA4664" w:rsidSect="002424B6">
      <w:footerReference w:type="even" r:id="rId10"/>
      <w:footerReference w:type="default" r:id="rId11"/>
      <w:pgSz w:w="11906" w:h="16838"/>
      <w:pgMar w:top="1417" w:right="164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6889" w14:textId="77777777" w:rsidR="00B031DE" w:rsidRDefault="00B031DE">
      <w:r>
        <w:separator/>
      </w:r>
    </w:p>
  </w:endnote>
  <w:endnote w:type="continuationSeparator" w:id="0">
    <w:p w14:paraId="08D94F84" w14:textId="77777777" w:rsidR="00B031DE" w:rsidRDefault="00B0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60C6A" w14:textId="77777777" w:rsidR="00905850" w:rsidRDefault="00905850" w:rsidP="00A9263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936EC10" w14:textId="77777777" w:rsidR="00905850" w:rsidRDefault="00905850" w:rsidP="00A9263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8EA5E" w14:textId="4E9531F7" w:rsidR="00905850" w:rsidRDefault="00905850" w:rsidP="00A9263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35ED7">
      <w:rPr>
        <w:rStyle w:val="slostrany"/>
        <w:noProof/>
      </w:rPr>
      <w:t>8</w:t>
    </w:r>
    <w:r>
      <w:rPr>
        <w:rStyle w:val="slostrany"/>
      </w:rPr>
      <w:fldChar w:fldCharType="end"/>
    </w:r>
  </w:p>
  <w:p w14:paraId="3F741581" w14:textId="77777777" w:rsidR="00905850" w:rsidRDefault="00905850" w:rsidP="00A9263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FCBDE" w14:textId="77777777" w:rsidR="00B031DE" w:rsidRDefault="00B031DE">
      <w:r>
        <w:separator/>
      </w:r>
    </w:p>
  </w:footnote>
  <w:footnote w:type="continuationSeparator" w:id="0">
    <w:p w14:paraId="452A4C4F" w14:textId="77777777" w:rsidR="00B031DE" w:rsidRDefault="00B0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BB5"/>
    <w:multiLevelType w:val="hybridMultilevel"/>
    <w:tmpl w:val="8A9E47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6ED"/>
    <w:multiLevelType w:val="hybridMultilevel"/>
    <w:tmpl w:val="2F064D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6D4D"/>
    <w:multiLevelType w:val="hybridMultilevel"/>
    <w:tmpl w:val="E27E7B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8BC"/>
    <w:multiLevelType w:val="hybridMultilevel"/>
    <w:tmpl w:val="134E12DC"/>
    <w:lvl w:ilvl="0" w:tplc="4E440FB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0AA2"/>
    <w:multiLevelType w:val="hybridMultilevel"/>
    <w:tmpl w:val="58BA40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C51B1"/>
    <w:multiLevelType w:val="hybridMultilevel"/>
    <w:tmpl w:val="82DA4A96"/>
    <w:lvl w:ilvl="0" w:tplc="041B0011">
      <w:start w:val="1"/>
      <w:numFmt w:val="decimal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7DA125A"/>
    <w:multiLevelType w:val="hybridMultilevel"/>
    <w:tmpl w:val="00FC1F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470A5"/>
    <w:multiLevelType w:val="hybridMultilevel"/>
    <w:tmpl w:val="84588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A1E4A"/>
    <w:multiLevelType w:val="hybridMultilevel"/>
    <w:tmpl w:val="83C6E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F5387"/>
    <w:multiLevelType w:val="hybridMultilevel"/>
    <w:tmpl w:val="320E986C"/>
    <w:lvl w:ilvl="0" w:tplc="8D2C5E74">
      <w:start w:val="1"/>
      <w:numFmt w:val="decimal"/>
      <w:lvlText w:val="%1."/>
      <w:lvlJc w:val="left"/>
      <w:pPr>
        <w:tabs>
          <w:tab w:val="num" w:pos="357"/>
        </w:tabs>
        <w:ind w:left="1304" w:hanging="1304"/>
      </w:pPr>
      <w:rPr>
        <w:rFonts w:hint="default"/>
      </w:rPr>
    </w:lvl>
    <w:lvl w:ilvl="1" w:tplc="041B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748A46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A5980"/>
    <w:multiLevelType w:val="hybridMultilevel"/>
    <w:tmpl w:val="C068E2C6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47F9A"/>
    <w:multiLevelType w:val="hybridMultilevel"/>
    <w:tmpl w:val="8E2A4CC8"/>
    <w:lvl w:ilvl="0" w:tplc="EFA2D344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9697F"/>
    <w:multiLevelType w:val="hybridMultilevel"/>
    <w:tmpl w:val="A5B463DE"/>
    <w:lvl w:ilvl="0" w:tplc="A75AB7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E2978"/>
    <w:multiLevelType w:val="hybridMultilevel"/>
    <w:tmpl w:val="9E826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32FE0"/>
    <w:multiLevelType w:val="hybridMultilevel"/>
    <w:tmpl w:val="B5EC8C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36ADB"/>
    <w:multiLevelType w:val="hybridMultilevel"/>
    <w:tmpl w:val="2DA8DB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10796"/>
    <w:multiLevelType w:val="hybridMultilevel"/>
    <w:tmpl w:val="64C08F72"/>
    <w:lvl w:ilvl="0" w:tplc="041B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F10396"/>
    <w:multiLevelType w:val="hybridMultilevel"/>
    <w:tmpl w:val="9DD43A98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7824253"/>
    <w:multiLevelType w:val="hybridMultilevel"/>
    <w:tmpl w:val="471EB778"/>
    <w:lvl w:ilvl="0" w:tplc="041B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CAB301C"/>
    <w:multiLevelType w:val="hybridMultilevel"/>
    <w:tmpl w:val="A90E23F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539AE"/>
    <w:multiLevelType w:val="hybridMultilevel"/>
    <w:tmpl w:val="18DAE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B2A07"/>
    <w:multiLevelType w:val="hybridMultilevel"/>
    <w:tmpl w:val="0A744126"/>
    <w:lvl w:ilvl="0" w:tplc="BBDA48D2">
      <w:start w:val="1"/>
      <w:numFmt w:val="decimal"/>
      <w:lvlText w:val="%1)"/>
      <w:lvlJc w:val="righ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6"/>
  </w:num>
  <w:num w:numId="5">
    <w:abstractNumId w:val="11"/>
  </w:num>
  <w:num w:numId="6">
    <w:abstractNumId w:val="12"/>
  </w:num>
  <w:num w:numId="7">
    <w:abstractNumId w:val="3"/>
  </w:num>
  <w:num w:numId="8">
    <w:abstractNumId w:val="1"/>
  </w:num>
  <w:num w:numId="9">
    <w:abstractNumId w:val="17"/>
  </w:num>
  <w:num w:numId="10">
    <w:abstractNumId w:val="19"/>
  </w:num>
  <w:num w:numId="11">
    <w:abstractNumId w:val="13"/>
  </w:num>
  <w:num w:numId="12">
    <w:abstractNumId w:val="7"/>
  </w:num>
  <w:num w:numId="13">
    <w:abstractNumId w:val="14"/>
  </w:num>
  <w:num w:numId="14">
    <w:abstractNumId w:val="8"/>
  </w:num>
  <w:num w:numId="15">
    <w:abstractNumId w:val="20"/>
  </w:num>
  <w:num w:numId="16">
    <w:abstractNumId w:val="4"/>
  </w:num>
  <w:num w:numId="17">
    <w:abstractNumId w:val="0"/>
  </w:num>
  <w:num w:numId="18">
    <w:abstractNumId w:val="6"/>
  </w:num>
  <w:num w:numId="19">
    <w:abstractNumId w:val="5"/>
  </w:num>
  <w:num w:numId="20">
    <w:abstractNumId w:val="21"/>
  </w:num>
  <w:num w:numId="21">
    <w:abstractNumId w:val="1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07"/>
    <w:rsid w:val="00000614"/>
    <w:rsid w:val="000009D5"/>
    <w:rsid w:val="00000DDC"/>
    <w:rsid w:val="0000226B"/>
    <w:rsid w:val="0000237A"/>
    <w:rsid w:val="000026F0"/>
    <w:rsid w:val="0000351D"/>
    <w:rsid w:val="000047AD"/>
    <w:rsid w:val="000055CE"/>
    <w:rsid w:val="00006532"/>
    <w:rsid w:val="00006849"/>
    <w:rsid w:val="000069EA"/>
    <w:rsid w:val="00006A0A"/>
    <w:rsid w:val="00010176"/>
    <w:rsid w:val="00011243"/>
    <w:rsid w:val="0001223F"/>
    <w:rsid w:val="0001254F"/>
    <w:rsid w:val="00012B2F"/>
    <w:rsid w:val="0001377D"/>
    <w:rsid w:val="000139BF"/>
    <w:rsid w:val="00013FF5"/>
    <w:rsid w:val="00014B68"/>
    <w:rsid w:val="00015EB3"/>
    <w:rsid w:val="000166A4"/>
    <w:rsid w:val="00017A68"/>
    <w:rsid w:val="00017A8D"/>
    <w:rsid w:val="00020091"/>
    <w:rsid w:val="0002043F"/>
    <w:rsid w:val="000206BA"/>
    <w:rsid w:val="00020E2D"/>
    <w:rsid w:val="0002246A"/>
    <w:rsid w:val="0002275A"/>
    <w:rsid w:val="0002471B"/>
    <w:rsid w:val="000259D9"/>
    <w:rsid w:val="0002673A"/>
    <w:rsid w:val="0002732D"/>
    <w:rsid w:val="00027479"/>
    <w:rsid w:val="0003169D"/>
    <w:rsid w:val="000317E4"/>
    <w:rsid w:val="00031E21"/>
    <w:rsid w:val="00032292"/>
    <w:rsid w:val="00033CC0"/>
    <w:rsid w:val="00033EBE"/>
    <w:rsid w:val="00033FC3"/>
    <w:rsid w:val="000344B3"/>
    <w:rsid w:val="00037AB1"/>
    <w:rsid w:val="00041F65"/>
    <w:rsid w:val="000431C7"/>
    <w:rsid w:val="000432BE"/>
    <w:rsid w:val="00044853"/>
    <w:rsid w:val="0004490B"/>
    <w:rsid w:val="000449E7"/>
    <w:rsid w:val="00044FB8"/>
    <w:rsid w:val="00045C63"/>
    <w:rsid w:val="00046DD6"/>
    <w:rsid w:val="00047142"/>
    <w:rsid w:val="0004742F"/>
    <w:rsid w:val="000474BB"/>
    <w:rsid w:val="00050F5B"/>
    <w:rsid w:val="00051026"/>
    <w:rsid w:val="000516FC"/>
    <w:rsid w:val="00052A8F"/>
    <w:rsid w:val="00052DCB"/>
    <w:rsid w:val="00052EB7"/>
    <w:rsid w:val="000537C6"/>
    <w:rsid w:val="00055079"/>
    <w:rsid w:val="00055329"/>
    <w:rsid w:val="000557CE"/>
    <w:rsid w:val="000609B4"/>
    <w:rsid w:val="00061D25"/>
    <w:rsid w:val="00061E9E"/>
    <w:rsid w:val="000621AD"/>
    <w:rsid w:val="00062280"/>
    <w:rsid w:val="000644B4"/>
    <w:rsid w:val="00065723"/>
    <w:rsid w:val="00065F7F"/>
    <w:rsid w:val="0006612F"/>
    <w:rsid w:val="00066454"/>
    <w:rsid w:val="00066C0D"/>
    <w:rsid w:val="00066CE9"/>
    <w:rsid w:val="00071184"/>
    <w:rsid w:val="000732B2"/>
    <w:rsid w:val="00073E7B"/>
    <w:rsid w:val="0007450D"/>
    <w:rsid w:val="000759CB"/>
    <w:rsid w:val="00080266"/>
    <w:rsid w:val="000803FF"/>
    <w:rsid w:val="00080605"/>
    <w:rsid w:val="00081B49"/>
    <w:rsid w:val="0008209D"/>
    <w:rsid w:val="00083936"/>
    <w:rsid w:val="00083C8D"/>
    <w:rsid w:val="00084CC8"/>
    <w:rsid w:val="000854CF"/>
    <w:rsid w:val="00085C37"/>
    <w:rsid w:val="000867E9"/>
    <w:rsid w:val="0008730D"/>
    <w:rsid w:val="00087DC7"/>
    <w:rsid w:val="0009058A"/>
    <w:rsid w:val="0009214B"/>
    <w:rsid w:val="00095F07"/>
    <w:rsid w:val="000964A7"/>
    <w:rsid w:val="000978E4"/>
    <w:rsid w:val="000A187B"/>
    <w:rsid w:val="000A329E"/>
    <w:rsid w:val="000A3B85"/>
    <w:rsid w:val="000A4923"/>
    <w:rsid w:val="000A5A0A"/>
    <w:rsid w:val="000B0D7D"/>
    <w:rsid w:val="000B1EDE"/>
    <w:rsid w:val="000B24DE"/>
    <w:rsid w:val="000B3F25"/>
    <w:rsid w:val="000B4242"/>
    <w:rsid w:val="000B4787"/>
    <w:rsid w:val="000B4FC3"/>
    <w:rsid w:val="000B568B"/>
    <w:rsid w:val="000B569F"/>
    <w:rsid w:val="000B57F3"/>
    <w:rsid w:val="000B7206"/>
    <w:rsid w:val="000C00C1"/>
    <w:rsid w:val="000C0CF9"/>
    <w:rsid w:val="000C1989"/>
    <w:rsid w:val="000C213C"/>
    <w:rsid w:val="000C2341"/>
    <w:rsid w:val="000C2721"/>
    <w:rsid w:val="000C4C08"/>
    <w:rsid w:val="000C5049"/>
    <w:rsid w:val="000C58EC"/>
    <w:rsid w:val="000C6100"/>
    <w:rsid w:val="000C7AC2"/>
    <w:rsid w:val="000D118C"/>
    <w:rsid w:val="000D1FCF"/>
    <w:rsid w:val="000D2695"/>
    <w:rsid w:val="000D2F16"/>
    <w:rsid w:val="000D307C"/>
    <w:rsid w:val="000D3A04"/>
    <w:rsid w:val="000D3F71"/>
    <w:rsid w:val="000D4BB0"/>
    <w:rsid w:val="000D66A3"/>
    <w:rsid w:val="000D739D"/>
    <w:rsid w:val="000E2CBE"/>
    <w:rsid w:val="000E3E2D"/>
    <w:rsid w:val="000E4225"/>
    <w:rsid w:val="000E585A"/>
    <w:rsid w:val="000E5BA5"/>
    <w:rsid w:val="000E5BF9"/>
    <w:rsid w:val="000E5DB1"/>
    <w:rsid w:val="000E6117"/>
    <w:rsid w:val="000F0031"/>
    <w:rsid w:val="000F0AAE"/>
    <w:rsid w:val="000F2E6F"/>
    <w:rsid w:val="000F3753"/>
    <w:rsid w:val="000F3CC9"/>
    <w:rsid w:val="000F5113"/>
    <w:rsid w:val="000F5CFF"/>
    <w:rsid w:val="000F7667"/>
    <w:rsid w:val="00100C2E"/>
    <w:rsid w:val="0010186F"/>
    <w:rsid w:val="001020E9"/>
    <w:rsid w:val="00102F3E"/>
    <w:rsid w:val="001032CE"/>
    <w:rsid w:val="00104F92"/>
    <w:rsid w:val="00107435"/>
    <w:rsid w:val="00107834"/>
    <w:rsid w:val="00107C01"/>
    <w:rsid w:val="001110A2"/>
    <w:rsid w:val="0011158D"/>
    <w:rsid w:val="0011205C"/>
    <w:rsid w:val="001143AC"/>
    <w:rsid w:val="00114998"/>
    <w:rsid w:val="00114EF4"/>
    <w:rsid w:val="00116E62"/>
    <w:rsid w:val="0012010D"/>
    <w:rsid w:val="001207C7"/>
    <w:rsid w:val="00120CF9"/>
    <w:rsid w:val="00120E3D"/>
    <w:rsid w:val="00121F59"/>
    <w:rsid w:val="0012318B"/>
    <w:rsid w:val="00123D51"/>
    <w:rsid w:val="00124634"/>
    <w:rsid w:val="001251C2"/>
    <w:rsid w:val="001267BC"/>
    <w:rsid w:val="001269C1"/>
    <w:rsid w:val="00126F9F"/>
    <w:rsid w:val="00127654"/>
    <w:rsid w:val="001302D4"/>
    <w:rsid w:val="00130F71"/>
    <w:rsid w:val="001310A6"/>
    <w:rsid w:val="001314F8"/>
    <w:rsid w:val="00132B50"/>
    <w:rsid w:val="001335D2"/>
    <w:rsid w:val="001336C2"/>
    <w:rsid w:val="001349E5"/>
    <w:rsid w:val="0013516F"/>
    <w:rsid w:val="0013655D"/>
    <w:rsid w:val="00136AD4"/>
    <w:rsid w:val="00136E2A"/>
    <w:rsid w:val="00136EC6"/>
    <w:rsid w:val="001376D8"/>
    <w:rsid w:val="001404CB"/>
    <w:rsid w:val="00140A9D"/>
    <w:rsid w:val="00143463"/>
    <w:rsid w:val="00143F4C"/>
    <w:rsid w:val="00144A49"/>
    <w:rsid w:val="001456C0"/>
    <w:rsid w:val="00146FD6"/>
    <w:rsid w:val="001472AD"/>
    <w:rsid w:val="001479A7"/>
    <w:rsid w:val="00147D17"/>
    <w:rsid w:val="00147D4A"/>
    <w:rsid w:val="00150D6C"/>
    <w:rsid w:val="00150ED6"/>
    <w:rsid w:val="00151016"/>
    <w:rsid w:val="00151D42"/>
    <w:rsid w:val="00152E9F"/>
    <w:rsid w:val="001557D8"/>
    <w:rsid w:val="00156A5F"/>
    <w:rsid w:val="00156CD7"/>
    <w:rsid w:val="001572E2"/>
    <w:rsid w:val="001602C8"/>
    <w:rsid w:val="001603C3"/>
    <w:rsid w:val="00160E7C"/>
    <w:rsid w:val="001633B6"/>
    <w:rsid w:val="001644F7"/>
    <w:rsid w:val="001652B3"/>
    <w:rsid w:val="00165D45"/>
    <w:rsid w:val="00165F7C"/>
    <w:rsid w:val="00167EF8"/>
    <w:rsid w:val="00170D8B"/>
    <w:rsid w:val="00171A07"/>
    <w:rsid w:val="001724E4"/>
    <w:rsid w:val="00173B97"/>
    <w:rsid w:val="00173BB0"/>
    <w:rsid w:val="00173DA7"/>
    <w:rsid w:val="00173F94"/>
    <w:rsid w:val="001742AA"/>
    <w:rsid w:val="0017530B"/>
    <w:rsid w:val="0017543C"/>
    <w:rsid w:val="001754FC"/>
    <w:rsid w:val="00175FCE"/>
    <w:rsid w:val="0017718D"/>
    <w:rsid w:val="00180A20"/>
    <w:rsid w:val="00181CA9"/>
    <w:rsid w:val="0018284A"/>
    <w:rsid w:val="00182DAC"/>
    <w:rsid w:val="00183D09"/>
    <w:rsid w:val="001845AB"/>
    <w:rsid w:val="00186300"/>
    <w:rsid w:val="0019015A"/>
    <w:rsid w:val="00190777"/>
    <w:rsid w:val="001909D3"/>
    <w:rsid w:val="00191E10"/>
    <w:rsid w:val="00193A3D"/>
    <w:rsid w:val="00194E5F"/>
    <w:rsid w:val="0019535D"/>
    <w:rsid w:val="0019575D"/>
    <w:rsid w:val="0019661D"/>
    <w:rsid w:val="001968ED"/>
    <w:rsid w:val="00196D3A"/>
    <w:rsid w:val="00197F9C"/>
    <w:rsid w:val="001A13D0"/>
    <w:rsid w:val="001A24A3"/>
    <w:rsid w:val="001A266D"/>
    <w:rsid w:val="001A2684"/>
    <w:rsid w:val="001A34CD"/>
    <w:rsid w:val="001A455D"/>
    <w:rsid w:val="001A60D6"/>
    <w:rsid w:val="001A7178"/>
    <w:rsid w:val="001A76AF"/>
    <w:rsid w:val="001B11F3"/>
    <w:rsid w:val="001B2673"/>
    <w:rsid w:val="001B36AE"/>
    <w:rsid w:val="001B5EC8"/>
    <w:rsid w:val="001B682C"/>
    <w:rsid w:val="001B774F"/>
    <w:rsid w:val="001C031A"/>
    <w:rsid w:val="001C0636"/>
    <w:rsid w:val="001C1190"/>
    <w:rsid w:val="001C16FC"/>
    <w:rsid w:val="001C1910"/>
    <w:rsid w:val="001C1E4C"/>
    <w:rsid w:val="001C280F"/>
    <w:rsid w:val="001C352A"/>
    <w:rsid w:val="001C4399"/>
    <w:rsid w:val="001C44DF"/>
    <w:rsid w:val="001C7922"/>
    <w:rsid w:val="001D0216"/>
    <w:rsid w:val="001D09B2"/>
    <w:rsid w:val="001D0B06"/>
    <w:rsid w:val="001D1103"/>
    <w:rsid w:val="001D1F5C"/>
    <w:rsid w:val="001D1FE6"/>
    <w:rsid w:val="001D2AA1"/>
    <w:rsid w:val="001D35C5"/>
    <w:rsid w:val="001D3948"/>
    <w:rsid w:val="001D56BA"/>
    <w:rsid w:val="001D574C"/>
    <w:rsid w:val="001D5910"/>
    <w:rsid w:val="001D5CA0"/>
    <w:rsid w:val="001D69AB"/>
    <w:rsid w:val="001D7A23"/>
    <w:rsid w:val="001D7E2E"/>
    <w:rsid w:val="001E05EB"/>
    <w:rsid w:val="001E2715"/>
    <w:rsid w:val="001E2F0E"/>
    <w:rsid w:val="001E38EC"/>
    <w:rsid w:val="001E4916"/>
    <w:rsid w:val="001E546C"/>
    <w:rsid w:val="001E5FFF"/>
    <w:rsid w:val="001E6A71"/>
    <w:rsid w:val="001E7FA3"/>
    <w:rsid w:val="001F239A"/>
    <w:rsid w:val="001F25C1"/>
    <w:rsid w:val="001F4944"/>
    <w:rsid w:val="001F5D5E"/>
    <w:rsid w:val="001F6207"/>
    <w:rsid w:val="002002A5"/>
    <w:rsid w:val="00201061"/>
    <w:rsid w:val="00201A83"/>
    <w:rsid w:val="00202E7E"/>
    <w:rsid w:val="002031F5"/>
    <w:rsid w:val="00203245"/>
    <w:rsid w:val="002033BF"/>
    <w:rsid w:val="00204EB5"/>
    <w:rsid w:val="00206B0F"/>
    <w:rsid w:val="00207B13"/>
    <w:rsid w:val="00207E36"/>
    <w:rsid w:val="00211DB1"/>
    <w:rsid w:val="00212DD9"/>
    <w:rsid w:val="00213BAE"/>
    <w:rsid w:val="00213F92"/>
    <w:rsid w:val="0021586E"/>
    <w:rsid w:val="002162F9"/>
    <w:rsid w:val="0021732E"/>
    <w:rsid w:val="002178DE"/>
    <w:rsid w:val="002205B1"/>
    <w:rsid w:val="00220BEC"/>
    <w:rsid w:val="00222CFD"/>
    <w:rsid w:val="002238A1"/>
    <w:rsid w:val="00224631"/>
    <w:rsid w:val="00224E48"/>
    <w:rsid w:val="0022760C"/>
    <w:rsid w:val="00231B27"/>
    <w:rsid w:val="0023297B"/>
    <w:rsid w:val="0023408F"/>
    <w:rsid w:val="00234620"/>
    <w:rsid w:val="00235333"/>
    <w:rsid w:val="002355A5"/>
    <w:rsid w:val="00235714"/>
    <w:rsid w:val="00235ED7"/>
    <w:rsid w:val="0023716B"/>
    <w:rsid w:val="00237251"/>
    <w:rsid w:val="00237435"/>
    <w:rsid w:val="002401B9"/>
    <w:rsid w:val="00240E1A"/>
    <w:rsid w:val="002416CE"/>
    <w:rsid w:val="00241F1B"/>
    <w:rsid w:val="002424B6"/>
    <w:rsid w:val="00242D9C"/>
    <w:rsid w:val="002435B7"/>
    <w:rsid w:val="00243D9E"/>
    <w:rsid w:val="00243EAC"/>
    <w:rsid w:val="00245328"/>
    <w:rsid w:val="00245372"/>
    <w:rsid w:val="002464F7"/>
    <w:rsid w:val="002466B9"/>
    <w:rsid w:val="00246AEE"/>
    <w:rsid w:val="00247313"/>
    <w:rsid w:val="002504B0"/>
    <w:rsid w:val="00250727"/>
    <w:rsid w:val="00250C11"/>
    <w:rsid w:val="0025284B"/>
    <w:rsid w:val="00253C58"/>
    <w:rsid w:val="00254A41"/>
    <w:rsid w:val="00254A78"/>
    <w:rsid w:val="002550A8"/>
    <w:rsid w:val="002557C4"/>
    <w:rsid w:val="002568D9"/>
    <w:rsid w:val="00256CD1"/>
    <w:rsid w:val="00256EE0"/>
    <w:rsid w:val="0025759B"/>
    <w:rsid w:val="00265035"/>
    <w:rsid w:val="002659A4"/>
    <w:rsid w:val="00267358"/>
    <w:rsid w:val="00267978"/>
    <w:rsid w:val="00267AD2"/>
    <w:rsid w:val="00267D27"/>
    <w:rsid w:val="00267F22"/>
    <w:rsid w:val="00271D2E"/>
    <w:rsid w:val="002733AB"/>
    <w:rsid w:val="00273E51"/>
    <w:rsid w:val="00274BAF"/>
    <w:rsid w:val="00276F03"/>
    <w:rsid w:val="002804E1"/>
    <w:rsid w:val="0028091E"/>
    <w:rsid w:val="00281215"/>
    <w:rsid w:val="00282054"/>
    <w:rsid w:val="00282AB4"/>
    <w:rsid w:val="002838E3"/>
    <w:rsid w:val="00284590"/>
    <w:rsid w:val="00284FB1"/>
    <w:rsid w:val="002873B9"/>
    <w:rsid w:val="00291564"/>
    <w:rsid w:val="00292221"/>
    <w:rsid w:val="00294B20"/>
    <w:rsid w:val="00294F6D"/>
    <w:rsid w:val="002951BB"/>
    <w:rsid w:val="00295D5F"/>
    <w:rsid w:val="00297D17"/>
    <w:rsid w:val="002A0ECB"/>
    <w:rsid w:val="002A188A"/>
    <w:rsid w:val="002A1A9A"/>
    <w:rsid w:val="002A2B4B"/>
    <w:rsid w:val="002A2D40"/>
    <w:rsid w:val="002A4955"/>
    <w:rsid w:val="002A5940"/>
    <w:rsid w:val="002A68AA"/>
    <w:rsid w:val="002A7096"/>
    <w:rsid w:val="002A7EF2"/>
    <w:rsid w:val="002B06EC"/>
    <w:rsid w:val="002B1311"/>
    <w:rsid w:val="002B18C5"/>
    <w:rsid w:val="002B1A87"/>
    <w:rsid w:val="002B2E10"/>
    <w:rsid w:val="002B430F"/>
    <w:rsid w:val="002B4A5E"/>
    <w:rsid w:val="002B5650"/>
    <w:rsid w:val="002B6B88"/>
    <w:rsid w:val="002B6D23"/>
    <w:rsid w:val="002B7663"/>
    <w:rsid w:val="002C077C"/>
    <w:rsid w:val="002C1CF6"/>
    <w:rsid w:val="002C1E72"/>
    <w:rsid w:val="002C212D"/>
    <w:rsid w:val="002C2C23"/>
    <w:rsid w:val="002C3FCF"/>
    <w:rsid w:val="002C5F2B"/>
    <w:rsid w:val="002D2A24"/>
    <w:rsid w:val="002D343C"/>
    <w:rsid w:val="002D35C1"/>
    <w:rsid w:val="002D3C02"/>
    <w:rsid w:val="002D4E38"/>
    <w:rsid w:val="002D527D"/>
    <w:rsid w:val="002D52F4"/>
    <w:rsid w:val="002D5B83"/>
    <w:rsid w:val="002E00E0"/>
    <w:rsid w:val="002E1A3C"/>
    <w:rsid w:val="002E1E67"/>
    <w:rsid w:val="002E27FC"/>
    <w:rsid w:val="002E28E5"/>
    <w:rsid w:val="002E3048"/>
    <w:rsid w:val="002E3D29"/>
    <w:rsid w:val="002E3E41"/>
    <w:rsid w:val="002E5FF0"/>
    <w:rsid w:val="002E63E5"/>
    <w:rsid w:val="002E7620"/>
    <w:rsid w:val="002F080C"/>
    <w:rsid w:val="002F0FBE"/>
    <w:rsid w:val="002F13E6"/>
    <w:rsid w:val="002F1741"/>
    <w:rsid w:val="002F1CEE"/>
    <w:rsid w:val="002F24D0"/>
    <w:rsid w:val="002F318A"/>
    <w:rsid w:val="002F3589"/>
    <w:rsid w:val="002F4C1F"/>
    <w:rsid w:val="002F58C0"/>
    <w:rsid w:val="002F5D53"/>
    <w:rsid w:val="002F697D"/>
    <w:rsid w:val="002F6C50"/>
    <w:rsid w:val="002F761E"/>
    <w:rsid w:val="00300DBB"/>
    <w:rsid w:val="00301143"/>
    <w:rsid w:val="00301BD3"/>
    <w:rsid w:val="003038C4"/>
    <w:rsid w:val="003053B1"/>
    <w:rsid w:val="00306A63"/>
    <w:rsid w:val="00306D2C"/>
    <w:rsid w:val="00307C10"/>
    <w:rsid w:val="0031538C"/>
    <w:rsid w:val="003154EA"/>
    <w:rsid w:val="00315956"/>
    <w:rsid w:val="00316FDF"/>
    <w:rsid w:val="0031741F"/>
    <w:rsid w:val="00320296"/>
    <w:rsid w:val="00321374"/>
    <w:rsid w:val="00322543"/>
    <w:rsid w:val="003231EC"/>
    <w:rsid w:val="0032573D"/>
    <w:rsid w:val="00327906"/>
    <w:rsid w:val="00331B95"/>
    <w:rsid w:val="00332D4B"/>
    <w:rsid w:val="0033412D"/>
    <w:rsid w:val="00334756"/>
    <w:rsid w:val="0033494F"/>
    <w:rsid w:val="00334CD1"/>
    <w:rsid w:val="00334DC8"/>
    <w:rsid w:val="003367C4"/>
    <w:rsid w:val="00336D34"/>
    <w:rsid w:val="003377EF"/>
    <w:rsid w:val="00340367"/>
    <w:rsid w:val="00340469"/>
    <w:rsid w:val="00340613"/>
    <w:rsid w:val="00341BB5"/>
    <w:rsid w:val="003422D4"/>
    <w:rsid w:val="00343058"/>
    <w:rsid w:val="00343ECC"/>
    <w:rsid w:val="00345094"/>
    <w:rsid w:val="003463D1"/>
    <w:rsid w:val="00346D6B"/>
    <w:rsid w:val="003473F2"/>
    <w:rsid w:val="003478FB"/>
    <w:rsid w:val="00347CCD"/>
    <w:rsid w:val="00347EC9"/>
    <w:rsid w:val="0035016E"/>
    <w:rsid w:val="0035057F"/>
    <w:rsid w:val="00350816"/>
    <w:rsid w:val="003537C5"/>
    <w:rsid w:val="00355693"/>
    <w:rsid w:val="003560EF"/>
    <w:rsid w:val="00356364"/>
    <w:rsid w:val="003569D6"/>
    <w:rsid w:val="003574F7"/>
    <w:rsid w:val="0035753D"/>
    <w:rsid w:val="003607E9"/>
    <w:rsid w:val="00360BD2"/>
    <w:rsid w:val="00361ADD"/>
    <w:rsid w:val="00361C04"/>
    <w:rsid w:val="00361FE1"/>
    <w:rsid w:val="00362795"/>
    <w:rsid w:val="00362C18"/>
    <w:rsid w:val="00362C25"/>
    <w:rsid w:val="003630DC"/>
    <w:rsid w:val="00363359"/>
    <w:rsid w:val="00364CB2"/>
    <w:rsid w:val="0036624A"/>
    <w:rsid w:val="00366707"/>
    <w:rsid w:val="0037093F"/>
    <w:rsid w:val="003711FC"/>
    <w:rsid w:val="003722C8"/>
    <w:rsid w:val="00372582"/>
    <w:rsid w:val="003732EF"/>
    <w:rsid w:val="00373B8E"/>
    <w:rsid w:val="00376A2F"/>
    <w:rsid w:val="0037726B"/>
    <w:rsid w:val="003772E0"/>
    <w:rsid w:val="00377F4C"/>
    <w:rsid w:val="00380E12"/>
    <w:rsid w:val="003813AB"/>
    <w:rsid w:val="00382E3B"/>
    <w:rsid w:val="00383ABB"/>
    <w:rsid w:val="0039017B"/>
    <w:rsid w:val="0039127E"/>
    <w:rsid w:val="003912FD"/>
    <w:rsid w:val="00391F41"/>
    <w:rsid w:val="00392FC6"/>
    <w:rsid w:val="00393751"/>
    <w:rsid w:val="00393FF9"/>
    <w:rsid w:val="0039727E"/>
    <w:rsid w:val="00397A5A"/>
    <w:rsid w:val="003A0296"/>
    <w:rsid w:val="003A123E"/>
    <w:rsid w:val="003A427F"/>
    <w:rsid w:val="003A72FF"/>
    <w:rsid w:val="003A79D2"/>
    <w:rsid w:val="003B03F3"/>
    <w:rsid w:val="003B0BFE"/>
    <w:rsid w:val="003B15F7"/>
    <w:rsid w:val="003B2D3B"/>
    <w:rsid w:val="003B5978"/>
    <w:rsid w:val="003B7EDB"/>
    <w:rsid w:val="003C28FF"/>
    <w:rsid w:val="003C59CB"/>
    <w:rsid w:val="003C64F8"/>
    <w:rsid w:val="003C6A10"/>
    <w:rsid w:val="003C7264"/>
    <w:rsid w:val="003C7291"/>
    <w:rsid w:val="003C7716"/>
    <w:rsid w:val="003C7AE1"/>
    <w:rsid w:val="003D01AF"/>
    <w:rsid w:val="003D34A0"/>
    <w:rsid w:val="003D40C9"/>
    <w:rsid w:val="003D4646"/>
    <w:rsid w:val="003D506B"/>
    <w:rsid w:val="003D6EF1"/>
    <w:rsid w:val="003D7932"/>
    <w:rsid w:val="003E0723"/>
    <w:rsid w:val="003E093A"/>
    <w:rsid w:val="003E09D6"/>
    <w:rsid w:val="003E0BE1"/>
    <w:rsid w:val="003E13D8"/>
    <w:rsid w:val="003E16EB"/>
    <w:rsid w:val="003E4905"/>
    <w:rsid w:val="003E5438"/>
    <w:rsid w:val="003E5841"/>
    <w:rsid w:val="003E6966"/>
    <w:rsid w:val="003E6AC7"/>
    <w:rsid w:val="003E7305"/>
    <w:rsid w:val="003F07D5"/>
    <w:rsid w:val="003F1887"/>
    <w:rsid w:val="003F286E"/>
    <w:rsid w:val="003F35EE"/>
    <w:rsid w:val="003F3BDB"/>
    <w:rsid w:val="003F3CF8"/>
    <w:rsid w:val="003F4496"/>
    <w:rsid w:val="003F4929"/>
    <w:rsid w:val="003F55F5"/>
    <w:rsid w:val="003F7FD6"/>
    <w:rsid w:val="00400E61"/>
    <w:rsid w:val="0040369B"/>
    <w:rsid w:val="00403A65"/>
    <w:rsid w:val="00404C98"/>
    <w:rsid w:val="0040570D"/>
    <w:rsid w:val="004068F5"/>
    <w:rsid w:val="004073B6"/>
    <w:rsid w:val="00410F3B"/>
    <w:rsid w:val="00411DB7"/>
    <w:rsid w:val="00411E53"/>
    <w:rsid w:val="004121DE"/>
    <w:rsid w:val="00412989"/>
    <w:rsid w:val="00413F66"/>
    <w:rsid w:val="00414096"/>
    <w:rsid w:val="004161C3"/>
    <w:rsid w:val="004167E0"/>
    <w:rsid w:val="0042008D"/>
    <w:rsid w:val="00420C1C"/>
    <w:rsid w:val="00421740"/>
    <w:rsid w:val="0042180F"/>
    <w:rsid w:val="0042235E"/>
    <w:rsid w:val="00423C23"/>
    <w:rsid w:val="00424CD3"/>
    <w:rsid w:val="0042540A"/>
    <w:rsid w:val="004268F5"/>
    <w:rsid w:val="00430B3E"/>
    <w:rsid w:val="00430D50"/>
    <w:rsid w:val="00431495"/>
    <w:rsid w:val="00434782"/>
    <w:rsid w:val="00434826"/>
    <w:rsid w:val="004359ED"/>
    <w:rsid w:val="004366AB"/>
    <w:rsid w:val="00436C97"/>
    <w:rsid w:val="00437417"/>
    <w:rsid w:val="004374CB"/>
    <w:rsid w:val="00440325"/>
    <w:rsid w:val="00441FFA"/>
    <w:rsid w:val="00442A4C"/>
    <w:rsid w:val="00442D57"/>
    <w:rsid w:val="00445626"/>
    <w:rsid w:val="004474D5"/>
    <w:rsid w:val="00447D2D"/>
    <w:rsid w:val="00451075"/>
    <w:rsid w:val="0045160E"/>
    <w:rsid w:val="0045199C"/>
    <w:rsid w:val="00451A64"/>
    <w:rsid w:val="00451F56"/>
    <w:rsid w:val="0045244E"/>
    <w:rsid w:val="004541D6"/>
    <w:rsid w:val="00454EA7"/>
    <w:rsid w:val="00455D93"/>
    <w:rsid w:val="00456313"/>
    <w:rsid w:val="00457B56"/>
    <w:rsid w:val="0046094D"/>
    <w:rsid w:val="0046147D"/>
    <w:rsid w:val="00461D4A"/>
    <w:rsid w:val="00461DE0"/>
    <w:rsid w:val="00462B71"/>
    <w:rsid w:val="00462B7A"/>
    <w:rsid w:val="0046388F"/>
    <w:rsid w:val="0046506A"/>
    <w:rsid w:val="00466014"/>
    <w:rsid w:val="00467F65"/>
    <w:rsid w:val="00470B78"/>
    <w:rsid w:val="00471320"/>
    <w:rsid w:val="00471674"/>
    <w:rsid w:val="0047212B"/>
    <w:rsid w:val="004722BB"/>
    <w:rsid w:val="0047375B"/>
    <w:rsid w:val="0047503B"/>
    <w:rsid w:val="004754B8"/>
    <w:rsid w:val="004774C1"/>
    <w:rsid w:val="0048097B"/>
    <w:rsid w:val="00482D0F"/>
    <w:rsid w:val="00484E8E"/>
    <w:rsid w:val="00484F7B"/>
    <w:rsid w:val="00484FD6"/>
    <w:rsid w:val="004877D0"/>
    <w:rsid w:val="00491982"/>
    <w:rsid w:val="00492A3D"/>
    <w:rsid w:val="00492E52"/>
    <w:rsid w:val="004933F0"/>
    <w:rsid w:val="004934E0"/>
    <w:rsid w:val="00493D76"/>
    <w:rsid w:val="004954FC"/>
    <w:rsid w:val="00495A72"/>
    <w:rsid w:val="00495EB2"/>
    <w:rsid w:val="00496A7C"/>
    <w:rsid w:val="00496AB0"/>
    <w:rsid w:val="00496D0E"/>
    <w:rsid w:val="004A0B0D"/>
    <w:rsid w:val="004A1A99"/>
    <w:rsid w:val="004A1BA0"/>
    <w:rsid w:val="004A1CB8"/>
    <w:rsid w:val="004A2A31"/>
    <w:rsid w:val="004A2DE8"/>
    <w:rsid w:val="004A307D"/>
    <w:rsid w:val="004A3F42"/>
    <w:rsid w:val="004A456A"/>
    <w:rsid w:val="004A4BBD"/>
    <w:rsid w:val="004A5A0E"/>
    <w:rsid w:val="004A67CD"/>
    <w:rsid w:val="004A7515"/>
    <w:rsid w:val="004B0B50"/>
    <w:rsid w:val="004B1D29"/>
    <w:rsid w:val="004B1DF7"/>
    <w:rsid w:val="004B1E7E"/>
    <w:rsid w:val="004B3806"/>
    <w:rsid w:val="004B3EF9"/>
    <w:rsid w:val="004B4558"/>
    <w:rsid w:val="004B5D1C"/>
    <w:rsid w:val="004B64E4"/>
    <w:rsid w:val="004B6CC4"/>
    <w:rsid w:val="004C109C"/>
    <w:rsid w:val="004C1A3C"/>
    <w:rsid w:val="004C265E"/>
    <w:rsid w:val="004C2777"/>
    <w:rsid w:val="004C2F59"/>
    <w:rsid w:val="004C39C1"/>
    <w:rsid w:val="004C58C8"/>
    <w:rsid w:val="004C698B"/>
    <w:rsid w:val="004C6B8B"/>
    <w:rsid w:val="004C76E6"/>
    <w:rsid w:val="004D0277"/>
    <w:rsid w:val="004D04B6"/>
    <w:rsid w:val="004D2D41"/>
    <w:rsid w:val="004D37EA"/>
    <w:rsid w:val="004D3F76"/>
    <w:rsid w:val="004D49D1"/>
    <w:rsid w:val="004D6C43"/>
    <w:rsid w:val="004D6E18"/>
    <w:rsid w:val="004E09E6"/>
    <w:rsid w:val="004E115B"/>
    <w:rsid w:val="004E1ABD"/>
    <w:rsid w:val="004E1E5B"/>
    <w:rsid w:val="004E1F23"/>
    <w:rsid w:val="004E3D07"/>
    <w:rsid w:val="004E4918"/>
    <w:rsid w:val="004E546B"/>
    <w:rsid w:val="004E5AFF"/>
    <w:rsid w:val="004E5F14"/>
    <w:rsid w:val="004E6B19"/>
    <w:rsid w:val="004E6F6E"/>
    <w:rsid w:val="004E71F9"/>
    <w:rsid w:val="004E7521"/>
    <w:rsid w:val="004F0D48"/>
    <w:rsid w:val="004F25E1"/>
    <w:rsid w:val="004F2E55"/>
    <w:rsid w:val="004F3EBA"/>
    <w:rsid w:val="004F42C9"/>
    <w:rsid w:val="004F46B1"/>
    <w:rsid w:val="004F71BC"/>
    <w:rsid w:val="004F7EF9"/>
    <w:rsid w:val="00500441"/>
    <w:rsid w:val="005006AE"/>
    <w:rsid w:val="005020E4"/>
    <w:rsid w:val="00502F71"/>
    <w:rsid w:val="0050332A"/>
    <w:rsid w:val="00504FD8"/>
    <w:rsid w:val="00505F53"/>
    <w:rsid w:val="0050705B"/>
    <w:rsid w:val="00507E4B"/>
    <w:rsid w:val="00507F22"/>
    <w:rsid w:val="00512292"/>
    <w:rsid w:val="005122FF"/>
    <w:rsid w:val="00515B5C"/>
    <w:rsid w:val="00515C91"/>
    <w:rsid w:val="00520062"/>
    <w:rsid w:val="00520107"/>
    <w:rsid w:val="00520181"/>
    <w:rsid w:val="00520F7E"/>
    <w:rsid w:val="005213A8"/>
    <w:rsid w:val="005235B3"/>
    <w:rsid w:val="00523982"/>
    <w:rsid w:val="00526349"/>
    <w:rsid w:val="0052784C"/>
    <w:rsid w:val="00530499"/>
    <w:rsid w:val="00530F4A"/>
    <w:rsid w:val="00533503"/>
    <w:rsid w:val="005336BE"/>
    <w:rsid w:val="00534177"/>
    <w:rsid w:val="0053506D"/>
    <w:rsid w:val="005351A3"/>
    <w:rsid w:val="00540005"/>
    <w:rsid w:val="00540C4C"/>
    <w:rsid w:val="00541B39"/>
    <w:rsid w:val="0054287C"/>
    <w:rsid w:val="00542F43"/>
    <w:rsid w:val="00543CEE"/>
    <w:rsid w:val="00543EA4"/>
    <w:rsid w:val="00543F0D"/>
    <w:rsid w:val="0054495C"/>
    <w:rsid w:val="005465A8"/>
    <w:rsid w:val="00547522"/>
    <w:rsid w:val="00551668"/>
    <w:rsid w:val="00551CA3"/>
    <w:rsid w:val="00552392"/>
    <w:rsid w:val="005524A8"/>
    <w:rsid w:val="00552A01"/>
    <w:rsid w:val="00552A0C"/>
    <w:rsid w:val="00552CF0"/>
    <w:rsid w:val="00553045"/>
    <w:rsid w:val="00554A12"/>
    <w:rsid w:val="00556F0F"/>
    <w:rsid w:val="00560570"/>
    <w:rsid w:val="00561283"/>
    <w:rsid w:val="00561870"/>
    <w:rsid w:val="00561EA3"/>
    <w:rsid w:val="00562227"/>
    <w:rsid w:val="00562DA0"/>
    <w:rsid w:val="005639D4"/>
    <w:rsid w:val="005645FF"/>
    <w:rsid w:val="00564B74"/>
    <w:rsid w:val="00564FE0"/>
    <w:rsid w:val="00566129"/>
    <w:rsid w:val="0056658B"/>
    <w:rsid w:val="00566737"/>
    <w:rsid w:val="00567904"/>
    <w:rsid w:val="00567CA6"/>
    <w:rsid w:val="005709A1"/>
    <w:rsid w:val="00571B33"/>
    <w:rsid w:val="00572A91"/>
    <w:rsid w:val="00573DE3"/>
    <w:rsid w:val="00574A03"/>
    <w:rsid w:val="005775F9"/>
    <w:rsid w:val="005810EC"/>
    <w:rsid w:val="0058683A"/>
    <w:rsid w:val="005869D9"/>
    <w:rsid w:val="00587A45"/>
    <w:rsid w:val="005907C1"/>
    <w:rsid w:val="00593BDA"/>
    <w:rsid w:val="00593D0E"/>
    <w:rsid w:val="005940EF"/>
    <w:rsid w:val="00595D4D"/>
    <w:rsid w:val="00596361"/>
    <w:rsid w:val="0059655C"/>
    <w:rsid w:val="00597BCB"/>
    <w:rsid w:val="005A053F"/>
    <w:rsid w:val="005A0658"/>
    <w:rsid w:val="005A19DC"/>
    <w:rsid w:val="005A2225"/>
    <w:rsid w:val="005A257E"/>
    <w:rsid w:val="005A26F8"/>
    <w:rsid w:val="005A40A0"/>
    <w:rsid w:val="005A4C2E"/>
    <w:rsid w:val="005A4DDE"/>
    <w:rsid w:val="005A6101"/>
    <w:rsid w:val="005B07BD"/>
    <w:rsid w:val="005B1A94"/>
    <w:rsid w:val="005B275E"/>
    <w:rsid w:val="005B2A73"/>
    <w:rsid w:val="005B3C70"/>
    <w:rsid w:val="005B4F84"/>
    <w:rsid w:val="005B5BEF"/>
    <w:rsid w:val="005B7A6A"/>
    <w:rsid w:val="005C05F2"/>
    <w:rsid w:val="005C07C7"/>
    <w:rsid w:val="005C2754"/>
    <w:rsid w:val="005C3BF5"/>
    <w:rsid w:val="005C5897"/>
    <w:rsid w:val="005C642C"/>
    <w:rsid w:val="005D096B"/>
    <w:rsid w:val="005D23E9"/>
    <w:rsid w:val="005D3A45"/>
    <w:rsid w:val="005D5107"/>
    <w:rsid w:val="005D5A09"/>
    <w:rsid w:val="005D5B8F"/>
    <w:rsid w:val="005D70CD"/>
    <w:rsid w:val="005E1320"/>
    <w:rsid w:val="005E1F1F"/>
    <w:rsid w:val="005E3A6C"/>
    <w:rsid w:val="005E495A"/>
    <w:rsid w:val="005E671D"/>
    <w:rsid w:val="005E7723"/>
    <w:rsid w:val="005E7CFE"/>
    <w:rsid w:val="005E7D6C"/>
    <w:rsid w:val="005E7EFF"/>
    <w:rsid w:val="005F058C"/>
    <w:rsid w:val="005F422E"/>
    <w:rsid w:val="005F4499"/>
    <w:rsid w:val="005F46BD"/>
    <w:rsid w:val="005F4CF7"/>
    <w:rsid w:val="005F4D29"/>
    <w:rsid w:val="005F4F12"/>
    <w:rsid w:val="005F50C9"/>
    <w:rsid w:val="005F61BF"/>
    <w:rsid w:val="005F6AEB"/>
    <w:rsid w:val="00600C96"/>
    <w:rsid w:val="006018B8"/>
    <w:rsid w:val="00601EC1"/>
    <w:rsid w:val="00601EC5"/>
    <w:rsid w:val="00602D97"/>
    <w:rsid w:val="00603C26"/>
    <w:rsid w:val="006049FE"/>
    <w:rsid w:val="006052E9"/>
    <w:rsid w:val="00605A81"/>
    <w:rsid w:val="00605B7E"/>
    <w:rsid w:val="006100E7"/>
    <w:rsid w:val="006105D6"/>
    <w:rsid w:val="00612A4F"/>
    <w:rsid w:val="00612ED3"/>
    <w:rsid w:val="006152A1"/>
    <w:rsid w:val="00616D6B"/>
    <w:rsid w:val="00617365"/>
    <w:rsid w:val="00620B79"/>
    <w:rsid w:val="00621A00"/>
    <w:rsid w:val="00622664"/>
    <w:rsid w:val="00622A88"/>
    <w:rsid w:val="006234D2"/>
    <w:rsid w:val="006240B6"/>
    <w:rsid w:val="0062482F"/>
    <w:rsid w:val="00624CDE"/>
    <w:rsid w:val="0062792A"/>
    <w:rsid w:val="00630253"/>
    <w:rsid w:val="00630B54"/>
    <w:rsid w:val="006312F2"/>
    <w:rsid w:val="0063188B"/>
    <w:rsid w:val="00633B79"/>
    <w:rsid w:val="00634B12"/>
    <w:rsid w:val="00634C23"/>
    <w:rsid w:val="00634D93"/>
    <w:rsid w:val="006350F3"/>
    <w:rsid w:val="0063515D"/>
    <w:rsid w:val="00636430"/>
    <w:rsid w:val="00636C39"/>
    <w:rsid w:val="00637A0E"/>
    <w:rsid w:val="0064005C"/>
    <w:rsid w:val="00640C89"/>
    <w:rsid w:val="00641A81"/>
    <w:rsid w:val="006440A2"/>
    <w:rsid w:val="0064411A"/>
    <w:rsid w:val="006442CB"/>
    <w:rsid w:val="00644F43"/>
    <w:rsid w:val="006453A1"/>
    <w:rsid w:val="00647AF4"/>
    <w:rsid w:val="00647C7A"/>
    <w:rsid w:val="00647D45"/>
    <w:rsid w:val="006503F2"/>
    <w:rsid w:val="00650DC9"/>
    <w:rsid w:val="006517A4"/>
    <w:rsid w:val="00652176"/>
    <w:rsid w:val="00652C82"/>
    <w:rsid w:val="00652D3B"/>
    <w:rsid w:val="00654F0F"/>
    <w:rsid w:val="00660823"/>
    <w:rsid w:val="0066152F"/>
    <w:rsid w:val="00662566"/>
    <w:rsid w:val="00664ECA"/>
    <w:rsid w:val="00667A1F"/>
    <w:rsid w:val="00667D61"/>
    <w:rsid w:val="00673262"/>
    <w:rsid w:val="006738A2"/>
    <w:rsid w:val="0067392C"/>
    <w:rsid w:val="00673E7D"/>
    <w:rsid w:val="0067461A"/>
    <w:rsid w:val="006769AC"/>
    <w:rsid w:val="00677111"/>
    <w:rsid w:val="00677CF5"/>
    <w:rsid w:val="006809B8"/>
    <w:rsid w:val="00680C04"/>
    <w:rsid w:val="0068134C"/>
    <w:rsid w:val="00682569"/>
    <w:rsid w:val="00682873"/>
    <w:rsid w:val="0068435F"/>
    <w:rsid w:val="006845DB"/>
    <w:rsid w:val="00685102"/>
    <w:rsid w:val="0068528A"/>
    <w:rsid w:val="00685766"/>
    <w:rsid w:val="00686573"/>
    <w:rsid w:val="0068691E"/>
    <w:rsid w:val="0068729F"/>
    <w:rsid w:val="006920B5"/>
    <w:rsid w:val="0069335F"/>
    <w:rsid w:val="00694B7E"/>
    <w:rsid w:val="00694C47"/>
    <w:rsid w:val="00696439"/>
    <w:rsid w:val="006A0E5B"/>
    <w:rsid w:val="006A17EE"/>
    <w:rsid w:val="006A432D"/>
    <w:rsid w:val="006A5CE2"/>
    <w:rsid w:val="006A6360"/>
    <w:rsid w:val="006A6B04"/>
    <w:rsid w:val="006A7E5F"/>
    <w:rsid w:val="006B10DF"/>
    <w:rsid w:val="006B417E"/>
    <w:rsid w:val="006B45DB"/>
    <w:rsid w:val="006B4A26"/>
    <w:rsid w:val="006B6E56"/>
    <w:rsid w:val="006C1D5A"/>
    <w:rsid w:val="006C1FC9"/>
    <w:rsid w:val="006C2F4D"/>
    <w:rsid w:val="006C3891"/>
    <w:rsid w:val="006C3A35"/>
    <w:rsid w:val="006C6851"/>
    <w:rsid w:val="006C6D33"/>
    <w:rsid w:val="006C7948"/>
    <w:rsid w:val="006C7B2C"/>
    <w:rsid w:val="006D05C7"/>
    <w:rsid w:val="006D0651"/>
    <w:rsid w:val="006D07EF"/>
    <w:rsid w:val="006D08AB"/>
    <w:rsid w:val="006D12A9"/>
    <w:rsid w:val="006D1723"/>
    <w:rsid w:val="006D199F"/>
    <w:rsid w:val="006D264F"/>
    <w:rsid w:val="006D2C23"/>
    <w:rsid w:val="006D4768"/>
    <w:rsid w:val="006D6865"/>
    <w:rsid w:val="006D7635"/>
    <w:rsid w:val="006D7CA5"/>
    <w:rsid w:val="006E0946"/>
    <w:rsid w:val="006E09D7"/>
    <w:rsid w:val="006E1A76"/>
    <w:rsid w:val="006E1BF5"/>
    <w:rsid w:val="006E1D50"/>
    <w:rsid w:val="006E33C4"/>
    <w:rsid w:val="006E3F43"/>
    <w:rsid w:val="006E5FC1"/>
    <w:rsid w:val="006E6873"/>
    <w:rsid w:val="006F0A3B"/>
    <w:rsid w:val="006F160F"/>
    <w:rsid w:val="006F396F"/>
    <w:rsid w:val="006F453A"/>
    <w:rsid w:val="006F5117"/>
    <w:rsid w:val="006F588B"/>
    <w:rsid w:val="006F6C1D"/>
    <w:rsid w:val="00700FED"/>
    <w:rsid w:val="0070147B"/>
    <w:rsid w:val="0070150A"/>
    <w:rsid w:val="00701A7C"/>
    <w:rsid w:val="007024A3"/>
    <w:rsid w:val="00703CDE"/>
    <w:rsid w:val="00704E8F"/>
    <w:rsid w:val="00706D46"/>
    <w:rsid w:val="00710956"/>
    <w:rsid w:val="00714DB8"/>
    <w:rsid w:val="00714F7A"/>
    <w:rsid w:val="00716A9D"/>
    <w:rsid w:val="00716F6B"/>
    <w:rsid w:val="00721623"/>
    <w:rsid w:val="00721D99"/>
    <w:rsid w:val="00721EB1"/>
    <w:rsid w:val="00722364"/>
    <w:rsid w:val="0072264F"/>
    <w:rsid w:val="00722749"/>
    <w:rsid w:val="00722988"/>
    <w:rsid w:val="0072307B"/>
    <w:rsid w:val="007238B9"/>
    <w:rsid w:val="00724254"/>
    <w:rsid w:val="007261D7"/>
    <w:rsid w:val="0072664A"/>
    <w:rsid w:val="00730780"/>
    <w:rsid w:val="00732D6C"/>
    <w:rsid w:val="00732E5D"/>
    <w:rsid w:val="00735BA6"/>
    <w:rsid w:val="00740310"/>
    <w:rsid w:val="0074045D"/>
    <w:rsid w:val="00740761"/>
    <w:rsid w:val="00740A2C"/>
    <w:rsid w:val="0074244E"/>
    <w:rsid w:val="007425C8"/>
    <w:rsid w:val="0074546D"/>
    <w:rsid w:val="00747595"/>
    <w:rsid w:val="00747935"/>
    <w:rsid w:val="007511AB"/>
    <w:rsid w:val="0075240C"/>
    <w:rsid w:val="00752870"/>
    <w:rsid w:val="00754028"/>
    <w:rsid w:val="00754A1C"/>
    <w:rsid w:val="00756232"/>
    <w:rsid w:val="007570A5"/>
    <w:rsid w:val="00765812"/>
    <w:rsid w:val="0076589E"/>
    <w:rsid w:val="00765FEA"/>
    <w:rsid w:val="007708B4"/>
    <w:rsid w:val="00771276"/>
    <w:rsid w:val="00772803"/>
    <w:rsid w:val="007730D3"/>
    <w:rsid w:val="0077311F"/>
    <w:rsid w:val="007731EE"/>
    <w:rsid w:val="00774143"/>
    <w:rsid w:val="0077613D"/>
    <w:rsid w:val="007762BE"/>
    <w:rsid w:val="00776780"/>
    <w:rsid w:val="007768A2"/>
    <w:rsid w:val="00782443"/>
    <w:rsid w:val="0078257E"/>
    <w:rsid w:val="00782D1D"/>
    <w:rsid w:val="0078361C"/>
    <w:rsid w:val="00783D9F"/>
    <w:rsid w:val="0078432E"/>
    <w:rsid w:val="007848A7"/>
    <w:rsid w:val="00785894"/>
    <w:rsid w:val="00785F44"/>
    <w:rsid w:val="0078610A"/>
    <w:rsid w:val="00786462"/>
    <w:rsid w:val="00786A37"/>
    <w:rsid w:val="00787A9B"/>
    <w:rsid w:val="0079017F"/>
    <w:rsid w:val="00790A17"/>
    <w:rsid w:val="00791C1B"/>
    <w:rsid w:val="00792AC8"/>
    <w:rsid w:val="00795224"/>
    <w:rsid w:val="007961A2"/>
    <w:rsid w:val="007A040E"/>
    <w:rsid w:val="007A09C4"/>
    <w:rsid w:val="007A10C2"/>
    <w:rsid w:val="007A3453"/>
    <w:rsid w:val="007A41EC"/>
    <w:rsid w:val="007A5771"/>
    <w:rsid w:val="007A5CFA"/>
    <w:rsid w:val="007A72F1"/>
    <w:rsid w:val="007B0100"/>
    <w:rsid w:val="007B10B1"/>
    <w:rsid w:val="007B1AA9"/>
    <w:rsid w:val="007B2663"/>
    <w:rsid w:val="007B2F6A"/>
    <w:rsid w:val="007B3536"/>
    <w:rsid w:val="007B5012"/>
    <w:rsid w:val="007C081A"/>
    <w:rsid w:val="007C0A82"/>
    <w:rsid w:val="007C0C84"/>
    <w:rsid w:val="007C2229"/>
    <w:rsid w:val="007C2B54"/>
    <w:rsid w:val="007C3FDE"/>
    <w:rsid w:val="007C56F4"/>
    <w:rsid w:val="007D2CB6"/>
    <w:rsid w:val="007D339A"/>
    <w:rsid w:val="007D404E"/>
    <w:rsid w:val="007D411A"/>
    <w:rsid w:val="007D5AB3"/>
    <w:rsid w:val="007D5E0A"/>
    <w:rsid w:val="007D5ECC"/>
    <w:rsid w:val="007D7A5E"/>
    <w:rsid w:val="007E1110"/>
    <w:rsid w:val="007E1C32"/>
    <w:rsid w:val="007E2F5A"/>
    <w:rsid w:val="007E318D"/>
    <w:rsid w:val="007E3677"/>
    <w:rsid w:val="007E4247"/>
    <w:rsid w:val="007E5551"/>
    <w:rsid w:val="007E55EC"/>
    <w:rsid w:val="007E5D68"/>
    <w:rsid w:val="007E6BB8"/>
    <w:rsid w:val="007E7344"/>
    <w:rsid w:val="007F1C54"/>
    <w:rsid w:val="007F1DC7"/>
    <w:rsid w:val="007F38D6"/>
    <w:rsid w:val="007F4C70"/>
    <w:rsid w:val="007F5590"/>
    <w:rsid w:val="007F5772"/>
    <w:rsid w:val="007F5D2B"/>
    <w:rsid w:val="007F5D41"/>
    <w:rsid w:val="007F65BC"/>
    <w:rsid w:val="007F67DC"/>
    <w:rsid w:val="007F736E"/>
    <w:rsid w:val="00800C52"/>
    <w:rsid w:val="00802EED"/>
    <w:rsid w:val="0080377B"/>
    <w:rsid w:val="00803A6E"/>
    <w:rsid w:val="00803D12"/>
    <w:rsid w:val="00803F2F"/>
    <w:rsid w:val="00804986"/>
    <w:rsid w:val="00805317"/>
    <w:rsid w:val="0080649C"/>
    <w:rsid w:val="0080698C"/>
    <w:rsid w:val="00807137"/>
    <w:rsid w:val="008076F8"/>
    <w:rsid w:val="0080792D"/>
    <w:rsid w:val="0081006C"/>
    <w:rsid w:val="00812CF4"/>
    <w:rsid w:val="008134AE"/>
    <w:rsid w:val="00813BC0"/>
    <w:rsid w:val="00814BC9"/>
    <w:rsid w:val="00814D71"/>
    <w:rsid w:val="00814DAA"/>
    <w:rsid w:val="008157FC"/>
    <w:rsid w:val="00816077"/>
    <w:rsid w:val="008167FB"/>
    <w:rsid w:val="00816922"/>
    <w:rsid w:val="00820EC1"/>
    <w:rsid w:val="00821D3F"/>
    <w:rsid w:val="00822A5D"/>
    <w:rsid w:val="00822FCF"/>
    <w:rsid w:val="0082391D"/>
    <w:rsid w:val="00823B3A"/>
    <w:rsid w:val="00824038"/>
    <w:rsid w:val="00824089"/>
    <w:rsid w:val="008242CB"/>
    <w:rsid w:val="00824EBC"/>
    <w:rsid w:val="008256B3"/>
    <w:rsid w:val="008258BC"/>
    <w:rsid w:val="008259CF"/>
    <w:rsid w:val="00826366"/>
    <w:rsid w:val="008269A7"/>
    <w:rsid w:val="00827FD5"/>
    <w:rsid w:val="008312C4"/>
    <w:rsid w:val="008312E5"/>
    <w:rsid w:val="008314A9"/>
    <w:rsid w:val="00831D62"/>
    <w:rsid w:val="00832DED"/>
    <w:rsid w:val="00833342"/>
    <w:rsid w:val="0083419C"/>
    <w:rsid w:val="00834211"/>
    <w:rsid w:val="0083441F"/>
    <w:rsid w:val="008347B9"/>
    <w:rsid w:val="00834E1D"/>
    <w:rsid w:val="00835C74"/>
    <w:rsid w:val="00835E4C"/>
    <w:rsid w:val="00837258"/>
    <w:rsid w:val="00837404"/>
    <w:rsid w:val="00840ABC"/>
    <w:rsid w:val="00840FC0"/>
    <w:rsid w:val="008418C5"/>
    <w:rsid w:val="00842D8D"/>
    <w:rsid w:val="00844038"/>
    <w:rsid w:val="008444A7"/>
    <w:rsid w:val="00844E48"/>
    <w:rsid w:val="00845ECE"/>
    <w:rsid w:val="00845FE4"/>
    <w:rsid w:val="00846114"/>
    <w:rsid w:val="00847C0E"/>
    <w:rsid w:val="00850538"/>
    <w:rsid w:val="00850DDB"/>
    <w:rsid w:val="0085178E"/>
    <w:rsid w:val="008517D0"/>
    <w:rsid w:val="0085304D"/>
    <w:rsid w:val="0085325B"/>
    <w:rsid w:val="008539C9"/>
    <w:rsid w:val="00853BFF"/>
    <w:rsid w:val="008569E8"/>
    <w:rsid w:val="008612BF"/>
    <w:rsid w:val="008626C9"/>
    <w:rsid w:val="00863A3B"/>
    <w:rsid w:val="00863B1D"/>
    <w:rsid w:val="00864518"/>
    <w:rsid w:val="00864582"/>
    <w:rsid w:val="008648D5"/>
    <w:rsid w:val="0086524C"/>
    <w:rsid w:val="008657E6"/>
    <w:rsid w:val="00865BEA"/>
    <w:rsid w:val="00865E1D"/>
    <w:rsid w:val="00865F6C"/>
    <w:rsid w:val="00867BF3"/>
    <w:rsid w:val="00870CC2"/>
    <w:rsid w:val="00871225"/>
    <w:rsid w:val="0087152D"/>
    <w:rsid w:val="0087383E"/>
    <w:rsid w:val="00873C82"/>
    <w:rsid w:val="00873E93"/>
    <w:rsid w:val="0087452B"/>
    <w:rsid w:val="00874DD5"/>
    <w:rsid w:val="008772E2"/>
    <w:rsid w:val="008775ED"/>
    <w:rsid w:val="00880ADD"/>
    <w:rsid w:val="00880DF3"/>
    <w:rsid w:val="00882370"/>
    <w:rsid w:val="00884186"/>
    <w:rsid w:val="0088510D"/>
    <w:rsid w:val="00887301"/>
    <w:rsid w:val="00890F1A"/>
    <w:rsid w:val="00890F5F"/>
    <w:rsid w:val="00890FB5"/>
    <w:rsid w:val="00892696"/>
    <w:rsid w:val="00894454"/>
    <w:rsid w:val="00896959"/>
    <w:rsid w:val="00896980"/>
    <w:rsid w:val="00896FAD"/>
    <w:rsid w:val="00897095"/>
    <w:rsid w:val="00897D6C"/>
    <w:rsid w:val="008A1B12"/>
    <w:rsid w:val="008A34E4"/>
    <w:rsid w:val="008A35AF"/>
    <w:rsid w:val="008A4468"/>
    <w:rsid w:val="008A4DFF"/>
    <w:rsid w:val="008A660A"/>
    <w:rsid w:val="008A6DF1"/>
    <w:rsid w:val="008A73F2"/>
    <w:rsid w:val="008A77E9"/>
    <w:rsid w:val="008A7CE7"/>
    <w:rsid w:val="008B0EE3"/>
    <w:rsid w:val="008B2D7E"/>
    <w:rsid w:val="008B2FC1"/>
    <w:rsid w:val="008B69B1"/>
    <w:rsid w:val="008B6C32"/>
    <w:rsid w:val="008B6E48"/>
    <w:rsid w:val="008B6F0D"/>
    <w:rsid w:val="008B6FE6"/>
    <w:rsid w:val="008C1477"/>
    <w:rsid w:val="008C1553"/>
    <w:rsid w:val="008C219C"/>
    <w:rsid w:val="008C25E8"/>
    <w:rsid w:val="008C32D4"/>
    <w:rsid w:val="008C402B"/>
    <w:rsid w:val="008C536B"/>
    <w:rsid w:val="008C5F05"/>
    <w:rsid w:val="008C6B69"/>
    <w:rsid w:val="008C7BFD"/>
    <w:rsid w:val="008D04CC"/>
    <w:rsid w:val="008D0CB4"/>
    <w:rsid w:val="008D0E6D"/>
    <w:rsid w:val="008D3083"/>
    <w:rsid w:val="008D440A"/>
    <w:rsid w:val="008D62D4"/>
    <w:rsid w:val="008D7234"/>
    <w:rsid w:val="008D737D"/>
    <w:rsid w:val="008D7C71"/>
    <w:rsid w:val="008D7DDF"/>
    <w:rsid w:val="008E0759"/>
    <w:rsid w:val="008E11CC"/>
    <w:rsid w:val="008E123B"/>
    <w:rsid w:val="008E232D"/>
    <w:rsid w:val="008E3B0F"/>
    <w:rsid w:val="008E4D07"/>
    <w:rsid w:val="008E572F"/>
    <w:rsid w:val="008E7474"/>
    <w:rsid w:val="008E7622"/>
    <w:rsid w:val="008F01A4"/>
    <w:rsid w:val="008F04CE"/>
    <w:rsid w:val="008F1AFA"/>
    <w:rsid w:val="008F4776"/>
    <w:rsid w:val="008F6B60"/>
    <w:rsid w:val="008F7F99"/>
    <w:rsid w:val="00900D1C"/>
    <w:rsid w:val="00903C90"/>
    <w:rsid w:val="0090455C"/>
    <w:rsid w:val="00905850"/>
    <w:rsid w:val="00906C43"/>
    <w:rsid w:val="00907D77"/>
    <w:rsid w:val="009105E9"/>
    <w:rsid w:val="00911472"/>
    <w:rsid w:val="00911474"/>
    <w:rsid w:val="00912990"/>
    <w:rsid w:val="00913709"/>
    <w:rsid w:val="009143A3"/>
    <w:rsid w:val="00914C85"/>
    <w:rsid w:val="0091503E"/>
    <w:rsid w:val="009170A7"/>
    <w:rsid w:val="009200F7"/>
    <w:rsid w:val="00920C84"/>
    <w:rsid w:val="00923258"/>
    <w:rsid w:val="00923720"/>
    <w:rsid w:val="009246D0"/>
    <w:rsid w:val="00926F0D"/>
    <w:rsid w:val="00927186"/>
    <w:rsid w:val="009271B8"/>
    <w:rsid w:val="00927825"/>
    <w:rsid w:val="00927DBA"/>
    <w:rsid w:val="0093034F"/>
    <w:rsid w:val="009309A4"/>
    <w:rsid w:val="009309AA"/>
    <w:rsid w:val="00931437"/>
    <w:rsid w:val="0093162A"/>
    <w:rsid w:val="00931C03"/>
    <w:rsid w:val="00931CB8"/>
    <w:rsid w:val="0093348F"/>
    <w:rsid w:val="009336DB"/>
    <w:rsid w:val="00933D2F"/>
    <w:rsid w:val="0093476F"/>
    <w:rsid w:val="0093541E"/>
    <w:rsid w:val="00936552"/>
    <w:rsid w:val="009370CE"/>
    <w:rsid w:val="009371EF"/>
    <w:rsid w:val="0093753C"/>
    <w:rsid w:val="00943750"/>
    <w:rsid w:val="0094396B"/>
    <w:rsid w:val="00943FC7"/>
    <w:rsid w:val="009441AA"/>
    <w:rsid w:val="00944CFE"/>
    <w:rsid w:val="00945986"/>
    <w:rsid w:val="00946470"/>
    <w:rsid w:val="0094717D"/>
    <w:rsid w:val="009503BA"/>
    <w:rsid w:val="00951108"/>
    <w:rsid w:val="009511B6"/>
    <w:rsid w:val="009521FD"/>
    <w:rsid w:val="00954AB6"/>
    <w:rsid w:val="00954EF0"/>
    <w:rsid w:val="009558E1"/>
    <w:rsid w:val="009567D7"/>
    <w:rsid w:val="009579E0"/>
    <w:rsid w:val="009601C8"/>
    <w:rsid w:val="00963655"/>
    <w:rsid w:val="00963A1B"/>
    <w:rsid w:val="00964ED6"/>
    <w:rsid w:val="009650FB"/>
    <w:rsid w:val="00965A48"/>
    <w:rsid w:val="00970D0F"/>
    <w:rsid w:val="00972669"/>
    <w:rsid w:val="00972974"/>
    <w:rsid w:val="00975401"/>
    <w:rsid w:val="00977EAC"/>
    <w:rsid w:val="00980B38"/>
    <w:rsid w:val="00981203"/>
    <w:rsid w:val="00981B92"/>
    <w:rsid w:val="0098228E"/>
    <w:rsid w:val="009834E6"/>
    <w:rsid w:val="00983770"/>
    <w:rsid w:val="00984B34"/>
    <w:rsid w:val="00984DA4"/>
    <w:rsid w:val="00985300"/>
    <w:rsid w:val="009855C9"/>
    <w:rsid w:val="009874C7"/>
    <w:rsid w:val="009875CB"/>
    <w:rsid w:val="009877BA"/>
    <w:rsid w:val="009903FB"/>
    <w:rsid w:val="009938EA"/>
    <w:rsid w:val="00994D33"/>
    <w:rsid w:val="0099611F"/>
    <w:rsid w:val="009A306A"/>
    <w:rsid w:val="009A3547"/>
    <w:rsid w:val="009A39DB"/>
    <w:rsid w:val="009A4E3B"/>
    <w:rsid w:val="009A56C0"/>
    <w:rsid w:val="009A585C"/>
    <w:rsid w:val="009A5D55"/>
    <w:rsid w:val="009A6A79"/>
    <w:rsid w:val="009A6B6D"/>
    <w:rsid w:val="009A768D"/>
    <w:rsid w:val="009A7A2E"/>
    <w:rsid w:val="009B0624"/>
    <w:rsid w:val="009B09B0"/>
    <w:rsid w:val="009B1822"/>
    <w:rsid w:val="009B18CB"/>
    <w:rsid w:val="009B33F5"/>
    <w:rsid w:val="009B4546"/>
    <w:rsid w:val="009B5DF6"/>
    <w:rsid w:val="009B7DB1"/>
    <w:rsid w:val="009C01F4"/>
    <w:rsid w:val="009C060A"/>
    <w:rsid w:val="009C2B1A"/>
    <w:rsid w:val="009C3866"/>
    <w:rsid w:val="009C6962"/>
    <w:rsid w:val="009C6F9D"/>
    <w:rsid w:val="009C747E"/>
    <w:rsid w:val="009D1778"/>
    <w:rsid w:val="009D1C50"/>
    <w:rsid w:val="009D1F71"/>
    <w:rsid w:val="009D21A9"/>
    <w:rsid w:val="009D243F"/>
    <w:rsid w:val="009D2AE1"/>
    <w:rsid w:val="009D38A2"/>
    <w:rsid w:val="009D414D"/>
    <w:rsid w:val="009D4E07"/>
    <w:rsid w:val="009D4EF5"/>
    <w:rsid w:val="009D5D5A"/>
    <w:rsid w:val="009D6183"/>
    <w:rsid w:val="009D690D"/>
    <w:rsid w:val="009D6A73"/>
    <w:rsid w:val="009D6C4C"/>
    <w:rsid w:val="009D6EB2"/>
    <w:rsid w:val="009D6FDD"/>
    <w:rsid w:val="009D71EF"/>
    <w:rsid w:val="009E0DD0"/>
    <w:rsid w:val="009E0EF4"/>
    <w:rsid w:val="009E33DC"/>
    <w:rsid w:val="009E3805"/>
    <w:rsid w:val="009E38AC"/>
    <w:rsid w:val="009E3A96"/>
    <w:rsid w:val="009E41C7"/>
    <w:rsid w:val="009E48A8"/>
    <w:rsid w:val="009E609B"/>
    <w:rsid w:val="009E70D6"/>
    <w:rsid w:val="009F15B6"/>
    <w:rsid w:val="009F2778"/>
    <w:rsid w:val="009F3B06"/>
    <w:rsid w:val="009F5639"/>
    <w:rsid w:val="009F5BED"/>
    <w:rsid w:val="009F5CF4"/>
    <w:rsid w:val="009F5F07"/>
    <w:rsid w:val="009F6B16"/>
    <w:rsid w:val="009F7A08"/>
    <w:rsid w:val="00A0032D"/>
    <w:rsid w:val="00A00EE1"/>
    <w:rsid w:val="00A00F66"/>
    <w:rsid w:val="00A02E92"/>
    <w:rsid w:val="00A03543"/>
    <w:rsid w:val="00A036DF"/>
    <w:rsid w:val="00A061F1"/>
    <w:rsid w:val="00A06564"/>
    <w:rsid w:val="00A10DFE"/>
    <w:rsid w:val="00A12220"/>
    <w:rsid w:val="00A12596"/>
    <w:rsid w:val="00A14038"/>
    <w:rsid w:val="00A14614"/>
    <w:rsid w:val="00A1561F"/>
    <w:rsid w:val="00A15C14"/>
    <w:rsid w:val="00A15EBD"/>
    <w:rsid w:val="00A161E6"/>
    <w:rsid w:val="00A169BB"/>
    <w:rsid w:val="00A16E58"/>
    <w:rsid w:val="00A17BA1"/>
    <w:rsid w:val="00A201AE"/>
    <w:rsid w:val="00A214F2"/>
    <w:rsid w:val="00A22023"/>
    <w:rsid w:val="00A221BF"/>
    <w:rsid w:val="00A230FD"/>
    <w:rsid w:val="00A26EB7"/>
    <w:rsid w:val="00A3030A"/>
    <w:rsid w:val="00A30764"/>
    <w:rsid w:val="00A31DBA"/>
    <w:rsid w:val="00A34DFB"/>
    <w:rsid w:val="00A3646C"/>
    <w:rsid w:val="00A36A65"/>
    <w:rsid w:val="00A376C9"/>
    <w:rsid w:val="00A41CD8"/>
    <w:rsid w:val="00A41EC7"/>
    <w:rsid w:val="00A42DB2"/>
    <w:rsid w:val="00A43421"/>
    <w:rsid w:val="00A448DB"/>
    <w:rsid w:val="00A4493E"/>
    <w:rsid w:val="00A45C2B"/>
    <w:rsid w:val="00A47B42"/>
    <w:rsid w:val="00A50A37"/>
    <w:rsid w:val="00A50E78"/>
    <w:rsid w:val="00A518A2"/>
    <w:rsid w:val="00A52760"/>
    <w:rsid w:val="00A527E7"/>
    <w:rsid w:val="00A528A2"/>
    <w:rsid w:val="00A57828"/>
    <w:rsid w:val="00A57978"/>
    <w:rsid w:val="00A62B19"/>
    <w:rsid w:val="00A62FA9"/>
    <w:rsid w:val="00A632F2"/>
    <w:rsid w:val="00A63A72"/>
    <w:rsid w:val="00A64234"/>
    <w:rsid w:val="00A64B03"/>
    <w:rsid w:val="00A662DD"/>
    <w:rsid w:val="00A6743F"/>
    <w:rsid w:val="00A70772"/>
    <w:rsid w:val="00A72EFF"/>
    <w:rsid w:val="00A73A48"/>
    <w:rsid w:val="00A74672"/>
    <w:rsid w:val="00A74E16"/>
    <w:rsid w:val="00A753B6"/>
    <w:rsid w:val="00A75611"/>
    <w:rsid w:val="00A75680"/>
    <w:rsid w:val="00A75A34"/>
    <w:rsid w:val="00A801FF"/>
    <w:rsid w:val="00A80821"/>
    <w:rsid w:val="00A80BAE"/>
    <w:rsid w:val="00A836DE"/>
    <w:rsid w:val="00A83802"/>
    <w:rsid w:val="00A83E52"/>
    <w:rsid w:val="00A8403C"/>
    <w:rsid w:val="00A84F87"/>
    <w:rsid w:val="00A8500C"/>
    <w:rsid w:val="00A86D9F"/>
    <w:rsid w:val="00A874E2"/>
    <w:rsid w:val="00A90BD9"/>
    <w:rsid w:val="00A90FDF"/>
    <w:rsid w:val="00A91C00"/>
    <w:rsid w:val="00A9263B"/>
    <w:rsid w:val="00A92ECA"/>
    <w:rsid w:val="00A9353A"/>
    <w:rsid w:val="00A935D1"/>
    <w:rsid w:val="00A942F8"/>
    <w:rsid w:val="00A96B99"/>
    <w:rsid w:val="00A96E27"/>
    <w:rsid w:val="00AA0C4A"/>
    <w:rsid w:val="00AA16EF"/>
    <w:rsid w:val="00AA2E5B"/>
    <w:rsid w:val="00AA37A2"/>
    <w:rsid w:val="00AA579F"/>
    <w:rsid w:val="00AA5902"/>
    <w:rsid w:val="00AA632B"/>
    <w:rsid w:val="00AA6870"/>
    <w:rsid w:val="00AA68F5"/>
    <w:rsid w:val="00AA6C29"/>
    <w:rsid w:val="00AB0BBE"/>
    <w:rsid w:val="00AB1150"/>
    <w:rsid w:val="00AB186F"/>
    <w:rsid w:val="00AB2DA9"/>
    <w:rsid w:val="00AB2E46"/>
    <w:rsid w:val="00AB3215"/>
    <w:rsid w:val="00AB4F3C"/>
    <w:rsid w:val="00AB60B8"/>
    <w:rsid w:val="00AB6998"/>
    <w:rsid w:val="00AB7F5B"/>
    <w:rsid w:val="00AC005A"/>
    <w:rsid w:val="00AC4297"/>
    <w:rsid w:val="00AC43B9"/>
    <w:rsid w:val="00AC43E1"/>
    <w:rsid w:val="00AC491F"/>
    <w:rsid w:val="00AC5499"/>
    <w:rsid w:val="00AC5CF6"/>
    <w:rsid w:val="00AC655F"/>
    <w:rsid w:val="00AC7400"/>
    <w:rsid w:val="00AC7E97"/>
    <w:rsid w:val="00AD0589"/>
    <w:rsid w:val="00AD1EF6"/>
    <w:rsid w:val="00AD29FF"/>
    <w:rsid w:val="00AD2D43"/>
    <w:rsid w:val="00AD3684"/>
    <w:rsid w:val="00AD3B51"/>
    <w:rsid w:val="00AD406C"/>
    <w:rsid w:val="00AD7842"/>
    <w:rsid w:val="00AE0BB5"/>
    <w:rsid w:val="00AE1552"/>
    <w:rsid w:val="00AE21B1"/>
    <w:rsid w:val="00AE23AE"/>
    <w:rsid w:val="00AE2D02"/>
    <w:rsid w:val="00AE327D"/>
    <w:rsid w:val="00AE3ABD"/>
    <w:rsid w:val="00AE467E"/>
    <w:rsid w:val="00AE4CE7"/>
    <w:rsid w:val="00AE6AC4"/>
    <w:rsid w:val="00AE736E"/>
    <w:rsid w:val="00AE75E9"/>
    <w:rsid w:val="00AE779A"/>
    <w:rsid w:val="00AF14BF"/>
    <w:rsid w:val="00AF21D6"/>
    <w:rsid w:val="00AF2209"/>
    <w:rsid w:val="00AF350A"/>
    <w:rsid w:val="00AF5FCF"/>
    <w:rsid w:val="00AF60AF"/>
    <w:rsid w:val="00AF68F0"/>
    <w:rsid w:val="00AF7BC2"/>
    <w:rsid w:val="00AF7D77"/>
    <w:rsid w:val="00B0183D"/>
    <w:rsid w:val="00B01D18"/>
    <w:rsid w:val="00B01D87"/>
    <w:rsid w:val="00B025AA"/>
    <w:rsid w:val="00B02BAD"/>
    <w:rsid w:val="00B02F12"/>
    <w:rsid w:val="00B031DE"/>
    <w:rsid w:val="00B034A8"/>
    <w:rsid w:val="00B03808"/>
    <w:rsid w:val="00B03833"/>
    <w:rsid w:val="00B04C35"/>
    <w:rsid w:val="00B05A70"/>
    <w:rsid w:val="00B05C11"/>
    <w:rsid w:val="00B0649A"/>
    <w:rsid w:val="00B07399"/>
    <w:rsid w:val="00B10276"/>
    <w:rsid w:val="00B11319"/>
    <w:rsid w:val="00B116ED"/>
    <w:rsid w:val="00B12165"/>
    <w:rsid w:val="00B1313F"/>
    <w:rsid w:val="00B14E65"/>
    <w:rsid w:val="00B152D0"/>
    <w:rsid w:val="00B15AFF"/>
    <w:rsid w:val="00B15F70"/>
    <w:rsid w:val="00B20BEA"/>
    <w:rsid w:val="00B20D89"/>
    <w:rsid w:val="00B21A38"/>
    <w:rsid w:val="00B21D96"/>
    <w:rsid w:val="00B232B5"/>
    <w:rsid w:val="00B247B1"/>
    <w:rsid w:val="00B24E29"/>
    <w:rsid w:val="00B25244"/>
    <w:rsid w:val="00B2594B"/>
    <w:rsid w:val="00B262F8"/>
    <w:rsid w:val="00B30407"/>
    <w:rsid w:val="00B31AFC"/>
    <w:rsid w:val="00B31EF8"/>
    <w:rsid w:val="00B322B3"/>
    <w:rsid w:val="00B32580"/>
    <w:rsid w:val="00B33B82"/>
    <w:rsid w:val="00B369B6"/>
    <w:rsid w:val="00B37882"/>
    <w:rsid w:val="00B428BB"/>
    <w:rsid w:val="00B4394F"/>
    <w:rsid w:val="00B449F1"/>
    <w:rsid w:val="00B44DB7"/>
    <w:rsid w:val="00B45151"/>
    <w:rsid w:val="00B45FCE"/>
    <w:rsid w:val="00B472F5"/>
    <w:rsid w:val="00B47D94"/>
    <w:rsid w:val="00B47EE4"/>
    <w:rsid w:val="00B5122D"/>
    <w:rsid w:val="00B51542"/>
    <w:rsid w:val="00B5292C"/>
    <w:rsid w:val="00B52EBD"/>
    <w:rsid w:val="00B5567E"/>
    <w:rsid w:val="00B55A85"/>
    <w:rsid w:val="00B6263E"/>
    <w:rsid w:val="00B62F82"/>
    <w:rsid w:val="00B6350D"/>
    <w:rsid w:val="00B64621"/>
    <w:rsid w:val="00B64809"/>
    <w:rsid w:val="00B65AE1"/>
    <w:rsid w:val="00B6663C"/>
    <w:rsid w:val="00B668C9"/>
    <w:rsid w:val="00B668DF"/>
    <w:rsid w:val="00B67E14"/>
    <w:rsid w:val="00B70429"/>
    <w:rsid w:val="00B70523"/>
    <w:rsid w:val="00B71F33"/>
    <w:rsid w:val="00B74D5B"/>
    <w:rsid w:val="00B7651F"/>
    <w:rsid w:val="00B772CF"/>
    <w:rsid w:val="00B77985"/>
    <w:rsid w:val="00B804BD"/>
    <w:rsid w:val="00B80B02"/>
    <w:rsid w:val="00B80D7C"/>
    <w:rsid w:val="00B81961"/>
    <w:rsid w:val="00B82CB8"/>
    <w:rsid w:val="00B8451F"/>
    <w:rsid w:val="00B84CA4"/>
    <w:rsid w:val="00B869F7"/>
    <w:rsid w:val="00B87C86"/>
    <w:rsid w:val="00B90923"/>
    <w:rsid w:val="00B91082"/>
    <w:rsid w:val="00B91BF5"/>
    <w:rsid w:val="00B92A25"/>
    <w:rsid w:val="00B9310A"/>
    <w:rsid w:val="00B96482"/>
    <w:rsid w:val="00B96FC6"/>
    <w:rsid w:val="00B974A5"/>
    <w:rsid w:val="00B97E0D"/>
    <w:rsid w:val="00BA0A06"/>
    <w:rsid w:val="00BA135F"/>
    <w:rsid w:val="00BA16C6"/>
    <w:rsid w:val="00BA28EB"/>
    <w:rsid w:val="00BA2BE5"/>
    <w:rsid w:val="00BA328F"/>
    <w:rsid w:val="00BA3A61"/>
    <w:rsid w:val="00BA3FB8"/>
    <w:rsid w:val="00BA722D"/>
    <w:rsid w:val="00BA7CE1"/>
    <w:rsid w:val="00BA7EC1"/>
    <w:rsid w:val="00BB116A"/>
    <w:rsid w:val="00BB1D80"/>
    <w:rsid w:val="00BB5E9A"/>
    <w:rsid w:val="00BC0AE6"/>
    <w:rsid w:val="00BC11E6"/>
    <w:rsid w:val="00BC18D1"/>
    <w:rsid w:val="00BC207A"/>
    <w:rsid w:val="00BC217C"/>
    <w:rsid w:val="00BC3D65"/>
    <w:rsid w:val="00BC401B"/>
    <w:rsid w:val="00BC43ED"/>
    <w:rsid w:val="00BC4ADC"/>
    <w:rsid w:val="00BC6D9B"/>
    <w:rsid w:val="00BC7104"/>
    <w:rsid w:val="00BD072F"/>
    <w:rsid w:val="00BD0826"/>
    <w:rsid w:val="00BD0842"/>
    <w:rsid w:val="00BD097E"/>
    <w:rsid w:val="00BD4931"/>
    <w:rsid w:val="00BD628B"/>
    <w:rsid w:val="00BD739C"/>
    <w:rsid w:val="00BE12E3"/>
    <w:rsid w:val="00BE18F1"/>
    <w:rsid w:val="00BE5BBA"/>
    <w:rsid w:val="00BF05FF"/>
    <w:rsid w:val="00BF0954"/>
    <w:rsid w:val="00BF1308"/>
    <w:rsid w:val="00BF3E62"/>
    <w:rsid w:val="00BF47D1"/>
    <w:rsid w:val="00BF5523"/>
    <w:rsid w:val="00BF59B7"/>
    <w:rsid w:val="00BF5D8B"/>
    <w:rsid w:val="00BF601F"/>
    <w:rsid w:val="00BF635B"/>
    <w:rsid w:val="00BF7513"/>
    <w:rsid w:val="00C017FC"/>
    <w:rsid w:val="00C01EB2"/>
    <w:rsid w:val="00C025AE"/>
    <w:rsid w:val="00C036FA"/>
    <w:rsid w:val="00C03B23"/>
    <w:rsid w:val="00C06839"/>
    <w:rsid w:val="00C06AE3"/>
    <w:rsid w:val="00C07885"/>
    <w:rsid w:val="00C10D09"/>
    <w:rsid w:val="00C11825"/>
    <w:rsid w:val="00C11DBD"/>
    <w:rsid w:val="00C13B36"/>
    <w:rsid w:val="00C13F26"/>
    <w:rsid w:val="00C152CB"/>
    <w:rsid w:val="00C170A4"/>
    <w:rsid w:val="00C2004A"/>
    <w:rsid w:val="00C20FC6"/>
    <w:rsid w:val="00C22D0B"/>
    <w:rsid w:val="00C22EAF"/>
    <w:rsid w:val="00C240AC"/>
    <w:rsid w:val="00C25582"/>
    <w:rsid w:val="00C255B7"/>
    <w:rsid w:val="00C25A0D"/>
    <w:rsid w:val="00C27180"/>
    <w:rsid w:val="00C2796A"/>
    <w:rsid w:val="00C307F1"/>
    <w:rsid w:val="00C3080E"/>
    <w:rsid w:val="00C30E33"/>
    <w:rsid w:val="00C316E8"/>
    <w:rsid w:val="00C3189E"/>
    <w:rsid w:val="00C323B7"/>
    <w:rsid w:val="00C331E1"/>
    <w:rsid w:val="00C3340C"/>
    <w:rsid w:val="00C34500"/>
    <w:rsid w:val="00C347E7"/>
    <w:rsid w:val="00C35A8F"/>
    <w:rsid w:val="00C36427"/>
    <w:rsid w:val="00C42791"/>
    <w:rsid w:val="00C46180"/>
    <w:rsid w:val="00C4626E"/>
    <w:rsid w:val="00C46640"/>
    <w:rsid w:val="00C52040"/>
    <w:rsid w:val="00C52445"/>
    <w:rsid w:val="00C53048"/>
    <w:rsid w:val="00C5322C"/>
    <w:rsid w:val="00C53953"/>
    <w:rsid w:val="00C54E20"/>
    <w:rsid w:val="00C54EB0"/>
    <w:rsid w:val="00C55B2F"/>
    <w:rsid w:val="00C5702E"/>
    <w:rsid w:val="00C577F6"/>
    <w:rsid w:val="00C617EE"/>
    <w:rsid w:val="00C6255A"/>
    <w:rsid w:val="00C66171"/>
    <w:rsid w:val="00C66E6D"/>
    <w:rsid w:val="00C67242"/>
    <w:rsid w:val="00C7060B"/>
    <w:rsid w:val="00C70CCC"/>
    <w:rsid w:val="00C70F4B"/>
    <w:rsid w:val="00C71294"/>
    <w:rsid w:val="00C715CB"/>
    <w:rsid w:val="00C719E4"/>
    <w:rsid w:val="00C71D0C"/>
    <w:rsid w:val="00C724D9"/>
    <w:rsid w:val="00C72FC2"/>
    <w:rsid w:val="00C7453B"/>
    <w:rsid w:val="00C756C5"/>
    <w:rsid w:val="00C7677E"/>
    <w:rsid w:val="00C7688F"/>
    <w:rsid w:val="00C804D2"/>
    <w:rsid w:val="00C80E9B"/>
    <w:rsid w:val="00C81470"/>
    <w:rsid w:val="00C84108"/>
    <w:rsid w:val="00C8419C"/>
    <w:rsid w:val="00C87BB1"/>
    <w:rsid w:val="00C90131"/>
    <w:rsid w:val="00C90297"/>
    <w:rsid w:val="00C916A6"/>
    <w:rsid w:val="00C939BE"/>
    <w:rsid w:val="00C94428"/>
    <w:rsid w:val="00C94E4F"/>
    <w:rsid w:val="00C97E74"/>
    <w:rsid w:val="00CA0100"/>
    <w:rsid w:val="00CA0B88"/>
    <w:rsid w:val="00CA18BD"/>
    <w:rsid w:val="00CA2805"/>
    <w:rsid w:val="00CA2B11"/>
    <w:rsid w:val="00CA3C46"/>
    <w:rsid w:val="00CA4664"/>
    <w:rsid w:val="00CA5E77"/>
    <w:rsid w:val="00CB1783"/>
    <w:rsid w:val="00CB1EA8"/>
    <w:rsid w:val="00CB4B71"/>
    <w:rsid w:val="00CB56C5"/>
    <w:rsid w:val="00CB6408"/>
    <w:rsid w:val="00CC06A1"/>
    <w:rsid w:val="00CC1526"/>
    <w:rsid w:val="00CC2ECB"/>
    <w:rsid w:val="00CC2FAE"/>
    <w:rsid w:val="00CC51DC"/>
    <w:rsid w:val="00CC5D46"/>
    <w:rsid w:val="00CC61D4"/>
    <w:rsid w:val="00CC61E4"/>
    <w:rsid w:val="00CC651B"/>
    <w:rsid w:val="00CC7AFA"/>
    <w:rsid w:val="00CC7C2D"/>
    <w:rsid w:val="00CD28C5"/>
    <w:rsid w:val="00CD2D0C"/>
    <w:rsid w:val="00CD303D"/>
    <w:rsid w:val="00CD743B"/>
    <w:rsid w:val="00CD754E"/>
    <w:rsid w:val="00CD7C19"/>
    <w:rsid w:val="00CE04E2"/>
    <w:rsid w:val="00CE21BC"/>
    <w:rsid w:val="00CE3C02"/>
    <w:rsid w:val="00CE4EB9"/>
    <w:rsid w:val="00CE681F"/>
    <w:rsid w:val="00CE68AC"/>
    <w:rsid w:val="00CE74C8"/>
    <w:rsid w:val="00CF1AFE"/>
    <w:rsid w:val="00CF2662"/>
    <w:rsid w:val="00CF484A"/>
    <w:rsid w:val="00CF50A7"/>
    <w:rsid w:val="00CF5810"/>
    <w:rsid w:val="00CF5A3A"/>
    <w:rsid w:val="00CF6934"/>
    <w:rsid w:val="00CF77B2"/>
    <w:rsid w:val="00CF790F"/>
    <w:rsid w:val="00CF7C54"/>
    <w:rsid w:val="00CF7E6C"/>
    <w:rsid w:val="00D01313"/>
    <w:rsid w:val="00D01BDD"/>
    <w:rsid w:val="00D01E54"/>
    <w:rsid w:val="00D0247C"/>
    <w:rsid w:val="00D03088"/>
    <w:rsid w:val="00D0338E"/>
    <w:rsid w:val="00D03A5F"/>
    <w:rsid w:val="00D03B07"/>
    <w:rsid w:val="00D03CE3"/>
    <w:rsid w:val="00D04006"/>
    <w:rsid w:val="00D0527A"/>
    <w:rsid w:val="00D05375"/>
    <w:rsid w:val="00D057CC"/>
    <w:rsid w:val="00D062A8"/>
    <w:rsid w:val="00D10202"/>
    <w:rsid w:val="00D10792"/>
    <w:rsid w:val="00D1090A"/>
    <w:rsid w:val="00D12A89"/>
    <w:rsid w:val="00D12EDF"/>
    <w:rsid w:val="00D130DC"/>
    <w:rsid w:val="00D1326C"/>
    <w:rsid w:val="00D13298"/>
    <w:rsid w:val="00D14D5A"/>
    <w:rsid w:val="00D15AA5"/>
    <w:rsid w:val="00D169A6"/>
    <w:rsid w:val="00D1767C"/>
    <w:rsid w:val="00D17EF3"/>
    <w:rsid w:val="00D204AE"/>
    <w:rsid w:val="00D222C5"/>
    <w:rsid w:val="00D223F1"/>
    <w:rsid w:val="00D224AE"/>
    <w:rsid w:val="00D22F90"/>
    <w:rsid w:val="00D232A6"/>
    <w:rsid w:val="00D23900"/>
    <w:rsid w:val="00D23D18"/>
    <w:rsid w:val="00D252E2"/>
    <w:rsid w:val="00D25327"/>
    <w:rsid w:val="00D276E9"/>
    <w:rsid w:val="00D30475"/>
    <w:rsid w:val="00D30FDF"/>
    <w:rsid w:val="00D31687"/>
    <w:rsid w:val="00D32555"/>
    <w:rsid w:val="00D32B77"/>
    <w:rsid w:val="00D336E5"/>
    <w:rsid w:val="00D33786"/>
    <w:rsid w:val="00D33AD3"/>
    <w:rsid w:val="00D33E00"/>
    <w:rsid w:val="00D33F53"/>
    <w:rsid w:val="00D3414B"/>
    <w:rsid w:val="00D34434"/>
    <w:rsid w:val="00D34768"/>
    <w:rsid w:val="00D3555A"/>
    <w:rsid w:val="00D359D4"/>
    <w:rsid w:val="00D36792"/>
    <w:rsid w:val="00D37B42"/>
    <w:rsid w:val="00D40928"/>
    <w:rsid w:val="00D40A3D"/>
    <w:rsid w:val="00D40C5B"/>
    <w:rsid w:val="00D41506"/>
    <w:rsid w:val="00D418D5"/>
    <w:rsid w:val="00D4326E"/>
    <w:rsid w:val="00D4435F"/>
    <w:rsid w:val="00D454C7"/>
    <w:rsid w:val="00D458D8"/>
    <w:rsid w:val="00D46161"/>
    <w:rsid w:val="00D4688C"/>
    <w:rsid w:val="00D47044"/>
    <w:rsid w:val="00D47AB8"/>
    <w:rsid w:val="00D50544"/>
    <w:rsid w:val="00D52554"/>
    <w:rsid w:val="00D53D4B"/>
    <w:rsid w:val="00D54036"/>
    <w:rsid w:val="00D542A0"/>
    <w:rsid w:val="00D544A2"/>
    <w:rsid w:val="00D54987"/>
    <w:rsid w:val="00D553D0"/>
    <w:rsid w:val="00D55A78"/>
    <w:rsid w:val="00D57838"/>
    <w:rsid w:val="00D5792F"/>
    <w:rsid w:val="00D57C54"/>
    <w:rsid w:val="00D608A8"/>
    <w:rsid w:val="00D6111F"/>
    <w:rsid w:val="00D6177D"/>
    <w:rsid w:val="00D61B37"/>
    <w:rsid w:val="00D62489"/>
    <w:rsid w:val="00D638DC"/>
    <w:rsid w:val="00D63DD2"/>
    <w:rsid w:val="00D64525"/>
    <w:rsid w:val="00D6471A"/>
    <w:rsid w:val="00D64DE4"/>
    <w:rsid w:val="00D65C1A"/>
    <w:rsid w:val="00D65EA3"/>
    <w:rsid w:val="00D65F20"/>
    <w:rsid w:val="00D67840"/>
    <w:rsid w:val="00D67CFC"/>
    <w:rsid w:val="00D70056"/>
    <w:rsid w:val="00D70A4B"/>
    <w:rsid w:val="00D71767"/>
    <w:rsid w:val="00D71A4C"/>
    <w:rsid w:val="00D72454"/>
    <w:rsid w:val="00D74D3E"/>
    <w:rsid w:val="00D7613E"/>
    <w:rsid w:val="00D76A2E"/>
    <w:rsid w:val="00D801D3"/>
    <w:rsid w:val="00D8069A"/>
    <w:rsid w:val="00D806C5"/>
    <w:rsid w:val="00D813F0"/>
    <w:rsid w:val="00D82B6C"/>
    <w:rsid w:val="00D857F6"/>
    <w:rsid w:val="00D85CC1"/>
    <w:rsid w:val="00D86669"/>
    <w:rsid w:val="00D86CCE"/>
    <w:rsid w:val="00D9091F"/>
    <w:rsid w:val="00D91DAD"/>
    <w:rsid w:val="00D91E10"/>
    <w:rsid w:val="00D923EE"/>
    <w:rsid w:val="00D926F4"/>
    <w:rsid w:val="00D97B3D"/>
    <w:rsid w:val="00DA0896"/>
    <w:rsid w:val="00DA33CF"/>
    <w:rsid w:val="00DA34FF"/>
    <w:rsid w:val="00DA3CF5"/>
    <w:rsid w:val="00DA3F10"/>
    <w:rsid w:val="00DA3F46"/>
    <w:rsid w:val="00DA61D2"/>
    <w:rsid w:val="00DA6575"/>
    <w:rsid w:val="00DA6918"/>
    <w:rsid w:val="00DA7254"/>
    <w:rsid w:val="00DB1437"/>
    <w:rsid w:val="00DB187B"/>
    <w:rsid w:val="00DB442D"/>
    <w:rsid w:val="00DB465C"/>
    <w:rsid w:val="00DB47DC"/>
    <w:rsid w:val="00DB5257"/>
    <w:rsid w:val="00DB5922"/>
    <w:rsid w:val="00DB6371"/>
    <w:rsid w:val="00DB77D1"/>
    <w:rsid w:val="00DB7E74"/>
    <w:rsid w:val="00DC0341"/>
    <w:rsid w:val="00DC06A8"/>
    <w:rsid w:val="00DC156C"/>
    <w:rsid w:val="00DC286E"/>
    <w:rsid w:val="00DC2B32"/>
    <w:rsid w:val="00DC5A3E"/>
    <w:rsid w:val="00DC6394"/>
    <w:rsid w:val="00DC6629"/>
    <w:rsid w:val="00DC664E"/>
    <w:rsid w:val="00DC6C5B"/>
    <w:rsid w:val="00DC7928"/>
    <w:rsid w:val="00DC7D07"/>
    <w:rsid w:val="00DC7FC6"/>
    <w:rsid w:val="00DD034C"/>
    <w:rsid w:val="00DD14B1"/>
    <w:rsid w:val="00DD1FEE"/>
    <w:rsid w:val="00DD2FA5"/>
    <w:rsid w:val="00DD3764"/>
    <w:rsid w:val="00DD4CD4"/>
    <w:rsid w:val="00DD602D"/>
    <w:rsid w:val="00DD76C9"/>
    <w:rsid w:val="00DD7A96"/>
    <w:rsid w:val="00DE0C84"/>
    <w:rsid w:val="00DE0E6F"/>
    <w:rsid w:val="00DE13DA"/>
    <w:rsid w:val="00DE27DD"/>
    <w:rsid w:val="00DE342B"/>
    <w:rsid w:val="00DE3693"/>
    <w:rsid w:val="00DE3C20"/>
    <w:rsid w:val="00DE3EB3"/>
    <w:rsid w:val="00DE42BD"/>
    <w:rsid w:val="00DE45B6"/>
    <w:rsid w:val="00DE4E61"/>
    <w:rsid w:val="00DE66ED"/>
    <w:rsid w:val="00DE7E00"/>
    <w:rsid w:val="00DF0D3D"/>
    <w:rsid w:val="00DF247A"/>
    <w:rsid w:val="00DF2BAF"/>
    <w:rsid w:val="00DF395F"/>
    <w:rsid w:val="00DF5F8B"/>
    <w:rsid w:val="00DF7CFD"/>
    <w:rsid w:val="00E02077"/>
    <w:rsid w:val="00E0275C"/>
    <w:rsid w:val="00E03794"/>
    <w:rsid w:val="00E04953"/>
    <w:rsid w:val="00E0549D"/>
    <w:rsid w:val="00E07573"/>
    <w:rsid w:val="00E103B3"/>
    <w:rsid w:val="00E10FE7"/>
    <w:rsid w:val="00E12427"/>
    <w:rsid w:val="00E126E7"/>
    <w:rsid w:val="00E12E7E"/>
    <w:rsid w:val="00E134A6"/>
    <w:rsid w:val="00E1410D"/>
    <w:rsid w:val="00E14CE9"/>
    <w:rsid w:val="00E14DD7"/>
    <w:rsid w:val="00E15DBB"/>
    <w:rsid w:val="00E17392"/>
    <w:rsid w:val="00E2133C"/>
    <w:rsid w:val="00E221BF"/>
    <w:rsid w:val="00E236CA"/>
    <w:rsid w:val="00E237C5"/>
    <w:rsid w:val="00E23ACF"/>
    <w:rsid w:val="00E23DB8"/>
    <w:rsid w:val="00E23ED0"/>
    <w:rsid w:val="00E25A94"/>
    <w:rsid w:val="00E30DA0"/>
    <w:rsid w:val="00E3244F"/>
    <w:rsid w:val="00E32AF6"/>
    <w:rsid w:val="00E33017"/>
    <w:rsid w:val="00E34097"/>
    <w:rsid w:val="00E36A21"/>
    <w:rsid w:val="00E37719"/>
    <w:rsid w:val="00E37964"/>
    <w:rsid w:val="00E40BA9"/>
    <w:rsid w:val="00E40F5E"/>
    <w:rsid w:val="00E40F95"/>
    <w:rsid w:val="00E41B44"/>
    <w:rsid w:val="00E42024"/>
    <w:rsid w:val="00E42CE7"/>
    <w:rsid w:val="00E436F4"/>
    <w:rsid w:val="00E43900"/>
    <w:rsid w:val="00E444D7"/>
    <w:rsid w:val="00E44E20"/>
    <w:rsid w:val="00E45C17"/>
    <w:rsid w:val="00E472F2"/>
    <w:rsid w:val="00E47530"/>
    <w:rsid w:val="00E50213"/>
    <w:rsid w:val="00E50D83"/>
    <w:rsid w:val="00E51CF2"/>
    <w:rsid w:val="00E546AA"/>
    <w:rsid w:val="00E54BD6"/>
    <w:rsid w:val="00E54C6A"/>
    <w:rsid w:val="00E56C7A"/>
    <w:rsid w:val="00E577A4"/>
    <w:rsid w:val="00E57C1F"/>
    <w:rsid w:val="00E607A4"/>
    <w:rsid w:val="00E60B81"/>
    <w:rsid w:val="00E62390"/>
    <w:rsid w:val="00E62BF3"/>
    <w:rsid w:val="00E653F4"/>
    <w:rsid w:val="00E657B3"/>
    <w:rsid w:val="00E6646D"/>
    <w:rsid w:val="00E67A23"/>
    <w:rsid w:val="00E7068C"/>
    <w:rsid w:val="00E7127D"/>
    <w:rsid w:val="00E7198B"/>
    <w:rsid w:val="00E71C2B"/>
    <w:rsid w:val="00E725DA"/>
    <w:rsid w:val="00E72C46"/>
    <w:rsid w:val="00E7388D"/>
    <w:rsid w:val="00E73E54"/>
    <w:rsid w:val="00E74B6D"/>
    <w:rsid w:val="00E756A2"/>
    <w:rsid w:val="00E76698"/>
    <w:rsid w:val="00E82A51"/>
    <w:rsid w:val="00E84A00"/>
    <w:rsid w:val="00E855E0"/>
    <w:rsid w:val="00E85EFA"/>
    <w:rsid w:val="00E86905"/>
    <w:rsid w:val="00E87710"/>
    <w:rsid w:val="00E90263"/>
    <w:rsid w:val="00E9049A"/>
    <w:rsid w:val="00E906D2"/>
    <w:rsid w:val="00E91FAB"/>
    <w:rsid w:val="00E92B70"/>
    <w:rsid w:val="00E92EDD"/>
    <w:rsid w:val="00E933C9"/>
    <w:rsid w:val="00E93AF8"/>
    <w:rsid w:val="00E9448F"/>
    <w:rsid w:val="00E970A8"/>
    <w:rsid w:val="00E97114"/>
    <w:rsid w:val="00E976BA"/>
    <w:rsid w:val="00E97918"/>
    <w:rsid w:val="00EA0A9C"/>
    <w:rsid w:val="00EA186F"/>
    <w:rsid w:val="00EA1E86"/>
    <w:rsid w:val="00EA288F"/>
    <w:rsid w:val="00EA5B59"/>
    <w:rsid w:val="00EA61E4"/>
    <w:rsid w:val="00EA629C"/>
    <w:rsid w:val="00EA6EDA"/>
    <w:rsid w:val="00EA7C17"/>
    <w:rsid w:val="00EA7CBD"/>
    <w:rsid w:val="00EB0EB0"/>
    <w:rsid w:val="00EB26E6"/>
    <w:rsid w:val="00EB3C97"/>
    <w:rsid w:val="00EB3F8B"/>
    <w:rsid w:val="00EB4A18"/>
    <w:rsid w:val="00EB57B4"/>
    <w:rsid w:val="00EB5A48"/>
    <w:rsid w:val="00EB6BB3"/>
    <w:rsid w:val="00EC0E4D"/>
    <w:rsid w:val="00EC3653"/>
    <w:rsid w:val="00EC3B33"/>
    <w:rsid w:val="00EC441B"/>
    <w:rsid w:val="00EC5890"/>
    <w:rsid w:val="00EC5B91"/>
    <w:rsid w:val="00EC5F0C"/>
    <w:rsid w:val="00EC6ED4"/>
    <w:rsid w:val="00ED2C45"/>
    <w:rsid w:val="00ED30B9"/>
    <w:rsid w:val="00ED3809"/>
    <w:rsid w:val="00ED4FAA"/>
    <w:rsid w:val="00ED569A"/>
    <w:rsid w:val="00EE0121"/>
    <w:rsid w:val="00EE0150"/>
    <w:rsid w:val="00EE1BB8"/>
    <w:rsid w:val="00EE1EA7"/>
    <w:rsid w:val="00EE3674"/>
    <w:rsid w:val="00EE6D3A"/>
    <w:rsid w:val="00EF1294"/>
    <w:rsid w:val="00EF15F1"/>
    <w:rsid w:val="00EF45ED"/>
    <w:rsid w:val="00EF4BA0"/>
    <w:rsid w:val="00EF5E9B"/>
    <w:rsid w:val="00EF6151"/>
    <w:rsid w:val="00EF6D8D"/>
    <w:rsid w:val="00EF781D"/>
    <w:rsid w:val="00F00302"/>
    <w:rsid w:val="00F0151C"/>
    <w:rsid w:val="00F01980"/>
    <w:rsid w:val="00F02614"/>
    <w:rsid w:val="00F029B6"/>
    <w:rsid w:val="00F02BEA"/>
    <w:rsid w:val="00F02E66"/>
    <w:rsid w:val="00F03BD8"/>
    <w:rsid w:val="00F065D2"/>
    <w:rsid w:val="00F073EB"/>
    <w:rsid w:val="00F074BA"/>
    <w:rsid w:val="00F0757F"/>
    <w:rsid w:val="00F115AB"/>
    <w:rsid w:val="00F11BB8"/>
    <w:rsid w:val="00F143F4"/>
    <w:rsid w:val="00F15364"/>
    <w:rsid w:val="00F155BE"/>
    <w:rsid w:val="00F160B4"/>
    <w:rsid w:val="00F16B58"/>
    <w:rsid w:val="00F175D7"/>
    <w:rsid w:val="00F17D58"/>
    <w:rsid w:val="00F208C7"/>
    <w:rsid w:val="00F23BF4"/>
    <w:rsid w:val="00F26AB3"/>
    <w:rsid w:val="00F26EAA"/>
    <w:rsid w:val="00F302B9"/>
    <w:rsid w:val="00F3312A"/>
    <w:rsid w:val="00F33355"/>
    <w:rsid w:val="00F350F6"/>
    <w:rsid w:val="00F35239"/>
    <w:rsid w:val="00F375D2"/>
    <w:rsid w:val="00F37BB6"/>
    <w:rsid w:val="00F4042D"/>
    <w:rsid w:val="00F4122E"/>
    <w:rsid w:val="00F413D2"/>
    <w:rsid w:val="00F41E67"/>
    <w:rsid w:val="00F4452D"/>
    <w:rsid w:val="00F44A44"/>
    <w:rsid w:val="00F44C0E"/>
    <w:rsid w:val="00F458F5"/>
    <w:rsid w:val="00F46721"/>
    <w:rsid w:val="00F503F0"/>
    <w:rsid w:val="00F50426"/>
    <w:rsid w:val="00F50BD3"/>
    <w:rsid w:val="00F532CA"/>
    <w:rsid w:val="00F5465E"/>
    <w:rsid w:val="00F55BAB"/>
    <w:rsid w:val="00F56501"/>
    <w:rsid w:val="00F56917"/>
    <w:rsid w:val="00F56A9B"/>
    <w:rsid w:val="00F60FFB"/>
    <w:rsid w:val="00F61A77"/>
    <w:rsid w:val="00F62DC5"/>
    <w:rsid w:val="00F65FCB"/>
    <w:rsid w:val="00F6643F"/>
    <w:rsid w:val="00F67048"/>
    <w:rsid w:val="00F67768"/>
    <w:rsid w:val="00F677BE"/>
    <w:rsid w:val="00F70758"/>
    <w:rsid w:val="00F70A1F"/>
    <w:rsid w:val="00F75A2F"/>
    <w:rsid w:val="00F75ADA"/>
    <w:rsid w:val="00F76C97"/>
    <w:rsid w:val="00F81F03"/>
    <w:rsid w:val="00F82221"/>
    <w:rsid w:val="00F82D5F"/>
    <w:rsid w:val="00F831A5"/>
    <w:rsid w:val="00F837D3"/>
    <w:rsid w:val="00F85C08"/>
    <w:rsid w:val="00F8761D"/>
    <w:rsid w:val="00F878EA"/>
    <w:rsid w:val="00F87F35"/>
    <w:rsid w:val="00F929D8"/>
    <w:rsid w:val="00F935B4"/>
    <w:rsid w:val="00F94840"/>
    <w:rsid w:val="00F949AA"/>
    <w:rsid w:val="00F95C5B"/>
    <w:rsid w:val="00F961E7"/>
    <w:rsid w:val="00F96691"/>
    <w:rsid w:val="00F96935"/>
    <w:rsid w:val="00F97CE0"/>
    <w:rsid w:val="00F97D44"/>
    <w:rsid w:val="00FA184E"/>
    <w:rsid w:val="00FA22A0"/>
    <w:rsid w:val="00FA2E6C"/>
    <w:rsid w:val="00FA3264"/>
    <w:rsid w:val="00FA3647"/>
    <w:rsid w:val="00FA5E59"/>
    <w:rsid w:val="00FA71AF"/>
    <w:rsid w:val="00FA7E53"/>
    <w:rsid w:val="00FB1733"/>
    <w:rsid w:val="00FB1F74"/>
    <w:rsid w:val="00FB2482"/>
    <w:rsid w:val="00FB304F"/>
    <w:rsid w:val="00FB4F7C"/>
    <w:rsid w:val="00FB77AD"/>
    <w:rsid w:val="00FB7D3B"/>
    <w:rsid w:val="00FC19C1"/>
    <w:rsid w:val="00FC276F"/>
    <w:rsid w:val="00FC37FE"/>
    <w:rsid w:val="00FC394B"/>
    <w:rsid w:val="00FC5718"/>
    <w:rsid w:val="00FC681A"/>
    <w:rsid w:val="00FC71EE"/>
    <w:rsid w:val="00FD0200"/>
    <w:rsid w:val="00FD1F48"/>
    <w:rsid w:val="00FD3A0C"/>
    <w:rsid w:val="00FD4B55"/>
    <w:rsid w:val="00FD56D1"/>
    <w:rsid w:val="00FD71D8"/>
    <w:rsid w:val="00FE1A9D"/>
    <w:rsid w:val="00FE1EBB"/>
    <w:rsid w:val="00FE26E4"/>
    <w:rsid w:val="00FE5538"/>
    <w:rsid w:val="00FE764F"/>
    <w:rsid w:val="00FF0BD7"/>
    <w:rsid w:val="00FF0E71"/>
    <w:rsid w:val="00FF2725"/>
    <w:rsid w:val="00FF2C16"/>
    <w:rsid w:val="00FF3D44"/>
    <w:rsid w:val="00FF573D"/>
    <w:rsid w:val="00FF6355"/>
    <w:rsid w:val="00FF6D7E"/>
    <w:rsid w:val="00FF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5B9773"/>
  <w15:docId w15:val="{43257774-49BB-443F-A5C9-B810F3AA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DB2"/>
    <w:rPr>
      <w:sz w:val="24"/>
      <w:szCs w:val="24"/>
    </w:rPr>
  </w:style>
  <w:style w:type="paragraph" w:styleId="Nadpis5">
    <w:name w:val="heading 5"/>
    <w:basedOn w:val="Normlny"/>
    <w:next w:val="Normlny"/>
    <w:qFormat/>
    <w:rsid w:val="00065723"/>
    <w:pPr>
      <w:spacing w:before="240" w:after="60"/>
      <w:ind w:firstLine="706"/>
      <w:jc w:val="both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4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A9263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9263B"/>
  </w:style>
  <w:style w:type="paragraph" w:customStyle="1" w:styleId="CharCharCharChar">
    <w:name w:val="Char Char Char Char"/>
    <w:basedOn w:val="Normlny"/>
    <w:semiHidden/>
    <w:rsid w:val="000657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167E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A221B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21BF"/>
    <w:rPr>
      <w:sz w:val="24"/>
      <w:szCs w:val="24"/>
    </w:rPr>
  </w:style>
  <w:style w:type="character" w:styleId="Siln">
    <w:name w:val="Strong"/>
    <w:basedOn w:val="Predvolenpsmoodseku"/>
    <w:qFormat/>
    <w:rsid w:val="00716A9D"/>
    <w:rPr>
      <w:b/>
      <w:bCs/>
    </w:rPr>
  </w:style>
  <w:style w:type="paragraph" w:styleId="Textbubliny">
    <w:name w:val="Balloon Text"/>
    <w:basedOn w:val="Normlny"/>
    <w:link w:val="TextbublinyChar"/>
    <w:rsid w:val="00CC51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C51D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rsid w:val="005B3C7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B3C7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B3C70"/>
  </w:style>
  <w:style w:type="paragraph" w:styleId="Predmetkomentra">
    <w:name w:val="annotation subject"/>
    <w:basedOn w:val="Textkomentra"/>
    <w:next w:val="Textkomentra"/>
    <w:link w:val="PredmetkomentraChar"/>
    <w:rsid w:val="005B3C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B3C70"/>
    <w:rPr>
      <w:b/>
      <w:bCs/>
    </w:rPr>
  </w:style>
  <w:style w:type="paragraph" w:styleId="Hlavika">
    <w:name w:val="header"/>
    <w:basedOn w:val="Normlny"/>
    <w:link w:val="HlavikaChar"/>
    <w:unhideWhenUsed/>
    <w:rsid w:val="00AC5C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C5CF6"/>
    <w:rPr>
      <w:sz w:val="24"/>
      <w:szCs w:val="24"/>
    </w:rPr>
  </w:style>
  <w:style w:type="character" w:styleId="Zvraznenie">
    <w:name w:val="Emphasis"/>
    <w:basedOn w:val="Predvolenpsmoodseku"/>
    <w:uiPriority w:val="20"/>
    <w:qFormat/>
    <w:rsid w:val="00B47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5F04-CCE3-41D1-9192-522117EB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2686</Words>
  <Characters>15314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NKU SR</Company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dudasova</dc:creator>
  <cp:lastModifiedBy>martinkovicova</cp:lastModifiedBy>
  <cp:revision>2</cp:revision>
  <cp:lastPrinted>2024-09-13T07:28:00Z</cp:lastPrinted>
  <dcterms:created xsi:type="dcterms:W3CDTF">2024-09-30T10:35:00Z</dcterms:created>
  <dcterms:modified xsi:type="dcterms:W3CDTF">2024-09-30T10:35:00Z</dcterms:modified>
</cp:coreProperties>
</file>