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18" w:rsidRPr="004C7EC8" w:rsidRDefault="00AF4CC1" w:rsidP="00547911">
      <w:pPr>
        <w:pStyle w:val="Zarkazkladnhotextu2"/>
        <w:spacing w:line="240" w:lineRule="auto"/>
        <w:ind w:left="-181"/>
        <w:jc w:val="center"/>
        <w:rPr>
          <w:rFonts w:ascii="Times New Roman" w:hAnsi="Times New Roman"/>
          <w:b/>
          <w:szCs w:val="24"/>
        </w:rPr>
      </w:pPr>
      <w:r w:rsidRPr="004C7EC8">
        <w:rPr>
          <w:rFonts w:ascii="Times New Roman" w:hAnsi="Times New Roman"/>
          <w:b/>
          <w:szCs w:val="24"/>
        </w:rPr>
        <w:t xml:space="preserve">Návrh rozpočtu Sociálnej poisťovne </w:t>
      </w:r>
      <w:r w:rsidR="00BA63ED" w:rsidRPr="004C7EC8">
        <w:rPr>
          <w:rFonts w:ascii="Times New Roman" w:hAnsi="Times New Roman"/>
          <w:b/>
          <w:szCs w:val="24"/>
        </w:rPr>
        <w:t xml:space="preserve">na rok </w:t>
      </w:r>
      <w:r w:rsidR="001E3DAD">
        <w:rPr>
          <w:rFonts w:ascii="Times New Roman" w:hAnsi="Times New Roman"/>
          <w:b/>
          <w:szCs w:val="24"/>
        </w:rPr>
        <w:t>2025</w:t>
      </w:r>
      <w:r w:rsidR="00BA63ED" w:rsidRPr="004C7EC8">
        <w:rPr>
          <w:rFonts w:ascii="Times New Roman" w:hAnsi="Times New Roman"/>
          <w:b/>
          <w:szCs w:val="24"/>
        </w:rPr>
        <w:br/>
        <w:t>a rozpočtový výhľad</w:t>
      </w:r>
      <w:r w:rsidR="00A11918" w:rsidRPr="004C7EC8">
        <w:rPr>
          <w:rFonts w:ascii="Times New Roman" w:hAnsi="Times New Roman"/>
          <w:b/>
          <w:szCs w:val="24"/>
        </w:rPr>
        <w:t xml:space="preserve"> na roky </w:t>
      </w:r>
      <w:r w:rsidR="001E3DAD">
        <w:rPr>
          <w:rFonts w:ascii="Times New Roman" w:hAnsi="Times New Roman"/>
          <w:b/>
          <w:szCs w:val="24"/>
        </w:rPr>
        <w:t>2026</w:t>
      </w:r>
      <w:r w:rsidR="00BA63ED" w:rsidRPr="004C7EC8">
        <w:rPr>
          <w:rFonts w:ascii="Times New Roman" w:hAnsi="Times New Roman"/>
          <w:b/>
          <w:szCs w:val="24"/>
        </w:rPr>
        <w:t xml:space="preserve"> a</w:t>
      </w:r>
      <w:r w:rsidR="006C0F88" w:rsidRPr="004C7EC8">
        <w:rPr>
          <w:rFonts w:ascii="Times New Roman" w:hAnsi="Times New Roman"/>
          <w:b/>
          <w:szCs w:val="24"/>
        </w:rPr>
        <w:t> </w:t>
      </w:r>
      <w:r w:rsidR="001E3DAD">
        <w:rPr>
          <w:rFonts w:ascii="Times New Roman" w:hAnsi="Times New Roman"/>
          <w:b/>
          <w:szCs w:val="24"/>
        </w:rPr>
        <w:t>2027</w:t>
      </w:r>
      <w:r w:rsidR="00A11918" w:rsidRPr="004C7EC8">
        <w:rPr>
          <w:rFonts w:ascii="Times New Roman" w:hAnsi="Times New Roman"/>
          <w:b/>
          <w:szCs w:val="24"/>
        </w:rPr>
        <w:t xml:space="preserve"> </w:t>
      </w:r>
    </w:p>
    <w:p w:rsidR="008115A9" w:rsidRDefault="00F11721" w:rsidP="00174594">
      <w:pPr>
        <w:spacing w:before="240" w:after="120"/>
        <w:ind w:firstLine="709"/>
        <w:jc w:val="both"/>
        <w:rPr>
          <w:rFonts w:ascii="Times New Roman" w:hAnsi="Times New Roman"/>
        </w:rPr>
      </w:pPr>
      <w:r w:rsidRPr="004C7EC8">
        <w:rPr>
          <w:rFonts w:ascii="Times New Roman" w:hAnsi="Times New Roman"/>
        </w:rPr>
        <w:t xml:space="preserve">Návrh rozpočtu Sociálnej poisťovne na </w:t>
      </w:r>
      <w:r w:rsidR="00BA63ED" w:rsidRPr="004C7EC8">
        <w:rPr>
          <w:rFonts w:ascii="Times New Roman" w:hAnsi="Times New Roman"/>
        </w:rPr>
        <w:t xml:space="preserve">rok </w:t>
      </w:r>
      <w:r w:rsidR="001E3DAD">
        <w:rPr>
          <w:rFonts w:ascii="Times New Roman" w:hAnsi="Times New Roman"/>
        </w:rPr>
        <w:t>2025</w:t>
      </w:r>
      <w:r w:rsidR="00226E1F">
        <w:rPr>
          <w:rFonts w:ascii="Times New Roman" w:hAnsi="Times New Roman"/>
        </w:rPr>
        <w:t xml:space="preserve"> </w:t>
      </w:r>
      <w:r w:rsidR="00BA63ED" w:rsidRPr="004C7EC8">
        <w:rPr>
          <w:rFonts w:ascii="Times New Roman" w:hAnsi="Times New Roman"/>
        </w:rPr>
        <w:t>a r</w:t>
      </w:r>
      <w:r w:rsidR="00F3420A" w:rsidRPr="004C7EC8">
        <w:rPr>
          <w:rFonts w:ascii="Times New Roman" w:hAnsi="Times New Roman"/>
        </w:rPr>
        <w:t xml:space="preserve">ozpočtový výhľad na roky </w:t>
      </w:r>
      <w:r w:rsidR="001E3DAD">
        <w:rPr>
          <w:rFonts w:ascii="Times New Roman" w:hAnsi="Times New Roman"/>
        </w:rPr>
        <w:t>2026</w:t>
      </w:r>
      <w:r w:rsidR="00F3420A" w:rsidRPr="004C7EC8">
        <w:rPr>
          <w:rFonts w:ascii="Times New Roman" w:hAnsi="Times New Roman"/>
        </w:rPr>
        <w:t xml:space="preserve"> a</w:t>
      </w:r>
      <w:r w:rsidR="00226E1F">
        <w:rPr>
          <w:rFonts w:ascii="Times New Roman" w:hAnsi="Times New Roman"/>
        </w:rPr>
        <w:t> </w:t>
      </w:r>
      <w:r w:rsidR="001E3DAD">
        <w:rPr>
          <w:rFonts w:ascii="Times New Roman" w:hAnsi="Times New Roman"/>
        </w:rPr>
        <w:t>2027</w:t>
      </w:r>
      <w:r w:rsidR="00226E1F">
        <w:rPr>
          <w:rFonts w:ascii="Times New Roman" w:hAnsi="Times New Roman"/>
        </w:rPr>
        <w:t xml:space="preserve"> </w:t>
      </w:r>
      <w:r w:rsidR="00BA63ED" w:rsidRPr="004C7EC8">
        <w:rPr>
          <w:rFonts w:ascii="Times New Roman" w:hAnsi="Times New Roman"/>
        </w:rPr>
        <w:t xml:space="preserve">(ďalej len „návrh rozpočtu na rok </w:t>
      </w:r>
      <w:r w:rsidR="001E3DAD">
        <w:rPr>
          <w:rFonts w:ascii="Times New Roman" w:hAnsi="Times New Roman"/>
        </w:rPr>
        <w:t>2025</w:t>
      </w:r>
      <w:r w:rsidR="00BA63ED" w:rsidRPr="004C7EC8">
        <w:rPr>
          <w:rFonts w:ascii="Times New Roman" w:hAnsi="Times New Roman"/>
        </w:rPr>
        <w:t xml:space="preserve">“) </w:t>
      </w:r>
      <w:r w:rsidRPr="004C7EC8">
        <w:rPr>
          <w:rFonts w:ascii="Times New Roman" w:hAnsi="Times New Roman"/>
        </w:rPr>
        <w:t xml:space="preserve">je zostavený v podmienkach </w:t>
      </w:r>
      <w:r w:rsidR="00BA63ED" w:rsidRPr="004C7EC8">
        <w:rPr>
          <w:rFonts w:ascii="Times New Roman" w:hAnsi="Times New Roman"/>
          <w:szCs w:val="24"/>
        </w:rPr>
        <w:t>zákona č. </w:t>
      </w:r>
      <w:r w:rsidR="002939C8">
        <w:rPr>
          <w:rFonts w:ascii="Times New Roman" w:hAnsi="Times New Roman"/>
          <w:szCs w:val="24"/>
        </w:rPr>
        <w:t>461/2003 Z. z. o </w:t>
      </w:r>
      <w:bookmarkStart w:id="0" w:name="_GoBack"/>
      <w:bookmarkEnd w:id="0"/>
      <w:r w:rsidRPr="004C7EC8">
        <w:rPr>
          <w:rFonts w:ascii="Times New Roman" w:hAnsi="Times New Roman"/>
          <w:szCs w:val="24"/>
        </w:rPr>
        <w:t>sociálnom poistení v znení neskorších predpisov (ďalej len „zákon o sociálnom poistení“)</w:t>
      </w:r>
      <w:r w:rsidRPr="004C7EC8">
        <w:rPr>
          <w:rFonts w:ascii="Times New Roman" w:hAnsi="Times New Roman"/>
        </w:rPr>
        <w:t xml:space="preserve"> účinných k termínu spracovávania materiálu</w:t>
      </w:r>
      <w:r w:rsidR="000F4D89">
        <w:rPr>
          <w:rFonts w:ascii="Times New Roman" w:hAnsi="Times New Roman"/>
        </w:rPr>
        <w:t>.</w:t>
      </w:r>
      <w:r w:rsidR="008115A9" w:rsidRPr="008115A9">
        <w:rPr>
          <w:rFonts w:ascii="Times New Roman" w:hAnsi="Times New Roman"/>
        </w:rPr>
        <w:t xml:space="preserve"> </w:t>
      </w:r>
      <w:r w:rsidR="001E3DAD" w:rsidRPr="00112BFF">
        <w:rPr>
          <w:rFonts w:ascii="Times New Roman" w:hAnsi="Times New Roman"/>
        </w:rPr>
        <w:t>Zároveň je v ňom premietnutý finančný dopad zákona, ktorým sa men</w:t>
      </w:r>
      <w:r w:rsidR="001E3DAD">
        <w:rPr>
          <w:rFonts w:ascii="Times New Roman" w:hAnsi="Times New Roman"/>
        </w:rPr>
        <w:t>ia</w:t>
      </w:r>
      <w:r w:rsidR="001E3DAD" w:rsidRPr="00112BFF">
        <w:rPr>
          <w:rFonts w:ascii="Times New Roman" w:hAnsi="Times New Roman"/>
        </w:rPr>
        <w:t xml:space="preserve"> a</w:t>
      </w:r>
      <w:r w:rsidR="001E3DAD">
        <w:rPr>
          <w:rFonts w:ascii="Times New Roman" w:hAnsi="Times New Roman"/>
        </w:rPr>
        <w:t> </w:t>
      </w:r>
      <w:r w:rsidR="001E3DAD" w:rsidRPr="00112BFF">
        <w:rPr>
          <w:rFonts w:ascii="Times New Roman" w:hAnsi="Times New Roman"/>
        </w:rPr>
        <w:t>dopĺňa</w:t>
      </w:r>
      <w:r w:rsidR="001E3DAD">
        <w:rPr>
          <w:rFonts w:ascii="Times New Roman" w:hAnsi="Times New Roman"/>
        </w:rPr>
        <w:t xml:space="preserve">jú niektoré </w:t>
      </w:r>
      <w:r w:rsidR="001E3DAD" w:rsidRPr="00112BFF">
        <w:rPr>
          <w:rFonts w:ascii="Times New Roman" w:hAnsi="Times New Roman"/>
        </w:rPr>
        <w:t>zákon</w:t>
      </w:r>
      <w:r w:rsidR="001E3DAD">
        <w:rPr>
          <w:rFonts w:ascii="Times New Roman" w:hAnsi="Times New Roman"/>
        </w:rPr>
        <w:t>y v súvislosti s ďalším zlepšovaním stavu verejných financií.</w:t>
      </w:r>
    </w:p>
    <w:p w:rsidR="00570510" w:rsidRDefault="008115A9" w:rsidP="00174594">
      <w:pPr>
        <w:spacing w:before="24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materiáli sú</w:t>
      </w:r>
      <w:r w:rsidR="001C53A6">
        <w:rPr>
          <w:rFonts w:ascii="Times New Roman" w:hAnsi="Times New Roman"/>
        </w:rPr>
        <w:t xml:space="preserve"> </w:t>
      </w:r>
      <w:r w:rsidR="001C53A6" w:rsidRPr="001C53A6">
        <w:rPr>
          <w:rFonts w:ascii="Times New Roman" w:hAnsi="Times New Roman"/>
          <w:b/>
        </w:rPr>
        <w:t>v plnom rozsahu</w:t>
      </w:r>
      <w:r>
        <w:rPr>
          <w:rFonts w:ascii="Times New Roman" w:hAnsi="Times New Roman"/>
        </w:rPr>
        <w:t xml:space="preserve"> </w:t>
      </w:r>
      <w:r w:rsidRPr="008115A9">
        <w:rPr>
          <w:rFonts w:ascii="Times New Roman" w:hAnsi="Times New Roman"/>
          <w:b/>
        </w:rPr>
        <w:t>zapracované Ministerstvom financií Slovenskej republiky navrhované limity príjmov</w:t>
      </w:r>
      <w:r w:rsidR="001C53A6">
        <w:rPr>
          <w:rFonts w:ascii="Times New Roman" w:hAnsi="Times New Roman"/>
          <w:b/>
        </w:rPr>
        <w:t xml:space="preserve"> a výdavkov </w:t>
      </w:r>
      <w:r w:rsidRPr="008115A9">
        <w:rPr>
          <w:rFonts w:ascii="Times New Roman" w:hAnsi="Times New Roman"/>
          <w:b/>
        </w:rPr>
        <w:t xml:space="preserve"> Sociálnej poisťovne na roky 202</w:t>
      </w:r>
      <w:r w:rsidR="000123DB">
        <w:rPr>
          <w:rFonts w:ascii="Times New Roman" w:hAnsi="Times New Roman"/>
          <w:b/>
        </w:rPr>
        <w:t xml:space="preserve">4 </w:t>
      </w:r>
      <w:r w:rsidRPr="008115A9">
        <w:rPr>
          <w:rFonts w:ascii="Times New Roman" w:hAnsi="Times New Roman"/>
          <w:b/>
        </w:rPr>
        <w:t>až </w:t>
      </w:r>
      <w:r w:rsidR="001E3DAD">
        <w:rPr>
          <w:rFonts w:ascii="Times New Roman" w:hAnsi="Times New Roman"/>
          <w:b/>
        </w:rPr>
        <w:t>2027</w:t>
      </w:r>
      <w:r>
        <w:rPr>
          <w:rFonts w:ascii="Times New Roman" w:hAnsi="Times New Roman"/>
        </w:rPr>
        <w:t>.</w:t>
      </w:r>
    </w:p>
    <w:p w:rsidR="00A77964" w:rsidRDefault="00A77964" w:rsidP="00A77964">
      <w:pPr>
        <w:spacing w:before="24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rozpočtu Sociálnej poisťovne na rok </w:t>
      </w:r>
      <w:r w:rsidR="001E3DAD">
        <w:rPr>
          <w:rFonts w:ascii="Times New Roman" w:hAnsi="Times New Roman"/>
        </w:rPr>
        <w:t>2025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 xml:space="preserve">a rozpočtový výhľad na roky </w:t>
      </w:r>
      <w:r w:rsidR="001E3DAD">
        <w:rPr>
          <w:rFonts w:ascii="Times New Roman" w:hAnsi="Times New Roman"/>
          <w:szCs w:val="24"/>
        </w:rPr>
        <w:t>2026</w:t>
      </w:r>
      <w:r>
        <w:rPr>
          <w:rFonts w:ascii="Times New Roman" w:hAnsi="Times New Roman"/>
          <w:szCs w:val="24"/>
        </w:rPr>
        <w:t xml:space="preserve"> a </w:t>
      </w:r>
      <w:r w:rsidR="001E3DAD">
        <w:rPr>
          <w:rFonts w:ascii="Times New Roman" w:hAnsi="Times New Roman"/>
          <w:szCs w:val="24"/>
        </w:rPr>
        <w:t>2027</w:t>
      </w:r>
      <w:r>
        <w:rPr>
          <w:rFonts w:ascii="Times New Roman" w:hAnsi="Times New Roman"/>
          <w:szCs w:val="24"/>
        </w:rPr>
        <w:t xml:space="preserve"> </w:t>
      </w:r>
      <w:r w:rsidRPr="00CA4B4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 xml:space="preserve">v podrobnom členení je uvedený v prílohe č. 1, v metodike ESA 2010 v prílohe č. 1a  a podľa ekonomickej klasifikácie v prílohe č. 2. </w:t>
      </w:r>
      <w:r>
        <w:rPr>
          <w:rFonts w:ascii="Times New Roman" w:hAnsi="Times New Roman"/>
          <w:szCs w:val="24"/>
        </w:rPr>
        <w:t>Návrh rozpočtu výdavkov základných fondov</w:t>
      </w:r>
      <w:r w:rsidRPr="00CA4B4A">
        <w:rPr>
          <w:rFonts w:ascii="Times New Roman" w:hAnsi="Times New Roman"/>
          <w:szCs w:val="24"/>
        </w:rPr>
        <w:t xml:space="preserve"> Sociálnej poisťovne na rok </w:t>
      </w:r>
      <w:r w:rsidR="001E3DAD">
        <w:rPr>
          <w:rFonts w:ascii="Times New Roman" w:hAnsi="Times New Roman"/>
          <w:szCs w:val="24"/>
        </w:rPr>
        <w:t>2025</w:t>
      </w:r>
      <w:r>
        <w:rPr>
          <w:rFonts w:ascii="Times New Roman" w:hAnsi="Times New Roman"/>
          <w:szCs w:val="24"/>
        </w:rPr>
        <w:t xml:space="preserve"> a rozpočtový výhľad na roky </w:t>
      </w:r>
      <w:r w:rsidR="001E3DAD">
        <w:rPr>
          <w:rFonts w:ascii="Times New Roman" w:hAnsi="Times New Roman"/>
          <w:szCs w:val="24"/>
        </w:rPr>
        <w:t>2026</w:t>
      </w:r>
      <w:r>
        <w:rPr>
          <w:rFonts w:ascii="Times New Roman" w:hAnsi="Times New Roman"/>
          <w:szCs w:val="24"/>
        </w:rPr>
        <w:t xml:space="preserve"> a </w:t>
      </w:r>
      <w:r w:rsidR="001E3DAD">
        <w:rPr>
          <w:rFonts w:ascii="Times New Roman" w:hAnsi="Times New Roman"/>
          <w:szCs w:val="24"/>
        </w:rPr>
        <w:t>2027</w:t>
      </w:r>
      <w:r>
        <w:rPr>
          <w:rFonts w:ascii="Times New Roman" w:hAnsi="Times New Roman"/>
          <w:szCs w:val="24"/>
        </w:rPr>
        <w:t xml:space="preserve"> </w:t>
      </w:r>
      <w:r w:rsidRPr="00CA4B4A">
        <w:rPr>
          <w:rFonts w:ascii="Times New Roman" w:hAnsi="Times New Roman"/>
          <w:szCs w:val="24"/>
        </w:rPr>
        <w:t>podľa rozpočtovej klasifiká</w:t>
      </w:r>
      <w:r>
        <w:rPr>
          <w:rFonts w:ascii="Times New Roman" w:hAnsi="Times New Roman"/>
          <w:szCs w:val="24"/>
        </w:rPr>
        <w:t>cie je uvedený v prílohe č. 3 a </w:t>
      </w:r>
      <w:r w:rsidRPr="00CA4B4A">
        <w:rPr>
          <w:rFonts w:ascii="Times New Roman" w:hAnsi="Times New Roman"/>
          <w:szCs w:val="24"/>
        </w:rPr>
        <w:t xml:space="preserve">návrh rozpočtu správneho fondu na rok </w:t>
      </w:r>
      <w:r w:rsidR="001E3DAD">
        <w:rPr>
          <w:rFonts w:ascii="Times New Roman" w:hAnsi="Times New Roman"/>
          <w:szCs w:val="24"/>
        </w:rPr>
        <w:t>2025</w:t>
      </w:r>
      <w:r>
        <w:rPr>
          <w:rFonts w:ascii="Times New Roman" w:hAnsi="Times New Roman"/>
          <w:szCs w:val="24"/>
        </w:rPr>
        <w:t xml:space="preserve"> a rozpočtový výhľad na roky </w:t>
      </w:r>
      <w:r w:rsidR="001E3DAD">
        <w:rPr>
          <w:rFonts w:ascii="Times New Roman" w:hAnsi="Times New Roman"/>
          <w:szCs w:val="24"/>
        </w:rPr>
        <w:t>2026</w:t>
      </w:r>
      <w:r>
        <w:rPr>
          <w:rFonts w:ascii="Times New Roman" w:hAnsi="Times New Roman"/>
          <w:szCs w:val="24"/>
        </w:rPr>
        <w:t xml:space="preserve"> a </w:t>
      </w:r>
      <w:r w:rsidR="001E3DAD">
        <w:rPr>
          <w:rFonts w:ascii="Times New Roman" w:hAnsi="Times New Roman"/>
          <w:szCs w:val="24"/>
        </w:rPr>
        <w:t>2027</w:t>
      </w:r>
      <w:r>
        <w:rPr>
          <w:rFonts w:ascii="Times New Roman" w:hAnsi="Times New Roman"/>
          <w:szCs w:val="24"/>
        </w:rPr>
        <w:t xml:space="preserve"> </w:t>
      </w:r>
      <w:r w:rsidRPr="00CA4B4A">
        <w:rPr>
          <w:rFonts w:ascii="Times New Roman" w:hAnsi="Times New Roman"/>
          <w:szCs w:val="24"/>
        </w:rPr>
        <w:t xml:space="preserve"> je uvedený v prílohe č. 4.</w:t>
      </w:r>
    </w:p>
    <w:p w:rsidR="00F11721" w:rsidRPr="004C7EC8" w:rsidRDefault="00675566" w:rsidP="004C7EC8">
      <w:pPr>
        <w:pStyle w:val="Odsekzoznamu"/>
        <w:numPr>
          <w:ilvl w:val="0"/>
          <w:numId w:val="28"/>
        </w:numPr>
        <w:spacing w:before="240" w:after="120"/>
        <w:ind w:left="709" w:hanging="709"/>
        <w:contextualSpacing w:val="0"/>
        <w:jc w:val="both"/>
        <w:rPr>
          <w:rFonts w:ascii="Times New Roman" w:hAnsi="Times New Roman"/>
          <w:b/>
        </w:rPr>
      </w:pPr>
      <w:r w:rsidRPr="004C7EC8">
        <w:rPr>
          <w:rFonts w:ascii="Times New Roman" w:hAnsi="Times New Roman"/>
          <w:b/>
        </w:rPr>
        <w:t xml:space="preserve">Očakávané výsledky hospodárenia Sociálnej poisťovne v roku </w:t>
      </w:r>
      <w:r w:rsidR="000123DB">
        <w:rPr>
          <w:rFonts w:ascii="Times New Roman" w:hAnsi="Times New Roman"/>
          <w:b/>
        </w:rPr>
        <w:t>2024</w:t>
      </w:r>
    </w:p>
    <w:p w:rsidR="00F11721" w:rsidRDefault="00F11721" w:rsidP="000F3AC5">
      <w:pPr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t>Príjmy</w:t>
      </w:r>
      <w:r w:rsidRPr="004C7EC8">
        <w:rPr>
          <w:rFonts w:ascii="Times New Roman" w:hAnsi="Times New Roman"/>
          <w:szCs w:val="24"/>
        </w:rPr>
        <w:t xml:space="preserve"> Sociálnej poisťovne sa </w:t>
      </w:r>
      <w:r w:rsidRPr="004C7EC8">
        <w:rPr>
          <w:rFonts w:ascii="Times New Roman" w:hAnsi="Times New Roman"/>
          <w:b/>
          <w:szCs w:val="24"/>
        </w:rPr>
        <w:t xml:space="preserve">v roku </w:t>
      </w:r>
      <w:r w:rsidR="000123DB">
        <w:rPr>
          <w:rFonts w:ascii="Times New Roman" w:hAnsi="Times New Roman"/>
          <w:b/>
          <w:szCs w:val="24"/>
        </w:rPr>
        <w:t>2024</w:t>
      </w:r>
      <w:r w:rsidRPr="004C7EC8">
        <w:rPr>
          <w:rFonts w:ascii="Times New Roman" w:hAnsi="Times New Roman"/>
          <w:b/>
          <w:szCs w:val="24"/>
        </w:rPr>
        <w:t xml:space="preserve"> očakávajú</w:t>
      </w:r>
      <w:r w:rsidRPr="004C7EC8">
        <w:rPr>
          <w:rFonts w:ascii="Times New Roman" w:hAnsi="Times New Roman"/>
          <w:szCs w:val="24"/>
        </w:rPr>
        <w:t xml:space="preserve">: </w:t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559"/>
        <w:gridCol w:w="1421"/>
        <w:gridCol w:w="1417"/>
      </w:tblGrid>
      <w:tr w:rsidR="00961CB0" w:rsidRPr="00961CB0" w:rsidTr="00B2684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B0" w:rsidRPr="00961CB0" w:rsidRDefault="00961CB0" w:rsidP="00961CB0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B0" w:rsidRPr="00961CB0" w:rsidRDefault="00961CB0" w:rsidP="00961C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CB0" w:rsidRPr="00961CB0" w:rsidRDefault="00961CB0" w:rsidP="00961C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B0" w:rsidRPr="00961CB0" w:rsidRDefault="00961CB0" w:rsidP="00961C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7B22BB" w:rsidRPr="00961CB0" w:rsidTr="00B26840"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2BB" w:rsidRPr="00961CB0" w:rsidRDefault="007B22BB" w:rsidP="00961CB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22BB" w:rsidRPr="00961CB0" w:rsidRDefault="007B22BB" w:rsidP="00961CB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2BB" w:rsidRPr="00961CB0" w:rsidRDefault="007B22BB" w:rsidP="00961CB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>Rozdiel 2-1</w:t>
            </w:r>
          </w:p>
        </w:tc>
      </w:tr>
      <w:tr w:rsidR="007B22BB" w:rsidRPr="00961CB0" w:rsidTr="00B26840"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B" w:rsidRPr="00961CB0" w:rsidRDefault="007B22BB" w:rsidP="00961CB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B" w:rsidRPr="00961CB0" w:rsidRDefault="007B22BB" w:rsidP="00961CB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Schválený rozpočet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2BB" w:rsidRPr="00961CB0" w:rsidRDefault="007B22BB" w:rsidP="00961CB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2BB" w:rsidRPr="00961CB0" w:rsidRDefault="007B22BB" w:rsidP="00961CB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61CB0" w:rsidRPr="00961CB0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CB0" w:rsidRPr="00961CB0" w:rsidRDefault="00961CB0" w:rsidP="00961C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CB0" w:rsidRPr="00961CB0" w:rsidRDefault="00961CB0" w:rsidP="00961C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CB0" w:rsidRPr="00961CB0" w:rsidRDefault="00961CB0" w:rsidP="00961C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CB0" w:rsidRPr="00961CB0" w:rsidRDefault="00961CB0" w:rsidP="00961C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E6027" w:rsidRPr="00961CB0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961CB0" w:rsidRDefault="007E6027" w:rsidP="007E602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>Zdroje celkom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14 172 711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15 280 875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1 108 164</w:t>
            </w:r>
          </w:p>
        </w:tc>
      </w:tr>
      <w:tr w:rsidR="007E6027" w:rsidRPr="00961CB0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961CB0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E6027" w:rsidRPr="00961CB0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961CB0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prevod z minulých rokov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802 396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844 750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42 354</w:t>
            </w:r>
          </w:p>
        </w:tc>
      </w:tr>
      <w:tr w:rsidR="007E6027" w:rsidRPr="00961CB0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961CB0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spolu</w:t>
            </w:r>
            <w:r w:rsidRPr="00961CB0">
              <w:rPr>
                <w:rFonts w:ascii="Times New Roman" w:hAnsi="Times New Roman"/>
                <w:sz w:val="22"/>
                <w:szCs w:val="22"/>
              </w:rPr>
              <w:t xml:space="preserve"> v bežnom roku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13 370 315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14 436 125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1 065 810</w:t>
            </w:r>
          </w:p>
        </w:tc>
      </w:tr>
      <w:tr w:rsidR="007E6027" w:rsidRPr="00961CB0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961CB0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E6027" w:rsidRPr="00961CB0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27" w:rsidRPr="00961CB0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z bežného poistného od ekonomicky aktívneho obyvateľstva (EAO)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11 034 747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10 788 229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-246 518</w:t>
            </w:r>
          </w:p>
        </w:tc>
      </w:tr>
      <w:tr w:rsidR="007E6027" w:rsidRPr="00961CB0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27" w:rsidRPr="00961CB0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poistné podľa osobitného predpisu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1 430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492</w:t>
            </w:r>
          </w:p>
        </w:tc>
      </w:tr>
      <w:tr w:rsidR="007E6027" w:rsidRPr="00961CB0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961CB0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z poistného od štátu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454 622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444 774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-9 848</w:t>
            </w:r>
          </w:p>
        </w:tc>
      </w:tr>
      <w:tr w:rsidR="007E6027" w:rsidRPr="00961CB0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961CB0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od Sociálnej poisťovne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3 661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5 061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1 400</w:t>
            </w:r>
          </w:p>
        </w:tc>
      </w:tr>
      <w:tr w:rsidR="007E6027" w:rsidRPr="00961CB0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961CB0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z pokút a penál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11 803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11 912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i/>
                <w:iCs/>
                <w:sz w:val="22"/>
                <w:szCs w:val="22"/>
              </w:rPr>
              <w:t>109</w:t>
            </w:r>
          </w:p>
        </w:tc>
      </w:tr>
      <w:tr w:rsidR="007E6027" w:rsidRPr="00961CB0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27" w:rsidRPr="00961CB0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 xml:space="preserve">príjmy z dlžného poistného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219 002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420 076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201 074</w:t>
            </w:r>
          </w:p>
        </w:tc>
      </w:tr>
      <w:tr w:rsidR="007E6027" w:rsidRPr="00961CB0" w:rsidTr="00B2684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961CB0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 xml:space="preserve">ostatné príjmy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1 633 083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2 752 921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1 119 838</w:t>
            </w:r>
          </w:p>
        </w:tc>
      </w:tr>
      <w:tr w:rsidR="007E6027" w:rsidRPr="00961CB0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961CB0" w:rsidRDefault="007E6027" w:rsidP="007E6027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z toho príjmy zo štátneho rozpočtu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Slovenskej republiky (ŠR SR)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1 600 000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2 720 000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1 120 000</w:t>
            </w:r>
          </w:p>
        </w:tc>
      </w:tr>
      <w:tr w:rsidR="007E6027" w:rsidRPr="00961CB0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27" w:rsidRPr="00961CB0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príspevky na starobné dôchodkové sporenie (SDS) zaplatené zamestnávateľom po uplynutí 60 dní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9 550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8 651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-899</w:t>
            </w:r>
          </w:p>
        </w:tc>
      </w:tr>
      <w:tr w:rsidR="007E6027" w:rsidRPr="00961CB0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27" w:rsidRPr="00961CB0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správneho fondu z príspevkov na SDS  (EAO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2 303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2 470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167</w:t>
            </w:r>
          </w:p>
        </w:tc>
      </w:tr>
      <w:tr w:rsidR="007E6027" w:rsidRPr="00961CB0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27" w:rsidRPr="00961CB0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správneho fondu z príspevkov na SDS (štát)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-5</w:t>
            </w:r>
          </w:p>
        </w:tc>
      </w:tr>
    </w:tbl>
    <w:p w:rsidR="00961CB0" w:rsidRDefault="00961CB0" w:rsidP="00270573">
      <w:pPr>
        <w:spacing w:before="120"/>
        <w:jc w:val="both"/>
        <w:rPr>
          <w:rFonts w:ascii="Times New Roman" w:hAnsi="Times New Roman"/>
          <w:szCs w:val="24"/>
        </w:rPr>
      </w:pPr>
    </w:p>
    <w:p w:rsidR="00D92BF1" w:rsidRDefault="00DD06B6" w:rsidP="00181377">
      <w:pPr>
        <w:spacing w:after="120"/>
        <w:ind w:firstLine="709"/>
        <w:jc w:val="both"/>
        <w:rPr>
          <w:rFonts w:ascii="Times New Roman" w:eastAsia="Calibri" w:hAnsi="Times New Roman"/>
          <w:szCs w:val="24"/>
        </w:rPr>
      </w:pPr>
      <w:r w:rsidRPr="00B24C0C">
        <w:rPr>
          <w:rFonts w:ascii="Times New Roman" w:eastAsia="Calibri" w:hAnsi="Times New Roman"/>
          <w:b/>
          <w:szCs w:val="24"/>
        </w:rPr>
        <w:t xml:space="preserve">V roku </w:t>
      </w:r>
      <w:r w:rsidR="000123DB" w:rsidRPr="00B24C0C">
        <w:rPr>
          <w:rFonts w:ascii="Times New Roman" w:eastAsia="Calibri" w:hAnsi="Times New Roman"/>
          <w:b/>
          <w:szCs w:val="24"/>
        </w:rPr>
        <w:t>2024</w:t>
      </w:r>
      <w:r w:rsidR="00D92BF1" w:rsidRPr="003F2313">
        <w:rPr>
          <w:rFonts w:ascii="Times New Roman" w:eastAsia="Calibri" w:hAnsi="Times New Roman"/>
          <w:szCs w:val="24"/>
        </w:rPr>
        <w:t xml:space="preserve"> sa </w:t>
      </w:r>
      <w:r w:rsidR="00D92BF1" w:rsidRPr="00B24C0C">
        <w:rPr>
          <w:rFonts w:ascii="Times New Roman" w:eastAsia="Calibri" w:hAnsi="Times New Roman"/>
          <w:b/>
          <w:szCs w:val="24"/>
        </w:rPr>
        <w:t>očakáva</w:t>
      </w:r>
      <w:r w:rsidR="00A57CA9" w:rsidRPr="00B24C0C">
        <w:rPr>
          <w:rFonts w:ascii="Times New Roman" w:eastAsia="Calibri" w:hAnsi="Times New Roman"/>
          <w:b/>
          <w:szCs w:val="24"/>
        </w:rPr>
        <w:t>jú</w:t>
      </w:r>
      <w:r w:rsidR="00D92BF1" w:rsidRPr="00B24C0C">
        <w:rPr>
          <w:rFonts w:ascii="Times New Roman" w:eastAsia="Calibri" w:hAnsi="Times New Roman"/>
          <w:b/>
          <w:szCs w:val="24"/>
        </w:rPr>
        <w:t xml:space="preserve"> vyššie </w:t>
      </w:r>
      <w:r w:rsidR="00A57CA9" w:rsidRPr="00B24C0C">
        <w:rPr>
          <w:rFonts w:ascii="Times New Roman" w:eastAsia="Calibri" w:hAnsi="Times New Roman"/>
          <w:b/>
          <w:szCs w:val="24"/>
        </w:rPr>
        <w:t>príjmy</w:t>
      </w:r>
      <w:r w:rsidR="00646773">
        <w:rPr>
          <w:rFonts w:ascii="Times New Roman" w:eastAsia="Calibri" w:hAnsi="Times New Roman"/>
          <w:szCs w:val="24"/>
        </w:rPr>
        <w:t xml:space="preserve"> spolu</w:t>
      </w:r>
      <w:r w:rsidR="00A57CA9">
        <w:rPr>
          <w:rFonts w:ascii="Times New Roman" w:eastAsia="Calibri" w:hAnsi="Times New Roman"/>
          <w:szCs w:val="24"/>
        </w:rPr>
        <w:t xml:space="preserve"> </w:t>
      </w:r>
      <w:r w:rsidR="00D92BF1">
        <w:rPr>
          <w:rFonts w:ascii="Times New Roman" w:eastAsia="Calibri" w:hAnsi="Times New Roman"/>
          <w:szCs w:val="24"/>
        </w:rPr>
        <w:t xml:space="preserve">v bežnom roku </w:t>
      </w:r>
      <w:r w:rsidR="00A57CA9">
        <w:rPr>
          <w:rFonts w:ascii="Times New Roman" w:eastAsia="Calibri" w:hAnsi="Times New Roman"/>
          <w:szCs w:val="24"/>
        </w:rPr>
        <w:t>oproti rozpočtu</w:t>
      </w:r>
      <w:r w:rsidR="00A57CA9" w:rsidRPr="003F2313">
        <w:rPr>
          <w:rFonts w:ascii="Times New Roman" w:eastAsia="Calibri" w:hAnsi="Times New Roman"/>
          <w:szCs w:val="24"/>
        </w:rPr>
        <w:t xml:space="preserve"> </w:t>
      </w:r>
      <w:r w:rsidR="00D92BF1" w:rsidRPr="00B24C0C">
        <w:rPr>
          <w:rFonts w:ascii="Times New Roman" w:eastAsia="Calibri" w:hAnsi="Times New Roman"/>
          <w:b/>
          <w:szCs w:val="24"/>
        </w:rPr>
        <w:t>o</w:t>
      </w:r>
      <w:r w:rsidR="00A57CA9" w:rsidRPr="00B24C0C">
        <w:rPr>
          <w:rFonts w:ascii="Times New Roman" w:eastAsia="Calibri" w:hAnsi="Times New Roman"/>
          <w:b/>
          <w:szCs w:val="24"/>
        </w:rPr>
        <w:t> 1 065 810</w:t>
      </w:r>
      <w:r w:rsidR="00D92BF1" w:rsidRPr="00B24C0C">
        <w:rPr>
          <w:rFonts w:ascii="Times New Roman" w:eastAsia="Calibri" w:hAnsi="Times New Roman"/>
          <w:b/>
          <w:szCs w:val="24"/>
        </w:rPr>
        <w:t> tis.</w:t>
      </w:r>
      <w:r w:rsidR="006A03F2" w:rsidRPr="00B24C0C">
        <w:rPr>
          <w:rFonts w:ascii="Times New Roman" w:eastAsia="Calibri" w:hAnsi="Times New Roman"/>
          <w:b/>
          <w:szCs w:val="24"/>
        </w:rPr>
        <w:t> eur</w:t>
      </w:r>
      <w:r w:rsidR="00D92BF1">
        <w:rPr>
          <w:rFonts w:ascii="Times New Roman" w:eastAsia="Calibri" w:hAnsi="Times New Roman"/>
          <w:szCs w:val="24"/>
        </w:rPr>
        <w:t xml:space="preserve">. Príjmy </w:t>
      </w:r>
      <w:r w:rsidR="00D92BF1" w:rsidRPr="003F2313">
        <w:rPr>
          <w:rFonts w:ascii="Times New Roman" w:eastAsia="Calibri" w:hAnsi="Times New Roman"/>
          <w:szCs w:val="24"/>
        </w:rPr>
        <w:t>z bežného poistného od EAO</w:t>
      </w:r>
      <w:r w:rsidR="00D92BF1">
        <w:rPr>
          <w:rFonts w:ascii="Times New Roman" w:eastAsia="Calibri" w:hAnsi="Times New Roman"/>
          <w:szCs w:val="24"/>
        </w:rPr>
        <w:t xml:space="preserve"> sa očakávajú </w:t>
      </w:r>
      <w:r w:rsidR="005D17E0">
        <w:rPr>
          <w:rFonts w:ascii="Times New Roman" w:eastAsia="Calibri" w:hAnsi="Times New Roman"/>
          <w:szCs w:val="24"/>
        </w:rPr>
        <w:t>nižšie</w:t>
      </w:r>
      <w:r w:rsidR="00D92BF1">
        <w:rPr>
          <w:rFonts w:ascii="Times New Roman" w:eastAsia="Calibri" w:hAnsi="Times New Roman"/>
          <w:szCs w:val="24"/>
        </w:rPr>
        <w:t xml:space="preserve"> o</w:t>
      </w:r>
      <w:r w:rsidR="00961CB0">
        <w:rPr>
          <w:rFonts w:ascii="Times New Roman" w:eastAsia="Calibri" w:hAnsi="Times New Roman"/>
          <w:szCs w:val="24"/>
        </w:rPr>
        <w:t> 2</w:t>
      </w:r>
      <w:r w:rsidR="00A57CA9">
        <w:rPr>
          <w:rFonts w:ascii="Times New Roman" w:eastAsia="Calibri" w:hAnsi="Times New Roman"/>
          <w:szCs w:val="24"/>
        </w:rPr>
        <w:t>46</w:t>
      </w:r>
      <w:r w:rsidR="00961CB0">
        <w:rPr>
          <w:rFonts w:ascii="Times New Roman" w:eastAsia="Calibri" w:hAnsi="Times New Roman"/>
          <w:szCs w:val="24"/>
        </w:rPr>
        <w:t> </w:t>
      </w:r>
      <w:r w:rsidR="007E6027">
        <w:rPr>
          <w:rFonts w:ascii="Times New Roman" w:eastAsia="Calibri" w:hAnsi="Times New Roman"/>
          <w:szCs w:val="24"/>
        </w:rPr>
        <w:t>518</w:t>
      </w:r>
      <w:r w:rsidR="00D92BF1">
        <w:rPr>
          <w:rFonts w:ascii="Times New Roman" w:eastAsia="Calibri" w:hAnsi="Times New Roman"/>
          <w:szCs w:val="24"/>
        </w:rPr>
        <w:t> tis.</w:t>
      </w:r>
      <w:r w:rsidR="006A03F2">
        <w:rPr>
          <w:rFonts w:ascii="Times New Roman" w:eastAsia="Calibri" w:hAnsi="Times New Roman"/>
          <w:szCs w:val="24"/>
        </w:rPr>
        <w:t> eur</w:t>
      </w:r>
      <w:r w:rsidR="00D92BF1">
        <w:rPr>
          <w:rFonts w:ascii="Times New Roman" w:eastAsia="Calibri" w:hAnsi="Times New Roman"/>
          <w:szCs w:val="24"/>
        </w:rPr>
        <w:t xml:space="preserve"> oproti schválenému rozpočtu na rok </w:t>
      </w:r>
      <w:r w:rsidR="000123DB">
        <w:rPr>
          <w:rFonts w:ascii="Times New Roman" w:eastAsia="Calibri" w:hAnsi="Times New Roman"/>
          <w:szCs w:val="24"/>
        </w:rPr>
        <w:t>2024</w:t>
      </w:r>
      <w:r w:rsidR="00D92BF1">
        <w:rPr>
          <w:rFonts w:ascii="Times New Roman" w:eastAsia="Calibri" w:hAnsi="Times New Roman"/>
          <w:szCs w:val="24"/>
        </w:rPr>
        <w:t>.</w:t>
      </w:r>
      <w:r w:rsidR="000E120E">
        <w:rPr>
          <w:rFonts w:ascii="Times New Roman" w:eastAsia="Calibri" w:hAnsi="Times New Roman"/>
          <w:szCs w:val="24"/>
        </w:rPr>
        <w:t xml:space="preserve"> Príjmy z dlžného poistného sa očakávajú o 201 074 tis. eur vyššie oproti schválenému rozpočtu na rok 2024 (v sume dlžného poistného je zohľadnené  oddlženie zdravotníckych zariadení v sume 166 845 tis. eur, ktoré bolo pripísané na účet Sociálnej poisťovne 8. augusta 2024).</w:t>
      </w:r>
    </w:p>
    <w:p w:rsidR="009506E5" w:rsidRDefault="009506E5" w:rsidP="000E120E">
      <w:pPr>
        <w:spacing w:before="240" w:after="120"/>
        <w:ind w:firstLine="709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lastRenderedPageBreak/>
        <w:t xml:space="preserve">Predpokladá sa, že </w:t>
      </w:r>
      <w:r w:rsidR="00B75DE3">
        <w:rPr>
          <w:rFonts w:ascii="Times New Roman" w:eastAsia="Calibri" w:hAnsi="Times New Roman"/>
          <w:szCs w:val="24"/>
        </w:rPr>
        <w:t>Sociálnej poisťovni</w:t>
      </w:r>
      <w:r w:rsidR="00383615">
        <w:rPr>
          <w:rFonts w:ascii="Times New Roman" w:eastAsia="Calibri" w:hAnsi="Times New Roman"/>
          <w:szCs w:val="24"/>
        </w:rPr>
        <w:t xml:space="preserve"> budú</w:t>
      </w:r>
      <w:r>
        <w:rPr>
          <w:rFonts w:ascii="Times New Roman" w:eastAsia="Calibri" w:hAnsi="Times New Roman"/>
          <w:szCs w:val="24"/>
        </w:rPr>
        <w:t xml:space="preserve"> v roku </w:t>
      </w:r>
      <w:r w:rsidR="000123DB">
        <w:rPr>
          <w:rFonts w:ascii="Times New Roman" w:eastAsia="Calibri" w:hAnsi="Times New Roman"/>
          <w:szCs w:val="24"/>
        </w:rPr>
        <w:t>2024</w:t>
      </w:r>
      <w:r>
        <w:rPr>
          <w:rFonts w:ascii="Times New Roman" w:eastAsia="Calibri" w:hAnsi="Times New Roman"/>
          <w:szCs w:val="24"/>
        </w:rPr>
        <w:t xml:space="preserve"> poskytnut</w:t>
      </w:r>
      <w:r w:rsidR="00383615">
        <w:rPr>
          <w:rFonts w:ascii="Times New Roman" w:eastAsia="Calibri" w:hAnsi="Times New Roman"/>
          <w:szCs w:val="24"/>
        </w:rPr>
        <w:t>é</w:t>
      </w:r>
      <w:r w:rsidR="00B75DE3">
        <w:rPr>
          <w:rFonts w:ascii="Times New Roman" w:eastAsia="Calibri" w:hAnsi="Times New Roman"/>
          <w:szCs w:val="24"/>
        </w:rPr>
        <w:t xml:space="preserve"> </w:t>
      </w:r>
      <w:r w:rsidR="00B75DE3" w:rsidRPr="00BE614D">
        <w:rPr>
          <w:rFonts w:ascii="Times New Roman" w:hAnsi="Times New Roman"/>
          <w:szCs w:val="24"/>
        </w:rPr>
        <w:t>finančn</w:t>
      </w:r>
      <w:r w:rsidR="00383615">
        <w:rPr>
          <w:rFonts w:ascii="Times New Roman" w:hAnsi="Times New Roman"/>
          <w:szCs w:val="24"/>
        </w:rPr>
        <w:t xml:space="preserve">é </w:t>
      </w:r>
      <w:r w:rsidR="00B75DE3" w:rsidRPr="00BE614D">
        <w:rPr>
          <w:rFonts w:ascii="Times New Roman" w:hAnsi="Times New Roman"/>
          <w:szCs w:val="24"/>
        </w:rPr>
        <w:t>prostriedk</w:t>
      </w:r>
      <w:r w:rsidR="00383615">
        <w:rPr>
          <w:rFonts w:ascii="Times New Roman" w:hAnsi="Times New Roman"/>
          <w:szCs w:val="24"/>
        </w:rPr>
        <w:t xml:space="preserve">y </w:t>
      </w:r>
      <w:r w:rsidR="00B75DE3">
        <w:rPr>
          <w:rFonts w:ascii="Times New Roman" w:eastAsia="Calibri" w:hAnsi="Times New Roman"/>
          <w:szCs w:val="24"/>
        </w:rPr>
        <w:t>zo ŠR SR</w:t>
      </w:r>
      <w:r w:rsidR="00961CB0">
        <w:rPr>
          <w:rFonts w:ascii="Times New Roman" w:eastAsia="Calibri" w:hAnsi="Times New Roman"/>
          <w:szCs w:val="24"/>
        </w:rPr>
        <w:t xml:space="preserve"> vo výške </w:t>
      </w:r>
      <w:r w:rsidR="00A57CA9">
        <w:rPr>
          <w:rFonts w:ascii="Times New Roman" w:eastAsia="Calibri" w:hAnsi="Times New Roman"/>
          <w:szCs w:val="24"/>
        </w:rPr>
        <w:t>2 720</w:t>
      </w:r>
      <w:r w:rsidR="00961CB0">
        <w:rPr>
          <w:rFonts w:ascii="Times New Roman" w:eastAsia="Calibri" w:hAnsi="Times New Roman"/>
          <w:szCs w:val="24"/>
        </w:rPr>
        <w:t> 000 tis. eur</w:t>
      </w:r>
      <w:r>
        <w:rPr>
          <w:rFonts w:ascii="Times New Roman" w:eastAsia="Calibri" w:hAnsi="Times New Roman"/>
          <w:szCs w:val="24"/>
        </w:rPr>
        <w:t>.</w:t>
      </w:r>
    </w:p>
    <w:p w:rsidR="00F9495D" w:rsidRDefault="00675566" w:rsidP="009B67AD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t xml:space="preserve">Výdavky (náklady) Sociálnej poisťovne v roku </w:t>
      </w:r>
      <w:r w:rsidR="000123DB">
        <w:rPr>
          <w:rFonts w:ascii="Times New Roman" w:hAnsi="Times New Roman"/>
          <w:b/>
          <w:szCs w:val="24"/>
        </w:rPr>
        <w:t>2024</w:t>
      </w:r>
      <w:r w:rsidRPr="004C7EC8">
        <w:rPr>
          <w:rFonts w:ascii="Times New Roman" w:hAnsi="Times New Roman"/>
          <w:b/>
          <w:szCs w:val="24"/>
        </w:rPr>
        <w:t xml:space="preserve"> </w:t>
      </w:r>
      <w:r w:rsidRPr="004C7EC8">
        <w:rPr>
          <w:rFonts w:ascii="Times New Roman" w:hAnsi="Times New Roman"/>
          <w:szCs w:val="24"/>
        </w:rPr>
        <w:t>sa predpokladajú:</w:t>
      </w:r>
    </w:p>
    <w:tbl>
      <w:tblPr>
        <w:tblW w:w="9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5"/>
        <w:gridCol w:w="1569"/>
        <w:gridCol w:w="1654"/>
        <w:gridCol w:w="1397"/>
      </w:tblGrid>
      <w:tr w:rsidR="00A57CA9" w:rsidRPr="00A57CA9" w:rsidTr="007B22BB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CA9" w:rsidRPr="00A57CA9" w:rsidRDefault="00A57CA9" w:rsidP="00A57CA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CA9" w:rsidRPr="00A57CA9" w:rsidRDefault="00A57CA9" w:rsidP="00A57C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CA9" w:rsidRPr="00A57CA9" w:rsidRDefault="00A57CA9" w:rsidP="00A57C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CA9" w:rsidRPr="00A57CA9" w:rsidRDefault="00A57CA9" w:rsidP="00A57CA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A57CA9" w:rsidRPr="00A57CA9" w:rsidTr="007B22BB"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A9" w:rsidRPr="00A57CA9" w:rsidRDefault="00A57CA9" w:rsidP="00A57C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7CA9">
              <w:rPr>
                <w:rFonts w:ascii="Times New Roman" w:hAnsi="Times New Roman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7CA9" w:rsidRPr="00A57CA9" w:rsidRDefault="00A57CA9" w:rsidP="00A57C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7CA9">
              <w:rPr>
                <w:rFonts w:ascii="Times New Roman" w:hAnsi="Times New Roman"/>
                <w:b/>
                <w:bCs/>
                <w:sz w:val="22"/>
                <w:szCs w:val="22"/>
              </w:rPr>
              <w:t>Rok 2024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A9" w:rsidRPr="00A57CA9" w:rsidRDefault="00A57CA9" w:rsidP="00A57CA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7CA9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A57CA9" w:rsidRPr="00A57CA9" w:rsidTr="007B22BB"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9" w:rsidRPr="00A57CA9" w:rsidRDefault="00A57CA9" w:rsidP="00A57CA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A9" w:rsidRPr="00A57CA9" w:rsidRDefault="00A57CA9" w:rsidP="00A57C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7CA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Schválený rozpočet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A9" w:rsidRPr="00A57CA9" w:rsidRDefault="00A57CA9" w:rsidP="00A57C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7CA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A9" w:rsidRPr="00A57CA9" w:rsidRDefault="00A57CA9" w:rsidP="00A57C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7CA9">
              <w:rPr>
                <w:rFonts w:ascii="Times New Roman" w:hAnsi="Times New Roman"/>
                <w:b/>
                <w:bCs/>
                <w:sz w:val="22"/>
                <w:szCs w:val="22"/>
              </w:rPr>
              <w:t>Rozdiel  2-1</w:t>
            </w:r>
          </w:p>
        </w:tc>
      </w:tr>
      <w:tr w:rsidR="00A57CA9" w:rsidRPr="00A57CA9" w:rsidTr="007B22BB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A9" w:rsidRPr="00A57CA9" w:rsidRDefault="00A57CA9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A9" w:rsidRPr="00A57CA9" w:rsidRDefault="00A57CA9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A9" w:rsidRPr="00A57CA9" w:rsidRDefault="00A57CA9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A9" w:rsidRPr="00A57CA9" w:rsidRDefault="00A57CA9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E6027" w:rsidRPr="00A57CA9" w:rsidTr="00BB6C7B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A57CA9" w:rsidRDefault="007E6027" w:rsidP="007E602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7CA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Použitie prostriedkov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13 300 539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14 346 813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1 046 274</w:t>
            </w:r>
          </w:p>
        </w:tc>
      </w:tr>
      <w:tr w:rsidR="007E6027" w:rsidRPr="00A57CA9" w:rsidTr="00BB6C7B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A57CA9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E6027" w:rsidRPr="00A57CA9" w:rsidTr="00BB6C7B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A57CA9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základný fond nemocenského poistenia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1 179 517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1 084 375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-95 142</w:t>
            </w:r>
          </w:p>
        </w:tc>
      </w:tr>
      <w:tr w:rsidR="007E6027" w:rsidRPr="00A57CA9" w:rsidTr="00BB6C7B"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A57CA9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základný fond starobného poistenia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10 213 853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11 200 930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987 077</w:t>
            </w:r>
          </w:p>
        </w:tc>
      </w:tr>
      <w:tr w:rsidR="007E6027" w:rsidRPr="00A57CA9" w:rsidTr="00BB6C7B"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A57CA9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základný fond invalidného poistenia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1 270 835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1 392 144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121 309</w:t>
            </w:r>
          </w:p>
        </w:tc>
      </w:tr>
      <w:tr w:rsidR="007E6027" w:rsidRPr="00A57CA9" w:rsidTr="007B22BB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027" w:rsidRPr="00A57CA9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dôchodkové poistenie spolu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11 484 688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12 593 074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1 108 386</w:t>
            </w:r>
          </w:p>
        </w:tc>
      </w:tr>
      <w:tr w:rsidR="007E6027" w:rsidRPr="00A57CA9" w:rsidTr="007B22BB"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027" w:rsidRPr="00A57CA9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základný fond úrazového poistenia , v tom: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62 826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66 037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3 211</w:t>
            </w:r>
          </w:p>
        </w:tc>
      </w:tr>
      <w:tr w:rsidR="007E6027" w:rsidRPr="00A57CA9" w:rsidTr="007B22BB"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027" w:rsidRPr="00A57CA9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 - výdavky na úrazové dávky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58 655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60 305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1 650</w:t>
            </w:r>
          </w:p>
        </w:tc>
      </w:tr>
      <w:tr w:rsidR="007E6027" w:rsidRPr="00A57CA9" w:rsidTr="007B22BB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6027" w:rsidRPr="00A57CA9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 - úhrada poistného na starobné poistenie a príspevkov na SDS za poberateľov úrazovej renty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4 171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5 732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1 561</w:t>
            </w:r>
          </w:p>
        </w:tc>
      </w:tr>
      <w:tr w:rsidR="007E6027" w:rsidRPr="00A57CA9" w:rsidTr="007B22BB"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027" w:rsidRPr="00A57CA9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základný fond garančného poistenia , v tom: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33 431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40 366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6 935</w:t>
            </w:r>
          </w:p>
        </w:tc>
      </w:tr>
      <w:tr w:rsidR="007E6027" w:rsidRPr="00A57CA9" w:rsidTr="007B22BB"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027" w:rsidRPr="00A57CA9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 - výdavky na dávku garančného poistenia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4 127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4 171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</w:tr>
      <w:tr w:rsidR="007E6027" w:rsidRPr="00A57CA9" w:rsidTr="007B22BB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6027" w:rsidRPr="00A57CA9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 - úhrada príspevkov na SDS nezaplatených zamestnávateľom do základného fondu príspevkov na SDS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29 304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36 195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6 891</w:t>
            </w:r>
          </w:p>
        </w:tc>
      </w:tr>
      <w:tr w:rsidR="007E6027" w:rsidRPr="00A57CA9" w:rsidTr="007B22BB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A57CA9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základný fond poistenia v nezamestnanosti,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A57CA9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274 663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295 569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20 906</w:t>
            </w:r>
          </w:p>
        </w:tc>
      </w:tr>
      <w:tr w:rsidR="007E6027" w:rsidRPr="00A57CA9" w:rsidTr="007B22BB"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027" w:rsidRPr="00A57CA9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 - výdavky na dávku v nezamestnanosti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271 829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292 136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20 307</w:t>
            </w:r>
          </w:p>
        </w:tc>
      </w:tr>
      <w:tr w:rsidR="007E6027" w:rsidRPr="00A57CA9" w:rsidTr="00BB6C7B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A57CA9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 - postúpenie fin. prostriedkov, ktoré žiada príslušný orgán na výplatu podpory v čase skrátenej práce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2 834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3 433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599</w:t>
            </w:r>
          </w:p>
        </w:tc>
      </w:tr>
      <w:tr w:rsidR="007E6027" w:rsidRPr="00A57CA9" w:rsidTr="00BB6C7B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A57CA9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správny fond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264 312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264 312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E6027" w:rsidRPr="00A57CA9" w:rsidTr="00BB6C7B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A57CA9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osobitný fond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1 102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3 080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1 978</w:t>
            </w:r>
          </w:p>
        </w:tc>
      </w:tr>
    </w:tbl>
    <w:p w:rsidR="00DA3A85" w:rsidRDefault="00DA3A85" w:rsidP="00897909">
      <w:pPr>
        <w:jc w:val="both"/>
        <w:rPr>
          <w:rFonts w:ascii="Times New Roman" w:hAnsi="Times New Roman"/>
          <w:sz w:val="22"/>
          <w:szCs w:val="22"/>
        </w:rPr>
      </w:pPr>
    </w:p>
    <w:p w:rsidR="00DB206A" w:rsidRDefault="002E3AEA" w:rsidP="006D1A23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Sociálna poisťovňa</w:t>
      </w:r>
      <w:r w:rsidR="009506E5">
        <w:rPr>
          <w:rFonts w:ascii="Times New Roman" w:hAnsi="Times New Roman"/>
          <w:szCs w:val="24"/>
        </w:rPr>
        <w:t xml:space="preserve"> </w:t>
      </w:r>
      <w:r w:rsidR="007E2445" w:rsidRPr="00C56E69">
        <w:rPr>
          <w:rFonts w:ascii="Times New Roman" w:hAnsi="Times New Roman"/>
          <w:b/>
          <w:szCs w:val="24"/>
        </w:rPr>
        <w:t xml:space="preserve">očakáva </w:t>
      </w:r>
      <w:r w:rsidR="009506E5" w:rsidRPr="00C56E69">
        <w:rPr>
          <w:rFonts w:ascii="Times New Roman" w:hAnsi="Times New Roman"/>
          <w:b/>
          <w:szCs w:val="24"/>
        </w:rPr>
        <w:t>v</w:t>
      </w:r>
      <w:r w:rsidR="00507B2C" w:rsidRPr="00C56E69">
        <w:rPr>
          <w:rFonts w:ascii="Times New Roman" w:hAnsi="Times New Roman"/>
          <w:b/>
          <w:szCs w:val="24"/>
        </w:rPr>
        <w:t xml:space="preserve"> roku </w:t>
      </w:r>
      <w:r w:rsidR="000123DB" w:rsidRPr="00C56E69">
        <w:rPr>
          <w:rFonts w:ascii="Times New Roman" w:hAnsi="Times New Roman"/>
          <w:b/>
          <w:szCs w:val="24"/>
        </w:rPr>
        <w:t>2024</w:t>
      </w:r>
      <w:r w:rsidR="007E2445">
        <w:rPr>
          <w:rFonts w:ascii="Times New Roman" w:hAnsi="Times New Roman"/>
          <w:szCs w:val="24"/>
        </w:rPr>
        <w:t xml:space="preserve">, oproti schválenému rozpočtu na rok </w:t>
      </w:r>
      <w:r w:rsidR="000123DB">
        <w:rPr>
          <w:rFonts w:ascii="Times New Roman" w:hAnsi="Times New Roman"/>
          <w:szCs w:val="24"/>
        </w:rPr>
        <w:t>2024</w:t>
      </w:r>
      <w:r w:rsidR="00AA46A4">
        <w:rPr>
          <w:rFonts w:ascii="Times New Roman" w:hAnsi="Times New Roman"/>
          <w:szCs w:val="24"/>
        </w:rPr>
        <w:t>,</w:t>
      </w:r>
      <w:r w:rsidR="00507B2C" w:rsidRPr="002A1BB3">
        <w:rPr>
          <w:rFonts w:ascii="Times New Roman" w:hAnsi="Times New Roman"/>
          <w:szCs w:val="24"/>
        </w:rPr>
        <w:t xml:space="preserve"> </w:t>
      </w:r>
      <w:r w:rsidR="00DC4E4E" w:rsidRPr="00C56E69">
        <w:rPr>
          <w:rFonts w:ascii="Times New Roman" w:hAnsi="Times New Roman"/>
          <w:b/>
          <w:szCs w:val="24"/>
        </w:rPr>
        <w:t>vyššie výdavky o 1 046 274 tis. eur</w:t>
      </w:r>
      <w:r w:rsidR="00DC4E4E">
        <w:rPr>
          <w:rFonts w:ascii="Times New Roman" w:hAnsi="Times New Roman"/>
          <w:szCs w:val="24"/>
        </w:rPr>
        <w:t xml:space="preserve">. </w:t>
      </w:r>
      <w:r w:rsidR="00DB206A" w:rsidRPr="00C56E69">
        <w:rPr>
          <w:rFonts w:ascii="Times New Roman" w:hAnsi="Times New Roman"/>
          <w:b/>
          <w:szCs w:val="24"/>
        </w:rPr>
        <w:t>Nižšie</w:t>
      </w:r>
      <w:r w:rsidR="00DB206A">
        <w:rPr>
          <w:rFonts w:ascii="Times New Roman" w:hAnsi="Times New Roman"/>
          <w:szCs w:val="24"/>
        </w:rPr>
        <w:t xml:space="preserve">, ako rozpočtované, sa očakávajú </w:t>
      </w:r>
      <w:r w:rsidR="00DB206A" w:rsidRPr="00C56E69">
        <w:rPr>
          <w:rFonts w:ascii="Times New Roman" w:hAnsi="Times New Roman"/>
          <w:b/>
          <w:szCs w:val="24"/>
        </w:rPr>
        <w:t>výdavky v základnom fonde nemocenského poistenia o 95 142 tis. eur</w:t>
      </w:r>
      <w:r w:rsidR="00DB206A">
        <w:rPr>
          <w:rFonts w:ascii="Times New Roman" w:hAnsi="Times New Roman"/>
          <w:szCs w:val="24"/>
        </w:rPr>
        <w:t xml:space="preserve">. </w:t>
      </w:r>
      <w:r w:rsidR="006804A9">
        <w:rPr>
          <w:rFonts w:ascii="Times New Roman" w:hAnsi="Times New Roman"/>
          <w:szCs w:val="24"/>
        </w:rPr>
        <w:t>V ostatných fondoch sa predpokladajú vyššie výdavky, ako boli stanovené v schválenom rozpočte na rok 2024.</w:t>
      </w:r>
    </w:p>
    <w:p w:rsidR="005025E6" w:rsidRPr="002A1BB3" w:rsidRDefault="00DC4E4E" w:rsidP="006D1A23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C56E69">
        <w:rPr>
          <w:rFonts w:ascii="Times New Roman" w:hAnsi="Times New Roman"/>
          <w:b/>
          <w:szCs w:val="24"/>
        </w:rPr>
        <w:t>V</w:t>
      </w:r>
      <w:r w:rsidR="00AA46A4" w:rsidRPr="00C56E69">
        <w:rPr>
          <w:rFonts w:ascii="Times New Roman" w:hAnsi="Times New Roman"/>
          <w:b/>
          <w:szCs w:val="24"/>
        </w:rPr>
        <w:t xml:space="preserve">ýrazne </w:t>
      </w:r>
      <w:r w:rsidR="00507B2C" w:rsidRPr="00C56E69">
        <w:rPr>
          <w:rFonts w:ascii="Times New Roman" w:hAnsi="Times New Roman"/>
          <w:b/>
          <w:szCs w:val="24"/>
        </w:rPr>
        <w:t>vyššie</w:t>
      </w:r>
      <w:r w:rsidR="00507B2C" w:rsidRPr="00DB206A">
        <w:rPr>
          <w:rFonts w:ascii="Times New Roman" w:hAnsi="Times New Roman"/>
          <w:szCs w:val="24"/>
        </w:rPr>
        <w:t xml:space="preserve"> </w:t>
      </w:r>
      <w:r w:rsidR="00507B2C" w:rsidRPr="00C56E69">
        <w:rPr>
          <w:rFonts w:ascii="Times New Roman" w:hAnsi="Times New Roman"/>
          <w:b/>
          <w:szCs w:val="24"/>
        </w:rPr>
        <w:t>výdavky</w:t>
      </w:r>
      <w:r w:rsidR="00AA46A4" w:rsidRPr="00DB206A">
        <w:rPr>
          <w:rFonts w:ascii="Times New Roman" w:hAnsi="Times New Roman"/>
          <w:szCs w:val="24"/>
        </w:rPr>
        <w:t xml:space="preserve"> </w:t>
      </w:r>
      <w:r w:rsidRPr="00DB206A">
        <w:rPr>
          <w:rFonts w:ascii="Times New Roman" w:hAnsi="Times New Roman"/>
          <w:szCs w:val="24"/>
        </w:rPr>
        <w:t xml:space="preserve">sa predpokladajú </w:t>
      </w:r>
      <w:r w:rsidR="00AA46A4" w:rsidRPr="00C56E69">
        <w:rPr>
          <w:rFonts w:ascii="Times New Roman" w:hAnsi="Times New Roman"/>
          <w:b/>
          <w:szCs w:val="24"/>
        </w:rPr>
        <w:t>z</w:t>
      </w:r>
      <w:r w:rsidR="00507B2C" w:rsidRPr="00C56E69">
        <w:rPr>
          <w:rFonts w:ascii="Times New Roman" w:hAnsi="Times New Roman"/>
          <w:b/>
          <w:szCs w:val="24"/>
        </w:rPr>
        <w:t xml:space="preserve"> </w:t>
      </w:r>
      <w:r w:rsidR="00AA46A4" w:rsidRPr="00C56E69">
        <w:rPr>
          <w:rFonts w:ascii="Times New Roman" w:hAnsi="Times New Roman"/>
          <w:b/>
          <w:szCs w:val="24"/>
        </w:rPr>
        <w:t>dôchodkového</w:t>
      </w:r>
      <w:r w:rsidR="009506E5" w:rsidRPr="00C56E69">
        <w:rPr>
          <w:rFonts w:ascii="Times New Roman" w:hAnsi="Times New Roman"/>
          <w:b/>
          <w:szCs w:val="24"/>
        </w:rPr>
        <w:t xml:space="preserve"> poistenia o</w:t>
      </w:r>
      <w:r w:rsidR="00A57CA9" w:rsidRPr="00C56E69">
        <w:rPr>
          <w:rFonts w:ascii="Times New Roman" w:hAnsi="Times New Roman"/>
          <w:b/>
          <w:szCs w:val="24"/>
        </w:rPr>
        <w:t> 1 108 386</w:t>
      </w:r>
      <w:r w:rsidRPr="00C56E69">
        <w:rPr>
          <w:rFonts w:ascii="Times New Roman" w:hAnsi="Times New Roman"/>
          <w:b/>
          <w:szCs w:val="24"/>
        </w:rPr>
        <w:t> tis. eur</w:t>
      </w:r>
      <w:r w:rsidRPr="00DB206A">
        <w:rPr>
          <w:rFonts w:ascii="Times New Roman" w:hAnsi="Times New Roman"/>
          <w:szCs w:val="24"/>
        </w:rPr>
        <w:t xml:space="preserve"> najmä z dôvodu výplaty 13. dôchodku ako novej dávky dôchodkového poistenia. V schválnom rozpočte Sociálnej poisťovne na rok 2024 nebol na túto dávku stanovený rozpočet.</w:t>
      </w:r>
    </w:p>
    <w:p w:rsidR="007B22BB" w:rsidRPr="00FE16D4" w:rsidRDefault="007B22BB" w:rsidP="006D1A23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181377">
        <w:rPr>
          <w:rFonts w:ascii="Times New Roman" w:hAnsi="Times New Roman"/>
          <w:b/>
          <w:szCs w:val="24"/>
        </w:rPr>
        <w:t xml:space="preserve">Hospodárenie Sociálnej poisťovne </w:t>
      </w:r>
      <w:r>
        <w:rPr>
          <w:rFonts w:ascii="Times New Roman" w:hAnsi="Times New Roman"/>
          <w:b/>
          <w:szCs w:val="24"/>
        </w:rPr>
        <w:t>k 31. decembru 2024</w:t>
      </w:r>
      <w:r w:rsidRPr="00181377">
        <w:rPr>
          <w:rFonts w:ascii="Times New Roman" w:hAnsi="Times New Roman"/>
          <w:b/>
          <w:szCs w:val="24"/>
        </w:rPr>
        <w:t xml:space="preserve"> by malo skončiť bilančným rozdielom </w:t>
      </w:r>
      <w:r>
        <w:rPr>
          <w:rFonts w:ascii="Times New Roman" w:hAnsi="Times New Roman"/>
          <w:b/>
          <w:szCs w:val="24"/>
        </w:rPr>
        <w:t>934 062</w:t>
      </w:r>
      <w:r w:rsidRPr="00181377">
        <w:rPr>
          <w:rFonts w:ascii="Times New Roman" w:hAnsi="Times New Roman"/>
          <w:b/>
          <w:szCs w:val="24"/>
        </w:rPr>
        <w:t> tis. eur</w:t>
      </w:r>
      <w:r w:rsidRPr="00181377">
        <w:rPr>
          <w:rFonts w:ascii="Times New Roman" w:hAnsi="Times New Roman"/>
          <w:szCs w:val="24"/>
        </w:rPr>
        <w:t>.</w:t>
      </w:r>
      <w:r w:rsidRPr="001C1AD2">
        <w:rPr>
          <w:rFonts w:ascii="Times New Roman" w:hAnsi="Times New Roman"/>
          <w:szCs w:val="24"/>
        </w:rPr>
        <w:t xml:space="preserve"> </w:t>
      </w:r>
      <w:r w:rsidRPr="00FE16D4">
        <w:rPr>
          <w:rFonts w:ascii="Times New Roman" w:hAnsi="Times New Roman"/>
          <w:szCs w:val="24"/>
        </w:rPr>
        <w:t xml:space="preserve">Hospodárenie Sociálnej poisťovne bude v roku </w:t>
      </w:r>
      <w:r>
        <w:rPr>
          <w:rFonts w:ascii="Times New Roman" w:hAnsi="Times New Roman"/>
          <w:szCs w:val="24"/>
        </w:rPr>
        <w:t>2024</w:t>
      </w:r>
      <w:r w:rsidRPr="00FE16D4">
        <w:rPr>
          <w:rFonts w:ascii="Times New Roman" w:hAnsi="Times New Roman"/>
          <w:szCs w:val="24"/>
        </w:rPr>
        <w:t xml:space="preserve"> ovplyvňovať deficitné hospodárenie </w:t>
      </w:r>
      <w:r>
        <w:rPr>
          <w:rFonts w:ascii="Times New Roman" w:hAnsi="Times New Roman"/>
          <w:szCs w:val="24"/>
        </w:rPr>
        <w:t xml:space="preserve">v základnom fonde nemocenského poistenia a </w:t>
      </w:r>
      <w:r w:rsidRPr="00FE16D4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 základnom fonde starobného poistenia</w:t>
      </w:r>
      <w:r w:rsidRPr="00FE16D4">
        <w:rPr>
          <w:rFonts w:ascii="Times New Roman" w:hAnsi="Times New Roman"/>
          <w:szCs w:val="24"/>
        </w:rPr>
        <w:t xml:space="preserve">. Deficit bude Sociálna poisťovňa riešiť v zmysle § 167 ods. 1 zákona o sociálnom poistení z rezervného fondu solidarity a aj z vnútorných zdrojov v zmysle § 122 ods. </w:t>
      </w:r>
      <w:r>
        <w:rPr>
          <w:rFonts w:ascii="Times New Roman" w:hAnsi="Times New Roman"/>
          <w:szCs w:val="24"/>
        </w:rPr>
        <w:t>4 písm. g) a § 123 ods. 2 písm. </w:t>
      </w:r>
      <w:r w:rsidRPr="00FE16D4">
        <w:rPr>
          <w:rFonts w:ascii="Times New Roman" w:hAnsi="Times New Roman"/>
          <w:szCs w:val="24"/>
        </w:rPr>
        <w:t>b)</w:t>
      </w:r>
      <w:r>
        <w:rPr>
          <w:rFonts w:ascii="Times New Roman" w:hAnsi="Times New Roman"/>
          <w:szCs w:val="24"/>
        </w:rPr>
        <w:t xml:space="preserve"> bod 6</w:t>
      </w:r>
      <w:r w:rsidRPr="00FE16D4">
        <w:rPr>
          <w:rFonts w:ascii="Times New Roman" w:hAnsi="Times New Roman"/>
          <w:szCs w:val="24"/>
        </w:rPr>
        <w:t xml:space="preserve">. </w:t>
      </w:r>
    </w:p>
    <w:p w:rsidR="00496264" w:rsidRDefault="00496264" w:rsidP="001874F9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</w:p>
    <w:p w:rsidR="0090404B" w:rsidRDefault="00A937B8" w:rsidP="001874F9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lastRenderedPageBreak/>
        <w:t xml:space="preserve">Z hľadiska </w:t>
      </w:r>
      <w:r w:rsidRPr="004C7EC8">
        <w:rPr>
          <w:rFonts w:ascii="Times New Roman" w:hAnsi="Times New Roman"/>
          <w:b/>
          <w:szCs w:val="24"/>
        </w:rPr>
        <w:t xml:space="preserve">celkového hospodárenia Sociálnej poisťovne </w:t>
      </w:r>
      <w:r w:rsidRPr="004C7EC8">
        <w:rPr>
          <w:rFonts w:ascii="Times New Roman" w:hAnsi="Times New Roman"/>
          <w:szCs w:val="24"/>
        </w:rPr>
        <w:t>(vrátane prevodu prostriedkov z minulých rokov) je možné očakávať k 31. </w:t>
      </w:r>
      <w:r w:rsidR="00867F00" w:rsidRPr="004C7EC8">
        <w:rPr>
          <w:rFonts w:ascii="Times New Roman" w:hAnsi="Times New Roman"/>
          <w:szCs w:val="24"/>
        </w:rPr>
        <w:t>decembru</w:t>
      </w:r>
      <w:r w:rsidRPr="004C7EC8">
        <w:rPr>
          <w:rFonts w:ascii="Times New Roman" w:hAnsi="Times New Roman"/>
          <w:szCs w:val="24"/>
        </w:rPr>
        <w:t> </w:t>
      </w:r>
      <w:r w:rsidR="000123DB">
        <w:rPr>
          <w:rFonts w:ascii="Times New Roman" w:hAnsi="Times New Roman"/>
          <w:szCs w:val="24"/>
        </w:rPr>
        <w:t>2024</w:t>
      </w:r>
      <w:r w:rsidRPr="004C7EC8">
        <w:rPr>
          <w:rFonts w:ascii="Times New Roman" w:hAnsi="Times New Roman"/>
          <w:szCs w:val="24"/>
        </w:rPr>
        <w:t xml:space="preserve"> v jednotlivých fondoch výsledky:</w:t>
      </w:r>
    </w:p>
    <w:tbl>
      <w:tblPr>
        <w:tblW w:w="93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1651"/>
        <w:gridCol w:w="1740"/>
        <w:gridCol w:w="1470"/>
      </w:tblGrid>
      <w:tr w:rsidR="002A1BB3" w:rsidRPr="002A1BB3" w:rsidTr="007B22BB"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BB3" w:rsidRPr="002A1BB3" w:rsidRDefault="002A1BB3" w:rsidP="002A1B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BB3" w:rsidRPr="002A1BB3" w:rsidRDefault="002A1BB3" w:rsidP="002A1B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BB3" w:rsidRPr="002A1BB3" w:rsidRDefault="002A1BB3" w:rsidP="002A1B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BB3" w:rsidRPr="002A1BB3" w:rsidRDefault="002A1BB3" w:rsidP="002A1BB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v tis.</w:t>
            </w:r>
            <w:r w:rsidR="006A03F2">
              <w:rPr>
                <w:rFonts w:ascii="Times New Roman" w:hAnsi="Times New Roman"/>
                <w:sz w:val="22"/>
                <w:szCs w:val="22"/>
              </w:rPr>
              <w:t> eur</w:t>
            </w:r>
          </w:p>
        </w:tc>
      </w:tr>
      <w:tr w:rsidR="002A1BB3" w:rsidRPr="002A1BB3" w:rsidTr="007B22BB">
        <w:tc>
          <w:tcPr>
            <w:tcW w:w="4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B3" w:rsidRPr="00005F2A" w:rsidRDefault="002A1BB3" w:rsidP="002A1B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Fond  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B3" w:rsidRPr="00005F2A" w:rsidRDefault="002A1BB3" w:rsidP="002A1B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>Bilančný rozdiel k 31.12.</w:t>
            </w:r>
            <w:r w:rsidR="000123DB">
              <w:rPr>
                <w:rFonts w:ascii="Times New Roman" w:hAnsi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B3" w:rsidRPr="00005F2A" w:rsidRDefault="002A1BB3" w:rsidP="002A1B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>Rozdiel  2-1</w:t>
            </w:r>
          </w:p>
        </w:tc>
      </w:tr>
      <w:tr w:rsidR="002A1BB3" w:rsidRPr="002A1BB3" w:rsidTr="007B22BB"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B3" w:rsidRPr="00005F2A" w:rsidRDefault="002A1BB3" w:rsidP="002A1BB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B3" w:rsidRPr="00005F2A" w:rsidRDefault="002A1BB3" w:rsidP="002A1B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Schválený rozpočet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B3" w:rsidRPr="00005F2A" w:rsidRDefault="002A1BB3" w:rsidP="002A1B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B3" w:rsidRPr="002A1BB3" w:rsidRDefault="002A1BB3" w:rsidP="002A1B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A1BB3" w:rsidRPr="002A1BB3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B3" w:rsidRPr="002A1BB3" w:rsidRDefault="002A1BB3" w:rsidP="002A1B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B3" w:rsidRPr="002A1BB3" w:rsidRDefault="002A1BB3" w:rsidP="002A1B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B3" w:rsidRPr="002A1BB3" w:rsidRDefault="002A1BB3" w:rsidP="002A1B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B3" w:rsidRPr="002A1BB3" w:rsidRDefault="002A1BB3" w:rsidP="002A1B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14B72" w:rsidRPr="002A1BB3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72" w:rsidRPr="002A1BB3" w:rsidRDefault="00614B72" w:rsidP="00614B72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nemocenského poistenia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65 000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65 000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14B72" w:rsidRPr="002A1BB3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72" w:rsidRPr="002A1BB3" w:rsidRDefault="00614B72" w:rsidP="00614B72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starobného poistenia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439 265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515 971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76 706</w:t>
            </w:r>
          </w:p>
        </w:tc>
      </w:tr>
      <w:tr w:rsidR="00614B72" w:rsidRPr="002A1BB3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72" w:rsidRPr="002A1BB3" w:rsidRDefault="00614B72" w:rsidP="00614B72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invalidného poistenia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297 898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285 036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-12 862</w:t>
            </w:r>
          </w:p>
        </w:tc>
      </w:tr>
      <w:tr w:rsidR="00614B72" w:rsidRPr="002A1BB3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72" w:rsidRPr="002A1BB3" w:rsidRDefault="00614B72" w:rsidP="00614B72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úrazového poistenia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14B72" w:rsidRPr="002A1BB3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72" w:rsidRPr="002A1BB3" w:rsidRDefault="00614B72" w:rsidP="00614B72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garančného poistenia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14B72" w:rsidRPr="002A1BB3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72" w:rsidRPr="002A1BB3" w:rsidRDefault="00614B72" w:rsidP="00614B72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poistenia v nezamestnanosti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35 000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35 000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14B72" w:rsidRPr="002A1BB3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72" w:rsidRPr="002A1BB3" w:rsidRDefault="00614B72" w:rsidP="00614B72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Rezervný fond solidarity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14B72" w:rsidRPr="002A1BB3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72" w:rsidRPr="002A1BB3" w:rsidRDefault="00614B72" w:rsidP="00614B72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Správny fond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21 494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20 715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-779</w:t>
            </w:r>
          </w:p>
        </w:tc>
      </w:tr>
      <w:tr w:rsidR="00614B72" w:rsidRPr="002A1BB3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72" w:rsidRPr="002A1BB3" w:rsidRDefault="00614B72" w:rsidP="00614B72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Osobitný fond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5 515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4 340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14B72">
              <w:rPr>
                <w:rFonts w:ascii="Times New Roman" w:hAnsi="Times New Roman"/>
                <w:sz w:val="22"/>
                <w:szCs w:val="22"/>
              </w:rPr>
              <w:t>-1 175</w:t>
            </w:r>
          </w:p>
        </w:tc>
      </w:tr>
      <w:tr w:rsidR="00614B72" w:rsidRPr="005978A9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B72" w:rsidRPr="005978A9" w:rsidRDefault="00614B72" w:rsidP="00614B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978A9">
              <w:rPr>
                <w:rFonts w:ascii="Times New Roman" w:hAnsi="Times New Roman"/>
                <w:b/>
                <w:sz w:val="22"/>
                <w:szCs w:val="22"/>
              </w:rPr>
              <w:t>Spolu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14B72">
              <w:rPr>
                <w:rFonts w:ascii="Times New Roman" w:hAnsi="Times New Roman"/>
                <w:b/>
                <w:bCs/>
                <w:sz w:val="22"/>
                <w:szCs w:val="22"/>
              </w:rPr>
              <w:t>872 172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14B72">
              <w:rPr>
                <w:rFonts w:ascii="Times New Roman" w:hAnsi="Times New Roman"/>
                <w:b/>
                <w:bCs/>
                <w:sz w:val="22"/>
                <w:szCs w:val="22"/>
              </w:rPr>
              <w:t>934 062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B72" w:rsidRPr="00614B72" w:rsidRDefault="00614B72" w:rsidP="00614B7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14B72">
              <w:rPr>
                <w:rFonts w:ascii="Times New Roman" w:hAnsi="Times New Roman"/>
                <w:b/>
                <w:bCs/>
                <w:sz w:val="22"/>
                <w:szCs w:val="22"/>
              </w:rPr>
              <w:t>61 890</w:t>
            </w:r>
          </w:p>
        </w:tc>
      </w:tr>
    </w:tbl>
    <w:p w:rsidR="00A937B8" w:rsidRPr="004C7EC8" w:rsidRDefault="00A937B8" w:rsidP="00192C03">
      <w:pPr>
        <w:spacing w:before="240" w:after="120"/>
        <w:jc w:val="center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 xml:space="preserve">x  </w:t>
      </w:r>
      <w:proofErr w:type="spellStart"/>
      <w:r w:rsidRPr="004C7EC8">
        <w:rPr>
          <w:rFonts w:ascii="Times New Roman" w:hAnsi="Times New Roman"/>
          <w:szCs w:val="24"/>
        </w:rPr>
        <w:t>x</w:t>
      </w:r>
      <w:proofErr w:type="spellEnd"/>
      <w:r w:rsidRPr="004C7EC8">
        <w:rPr>
          <w:rFonts w:ascii="Times New Roman" w:hAnsi="Times New Roman"/>
          <w:szCs w:val="24"/>
        </w:rPr>
        <w:t xml:space="preserve">  </w:t>
      </w:r>
      <w:proofErr w:type="spellStart"/>
      <w:r w:rsidRPr="004C7EC8">
        <w:rPr>
          <w:rFonts w:ascii="Times New Roman" w:hAnsi="Times New Roman"/>
          <w:szCs w:val="24"/>
        </w:rPr>
        <w:t>x</w:t>
      </w:r>
      <w:proofErr w:type="spellEnd"/>
    </w:p>
    <w:p w:rsidR="001C1AD2" w:rsidRDefault="004B1350" w:rsidP="00192C03">
      <w:pPr>
        <w:pStyle w:val="Zarkazkladnhotextu"/>
        <w:tabs>
          <w:tab w:val="decimal" w:pos="8222"/>
        </w:tabs>
        <w:spacing w:before="24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 </w:t>
      </w:r>
      <w:r w:rsidR="001C1AD2">
        <w:rPr>
          <w:rFonts w:ascii="Times New Roman" w:hAnsi="Times New Roman"/>
          <w:szCs w:val="24"/>
        </w:rPr>
        <w:t xml:space="preserve">hospodárenie </w:t>
      </w:r>
      <w:r w:rsidR="001C1AD2" w:rsidRPr="005A072F">
        <w:rPr>
          <w:rFonts w:ascii="Times New Roman" w:hAnsi="Times New Roman"/>
          <w:szCs w:val="24"/>
        </w:rPr>
        <w:t xml:space="preserve">Sociálnej poisťovne </w:t>
      </w:r>
      <w:r>
        <w:rPr>
          <w:rFonts w:ascii="Times New Roman" w:hAnsi="Times New Roman"/>
          <w:szCs w:val="24"/>
        </w:rPr>
        <w:t xml:space="preserve">má </w:t>
      </w:r>
      <w:r w:rsidR="001C1AD2">
        <w:rPr>
          <w:rFonts w:ascii="Times New Roman" w:hAnsi="Times New Roman"/>
          <w:szCs w:val="24"/>
        </w:rPr>
        <w:t xml:space="preserve">výrazný vplyv </w:t>
      </w:r>
      <w:r w:rsidR="001C1AD2" w:rsidRPr="005A072F">
        <w:rPr>
          <w:rFonts w:ascii="Times New Roman" w:hAnsi="Times New Roman"/>
          <w:szCs w:val="24"/>
        </w:rPr>
        <w:t>existenci</w:t>
      </w:r>
      <w:r w:rsidR="001C1AD2">
        <w:rPr>
          <w:rFonts w:ascii="Times New Roman" w:hAnsi="Times New Roman"/>
          <w:szCs w:val="24"/>
        </w:rPr>
        <w:t>a</w:t>
      </w:r>
      <w:r w:rsidR="001C1AD2" w:rsidRPr="005A072F">
        <w:rPr>
          <w:rFonts w:ascii="Times New Roman" w:hAnsi="Times New Roman"/>
          <w:szCs w:val="24"/>
        </w:rPr>
        <w:t xml:space="preserve"> </w:t>
      </w:r>
      <w:r w:rsidR="00646773">
        <w:rPr>
          <w:rFonts w:ascii="Times New Roman" w:hAnsi="Times New Roman"/>
          <w:szCs w:val="24"/>
        </w:rPr>
        <w:t>SDS</w:t>
      </w:r>
      <w:r w:rsidR="001C1AD2">
        <w:rPr>
          <w:rFonts w:ascii="Times New Roman" w:hAnsi="Times New Roman"/>
          <w:szCs w:val="24"/>
        </w:rPr>
        <w:t>. Prehľad vybraných a postúpených príspevkov na SDS:</w:t>
      </w:r>
      <w:r w:rsidR="001C1AD2" w:rsidRPr="005A072F">
        <w:rPr>
          <w:rFonts w:ascii="Times New Roman" w:hAnsi="Times New Roman"/>
          <w:szCs w:val="24"/>
        </w:rPr>
        <w:t xml:space="preserve"> </w:t>
      </w:r>
    </w:p>
    <w:tbl>
      <w:tblPr>
        <w:tblW w:w="88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860"/>
        <w:gridCol w:w="1960"/>
        <w:gridCol w:w="1656"/>
      </w:tblGrid>
      <w:tr w:rsidR="00C8406B" w:rsidRPr="00C8406B" w:rsidTr="00AC2FAD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6B" w:rsidRPr="00C8406B" w:rsidRDefault="00C8406B" w:rsidP="00C84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6B" w:rsidRPr="00C8406B" w:rsidRDefault="00C8406B" w:rsidP="00C84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6B" w:rsidRPr="00C8406B" w:rsidRDefault="00C8406B" w:rsidP="00C84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6B" w:rsidRPr="00C8406B" w:rsidRDefault="00C8406B" w:rsidP="00C8406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v tis.</w:t>
            </w:r>
            <w:r w:rsidR="006A03F2">
              <w:rPr>
                <w:rFonts w:ascii="Times New Roman" w:hAnsi="Times New Roman"/>
                <w:sz w:val="22"/>
                <w:szCs w:val="22"/>
              </w:rPr>
              <w:t> eur</w:t>
            </w:r>
          </w:p>
        </w:tc>
      </w:tr>
      <w:tr w:rsidR="008D05A8" w:rsidRPr="00C8406B" w:rsidTr="00AC2FAD">
        <w:trPr>
          <w:cantSplit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5A8" w:rsidRPr="00005F2A" w:rsidRDefault="008D05A8" w:rsidP="00C840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>Ukazovateľ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05A8" w:rsidRPr="00005F2A" w:rsidRDefault="008D05A8" w:rsidP="00E864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 w:rsidR="000123DB">
              <w:rPr>
                <w:rFonts w:ascii="Times New Roman" w:hAnsi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5A8" w:rsidRPr="00005F2A" w:rsidRDefault="008D05A8" w:rsidP="00C840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>Rozdiel  2-1</w:t>
            </w:r>
          </w:p>
        </w:tc>
      </w:tr>
      <w:tr w:rsidR="008D05A8" w:rsidRPr="00C8406B" w:rsidTr="00AC2FAD">
        <w:trPr>
          <w:cantSplit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A8" w:rsidRPr="00C8406B" w:rsidRDefault="008D05A8" w:rsidP="00C84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A8" w:rsidRPr="00005F2A" w:rsidRDefault="008D05A8" w:rsidP="00C840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Schválený rozpočet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A8" w:rsidRPr="00005F2A" w:rsidRDefault="008D05A8" w:rsidP="00C840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65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A8" w:rsidRPr="00C8406B" w:rsidRDefault="008D05A8" w:rsidP="00C840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406B" w:rsidRPr="00C8406B" w:rsidTr="00AC2FA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6B" w:rsidRPr="00C8406B" w:rsidRDefault="00E53D83" w:rsidP="00C840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6B" w:rsidRPr="00C8406B" w:rsidRDefault="00C8406B" w:rsidP="00C840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6B" w:rsidRPr="00C8406B" w:rsidRDefault="00C8406B" w:rsidP="00C840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6B" w:rsidRPr="00C8406B" w:rsidRDefault="00C8406B" w:rsidP="00C840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C4E4E" w:rsidRPr="005978A9" w:rsidTr="00AC2FA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E4E" w:rsidRPr="005978A9" w:rsidRDefault="00DC4E4E" w:rsidP="00DC4E4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978A9">
              <w:rPr>
                <w:rFonts w:ascii="Times New Roman" w:hAnsi="Times New Roman"/>
                <w:b/>
                <w:sz w:val="22"/>
                <w:szCs w:val="22"/>
              </w:rPr>
              <w:t>Vybraté príspevky na SDS celkom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4E4E">
              <w:rPr>
                <w:rFonts w:ascii="Times New Roman" w:hAnsi="Times New Roman"/>
                <w:b/>
                <w:bCs/>
                <w:sz w:val="22"/>
                <w:szCs w:val="22"/>
              </w:rPr>
              <w:t>957 774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4E4E">
              <w:rPr>
                <w:rFonts w:ascii="Times New Roman" w:hAnsi="Times New Roman"/>
                <w:b/>
                <w:bCs/>
                <w:sz w:val="22"/>
                <w:szCs w:val="22"/>
              </w:rPr>
              <w:t>1 023 481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4E4E">
              <w:rPr>
                <w:rFonts w:ascii="Times New Roman" w:hAnsi="Times New Roman"/>
                <w:b/>
                <w:bCs/>
                <w:sz w:val="22"/>
                <w:szCs w:val="22"/>
              </w:rPr>
              <w:t>65 707</w:t>
            </w:r>
          </w:p>
        </w:tc>
      </w:tr>
      <w:tr w:rsidR="00DC4E4E" w:rsidRPr="00C8406B" w:rsidTr="00AC2FA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E4E" w:rsidRPr="00C8406B" w:rsidRDefault="00DC4E4E" w:rsidP="00DC4E4E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DC4E4E" w:rsidRPr="00C8406B" w:rsidTr="00AC2FA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E4E" w:rsidRPr="00C8406B" w:rsidRDefault="00DC4E4E" w:rsidP="00DC4E4E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EAO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911 590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979 253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67 663</w:t>
            </w:r>
          </w:p>
        </w:tc>
      </w:tr>
      <w:tr w:rsidR="00DC4E4E" w:rsidRPr="00C8406B" w:rsidTr="00AC2FA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E4E" w:rsidRPr="00C8406B" w:rsidRDefault="00F44CE6" w:rsidP="00DC4E4E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Š</w:t>
            </w:r>
            <w:r w:rsidR="00DC4E4E" w:rsidRPr="00C8406B">
              <w:rPr>
                <w:rFonts w:ascii="Times New Roman" w:hAnsi="Times New Roman"/>
                <w:sz w:val="22"/>
                <w:szCs w:val="22"/>
              </w:rPr>
              <w:t>tát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45 674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43 557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-2 117</w:t>
            </w:r>
          </w:p>
        </w:tc>
      </w:tr>
      <w:tr w:rsidR="00DC4E4E" w:rsidRPr="00C8406B" w:rsidTr="00AC2FA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E4E" w:rsidRPr="00C8406B" w:rsidRDefault="00DC4E4E" w:rsidP="00DC4E4E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671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161</w:t>
            </w:r>
          </w:p>
        </w:tc>
      </w:tr>
      <w:tr w:rsidR="00DC4E4E" w:rsidRPr="005978A9" w:rsidTr="00AC2FA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E4E" w:rsidRPr="005978A9" w:rsidRDefault="00DC4E4E" w:rsidP="00DC4E4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978A9">
              <w:rPr>
                <w:rFonts w:ascii="Times New Roman" w:hAnsi="Times New Roman"/>
                <w:b/>
                <w:sz w:val="22"/>
                <w:szCs w:val="22"/>
              </w:rPr>
              <w:t>Postúpené príspevky na SDS celkom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4E4E">
              <w:rPr>
                <w:rFonts w:ascii="Times New Roman" w:hAnsi="Times New Roman"/>
                <w:b/>
                <w:bCs/>
                <w:sz w:val="22"/>
                <w:szCs w:val="22"/>
              </w:rPr>
              <w:t>984 686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4E4E">
              <w:rPr>
                <w:rFonts w:ascii="Times New Roman" w:hAnsi="Times New Roman"/>
                <w:b/>
                <w:bCs/>
                <w:sz w:val="22"/>
                <w:szCs w:val="22"/>
              </w:rPr>
              <w:t>1 057 119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4E4E">
              <w:rPr>
                <w:rFonts w:ascii="Times New Roman" w:hAnsi="Times New Roman"/>
                <w:b/>
                <w:bCs/>
                <w:sz w:val="22"/>
                <w:szCs w:val="22"/>
              </w:rPr>
              <w:t>72 433</w:t>
            </w:r>
          </w:p>
        </w:tc>
      </w:tr>
      <w:tr w:rsidR="00DC4E4E" w:rsidRPr="00C8406B" w:rsidTr="00AC2FA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E4E" w:rsidRPr="00C8406B" w:rsidRDefault="00DC4E4E" w:rsidP="00DC4E4E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DC4E4E" w:rsidRPr="00C8406B" w:rsidTr="00AC2FA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E4E" w:rsidRPr="00C8406B" w:rsidRDefault="00DC4E4E" w:rsidP="00DC4E4E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EAO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909 311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976 805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67 494</w:t>
            </w:r>
          </w:p>
        </w:tc>
      </w:tr>
      <w:tr w:rsidR="00DC4E4E" w:rsidRPr="00C8406B" w:rsidTr="00AC2FA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E4E" w:rsidRPr="00C8406B" w:rsidRDefault="00F44CE6" w:rsidP="00DC4E4E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Š</w:t>
            </w:r>
            <w:r w:rsidR="00DC4E4E" w:rsidRPr="00C8406B">
              <w:rPr>
                <w:rFonts w:ascii="Times New Roman" w:hAnsi="Times New Roman"/>
                <w:sz w:val="22"/>
                <w:szCs w:val="22"/>
              </w:rPr>
              <w:t>tát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45 561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43 448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-2 113</w:t>
            </w:r>
          </w:p>
        </w:tc>
      </w:tr>
      <w:tr w:rsidR="00DC4E4E" w:rsidRPr="00C8406B" w:rsidTr="00AC2FA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E4E" w:rsidRPr="00C8406B" w:rsidRDefault="00DC4E4E" w:rsidP="00DC4E4E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510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671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161</w:t>
            </w:r>
          </w:p>
        </w:tc>
      </w:tr>
      <w:tr w:rsidR="00DC4E4E" w:rsidRPr="00C8406B" w:rsidTr="00AC2FA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E4E" w:rsidRPr="00C8406B" w:rsidRDefault="00DC4E4E" w:rsidP="00DC4E4E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 xml:space="preserve">uhradené príspevky zo </w:t>
            </w:r>
            <w:r>
              <w:rPr>
                <w:rFonts w:ascii="Times New Roman" w:hAnsi="Times New Roman"/>
                <w:sz w:val="22"/>
                <w:szCs w:val="22"/>
              </w:rPr>
              <w:t>zákl. fondu garančného poistenia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29 304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36 195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4E" w:rsidRPr="00DC4E4E" w:rsidRDefault="00DC4E4E" w:rsidP="00DC4E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C4E4E">
              <w:rPr>
                <w:rFonts w:ascii="Times New Roman" w:hAnsi="Times New Roman"/>
                <w:sz w:val="22"/>
                <w:szCs w:val="22"/>
              </w:rPr>
              <w:t>6 891</w:t>
            </w:r>
          </w:p>
        </w:tc>
      </w:tr>
    </w:tbl>
    <w:p w:rsidR="00F11721" w:rsidRPr="004C7EC8" w:rsidRDefault="00A937B8" w:rsidP="00B91FDB">
      <w:pPr>
        <w:tabs>
          <w:tab w:val="left" w:pos="709"/>
        </w:tabs>
        <w:spacing w:before="480" w:after="120"/>
        <w:ind w:left="703" w:hanging="703"/>
        <w:jc w:val="both"/>
        <w:rPr>
          <w:rFonts w:ascii="Times New Roman" w:hAnsi="Times New Roman"/>
          <w:b/>
          <w:szCs w:val="24"/>
        </w:rPr>
      </w:pPr>
      <w:r w:rsidRPr="004C7EC8">
        <w:rPr>
          <w:rFonts w:ascii="Times New Roman" w:hAnsi="Times New Roman"/>
          <w:b/>
          <w:szCs w:val="24"/>
        </w:rPr>
        <w:t xml:space="preserve">II. </w:t>
      </w:r>
      <w:r w:rsidRPr="004C7EC8">
        <w:rPr>
          <w:rFonts w:ascii="Times New Roman" w:hAnsi="Times New Roman"/>
          <w:b/>
          <w:szCs w:val="24"/>
        </w:rPr>
        <w:tab/>
      </w:r>
      <w:r w:rsidR="00F11721" w:rsidRPr="004C7EC8">
        <w:rPr>
          <w:rFonts w:ascii="Times New Roman" w:hAnsi="Times New Roman"/>
          <w:b/>
          <w:szCs w:val="24"/>
        </w:rPr>
        <w:t xml:space="preserve">Návrh rozpočtu </w:t>
      </w:r>
      <w:r w:rsidR="00E90153">
        <w:rPr>
          <w:rFonts w:ascii="Times New Roman" w:hAnsi="Times New Roman"/>
          <w:b/>
          <w:szCs w:val="24"/>
        </w:rPr>
        <w:t xml:space="preserve">príjmov a výdavkov (nákladov) </w:t>
      </w:r>
      <w:r w:rsidR="00F11721" w:rsidRPr="004C7EC8">
        <w:rPr>
          <w:rFonts w:ascii="Times New Roman" w:hAnsi="Times New Roman"/>
          <w:b/>
          <w:szCs w:val="24"/>
        </w:rPr>
        <w:t xml:space="preserve">Sociálnej poisťovne na rok </w:t>
      </w:r>
      <w:r w:rsidR="001E3DAD">
        <w:rPr>
          <w:rFonts w:ascii="Times New Roman" w:hAnsi="Times New Roman"/>
          <w:b/>
          <w:szCs w:val="24"/>
        </w:rPr>
        <w:t>2025</w:t>
      </w:r>
      <w:r w:rsidR="00F11721" w:rsidRPr="004C7EC8">
        <w:rPr>
          <w:rFonts w:ascii="Times New Roman" w:hAnsi="Times New Roman"/>
          <w:b/>
          <w:szCs w:val="24"/>
        </w:rPr>
        <w:t xml:space="preserve"> </w:t>
      </w:r>
      <w:r w:rsidR="00716880" w:rsidRPr="004C7EC8">
        <w:rPr>
          <w:rFonts w:ascii="Times New Roman" w:hAnsi="Times New Roman"/>
          <w:b/>
          <w:szCs w:val="24"/>
        </w:rPr>
        <w:t>a rozpočtový výhľad na roky</w:t>
      </w:r>
      <w:r w:rsidR="00BE614D">
        <w:rPr>
          <w:rFonts w:ascii="Times New Roman" w:hAnsi="Times New Roman"/>
          <w:b/>
          <w:szCs w:val="24"/>
        </w:rPr>
        <w:t xml:space="preserve"> </w:t>
      </w:r>
      <w:r w:rsidR="001E3DAD">
        <w:rPr>
          <w:rFonts w:ascii="Times New Roman" w:hAnsi="Times New Roman"/>
          <w:b/>
          <w:szCs w:val="24"/>
        </w:rPr>
        <w:t>2026</w:t>
      </w:r>
      <w:r w:rsidR="00D6723F">
        <w:rPr>
          <w:rFonts w:ascii="Times New Roman" w:hAnsi="Times New Roman"/>
          <w:b/>
          <w:szCs w:val="24"/>
        </w:rPr>
        <w:t xml:space="preserve"> a </w:t>
      </w:r>
      <w:r w:rsidR="001E3DAD">
        <w:rPr>
          <w:rFonts w:ascii="Times New Roman" w:hAnsi="Times New Roman"/>
          <w:b/>
          <w:szCs w:val="24"/>
        </w:rPr>
        <w:t>2027</w:t>
      </w:r>
    </w:p>
    <w:p w:rsidR="00D6723F" w:rsidRDefault="00D6723F" w:rsidP="006D1A23">
      <w:pPr>
        <w:pStyle w:val="Zarkazkladnhotextu"/>
        <w:tabs>
          <w:tab w:val="decimal" w:pos="8222"/>
        </w:tabs>
        <w:spacing w:before="240"/>
        <w:ind w:left="0"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Príjmy Sociálnej poisťovne</w:t>
      </w:r>
    </w:p>
    <w:p w:rsidR="00917C7B" w:rsidRDefault="00917C7B" w:rsidP="006D1A23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</w:t>
      </w:r>
      <w:r w:rsidRPr="008701BE">
        <w:rPr>
          <w:rFonts w:ascii="Times New Roman" w:hAnsi="Times New Roman"/>
          <w:szCs w:val="24"/>
        </w:rPr>
        <w:t xml:space="preserve">vantifikácia príjmov Sociálnej poisťovne </w:t>
      </w:r>
      <w:r>
        <w:rPr>
          <w:rFonts w:ascii="Times New Roman" w:hAnsi="Times New Roman"/>
          <w:szCs w:val="24"/>
        </w:rPr>
        <w:t>r</w:t>
      </w:r>
      <w:r w:rsidRPr="008701BE">
        <w:rPr>
          <w:rFonts w:ascii="Times New Roman" w:hAnsi="Times New Roman"/>
          <w:szCs w:val="24"/>
        </w:rPr>
        <w:t xml:space="preserve">ešpektuje </w:t>
      </w:r>
      <w:r>
        <w:rPr>
          <w:rFonts w:ascii="Times New Roman" w:hAnsi="Times New Roman"/>
          <w:szCs w:val="24"/>
        </w:rPr>
        <w:t>zákonom stanovené</w:t>
      </w:r>
      <w:r w:rsidRPr="008701BE">
        <w:rPr>
          <w:rFonts w:ascii="Times New Roman" w:hAnsi="Times New Roman"/>
          <w:szCs w:val="24"/>
        </w:rPr>
        <w:t xml:space="preserve"> sadzby pre platby</w:t>
      </w:r>
      <w:r w:rsidRPr="001D375F">
        <w:rPr>
          <w:rFonts w:ascii="Times New Roman" w:hAnsi="Times New Roman"/>
          <w:szCs w:val="24"/>
        </w:rPr>
        <w:t xml:space="preserve"> poistného</w:t>
      </w:r>
      <w:r>
        <w:rPr>
          <w:rFonts w:ascii="Times New Roman" w:hAnsi="Times New Roman"/>
          <w:szCs w:val="24"/>
        </w:rPr>
        <w:t xml:space="preserve">, vychádza z </w:t>
      </w:r>
      <w:r w:rsidRPr="00C0076F">
        <w:rPr>
          <w:rFonts w:ascii="Times New Roman" w:hAnsi="Times New Roman"/>
        </w:rPr>
        <w:t>predpokladaného priemerného počtu poistencov a vymeriavacieho základu, z ktorého sa platí poistné</w:t>
      </w:r>
      <w:r w:rsidR="006D1A23">
        <w:rPr>
          <w:rFonts w:ascii="Times New Roman" w:hAnsi="Times New Roman"/>
        </w:rPr>
        <w:t>,</w:t>
      </w:r>
      <w:r w:rsidRPr="00C0076F">
        <w:rPr>
          <w:rFonts w:ascii="Times New Roman" w:hAnsi="Times New Roman"/>
        </w:rPr>
        <w:t xml:space="preserve"> z informačného systému jednotného výberu poistného Sociálnej poisťovne</w:t>
      </w:r>
      <w:r>
        <w:rPr>
          <w:rFonts w:ascii="Times New Roman" w:hAnsi="Times New Roman"/>
        </w:rPr>
        <w:t xml:space="preserve"> a zohľadňuje makroekonomické prognózy zo septembra 2024. </w:t>
      </w:r>
      <w:r w:rsidRPr="008927DF">
        <w:rPr>
          <w:rFonts w:ascii="Times New Roman" w:hAnsi="Times New Roman"/>
          <w:szCs w:val="24"/>
        </w:rPr>
        <w:t xml:space="preserve">Príjmy z poistného </w:t>
      </w:r>
      <w:r w:rsidRPr="00917C7B">
        <w:rPr>
          <w:rFonts w:ascii="Times New Roman" w:hAnsi="Times New Roman"/>
          <w:szCs w:val="24"/>
        </w:rPr>
        <w:t xml:space="preserve">v rokoch 2026 a 2027 </w:t>
      </w:r>
      <w:r w:rsidRPr="008927DF">
        <w:rPr>
          <w:rFonts w:ascii="Times New Roman" w:hAnsi="Times New Roman"/>
          <w:szCs w:val="24"/>
        </w:rPr>
        <w:t xml:space="preserve">sú stanovené indexom, ktorý sa odvíja najmä od medziročného rastu priemernej mzdy v hospodárstve </w:t>
      </w:r>
      <w:r>
        <w:rPr>
          <w:rFonts w:ascii="Times New Roman" w:hAnsi="Times New Roman"/>
          <w:szCs w:val="24"/>
        </w:rPr>
        <w:t>Slovenskej republiky</w:t>
      </w:r>
      <w:r w:rsidR="00B131B5">
        <w:rPr>
          <w:rFonts w:ascii="Times New Roman" w:hAnsi="Times New Roman"/>
          <w:szCs w:val="24"/>
        </w:rPr>
        <w:t xml:space="preserve"> a zamestnanosti</w:t>
      </w:r>
      <w:r w:rsidRPr="008927DF">
        <w:rPr>
          <w:rFonts w:ascii="Times New Roman" w:hAnsi="Times New Roman"/>
          <w:szCs w:val="24"/>
        </w:rPr>
        <w:t>.</w:t>
      </w:r>
      <w:r w:rsidRPr="00723DB2">
        <w:rPr>
          <w:rFonts w:ascii="Times New Roman" w:hAnsi="Times New Roman"/>
          <w:szCs w:val="24"/>
        </w:rPr>
        <w:t xml:space="preserve"> </w:t>
      </w:r>
    </w:p>
    <w:p w:rsidR="00DF4A2A" w:rsidRDefault="00DF4A2A" w:rsidP="00DF4A2A">
      <w:pPr>
        <w:pStyle w:val="Zarkazkladnhotextu"/>
        <w:tabs>
          <w:tab w:val="decimal" w:pos="8222"/>
        </w:tabs>
        <w:spacing w:before="240"/>
        <w:ind w:left="0" w:firstLine="709"/>
        <w:jc w:val="both"/>
        <w:rPr>
          <w:rFonts w:ascii="Times New Roman" w:hAnsi="Times New Roman"/>
          <w:szCs w:val="24"/>
        </w:rPr>
      </w:pPr>
      <w:r w:rsidRPr="00A85D16">
        <w:rPr>
          <w:rFonts w:ascii="Times New Roman" w:hAnsi="Times New Roman"/>
          <w:b/>
          <w:szCs w:val="24"/>
        </w:rPr>
        <w:lastRenderedPageBreak/>
        <w:t>Zdroje</w:t>
      </w:r>
      <w:r w:rsidRPr="00CA4B4A">
        <w:rPr>
          <w:rFonts w:ascii="Times New Roman" w:hAnsi="Times New Roman"/>
          <w:szCs w:val="24"/>
        </w:rPr>
        <w:t xml:space="preserve"> Sociálnej poisťovne sa </w:t>
      </w:r>
      <w:r w:rsidRPr="00A85D16">
        <w:rPr>
          <w:rFonts w:ascii="Times New Roman" w:hAnsi="Times New Roman"/>
          <w:b/>
          <w:szCs w:val="24"/>
        </w:rPr>
        <w:t xml:space="preserve">v roku </w:t>
      </w:r>
      <w:r>
        <w:rPr>
          <w:rFonts w:ascii="Times New Roman" w:hAnsi="Times New Roman"/>
          <w:b/>
          <w:szCs w:val="24"/>
        </w:rPr>
        <w:t>2025</w:t>
      </w:r>
      <w:r w:rsidRPr="00CA4B4A">
        <w:rPr>
          <w:rFonts w:ascii="Times New Roman" w:hAnsi="Times New Roman"/>
          <w:szCs w:val="24"/>
        </w:rPr>
        <w:t xml:space="preserve"> predpokladajú vo výške </w:t>
      </w:r>
      <w:r>
        <w:rPr>
          <w:rFonts w:ascii="Times New Roman" w:hAnsi="Times New Roman"/>
          <w:b/>
          <w:szCs w:val="24"/>
        </w:rPr>
        <w:t>16 028 725</w:t>
      </w:r>
      <w:r w:rsidRPr="00A85D16">
        <w:rPr>
          <w:rFonts w:ascii="Times New Roman" w:hAnsi="Times New Roman"/>
          <w:b/>
          <w:szCs w:val="24"/>
        </w:rPr>
        <w:t> tis. eur</w:t>
      </w:r>
      <w:r w:rsidRPr="00CA4B4A">
        <w:rPr>
          <w:rFonts w:ascii="Times New Roman" w:hAnsi="Times New Roman"/>
          <w:szCs w:val="24"/>
        </w:rPr>
        <w:t xml:space="preserve"> pri zohľadnení očakávaného prevodu </w:t>
      </w:r>
      <w:r>
        <w:rPr>
          <w:rFonts w:ascii="Times New Roman" w:hAnsi="Times New Roman"/>
          <w:szCs w:val="24"/>
        </w:rPr>
        <w:t>zostatku finančných prostriedkov</w:t>
      </w:r>
      <w:r w:rsidRPr="00CA4B4A">
        <w:rPr>
          <w:rFonts w:ascii="Times New Roman" w:hAnsi="Times New Roman"/>
          <w:szCs w:val="24"/>
        </w:rPr>
        <w:t xml:space="preserve"> z roku </w:t>
      </w:r>
      <w:r>
        <w:rPr>
          <w:rFonts w:ascii="Times New Roman" w:hAnsi="Times New Roman"/>
          <w:szCs w:val="24"/>
        </w:rPr>
        <w:t>2024</w:t>
      </w:r>
      <w:r w:rsidRPr="00CA4B4A">
        <w:rPr>
          <w:rFonts w:ascii="Times New Roman" w:hAnsi="Times New Roman"/>
          <w:szCs w:val="24"/>
        </w:rPr>
        <w:t xml:space="preserve"> vo výške </w:t>
      </w:r>
      <w:r>
        <w:rPr>
          <w:rFonts w:ascii="Times New Roman" w:hAnsi="Times New Roman"/>
          <w:szCs w:val="24"/>
        </w:rPr>
        <w:t>934 062 t</w:t>
      </w:r>
      <w:r w:rsidRPr="00CA4B4A">
        <w:rPr>
          <w:rFonts w:ascii="Times New Roman" w:hAnsi="Times New Roman"/>
          <w:szCs w:val="24"/>
        </w:rPr>
        <w:t>is.</w:t>
      </w:r>
      <w:r>
        <w:rPr>
          <w:rFonts w:ascii="Times New Roman" w:hAnsi="Times New Roman"/>
          <w:szCs w:val="24"/>
        </w:rPr>
        <w:t xml:space="preserve"> eur. Predpokladá sa, že </w:t>
      </w:r>
      <w:r w:rsidRPr="00A85D16">
        <w:rPr>
          <w:rFonts w:ascii="Times New Roman" w:hAnsi="Times New Roman"/>
          <w:b/>
          <w:szCs w:val="24"/>
        </w:rPr>
        <w:t xml:space="preserve">v roku </w:t>
      </w:r>
      <w:r>
        <w:rPr>
          <w:rFonts w:ascii="Times New Roman" w:hAnsi="Times New Roman"/>
          <w:b/>
          <w:szCs w:val="24"/>
        </w:rPr>
        <w:t xml:space="preserve">2025 </w:t>
      </w:r>
      <w:r w:rsidRPr="00A85D16">
        <w:rPr>
          <w:rFonts w:ascii="Times New Roman" w:hAnsi="Times New Roman"/>
          <w:b/>
          <w:szCs w:val="24"/>
        </w:rPr>
        <w:t>bud</w:t>
      </w:r>
      <w:r>
        <w:rPr>
          <w:rFonts w:ascii="Times New Roman" w:hAnsi="Times New Roman"/>
          <w:b/>
          <w:szCs w:val="24"/>
        </w:rPr>
        <w:t>ú</w:t>
      </w:r>
      <w:r w:rsidRPr="0044348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Sociálnej poisťovni </w:t>
      </w:r>
      <w:r w:rsidRPr="00A85D16">
        <w:rPr>
          <w:rFonts w:ascii="Times New Roman" w:hAnsi="Times New Roman"/>
          <w:b/>
          <w:szCs w:val="24"/>
        </w:rPr>
        <w:t>poskytnut</w:t>
      </w:r>
      <w:r>
        <w:rPr>
          <w:rFonts w:ascii="Times New Roman" w:hAnsi="Times New Roman"/>
          <w:b/>
          <w:szCs w:val="24"/>
        </w:rPr>
        <w:t>é</w:t>
      </w:r>
      <w:r w:rsidRPr="00A85D16">
        <w:rPr>
          <w:rFonts w:ascii="Times New Roman" w:hAnsi="Times New Roman"/>
          <w:b/>
          <w:szCs w:val="24"/>
        </w:rPr>
        <w:t xml:space="preserve"> finančn</w:t>
      </w:r>
      <w:r>
        <w:rPr>
          <w:rFonts w:ascii="Times New Roman" w:hAnsi="Times New Roman"/>
          <w:b/>
          <w:szCs w:val="24"/>
        </w:rPr>
        <w:t xml:space="preserve">é </w:t>
      </w:r>
      <w:r w:rsidRPr="00A85D16">
        <w:rPr>
          <w:rFonts w:ascii="Times New Roman" w:hAnsi="Times New Roman"/>
          <w:b/>
          <w:szCs w:val="24"/>
        </w:rPr>
        <w:t>prostriedkov zo ŠR SR</w:t>
      </w:r>
      <w:r>
        <w:rPr>
          <w:rFonts w:ascii="Times New Roman" w:hAnsi="Times New Roman"/>
          <w:b/>
          <w:szCs w:val="24"/>
        </w:rPr>
        <w:t xml:space="preserve"> </w:t>
      </w:r>
      <w:r w:rsidRPr="001859E2">
        <w:rPr>
          <w:rFonts w:ascii="Times New Roman" w:hAnsi="Times New Roman"/>
          <w:szCs w:val="24"/>
        </w:rPr>
        <w:t>vo výške</w:t>
      </w:r>
      <w:r>
        <w:rPr>
          <w:rFonts w:ascii="Times New Roman" w:hAnsi="Times New Roman"/>
          <w:b/>
          <w:szCs w:val="24"/>
        </w:rPr>
        <w:t xml:space="preserve"> 2 750 000 tis. eur</w:t>
      </w:r>
      <w:r>
        <w:rPr>
          <w:rFonts w:ascii="Times New Roman" w:hAnsi="Times New Roman"/>
          <w:szCs w:val="24"/>
        </w:rPr>
        <w:t>.</w:t>
      </w:r>
    </w:p>
    <w:p w:rsidR="00D6723F" w:rsidRDefault="00D6723F" w:rsidP="00D6723F">
      <w:pPr>
        <w:pStyle w:val="Zarkazkladnhotextu"/>
        <w:tabs>
          <w:tab w:val="decimal" w:pos="8222"/>
        </w:tabs>
        <w:spacing w:before="240" w:after="0"/>
        <w:ind w:left="0" w:firstLine="720"/>
        <w:jc w:val="both"/>
        <w:rPr>
          <w:rFonts w:ascii="Times New Roman" w:hAnsi="Times New Roman"/>
        </w:rPr>
      </w:pPr>
      <w:r w:rsidRPr="004C7EC8">
        <w:rPr>
          <w:rFonts w:ascii="Times New Roman" w:hAnsi="Times New Roman"/>
          <w:b/>
        </w:rPr>
        <w:t xml:space="preserve">V rokoch </w:t>
      </w:r>
      <w:r w:rsidR="001E3DAD">
        <w:rPr>
          <w:rFonts w:ascii="Times New Roman" w:hAnsi="Times New Roman"/>
          <w:b/>
        </w:rPr>
        <w:t>2025</w:t>
      </w:r>
      <w:r>
        <w:rPr>
          <w:rFonts w:ascii="Times New Roman" w:hAnsi="Times New Roman"/>
          <w:b/>
        </w:rPr>
        <w:t xml:space="preserve"> až </w:t>
      </w:r>
      <w:r w:rsidR="001E3DAD">
        <w:rPr>
          <w:rFonts w:ascii="Times New Roman" w:hAnsi="Times New Roman"/>
          <w:b/>
        </w:rPr>
        <w:t>2027</w:t>
      </w:r>
      <w:r w:rsidRPr="004C7EC8">
        <w:rPr>
          <w:rFonts w:ascii="Times New Roman" w:hAnsi="Times New Roman"/>
          <w:b/>
        </w:rPr>
        <w:t xml:space="preserve"> sa príjmy Sociálnej poisťovne</w:t>
      </w:r>
      <w:r w:rsidRPr="004C7EC8">
        <w:rPr>
          <w:rFonts w:ascii="Times New Roman" w:hAnsi="Times New Roman"/>
        </w:rPr>
        <w:t xml:space="preserve"> predpokladajú:</w:t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603"/>
        <w:gridCol w:w="1689"/>
        <w:gridCol w:w="1428"/>
      </w:tblGrid>
      <w:tr w:rsidR="00B131B5" w:rsidRPr="00B131B5" w:rsidTr="00DF4A2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1B5" w:rsidRPr="00B131B5" w:rsidRDefault="00B131B5" w:rsidP="00B131B5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1B5" w:rsidRPr="00B131B5" w:rsidRDefault="00B131B5" w:rsidP="00B131B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1B5" w:rsidRPr="00B131B5" w:rsidRDefault="00B131B5" w:rsidP="00B131B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1B5" w:rsidRPr="00B131B5" w:rsidRDefault="00B131B5" w:rsidP="00B131B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B131B5" w:rsidRPr="00B131B5" w:rsidTr="00DF4A2A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>Návrh rozpočtu na rok 2025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>Rozpočtový výhľad na</w:t>
            </w:r>
          </w:p>
        </w:tc>
      </w:tr>
      <w:tr w:rsidR="00B131B5" w:rsidRPr="00B131B5" w:rsidTr="00DF4A2A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1B5" w:rsidRPr="00B131B5" w:rsidRDefault="00B131B5" w:rsidP="00B131B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1B5" w:rsidRPr="00B131B5" w:rsidRDefault="00B131B5" w:rsidP="00B131B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>rok 2026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>rok 2027</w:t>
            </w:r>
          </w:p>
        </w:tc>
      </w:tr>
      <w:tr w:rsidR="00B131B5" w:rsidRPr="00B131B5" w:rsidTr="00DF4A2A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E6027" w:rsidRPr="00B131B5" w:rsidTr="00DF4A2A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>Zdroje celkom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16 028 725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16 924 367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17 279 954</w:t>
            </w:r>
          </w:p>
        </w:tc>
      </w:tr>
      <w:tr w:rsidR="007E6027" w:rsidRPr="00B131B5" w:rsidTr="00DF4A2A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7E6027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7E6027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7E6027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E6027" w:rsidRPr="00B131B5" w:rsidTr="00DF4A2A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prevod z minulých rokov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934 062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1 249 782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1 319 007</w:t>
            </w:r>
          </w:p>
        </w:tc>
      </w:tr>
      <w:tr w:rsidR="007E6027" w:rsidRPr="00B131B5" w:rsidTr="00DF4A2A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príjmy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spolu </w:t>
            </w:r>
            <w:r w:rsidRPr="00B131B5">
              <w:rPr>
                <w:rFonts w:ascii="Times New Roman" w:hAnsi="Times New Roman"/>
                <w:sz w:val="22"/>
                <w:szCs w:val="22"/>
              </w:rPr>
              <w:t>v bežnom roku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15 094 663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15 674 585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15 960 947</w:t>
            </w:r>
          </w:p>
        </w:tc>
      </w:tr>
      <w:tr w:rsidR="007E6027" w:rsidRPr="00B131B5" w:rsidTr="00DF4A2A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E6027" w:rsidRPr="00B131B5" w:rsidTr="00DF4A2A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príjmy z bežného poistného od EAO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11 566 256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12 157 769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12 758 220</w:t>
            </w:r>
          </w:p>
        </w:tc>
      </w:tr>
      <w:tr w:rsidR="007E6027" w:rsidRPr="00B131B5" w:rsidTr="00DF4A2A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poistné podľa osobitného predpisu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2 136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2 244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2 355</w:t>
            </w:r>
          </w:p>
        </w:tc>
      </w:tr>
      <w:tr w:rsidR="007E6027" w:rsidRPr="00B131B5" w:rsidTr="00DF4A2A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príjmy z poistného od štátu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495 396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532 266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566 711</w:t>
            </w:r>
          </w:p>
        </w:tc>
      </w:tr>
      <w:tr w:rsidR="007E6027" w:rsidRPr="00B131B5" w:rsidTr="00DF4A2A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príjmy od Sociálnej poisťovne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5 935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7 277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8 923</w:t>
            </w:r>
          </w:p>
        </w:tc>
      </w:tr>
      <w:tr w:rsidR="007E6027" w:rsidRPr="00B131B5" w:rsidTr="00DF4A2A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príjmy z pokút a</w:t>
            </w:r>
            <w:r w:rsidR="00F44CE6">
              <w:rPr>
                <w:rFonts w:ascii="Times New Roman" w:hAnsi="Times New Roman"/>
                <w:sz w:val="22"/>
                <w:szCs w:val="22"/>
              </w:rPr>
              <w:t> </w:t>
            </w:r>
            <w:r w:rsidRPr="00B131B5">
              <w:rPr>
                <w:rFonts w:ascii="Times New Roman" w:hAnsi="Times New Roman"/>
                <w:sz w:val="22"/>
                <w:szCs w:val="22"/>
              </w:rPr>
              <w:t>pen</w:t>
            </w:r>
            <w:r>
              <w:rPr>
                <w:rFonts w:ascii="Times New Roman" w:hAnsi="Times New Roman"/>
                <w:sz w:val="22"/>
                <w:szCs w:val="22"/>
              </w:rPr>
              <w:t>á</w:t>
            </w:r>
            <w:r w:rsidRPr="00B131B5">
              <w:rPr>
                <w:rFonts w:ascii="Times New Roman" w:hAnsi="Times New Roman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11 912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11 912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11 912</w:t>
            </w:r>
          </w:p>
        </w:tc>
      </w:tr>
      <w:tr w:rsidR="007E6027" w:rsidRPr="00B131B5" w:rsidTr="00DF4A2A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príjmy z dlžného poistného  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218 730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218 772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218 238</w:t>
            </w:r>
          </w:p>
        </w:tc>
      </w:tr>
      <w:tr w:rsidR="007E6027" w:rsidRPr="00B131B5" w:rsidTr="00DF4A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ostatné príjmy 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2 782 746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2 732 509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2 382 572</w:t>
            </w:r>
          </w:p>
        </w:tc>
      </w:tr>
      <w:tr w:rsidR="007E6027" w:rsidRPr="00B131B5" w:rsidTr="00DF4A2A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z toho príjmy zo štátneho rozpočtu SR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i/>
                <w:iCs/>
                <w:sz w:val="22"/>
                <w:szCs w:val="22"/>
              </w:rPr>
              <w:t>2 750 000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i/>
                <w:iCs/>
                <w:sz w:val="22"/>
                <w:szCs w:val="22"/>
              </w:rPr>
              <w:t>2 700 000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i/>
                <w:iCs/>
                <w:sz w:val="22"/>
                <w:szCs w:val="22"/>
              </w:rPr>
              <w:t>2 350 000</w:t>
            </w:r>
          </w:p>
        </w:tc>
      </w:tr>
      <w:tr w:rsidR="007E6027" w:rsidRPr="00B131B5" w:rsidTr="00DF4A2A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príspevky na SDS zaplatené zamestnávateľom po uplynutí 60 dní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8 698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8 745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8 793</w:t>
            </w:r>
          </w:p>
        </w:tc>
      </w:tr>
      <w:tr w:rsidR="007E6027" w:rsidRPr="00B131B5" w:rsidTr="00DF4A2A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príjmy správneho fondu z príspevkov na SDS  (EAO)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2 730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2 954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3 073</w:t>
            </w:r>
          </w:p>
        </w:tc>
      </w:tr>
      <w:tr w:rsidR="007E6027" w:rsidRPr="00B131B5" w:rsidTr="00DF4A2A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príjmy správneho fondu z príspevkov na SDS (štát)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137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</w:tr>
    </w:tbl>
    <w:p w:rsidR="00B131B5" w:rsidRDefault="00B131B5" w:rsidP="00496264">
      <w:pPr>
        <w:pStyle w:val="Zarkazkladnhotextu"/>
        <w:tabs>
          <w:tab w:val="decimal" w:pos="8222"/>
        </w:tabs>
        <w:spacing w:after="0"/>
        <w:ind w:left="0"/>
        <w:jc w:val="both"/>
        <w:rPr>
          <w:rFonts w:ascii="Times New Roman" w:hAnsi="Times New Roman"/>
        </w:rPr>
      </w:pPr>
    </w:p>
    <w:p w:rsidR="00DF4A2A" w:rsidRDefault="00B91FDB" w:rsidP="00DF4A2A">
      <w:pPr>
        <w:pStyle w:val="Zarkazkladnhotextu"/>
        <w:tabs>
          <w:tab w:val="decimal" w:pos="8222"/>
        </w:tabs>
        <w:ind w:left="0" w:firstLine="709"/>
        <w:jc w:val="both"/>
        <w:rPr>
          <w:rFonts w:ascii="Times New Roman" w:hAnsi="Times New Roman"/>
          <w:szCs w:val="24"/>
        </w:rPr>
      </w:pPr>
      <w:r w:rsidRPr="00A85D16">
        <w:rPr>
          <w:rFonts w:ascii="Times New Roman" w:hAnsi="Times New Roman"/>
          <w:b/>
          <w:szCs w:val="24"/>
        </w:rPr>
        <w:t>Príjmy</w:t>
      </w:r>
      <w:r w:rsidR="00646773">
        <w:rPr>
          <w:rFonts w:ascii="Times New Roman" w:hAnsi="Times New Roman"/>
          <w:b/>
          <w:szCs w:val="24"/>
        </w:rPr>
        <w:t xml:space="preserve"> spolu</w:t>
      </w:r>
      <w:r>
        <w:rPr>
          <w:rFonts w:ascii="Times New Roman" w:hAnsi="Times New Roman"/>
          <w:szCs w:val="24"/>
        </w:rPr>
        <w:t xml:space="preserve"> v </w:t>
      </w:r>
      <w:r w:rsidRPr="00A85D16">
        <w:rPr>
          <w:rFonts w:ascii="Times New Roman" w:hAnsi="Times New Roman"/>
          <w:b/>
          <w:szCs w:val="24"/>
        </w:rPr>
        <w:t>bežnom roku</w:t>
      </w:r>
      <w:r>
        <w:rPr>
          <w:rFonts w:ascii="Times New Roman" w:hAnsi="Times New Roman"/>
          <w:szCs w:val="24"/>
        </w:rPr>
        <w:t xml:space="preserve"> na rok 2025 sú </w:t>
      </w:r>
      <w:r w:rsidR="008F2018">
        <w:rPr>
          <w:rFonts w:ascii="Times New Roman" w:hAnsi="Times New Roman"/>
          <w:szCs w:val="24"/>
        </w:rPr>
        <w:t>stanovené</w:t>
      </w:r>
      <w:r>
        <w:rPr>
          <w:rFonts w:ascii="Times New Roman" w:hAnsi="Times New Roman"/>
          <w:szCs w:val="24"/>
        </w:rPr>
        <w:t xml:space="preserve"> vo výške  </w:t>
      </w:r>
      <w:r>
        <w:rPr>
          <w:rFonts w:ascii="Times New Roman" w:hAnsi="Times New Roman"/>
          <w:b/>
          <w:szCs w:val="24"/>
        </w:rPr>
        <w:t>15 </w:t>
      </w:r>
      <w:r w:rsidR="007E6027">
        <w:rPr>
          <w:rFonts w:ascii="Times New Roman" w:hAnsi="Times New Roman"/>
          <w:b/>
          <w:szCs w:val="24"/>
        </w:rPr>
        <w:t>094</w:t>
      </w:r>
      <w:r>
        <w:rPr>
          <w:rFonts w:ascii="Times New Roman" w:hAnsi="Times New Roman"/>
          <w:b/>
          <w:szCs w:val="24"/>
        </w:rPr>
        <w:t> </w:t>
      </w:r>
      <w:r w:rsidR="007E6027">
        <w:rPr>
          <w:rFonts w:ascii="Times New Roman" w:hAnsi="Times New Roman"/>
          <w:b/>
          <w:szCs w:val="24"/>
        </w:rPr>
        <w:t>663</w:t>
      </w:r>
      <w:r>
        <w:rPr>
          <w:rFonts w:ascii="Times New Roman" w:hAnsi="Times New Roman"/>
          <w:szCs w:val="24"/>
        </w:rPr>
        <w:t> </w:t>
      </w:r>
      <w:r w:rsidRPr="00A85D16">
        <w:rPr>
          <w:rFonts w:ascii="Times New Roman" w:hAnsi="Times New Roman"/>
          <w:b/>
          <w:szCs w:val="24"/>
        </w:rPr>
        <w:t>tis. eur</w:t>
      </w:r>
      <w:r w:rsidR="00646773">
        <w:rPr>
          <w:rFonts w:ascii="Times New Roman" w:hAnsi="Times New Roman"/>
          <w:b/>
          <w:szCs w:val="24"/>
        </w:rPr>
        <w:t xml:space="preserve">, </w:t>
      </w:r>
      <w:r w:rsidR="00646773" w:rsidRPr="00646773">
        <w:rPr>
          <w:rFonts w:ascii="Times New Roman" w:hAnsi="Times New Roman"/>
          <w:szCs w:val="24"/>
        </w:rPr>
        <w:t>z toho príjmy z bežného poistného</w:t>
      </w:r>
      <w:r w:rsidR="00646773">
        <w:rPr>
          <w:rFonts w:ascii="Times New Roman" w:hAnsi="Times New Roman"/>
          <w:szCs w:val="24"/>
        </w:rPr>
        <w:t xml:space="preserve"> od EAO predstavujú sumu </w:t>
      </w:r>
      <w:r w:rsidR="00646773" w:rsidRPr="00E53D83">
        <w:rPr>
          <w:rFonts w:ascii="Times New Roman" w:hAnsi="Times New Roman"/>
          <w:szCs w:val="24"/>
        </w:rPr>
        <w:t>11 </w:t>
      </w:r>
      <w:r w:rsidR="007E6027" w:rsidRPr="00E53D83">
        <w:rPr>
          <w:rFonts w:ascii="Times New Roman" w:hAnsi="Times New Roman"/>
          <w:szCs w:val="24"/>
        </w:rPr>
        <w:t>566</w:t>
      </w:r>
      <w:r w:rsidR="0001600D" w:rsidRPr="00E53D83">
        <w:rPr>
          <w:rFonts w:ascii="Times New Roman" w:hAnsi="Times New Roman"/>
          <w:szCs w:val="24"/>
        </w:rPr>
        <w:t> </w:t>
      </w:r>
      <w:r w:rsidR="007E6027" w:rsidRPr="00E53D83">
        <w:rPr>
          <w:rFonts w:ascii="Times New Roman" w:hAnsi="Times New Roman"/>
          <w:szCs w:val="24"/>
        </w:rPr>
        <w:t>256</w:t>
      </w:r>
      <w:r w:rsidR="0001600D" w:rsidRPr="00E53D83">
        <w:rPr>
          <w:rFonts w:ascii="Times New Roman" w:hAnsi="Times New Roman"/>
          <w:szCs w:val="24"/>
        </w:rPr>
        <w:t> </w:t>
      </w:r>
      <w:r w:rsidR="00646773" w:rsidRPr="00E53D83">
        <w:rPr>
          <w:rFonts w:ascii="Times New Roman" w:hAnsi="Times New Roman"/>
          <w:szCs w:val="24"/>
        </w:rPr>
        <w:t>tis. eur (čo je cca 76,</w:t>
      </w:r>
      <w:r w:rsidR="007E6027" w:rsidRPr="00E53D83">
        <w:rPr>
          <w:rFonts w:ascii="Times New Roman" w:hAnsi="Times New Roman"/>
          <w:szCs w:val="24"/>
        </w:rPr>
        <w:t>62</w:t>
      </w:r>
      <w:r w:rsidR="00646773" w:rsidRPr="00E53D83">
        <w:rPr>
          <w:rFonts w:ascii="Times New Roman" w:hAnsi="Times New Roman"/>
          <w:szCs w:val="24"/>
        </w:rPr>
        <w:t xml:space="preserve"> % z príjmov spolu)</w:t>
      </w:r>
      <w:r w:rsidRPr="00E53D8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B91FDB" w:rsidRDefault="00DF4A2A" w:rsidP="00DF4A2A">
      <w:pPr>
        <w:pStyle w:val="Zarkazkladnhotextu"/>
        <w:tabs>
          <w:tab w:val="decimal" w:pos="8222"/>
        </w:tabs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Príjmy podľa jednotlivých druhov poistenia na roky 2025 až 2027 sa predpokladajú:</w:t>
      </w:r>
    </w:p>
    <w:tbl>
      <w:tblPr>
        <w:tblW w:w="9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3"/>
        <w:gridCol w:w="1692"/>
        <w:gridCol w:w="1783"/>
        <w:gridCol w:w="1506"/>
      </w:tblGrid>
      <w:tr w:rsidR="00DF4A2A" w:rsidRPr="00DF4A2A" w:rsidTr="00DF4A2A"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2A" w:rsidRPr="00DF4A2A" w:rsidRDefault="00DF4A2A" w:rsidP="00DF4A2A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A2A" w:rsidRPr="00DF4A2A" w:rsidRDefault="00DF4A2A" w:rsidP="00DF4A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DF4A2A" w:rsidRPr="00DF4A2A" w:rsidTr="00DF4A2A"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F4A2A">
              <w:rPr>
                <w:rFonts w:ascii="Times New Roman" w:hAnsi="Times New Roman"/>
                <w:b/>
                <w:bCs/>
                <w:sz w:val="22"/>
                <w:szCs w:val="22"/>
              </w:rPr>
              <w:t>Príjmy v bežnom roku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2A" w:rsidRPr="00DF4A2A" w:rsidRDefault="00DF4A2A" w:rsidP="00DF4A2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F4A2A">
              <w:rPr>
                <w:rFonts w:ascii="Times New Roman" w:hAnsi="Times New Roman"/>
                <w:b/>
                <w:bCs/>
                <w:sz w:val="22"/>
                <w:szCs w:val="22"/>
              </w:rPr>
              <w:t>Návrh rozpočtu na rok 2025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F4A2A">
              <w:rPr>
                <w:rFonts w:ascii="Times New Roman" w:hAnsi="Times New Roman"/>
                <w:b/>
                <w:bCs/>
                <w:sz w:val="22"/>
                <w:szCs w:val="22"/>
              </w:rPr>
              <w:t>Rozpočtový výhľad na</w:t>
            </w:r>
          </w:p>
        </w:tc>
      </w:tr>
      <w:tr w:rsidR="00DF4A2A" w:rsidRPr="00DF4A2A" w:rsidTr="00DF4A2A">
        <w:tc>
          <w:tcPr>
            <w:tcW w:w="4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A2A" w:rsidRPr="00DF4A2A" w:rsidRDefault="00DF4A2A" w:rsidP="00DF4A2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A2A" w:rsidRPr="00DF4A2A" w:rsidRDefault="00DF4A2A" w:rsidP="00DF4A2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2A" w:rsidRPr="00DF4A2A" w:rsidRDefault="00DF4A2A" w:rsidP="00DF4A2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F4A2A">
              <w:rPr>
                <w:rFonts w:ascii="Times New Roman" w:hAnsi="Times New Roman"/>
                <w:b/>
                <w:bCs/>
                <w:sz w:val="22"/>
                <w:szCs w:val="22"/>
              </w:rPr>
              <w:t>rok 2026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2A" w:rsidRPr="00DF4A2A" w:rsidRDefault="00DF4A2A" w:rsidP="00DF4A2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F4A2A">
              <w:rPr>
                <w:rFonts w:ascii="Times New Roman" w:hAnsi="Times New Roman"/>
                <w:b/>
                <w:bCs/>
                <w:sz w:val="22"/>
                <w:szCs w:val="22"/>
              </w:rPr>
              <w:t>rok 2027</w:t>
            </w:r>
          </w:p>
        </w:tc>
      </w:tr>
      <w:tr w:rsidR="00DF4A2A" w:rsidRPr="00DF4A2A" w:rsidTr="00DF4A2A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2A" w:rsidRPr="00DF4A2A" w:rsidRDefault="00DF4A2A" w:rsidP="00DF4A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2A" w:rsidRPr="00DF4A2A" w:rsidRDefault="00DF4A2A" w:rsidP="00DF4A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2A" w:rsidRPr="00DF4A2A" w:rsidRDefault="00DF4A2A" w:rsidP="00DF4A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F4A2A" w:rsidRPr="00DF4A2A" w:rsidTr="00DF4A2A"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F4A2A">
              <w:rPr>
                <w:rFonts w:ascii="Times New Roman" w:hAnsi="Times New Roman"/>
                <w:b/>
                <w:bCs/>
                <w:sz w:val="22"/>
                <w:szCs w:val="22"/>
              </w:rPr>
              <w:t>Príjmy v bežnom roku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F4A2A">
              <w:rPr>
                <w:rFonts w:ascii="Times New Roman" w:hAnsi="Times New Roman"/>
                <w:b/>
                <w:bCs/>
                <w:sz w:val="22"/>
                <w:szCs w:val="22"/>
              </w:rPr>
              <w:t>15 094 663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F4A2A">
              <w:rPr>
                <w:rFonts w:ascii="Times New Roman" w:hAnsi="Times New Roman"/>
                <w:b/>
                <w:bCs/>
                <w:sz w:val="22"/>
                <w:szCs w:val="22"/>
              </w:rPr>
              <w:t>15 674 585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F4A2A">
              <w:rPr>
                <w:rFonts w:ascii="Times New Roman" w:hAnsi="Times New Roman"/>
                <w:b/>
                <w:bCs/>
                <w:sz w:val="22"/>
                <w:szCs w:val="22"/>
              </w:rPr>
              <w:t>15 960 947</w:t>
            </w:r>
          </w:p>
        </w:tc>
      </w:tr>
      <w:tr w:rsidR="00DF4A2A" w:rsidRPr="00DF4A2A" w:rsidTr="00DF4A2A"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2A" w:rsidRPr="00DF4A2A" w:rsidRDefault="00DF4A2A" w:rsidP="00DF4A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2A" w:rsidRPr="00DF4A2A" w:rsidRDefault="00DF4A2A" w:rsidP="00DF4A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A2A" w:rsidRPr="00DF4A2A" w:rsidRDefault="00DF4A2A" w:rsidP="00DF4A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DF4A2A" w:rsidRPr="00DF4A2A" w:rsidTr="00DF4A2A"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 xml:space="preserve"> nemocenské poistenie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1 092 585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1 149 494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1 203 485</w:t>
            </w:r>
          </w:p>
        </w:tc>
      </w:tr>
      <w:tr w:rsidR="00DF4A2A" w:rsidRPr="00DF4A2A" w:rsidTr="00DF4A2A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 xml:space="preserve"> starobné poistenie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8 790 842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9 038 922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9 010 441</w:t>
            </w:r>
          </w:p>
        </w:tc>
      </w:tr>
      <w:tr w:rsidR="00DF4A2A" w:rsidRPr="00DF4A2A" w:rsidTr="00DF4A2A">
        <w:tc>
          <w:tcPr>
            <w:tcW w:w="4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 xml:space="preserve">  z toho: štát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327 669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351 631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373 920</w:t>
            </w:r>
          </w:p>
        </w:tc>
      </w:tr>
      <w:tr w:rsidR="00DF4A2A" w:rsidRPr="00DF4A2A" w:rsidTr="00DF4A2A">
        <w:tc>
          <w:tcPr>
            <w:tcW w:w="4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 xml:space="preserve">            Sociálna poisťovňa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5 935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7 277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8 923</w:t>
            </w:r>
          </w:p>
        </w:tc>
      </w:tr>
      <w:tr w:rsidR="00DF4A2A" w:rsidRPr="00DF4A2A" w:rsidTr="00DF4A2A">
        <w:tc>
          <w:tcPr>
            <w:tcW w:w="4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 xml:space="preserve">            príjmy zo ŠR SR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2 750 000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2 700 000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2 350 000</w:t>
            </w:r>
          </w:p>
        </w:tc>
      </w:tr>
      <w:tr w:rsidR="00DF4A2A" w:rsidRPr="00DF4A2A" w:rsidTr="00DF4A2A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 xml:space="preserve">invalidné poistenie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2 301 714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2 424 926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2 541 742</w:t>
            </w:r>
          </w:p>
        </w:tc>
      </w:tr>
      <w:tr w:rsidR="00DF4A2A" w:rsidRPr="00DF4A2A" w:rsidTr="00DF4A2A"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 xml:space="preserve">  z toho: štát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125 795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135 482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144 599</w:t>
            </w:r>
          </w:p>
        </w:tc>
      </w:tr>
      <w:tr w:rsidR="00DF4A2A" w:rsidRPr="00DF4A2A" w:rsidTr="00DF4A2A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úrazové poistenie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293 514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308 820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323 344</w:t>
            </w:r>
          </w:p>
        </w:tc>
      </w:tr>
      <w:tr w:rsidR="00DF4A2A" w:rsidRPr="00DF4A2A" w:rsidTr="00DF4A2A"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 xml:space="preserve">garančné poistenie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78 899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82 606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86 127</w:t>
            </w:r>
          </w:p>
        </w:tc>
      </w:tr>
      <w:tr w:rsidR="00DF4A2A" w:rsidRPr="00DF4A2A" w:rsidTr="00DF4A2A"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 xml:space="preserve">poistenie v nezamestnanosti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691 993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727 460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761 169</w:t>
            </w:r>
          </w:p>
        </w:tc>
      </w:tr>
      <w:tr w:rsidR="00DF4A2A" w:rsidRPr="00DF4A2A" w:rsidTr="00DF4A2A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 xml:space="preserve">rezervný fond solidarity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1 837 479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1 934 446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2 026 403</w:t>
            </w:r>
          </w:p>
        </w:tc>
      </w:tr>
      <w:tr w:rsidR="00DF4A2A" w:rsidRPr="00DF4A2A" w:rsidTr="00DF4A2A"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 xml:space="preserve">  z toho: štát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41 932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45 153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48 192</w:t>
            </w:r>
          </w:p>
        </w:tc>
      </w:tr>
      <w:tr w:rsidR="00DF4A2A" w:rsidRPr="00DF4A2A" w:rsidTr="00DF4A2A"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príjmy správneho fondu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5 454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5 621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5 835</w:t>
            </w:r>
          </w:p>
        </w:tc>
      </w:tr>
      <w:tr w:rsidR="00DF4A2A" w:rsidRPr="00DF4A2A" w:rsidTr="00DF4A2A"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2A" w:rsidRPr="00DF4A2A" w:rsidRDefault="00DF4A2A" w:rsidP="00DF4A2A">
            <w:pPr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osobitný fond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2 183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2 290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2A" w:rsidRPr="00DF4A2A" w:rsidRDefault="00DF4A2A" w:rsidP="00DF4A2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4A2A">
              <w:rPr>
                <w:rFonts w:ascii="Times New Roman" w:hAnsi="Times New Roman"/>
                <w:sz w:val="22"/>
                <w:szCs w:val="22"/>
              </w:rPr>
              <w:t>2 401</w:t>
            </w:r>
          </w:p>
        </w:tc>
      </w:tr>
    </w:tbl>
    <w:p w:rsidR="00D6723F" w:rsidRPr="00934EA4" w:rsidRDefault="00D6723F" w:rsidP="00C0076F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b/>
          <w:szCs w:val="24"/>
        </w:rPr>
      </w:pPr>
      <w:r w:rsidRPr="00934EA4">
        <w:rPr>
          <w:rFonts w:ascii="Times New Roman" w:hAnsi="Times New Roman"/>
          <w:b/>
          <w:szCs w:val="24"/>
        </w:rPr>
        <w:lastRenderedPageBreak/>
        <w:t>Výdavky (náklady) Sociálnej poisťovne</w:t>
      </w:r>
    </w:p>
    <w:p w:rsidR="00D6723F" w:rsidRDefault="00D6723F" w:rsidP="00C0076F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t>Výdavky (náklady) Sociálnej poisťovne na</w:t>
      </w:r>
      <w:r>
        <w:rPr>
          <w:rFonts w:ascii="Times New Roman" w:hAnsi="Times New Roman"/>
          <w:b/>
          <w:szCs w:val="24"/>
        </w:rPr>
        <w:t xml:space="preserve"> roky</w:t>
      </w:r>
      <w:r w:rsidRPr="004C7EC8">
        <w:rPr>
          <w:rFonts w:ascii="Times New Roman" w:hAnsi="Times New Roman"/>
          <w:b/>
          <w:szCs w:val="24"/>
        </w:rPr>
        <w:t xml:space="preserve"> </w:t>
      </w:r>
      <w:r w:rsidR="001E3DAD">
        <w:rPr>
          <w:rFonts w:ascii="Times New Roman" w:hAnsi="Times New Roman"/>
          <w:b/>
          <w:szCs w:val="24"/>
        </w:rPr>
        <w:t>2025</w:t>
      </w:r>
      <w:r>
        <w:rPr>
          <w:rFonts w:ascii="Times New Roman" w:hAnsi="Times New Roman"/>
          <w:b/>
          <w:szCs w:val="24"/>
        </w:rPr>
        <w:t xml:space="preserve"> až </w:t>
      </w:r>
      <w:r w:rsidR="001E3DAD">
        <w:rPr>
          <w:rFonts w:ascii="Times New Roman" w:hAnsi="Times New Roman"/>
          <w:b/>
          <w:szCs w:val="24"/>
        </w:rPr>
        <w:t>2027</w:t>
      </w:r>
      <w:r w:rsidRPr="004C7EC8">
        <w:rPr>
          <w:rFonts w:ascii="Times New Roman" w:hAnsi="Times New Roman"/>
          <w:szCs w:val="24"/>
        </w:rPr>
        <w:t xml:space="preserve"> </w:t>
      </w:r>
      <w:r w:rsidR="00E90153">
        <w:rPr>
          <w:rFonts w:ascii="Times New Roman" w:hAnsi="Times New Roman"/>
          <w:szCs w:val="24"/>
        </w:rPr>
        <w:t xml:space="preserve">sa </w:t>
      </w:r>
      <w:r>
        <w:rPr>
          <w:rFonts w:ascii="Times New Roman" w:hAnsi="Times New Roman"/>
          <w:szCs w:val="24"/>
        </w:rPr>
        <w:t xml:space="preserve">podľa fondov </w:t>
      </w:r>
      <w:r w:rsidRPr="004C7EC8">
        <w:rPr>
          <w:rFonts w:ascii="Times New Roman" w:hAnsi="Times New Roman"/>
          <w:szCs w:val="24"/>
        </w:rPr>
        <w:t>rozpočtujú:</w:t>
      </w:r>
    </w:p>
    <w:tbl>
      <w:tblPr>
        <w:tblW w:w="9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0"/>
        <w:gridCol w:w="1624"/>
        <w:gridCol w:w="1711"/>
        <w:gridCol w:w="1446"/>
      </w:tblGrid>
      <w:tr w:rsidR="00B131B5" w:rsidRPr="00B131B5" w:rsidTr="006D1A23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B5" w:rsidRPr="00B131B5" w:rsidRDefault="00B131B5" w:rsidP="00B131B5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B5" w:rsidRPr="00B131B5" w:rsidRDefault="00B131B5" w:rsidP="00B131B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B5" w:rsidRPr="00B131B5" w:rsidRDefault="00B131B5" w:rsidP="00B131B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1B5" w:rsidRPr="00B131B5" w:rsidRDefault="00B131B5" w:rsidP="00B131B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B131B5" w:rsidRPr="00B131B5" w:rsidTr="006D1A23">
        <w:tc>
          <w:tcPr>
            <w:tcW w:w="4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>Návrh rozpočtu na rok 2025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>Rozpočtový výhľad na</w:t>
            </w:r>
          </w:p>
        </w:tc>
      </w:tr>
      <w:tr w:rsidR="00B131B5" w:rsidRPr="00B131B5" w:rsidTr="006D1A23">
        <w:tc>
          <w:tcPr>
            <w:tcW w:w="4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1B5" w:rsidRPr="00B131B5" w:rsidRDefault="00B131B5" w:rsidP="00B131B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1B5" w:rsidRPr="00B131B5" w:rsidRDefault="00B131B5" w:rsidP="00B131B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>rok 2026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>rok 2027</w:t>
            </w:r>
          </w:p>
        </w:tc>
      </w:tr>
      <w:tr w:rsidR="00B131B5" w:rsidRPr="00B131B5" w:rsidTr="006D1A23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B5" w:rsidRPr="00B131B5" w:rsidRDefault="00B131B5" w:rsidP="00B131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E6027" w:rsidRPr="00B131B5" w:rsidTr="00BB6C7B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Použitie prostriedkov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14 778 943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15 605 360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bCs/>
                <w:sz w:val="22"/>
                <w:szCs w:val="22"/>
              </w:rPr>
              <w:t>15 936 901</w:t>
            </w:r>
          </w:p>
        </w:tc>
      </w:tr>
      <w:tr w:rsidR="007E6027" w:rsidRPr="00B131B5" w:rsidTr="00BB6C7B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E6027" w:rsidRPr="00B131B5" w:rsidTr="00BB6C7B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základný fond nemocenského poistenia 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1 178 393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1 257 367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1 328 815</w:t>
            </w:r>
          </w:p>
        </w:tc>
      </w:tr>
      <w:tr w:rsidR="007E6027" w:rsidRPr="00B131B5" w:rsidTr="006D1A23"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základný fond starobného poistenia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11 451 714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12 109 357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12 369 081</w:t>
            </w:r>
          </w:p>
        </w:tc>
      </w:tr>
      <w:tr w:rsidR="007E6027" w:rsidRPr="00B131B5" w:rsidTr="00BB6C7B">
        <w:tc>
          <w:tcPr>
            <w:tcW w:w="4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základný fond invalidného poistenia 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1 443 640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1 501 166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1 486 207</w:t>
            </w:r>
          </w:p>
        </w:tc>
      </w:tr>
      <w:tr w:rsidR="007E6027" w:rsidRPr="00B131B5" w:rsidTr="00BB6C7B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dôchodkové poistenie spolu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12 895 354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13 610 523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13 855 288</w:t>
            </w:r>
          </w:p>
        </w:tc>
      </w:tr>
      <w:tr w:rsidR="007E6027" w:rsidRPr="00B131B5" w:rsidTr="006D1A23"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základný fond úrazového poistenia , v tom: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69 378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75 096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79 567</w:t>
            </w:r>
          </w:p>
        </w:tc>
      </w:tr>
      <w:tr w:rsidR="007E6027" w:rsidRPr="00B131B5" w:rsidTr="00BB6C7B">
        <w:tc>
          <w:tcPr>
            <w:tcW w:w="4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 - výdavky na úrazové dávky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62 656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66 855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69 461</w:t>
            </w:r>
          </w:p>
        </w:tc>
      </w:tr>
      <w:tr w:rsidR="007E6027" w:rsidRPr="00B131B5" w:rsidTr="00BB6C7B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 - úhrada poistného na starobné poistenie a príspevkov na SDS za poberateľov úrazovej renty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6 722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8 241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10 106</w:t>
            </w:r>
          </w:p>
        </w:tc>
      </w:tr>
      <w:tr w:rsidR="007E6027" w:rsidRPr="00B131B5" w:rsidTr="006D1A23"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základný fond garančného poistenia , v tom: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42 827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45 141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47 438</w:t>
            </w:r>
          </w:p>
        </w:tc>
      </w:tr>
      <w:tr w:rsidR="007E6027" w:rsidRPr="00B131B5" w:rsidTr="00BB6C7B">
        <w:tc>
          <w:tcPr>
            <w:tcW w:w="4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 - výdavky na dávku garančného poistenia 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4 500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4 824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5 155</w:t>
            </w:r>
          </w:p>
        </w:tc>
      </w:tr>
      <w:tr w:rsidR="007E6027" w:rsidRPr="00B131B5" w:rsidTr="00BB6C7B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 - úhrada príspevkov na SDS nezaplatených zamestnávateľom do základného fondu príspevkov na SDS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38 327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40 317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42 283</w:t>
            </w:r>
          </w:p>
        </w:tc>
      </w:tr>
      <w:tr w:rsidR="007E6027" w:rsidRPr="00B131B5" w:rsidTr="006D1A23"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základný fond poistenia v nezamestnanosti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306 987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314 603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320 707</w:t>
            </w:r>
          </w:p>
        </w:tc>
      </w:tr>
      <w:tr w:rsidR="007E6027" w:rsidRPr="00B131B5" w:rsidTr="006D1A23">
        <w:tc>
          <w:tcPr>
            <w:tcW w:w="4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 - výdavky na dávku v nezamestnanosti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303 244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310 618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316 452</w:t>
            </w:r>
          </w:p>
        </w:tc>
      </w:tr>
      <w:tr w:rsidR="007E6027" w:rsidRPr="00B131B5" w:rsidTr="006D1A23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 - postúpenie fin. prostriedkov, ktoré žiada príslušný orgán na výplatu podpory v čase skrátenej práce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3 743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3 985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4 255</w:t>
            </w:r>
          </w:p>
        </w:tc>
      </w:tr>
      <w:tr w:rsidR="007E6027" w:rsidRPr="00B131B5" w:rsidTr="00BB6C7B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správny fond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282 208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298 625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300 973</w:t>
            </w:r>
          </w:p>
        </w:tc>
      </w:tr>
      <w:tr w:rsidR="007E6027" w:rsidRPr="00B131B5" w:rsidTr="00BB6C7B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B131B5" w:rsidRDefault="007E6027" w:rsidP="007E6027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osobitný fond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3 796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4 005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27" w:rsidRPr="007E6027" w:rsidRDefault="007E6027" w:rsidP="007E602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E6027">
              <w:rPr>
                <w:rFonts w:ascii="Times New Roman" w:hAnsi="Times New Roman"/>
                <w:sz w:val="22"/>
                <w:szCs w:val="22"/>
              </w:rPr>
              <w:t>4 113</w:t>
            </w:r>
          </w:p>
        </w:tc>
      </w:tr>
    </w:tbl>
    <w:p w:rsidR="00B131B5" w:rsidRDefault="00B131B5" w:rsidP="00B131B5">
      <w:pPr>
        <w:pStyle w:val="Zarkazkladnhotextu2"/>
        <w:spacing w:before="240" w:line="240" w:lineRule="auto"/>
        <w:ind w:left="0"/>
        <w:jc w:val="both"/>
        <w:rPr>
          <w:rFonts w:ascii="Times New Roman" w:hAnsi="Times New Roman"/>
          <w:szCs w:val="24"/>
        </w:rPr>
      </w:pPr>
    </w:p>
    <w:p w:rsidR="00672A79" w:rsidRDefault="00672A79" w:rsidP="00672A79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CA4B4A">
        <w:rPr>
          <w:rFonts w:ascii="Times New Roman" w:hAnsi="Times New Roman"/>
          <w:b/>
          <w:szCs w:val="24"/>
        </w:rPr>
        <w:t>Výdavky na nemocenské dávky</w:t>
      </w:r>
      <w:r w:rsidRPr="00CA4B4A">
        <w:rPr>
          <w:rFonts w:ascii="Times New Roman" w:hAnsi="Times New Roman"/>
          <w:szCs w:val="24"/>
        </w:rPr>
        <w:t xml:space="preserve"> na rok 20</w:t>
      </w:r>
      <w:r>
        <w:rPr>
          <w:rFonts w:ascii="Times New Roman" w:hAnsi="Times New Roman"/>
          <w:szCs w:val="24"/>
        </w:rPr>
        <w:t xml:space="preserve">25 </w:t>
      </w:r>
      <w:r w:rsidRPr="00CA4B4A">
        <w:rPr>
          <w:rFonts w:ascii="Times New Roman" w:hAnsi="Times New Roman"/>
          <w:szCs w:val="24"/>
        </w:rPr>
        <w:t xml:space="preserve">sa predpokladajú vo výške </w:t>
      </w:r>
      <w:r>
        <w:rPr>
          <w:rFonts w:ascii="Times New Roman" w:hAnsi="Times New Roman"/>
          <w:b/>
          <w:szCs w:val="24"/>
        </w:rPr>
        <w:t>1</w:t>
      </w:r>
      <w:r w:rsidR="00B131B5">
        <w:rPr>
          <w:rFonts w:ascii="Times New Roman" w:hAnsi="Times New Roman"/>
          <w:b/>
          <w:szCs w:val="24"/>
        </w:rPr>
        <w:t> 178 393</w:t>
      </w:r>
      <w:r w:rsidRPr="00CA4B4A">
        <w:rPr>
          <w:rFonts w:ascii="Times New Roman" w:hAnsi="Times New Roman"/>
          <w:b/>
          <w:szCs w:val="24"/>
        </w:rPr>
        <w:t> tis. </w:t>
      </w:r>
      <w:r>
        <w:rPr>
          <w:rFonts w:ascii="Times New Roman" w:hAnsi="Times New Roman"/>
          <w:b/>
          <w:szCs w:val="24"/>
        </w:rPr>
        <w:t>eur</w:t>
      </w:r>
      <w:r w:rsidRPr="00CA4B4A">
        <w:rPr>
          <w:rFonts w:ascii="Times New Roman" w:hAnsi="Times New Roman"/>
          <w:b/>
          <w:szCs w:val="24"/>
        </w:rPr>
        <w:t xml:space="preserve">. </w:t>
      </w:r>
      <w:r w:rsidRPr="00CA4B4A">
        <w:rPr>
          <w:rFonts w:ascii="Times New Roman" w:hAnsi="Times New Roman"/>
          <w:szCs w:val="24"/>
        </w:rPr>
        <w:t xml:space="preserve">Suma výdavkov bola </w:t>
      </w:r>
      <w:r w:rsidR="008F2018">
        <w:rPr>
          <w:rFonts w:ascii="Times New Roman" w:hAnsi="Times New Roman"/>
          <w:szCs w:val="24"/>
        </w:rPr>
        <w:t>stanovená</w:t>
      </w:r>
      <w:r w:rsidRPr="00CA4B4A">
        <w:rPr>
          <w:rFonts w:ascii="Times New Roman" w:hAnsi="Times New Roman"/>
          <w:szCs w:val="24"/>
        </w:rPr>
        <w:t xml:space="preserve"> v nadväznosti na očakávanú skutočnosť výdavkov v roku </w:t>
      </w:r>
      <w:r>
        <w:rPr>
          <w:rFonts w:ascii="Times New Roman" w:hAnsi="Times New Roman"/>
          <w:szCs w:val="24"/>
        </w:rPr>
        <w:t>2024</w:t>
      </w:r>
      <w:r w:rsidRPr="00CA4B4A">
        <w:rPr>
          <w:rFonts w:ascii="Times New Roman" w:hAnsi="Times New Roman"/>
          <w:szCs w:val="24"/>
        </w:rPr>
        <w:t xml:space="preserve">. Pri prepočte bol zohľadnený vývoj ukazovateľov ovplyvňujúcich výšku výdavkov na nemocenské dávky za obdobie január až august </w:t>
      </w:r>
      <w:r>
        <w:rPr>
          <w:rFonts w:ascii="Times New Roman" w:hAnsi="Times New Roman"/>
          <w:szCs w:val="24"/>
        </w:rPr>
        <w:t>2024 a predpoklad ich vývoja v ďalších rokoch (najmä nárast mzdy v hospodárstve</w:t>
      </w:r>
      <w:r w:rsidRPr="002625FA">
        <w:rPr>
          <w:rFonts w:ascii="Times New Roman" w:hAnsi="Times New Roman"/>
          <w:szCs w:val="24"/>
        </w:rPr>
        <w:t xml:space="preserve"> </w:t>
      </w:r>
      <w:r w:rsidRPr="00CA4B4A">
        <w:rPr>
          <w:rFonts w:ascii="Times New Roman" w:hAnsi="Times New Roman"/>
          <w:szCs w:val="24"/>
        </w:rPr>
        <w:t>na základe aktuálnych makroekonomických ukazovateľov</w:t>
      </w:r>
      <w:r>
        <w:rPr>
          <w:rFonts w:ascii="Times New Roman" w:hAnsi="Times New Roman"/>
          <w:szCs w:val="24"/>
        </w:rPr>
        <w:t>).</w:t>
      </w:r>
    </w:p>
    <w:p w:rsidR="00672A79" w:rsidRPr="0097043D" w:rsidRDefault="00672A79" w:rsidP="00672A79">
      <w:pPr>
        <w:pStyle w:val="Zarkazkladnhotextu2"/>
        <w:tabs>
          <w:tab w:val="decimal" w:pos="8647"/>
        </w:tabs>
        <w:spacing w:before="240" w:after="0" w:line="240" w:lineRule="auto"/>
        <w:ind w:left="0" w:firstLine="709"/>
        <w:rPr>
          <w:rFonts w:ascii="Times New Roman" w:hAnsi="Times New Roman"/>
          <w:szCs w:val="24"/>
        </w:rPr>
      </w:pPr>
      <w:r w:rsidRPr="0097043D">
        <w:rPr>
          <w:rFonts w:ascii="Times New Roman" w:hAnsi="Times New Roman"/>
          <w:b/>
          <w:szCs w:val="24"/>
        </w:rPr>
        <w:t xml:space="preserve">Výdavky </w:t>
      </w:r>
      <w:r>
        <w:rPr>
          <w:rFonts w:ascii="Times New Roman" w:hAnsi="Times New Roman"/>
          <w:b/>
          <w:szCs w:val="24"/>
        </w:rPr>
        <w:t>na dôchodkové dávky</w:t>
      </w:r>
      <w:r>
        <w:rPr>
          <w:rFonts w:ascii="Times New Roman" w:hAnsi="Times New Roman"/>
          <w:szCs w:val="24"/>
        </w:rPr>
        <w:t xml:space="preserve"> na rok 2025</w:t>
      </w:r>
      <w:r w:rsidRPr="0097043D">
        <w:rPr>
          <w:rFonts w:ascii="Times New Roman" w:hAnsi="Times New Roman"/>
          <w:szCs w:val="24"/>
        </w:rPr>
        <w:t xml:space="preserve"> sú stanovené </w:t>
      </w:r>
      <w:r>
        <w:rPr>
          <w:rFonts w:ascii="Times New Roman" w:hAnsi="Times New Roman"/>
          <w:szCs w:val="24"/>
        </w:rPr>
        <w:br/>
      </w:r>
      <w:r w:rsidRPr="0097043D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 xml:space="preserve"> sum</w:t>
      </w:r>
      <w:r w:rsidRPr="0097043D">
        <w:rPr>
          <w:rFonts w:ascii="Times New Roman" w:hAnsi="Times New Roman"/>
          <w:szCs w:val="24"/>
        </w:rPr>
        <w:t xml:space="preserve">e </w:t>
      </w:r>
      <w:r w:rsidRPr="0097043D">
        <w:rPr>
          <w:rFonts w:ascii="Times New Roman" w:hAnsi="Times New Roman"/>
          <w:szCs w:val="24"/>
        </w:rPr>
        <w:tab/>
      </w:r>
      <w:r w:rsidR="00B131B5">
        <w:rPr>
          <w:rFonts w:ascii="Times New Roman" w:hAnsi="Times New Roman"/>
          <w:b/>
          <w:szCs w:val="24"/>
        </w:rPr>
        <w:t>12 895 354</w:t>
      </w:r>
      <w:r w:rsidRPr="0097043D">
        <w:rPr>
          <w:rFonts w:ascii="Times New Roman" w:hAnsi="Times New Roman"/>
          <w:b/>
          <w:szCs w:val="24"/>
        </w:rPr>
        <w:t> tis. </w:t>
      </w:r>
      <w:r>
        <w:rPr>
          <w:rFonts w:ascii="Times New Roman" w:hAnsi="Times New Roman"/>
          <w:b/>
          <w:szCs w:val="24"/>
        </w:rPr>
        <w:t>e</w:t>
      </w:r>
      <w:r w:rsidRPr="0097043D">
        <w:rPr>
          <w:rFonts w:ascii="Times New Roman" w:hAnsi="Times New Roman"/>
          <w:b/>
          <w:szCs w:val="24"/>
        </w:rPr>
        <w:t>ur</w:t>
      </w:r>
      <w:r w:rsidRPr="0097043D">
        <w:rPr>
          <w:rFonts w:ascii="Times New Roman" w:hAnsi="Times New Roman"/>
          <w:szCs w:val="24"/>
        </w:rPr>
        <w:t>,</w:t>
      </w:r>
      <w:r w:rsidRPr="0097043D">
        <w:rPr>
          <w:rFonts w:ascii="Times New Roman" w:hAnsi="Times New Roman"/>
          <w:szCs w:val="24"/>
        </w:rPr>
        <w:br/>
        <w:t xml:space="preserve">v tom výdavky </w:t>
      </w:r>
      <w:r>
        <w:rPr>
          <w:rFonts w:ascii="Times New Roman" w:hAnsi="Times New Roman"/>
          <w:szCs w:val="24"/>
        </w:rPr>
        <w:t>zo:</w:t>
      </w:r>
    </w:p>
    <w:p w:rsidR="00672A79" w:rsidRPr="0097043D" w:rsidRDefault="00672A79" w:rsidP="00672A79">
      <w:pPr>
        <w:pStyle w:val="Zarkazkladnhotextu2"/>
        <w:numPr>
          <w:ilvl w:val="0"/>
          <w:numId w:val="23"/>
        </w:numPr>
        <w:tabs>
          <w:tab w:val="decimal" w:pos="8647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základného fondu starobného poistenia</w:t>
      </w:r>
      <w:r w:rsidRPr="0097043D">
        <w:rPr>
          <w:rFonts w:ascii="Times New Roman" w:hAnsi="Times New Roman"/>
          <w:szCs w:val="24"/>
        </w:rPr>
        <w:tab/>
      </w:r>
      <w:r w:rsidR="00B131B5">
        <w:rPr>
          <w:rFonts w:ascii="Times New Roman" w:hAnsi="Times New Roman"/>
          <w:szCs w:val="24"/>
        </w:rPr>
        <w:t>11 451 714</w:t>
      </w:r>
      <w:r w:rsidRPr="0097043D">
        <w:rPr>
          <w:rFonts w:ascii="Times New Roman" w:hAnsi="Times New Roman"/>
          <w:szCs w:val="24"/>
        </w:rPr>
        <w:t> tis. </w:t>
      </w:r>
      <w:r>
        <w:rPr>
          <w:rFonts w:ascii="Times New Roman" w:hAnsi="Times New Roman"/>
          <w:szCs w:val="24"/>
        </w:rPr>
        <w:t>e</w:t>
      </w:r>
      <w:r w:rsidRPr="0097043D">
        <w:rPr>
          <w:rFonts w:ascii="Times New Roman" w:hAnsi="Times New Roman"/>
          <w:szCs w:val="24"/>
        </w:rPr>
        <w:t>ur,</w:t>
      </w:r>
    </w:p>
    <w:p w:rsidR="00672A79" w:rsidRPr="008701BE" w:rsidRDefault="00672A79" w:rsidP="00672A79">
      <w:pPr>
        <w:pStyle w:val="Zarkazkladnhotextu2"/>
        <w:numPr>
          <w:ilvl w:val="0"/>
          <w:numId w:val="23"/>
        </w:numPr>
        <w:tabs>
          <w:tab w:val="decimal" w:pos="8647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základného fondu invalidného poistenia</w:t>
      </w:r>
      <w:r>
        <w:rPr>
          <w:rFonts w:ascii="Times New Roman" w:hAnsi="Times New Roman"/>
          <w:szCs w:val="24"/>
        </w:rPr>
        <w:tab/>
      </w:r>
      <w:r w:rsidR="00B131B5">
        <w:rPr>
          <w:rFonts w:ascii="Times New Roman" w:hAnsi="Times New Roman"/>
          <w:szCs w:val="24"/>
        </w:rPr>
        <w:t>1 443 640</w:t>
      </w:r>
      <w:r w:rsidRPr="0097043D">
        <w:rPr>
          <w:rFonts w:ascii="Times New Roman" w:hAnsi="Times New Roman"/>
          <w:szCs w:val="24"/>
        </w:rPr>
        <w:t> tis. </w:t>
      </w:r>
      <w:r>
        <w:rPr>
          <w:rFonts w:ascii="Times New Roman" w:hAnsi="Times New Roman"/>
          <w:szCs w:val="24"/>
        </w:rPr>
        <w:t>e</w:t>
      </w:r>
      <w:r w:rsidRPr="0097043D">
        <w:rPr>
          <w:rFonts w:ascii="Times New Roman" w:hAnsi="Times New Roman"/>
          <w:szCs w:val="24"/>
        </w:rPr>
        <w:t>ur.</w:t>
      </w:r>
    </w:p>
    <w:p w:rsidR="00FA7D37" w:rsidRPr="0097043D" w:rsidRDefault="00FA7D37" w:rsidP="00FA7D37">
      <w:pPr>
        <w:pStyle w:val="Zarkazkladnhotextu2"/>
        <w:tabs>
          <w:tab w:val="decimal" w:pos="8222"/>
        </w:tabs>
        <w:spacing w:before="24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 novopriznaných dôchodkoch sa vychádzalo z predpokladu, že starobných dôchodkov bude priznaných celkom 36 075 s priemernou výškou dôchodku 797,50 eur, predčasných starobných dôchodkov bude priznaných celkom 20 274 s priemernou výškou dôchodku 740,94 eur a invalidných dôchodkov bude priznaných celkom 14</w:t>
      </w:r>
      <w:r w:rsidRPr="00E9570B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738 s priemernou výškou dôchodku 474,97 eur.</w:t>
      </w:r>
    </w:p>
    <w:p w:rsidR="007E6027" w:rsidRDefault="007E6027" w:rsidP="00FA7D37">
      <w:pPr>
        <w:pStyle w:val="Zarkazkladnhotextu2"/>
        <w:spacing w:before="240" w:after="0" w:line="240" w:lineRule="auto"/>
        <w:ind w:left="0" w:firstLine="709"/>
        <w:jc w:val="both"/>
        <w:rPr>
          <w:rFonts w:ascii="Times New Roman" w:hAnsi="Times New Roman"/>
          <w:szCs w:val="24"/>
        </w:rPr>
      </w:pPr>
    </w:p>
    <w:p w:rsidR="00FA7D37" w:rsidRPr="00E53D83" w:rsidRDefault="00FA7D37" w:rsidP="007E6027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E53D83">
        <w:rPr>
          <w:rFonts w:ascii="Times New Roman" w:hAnsi="Times New Roman"/>
          <w:szCs w:val="24"/>
        </w:rPr>
        <w:lastRenderedPageBreak/>
        <w:t xml:space="preserve">Výška výdavkov na dôchodkové dávky je </w:t>
      </w:r>
      <w:r w:rsidR="008F2018">
        <w:rPr>
          <w:rFonts w:ascii="Times New Roman" w:hAnsi="Times New Roman"/>
          <w:szCs w:val="24"/>
        </w:rPr>
        <w:t>stanovená</w:t>
      </w:r>
      <w:r w:rsidRPr="00E53D83">
        <w:rPr>
          <w:rFonts w:ascii="Times New Roman" w:hAnsi="Times New Roman"/>
          <w:szCs w:val="24"/>
        </w:rPr>
        <w:t xml:space="preserve"> najmä na </w:t>
      </w:r>
      <w:r w:rsidRPr="00E53D83">
        <w:rPr>
          <w:rFonts w:ascii="Times New Roman" w:hAnsi="Times New Roman"/>
          <w:color w:val="000000"/>
          <w:szCs w:val="24"/>
        </w:rPr>
        <w:t xml:space="preserve">základe: </w:t>
      </w:r>
    </w:p>
    <w:p w:rsidR="00FA7D37" w:rsidRPr="00E53D83" w:rsidRDefault="00FA7D37" w:rsidP="00FA7D37">
      <w:pPr>
        <w:pStyle w:val="Zarkazkladnhotextu2"/>
        <w:numPr>
          <w:ilvl w:val="0"/>
          <w:numId w:val="26"/>
        </w:numPr>
        <w:tabs>
          <w:tab w:val="clear" w:pos="360"/>
          <w:tab w:val="left" w:pos="709"/>
          <w:tab w:val="decimal" w:pos="8222"/>
        </w:tabs>
        <w:spacing w:line="240" w:lineRule="auto"/>
        <w:ind w:left="709" w:hanging="709"/>
        <w:jc w:val="both"/>
        <w:rPr>
          <w:rFonts w:ascii="Times New Roman" w:hAnsi="Times New Roman"/>
          <w:szCs w:val="24"/>
        </w:rPr>
      </w:pPr>
      <w:r w:rsidRPr="00E53D83">
        <w:rPr>
          <w:rFonts w:ascii="Times New Roman" w:hAnsi="Times New Roman"/>
          <w:szCs w:val="24"/>
        </w:rPr>
        <w:t>očakávaných výdavkov v roku 2024 v sume 12 593 074 tis. eur, znížených o zrušené rodičovské dôchodky</w:t>
      </w:r>
      <w:r w:rsidR="006B5F66" w:rsidRPr="00E53D83">
        <w:rPr>
          <w:rFonts w:ascii="Times New Roman" w:hAnsi="Times New Roman"/>
          <w:szCs w:val="24"/>
        </w:rPr>
        <w:t xml:space="preserve"> z dôchodkového poistenia </w:t>
      </w:r>
      <w:r w:rsidRPr="00E53D83">
        <w:rPr>
          <w:rFonts w:ascii="Times New Roman" w:hAnsi="Times New Roman"/>
          <w:szCs w:val="24"/>
        </w:rPr>
        <w:t xml:space="preserve"> v roku 2025 v sume - 315 551 tis. eur,  </w:t>
      </w:r>
    </w:p>
    <w:p w:rsidR="00FA7D37" w:rsidRPr="00E53D83" w:rsidRDefault="00FA7D37" w:rsidP="00FA7D37">
      <w:pPr>
        <w:pStyle w:val="Zarkazkladnhotextu2"/>
        <w:numPr>
          <w:ilvl w:val="0"/>
          <w:numId w:val="26"/>
        </w:numPr>
        <w:tabs>
          <w:tab w:val="clear" w:pos="360"/>
          <w:tab w:val="left" w:pos="709"/>
          <w:tab w:val="decimal" w:pos="8222"/>
        </w:tabs>
        <w:spacing w:line="240" w:lineRule="auto"/>
        <w:ind w:left="709" w:hanging="709"/>
        <w:jc w:val="both"/>
        <w:rPr>
          <w:rFonts w:ascii="Times New Roman" w:hAnsi="Times New Roman"/>
          <w:color w:val="000000"/>
          <w:szCs w:val="24"/>
        </w:rPr>
      </w:pPr>
      <w:r w:rsidRPr="00E53D83">
        <w:rPr>
          <w:rFonts w:ascii="Times New Roman" w:hAnsi="Times New Roman"/>
          <w:szCs w:val="24"/>
        </w:rPr>
        <w:t>valorizácie dôchodkov v roku 2025 v sume 258 939 tis. eur,</w:t>
      </w:r>
    </w:p>
    <w:p w:rsidR="00FA7D37" w:rsidRPr="00E53D83" w:rsidRDefault="00FA7D37" w:rsidP="00FA7D37">
      <w:pPr>
        <w:pStyle w:val="Zarkazkladnhotextu2"/>
        <w:numPr>
          <w:ilvl w:val="0"/>
          <w:numId w:val="26"/>
        </w:numPr>
        <w:tabs>
          <w:tab w:val="clear" w:pos="360"/>
          <w:tab w:val="left" w:pos="709"/>
          <w:tab w:val="decimal" w:pos="8222"/>
        </w:tabs>
        <w:spacing w:line="240" w:lineRule="auto"/>
        <w:ind w:left="709" w:hanging="709"/>
        <w:jc w:val="both"/>
        <w:rPr>
          <w:rFonts w:ascii="Times New Roman" w:hAnsi="Times New Roman"/>
          <w:szCs w:val="24"/>
        </w:rPr>
      </w:pPr>
      <w:r w:rsidRPr="00E53D83">
        <w:rPr>
          <w:rFonts w:ascii="Times New Roman" w:hAnsi="Times New Roman"/>
          <w:szCs w:val="24"/>
        </w:rPr>
        <w:t>bežného medziročného nárastu, ktorý súvisí s novopriznávanými a zaniknutými dôchodkami v sume celkom 174 229 tis. eur</w:t>
      </w:r>
      <w:r w:rsidR="00E53D83" w:rsidRPr="00E53D83">
        <w:rPr>
          <w:rFonts w:ascii="Times New Roman" w:hAnsi="Times New Roman"/>
          <w:szCs w:val="24"/>
        </w:rPr>
        <w:t>,</w:t>
      </w:r>
    </w:p>
    <w:p w:rsidR="00FA7D37" w:rsidRPr="00E53D83" w:rsidRDefault="00FA7D37" w:rsidP="00FA7D37">
      <w:pPr>
        <w:pStyle w:val="Zarkazkladnhotextu2"/>
        <w:numPr>
          <w:ilvl w:val="0"/>
          <w:numId w:val="26"/>
        </w:numPr>
        <w:tabs>
          <w:tab w:val="clear" w:pos="360"/>
          <w:tab w:val="left" w:pos="709"/>
          <w:tab w:val="decimal" w:pos="8222"/>
        </w:tabs>
        <w:spacing w:line="240" w:lineRule="auto"/>
        <w:ind w:left="709" w:hanging="709"/>
        <w:jc w:val="both"/>
        <w:rPr>
          <w:rFonts w:ascii="Times New Roman" w:hAnsi="Times New Roman"/>
          <w:szCs w:val="24"/>
        </w:rPr>
      </w:pPr>
      <w:r w:rsidRPr="00E53D83">
        <w:rPr>
          <w:rFonts w:ascii="Times New Roman" w:hAnsi="Times New Roman"/>
          <w:szCs w:val="24"/>
        </w:rPr>
        <w:t xml:space="preserve">predpokladaných výdavkov na prehodnotenie invalidných dôchodkov a predčasných starobných dôchodkov, rastu 13. dôchodkov v roku 2025 v sume spolu 184 663 tis. eur. </w:t>
      </w:r>
    </w:p>
    <w:p w:rsidR="00FA7D37" w:rsidRPr="00F26863" w:rsidRDefault="00FA7D37" w:rsidP="00E53D83">
      <w:pPr>
        <w:spacing w:before="240" w:after="12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E53D83">
        <w:rPr>
          <w:rFonts w:ascii="Times New Roman" w:hAnsi="Times New Roman"/>
          <w:color w:val="000000"/>
          <w:szCs w:val="24"/>
        </w:rPr>
        <w:t>Dôchodkové dávky sa v rokoch 2025 až 2027</w:t>
      </w:r>
      <w:r w:rsidR="00C56E69" w:rsidRPr="00E53D83">
        <w:rPr>
          <w:rFonts w:ascii="Times New Roman" w:hAnsi="Times New Roman"/>
          <w:color w:val="000000"/>
          <w:szCs w:val="24"/>
        </w:rPr>
        <w:t xml:space="preserve"> </w:t>
      </w:r>
      <w:r w:rsidRPr="00E53D83">
        <w:rPr>
          <w:rFonts w:ascii="Times New Roman" w:hAnsi="Times New Roman"/>
          <w:color w:val="000000"/>
          <w:szCs w:val="24"/>
        </w:rPr>
        <w:t xml:space="preserve">zvyšujú o percento medziročného rastu spotrebiteľských cien za domácnosti dôchodcov vykázané štatistickým úradom za prvých deväť mesiacov kalendárneho roka, ktorý predchádza príslušnému kalendárnemu roku </w:t>
      </w:r>
      <w:r w:rsidR="00371B8D" w:rsidRPr="00E53D83">
        <w:rPr>
          <w:rFonts w:ascii="Times New Roman" w:hAnsi="Times New Roman"/>
          <w:color w:val="000000"/>
          <w:szCs w:val="24"/>
        </w:rPr>
        <w:t xml:space="preserve">(za predpokladu, </w:t>
      </w:r>
      <w:r w:rsidR="00B87365" w:rsidRPr="00E53D83">
        <w:rPr>
          <w:rFonts w:ascii="Times New Roman" w:hAnsi="Times New Roman"/>
          <w:color w:val="000000"/>
          <w:szCs w:val="24"/>
        </w:rPr>
        <w:t xml:space="preserve">že nebude uplatnené mimoriadne zvyšovanie dôchodkov, aj v rámci roka) </w:t>
      </w:r>
      <w:r w:rsidRPr="00E53D83">
        <w:rPr>
          <w:rFonts w:ascii="Times New Roman" w:hAnsi="Times New Roman"/>
          <w:color w:val="000000"/>
          <w:szCs w:val="24"/>
        </w:rPr>
        <w:t>a za jednotlivé roky sa</w:t>
      </w:r>
      <w:r>
        <w:rPr>
          <w:rFonts w:ascii="Times New Roman" w:hAnsi="Times New Roman"/>
          <w:color w:val="000000"/>
          <w:szCs w:val="24"/>
        </w:rPr>
        <w:t xml:space="preserve"> rozpočtujú nasledovne</w:t>
      </w:r>
      <w:r w:rsidRPr="00D54EA4">
        <w:rPr>
          <w:rFonts w:ascii="Times New Roman" w:hAnsi="Times New Roman"/>
          <w:color w:val="000000"/>
          <w:szCs w:val="24"/>
        </w:rPr>
        <w:t>:</w:t>
      </w:r>
    </w:p>
    <w:tbl>
      <w:tblPr>
        <w:tblW w:w="8222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43"/>
        <w:gridCol w:w="1366"/>
        <w:gridCol w:w="1302"/>
      </w:tblGrid>
      <w:tr w:rsidR="00FA7D37" w:rsidRPr="00FA7D37" w:rsidTr="00C56E6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7D37" w:rsidRPr="00FA7D37" w:rsidRDefault="00FA7D37" w:rsidP="00B66F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7D37">
              <w:rPr>
                <w:rFonts w:ascii="Times New Roman" w:hAnsi="Times New Roman"/>
                <w:b/>
                <w:sz w:val="22"/>
                <w:szCs w:val="22"/>
              </w:rPr>
              <w:t>Text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7D37" w:rsidRPr="00FA7D37" w:rsidRDefault="00FA7D37" w:rsidP="00B66F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7D37">
              <w:rPr>
                <w:rFonts w:ascii="Times New Roman" w:hAnsi="Times New Roman"/>
                <w:b/>
                <w:sz w:val="22"/>
                <w:szCs w:val="22"/>
              </w:rPr>
              <w:t>Rok 2025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7D37" w:rsidRPr="00FA7D37" w:rsidRDefault="00FA7D37" w:rsidP="00B66F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7D37">
              <w:rPr>
                <w:rFonts w:ascii="Times New Roman" w:hAnsi="Times New Roman"/>
                <w:b/>
                <w:sz w:val="22"/>
                <w:szCs w:val="22"/>
              </w:rPr>
              <w:t>Rok 2026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D37" w:rsidRPr="00FA7D37" w:rsidRDefault="00FA7D37" w:rsidP="00B66F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7D37">
              <w:rPr>
                <w:rFonts w:ascii="Times New Roman" w:hAnsi="Times New Roman"/>
                <w:b/>
                <w:sz w:val="22"/>
                <w:szCs w:val="22"/>
              </w:rPr>
              <w:t>Rok 2027</w:t>
            </w:r>
          </w:p>
        </w:tc>
      </w:tr>
      <w:tr w:rsidR="00FA7D37" w:rsidRPr="00FA7D37" w:rsidTr="00C56E69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7D37" w:rsidRPr="00FA7D37" w:rsidRDefault="00FA7D37" w:rsidP="00C56E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D37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7D37" w:rsidRPr="00FA7D37" w:rsidRDefault="00FA7D37" w:rsidP="00B66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D3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7D37" w:rsidRPr="00FA7D37" w:rsidRDefault="00FA7D37" w:rsidP="00B66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D3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D37" w:rsidRPr="00FA7D37" w:rsidRDefault="00FA7D37" w:rsidP="00B66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D3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A7D37" w:rsidRPr="00FA7D37" w:rsidTr="00C56E69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7D37" w:rsidRPr="00FA7D37" w:rsidRDefault="00FA7D37" w:rsidP="00B66FFA">
            <w:pPr>
              <w:rPr>
                <w:rFonts w:ascii="Times New Roman" w:hAnsi="Times New Roman"/>
                <w:sz w:val="22"/>
                <w:szCs w:val="22"/>
              </w:rPr>
            </w:pPr>
            <w:r w:rsidRPr="00FA7D37">
              <w:rPr>
                <w:rFonts w:ascii="Times New Roman" w:hAnsi="Times New Roman"/>
                <w:sz w:val="22"/>
                <w:szCs w:val="22"/>
              </w:rPr>
              <w:t>Zvýšenie (v%)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7D37" w:rsidRPr="00FA7D37" w:rsidRDefault="00FA7D37" w:rsidP="00B66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D37">
              <w:rPr>
                <w:rFonts w:ascii="Times New Roman" w:hAnsi="Times New Roman"/>
                <w:sz w:val="22"/>
                <w:szCs w:val="22"/>
              </w:rPr>
              <w:t>2,1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7D37" w:rsidRPr="00FA7D37" w:rsidRDefault="00FA7D37" w:rsidP="00B66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D37">
              <w:rPr>
                <w:rFonts w:ascii="Times New Roman" w:hAnsi="Times New Roman"/>
                <w:sz w:val="22"/>
                <w:szCs w:val="22"/>
              </w:rPr>
              <w:t>5,7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D37" w:rsidRPr="00FA7D37" w:rsidRDefault="00FA7D37" w:rsidP="00B66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7D37">
              <w:rPr>
                <w:rFonts w:ascii="Times New Roman" w:hAnsi="Times New Roman"/>
                <w:sz w:val="22"/>
                <w:szCs w:val="22"/>
              </w:rPr>
              <w:t>2,6</w:t>
            </w:r>
          </w:p>
        </w:tc>
      </w:tr>
      <w:tr w:rsidR="00FA7D37" w:rsidRPr="00FA7D37" w:rsidTr="00C56E69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7D37" w:rsidRPr="00FA7D37" w:rsidRDefault="00FA7D37" w:rsidP="00B66FFA">
            <w:pPr>
              <w:rPr>
                <w:rFonts w:ascii="Times New Roman" w:hAnsi="Times New Roman"/>
                <w:sz w:val="22"/>
                <w:szCs w:val="22"/>
              </w:rPr>
            </w:pPr>
            <w:r w:rsidRPr="00FA7D37">
              <w:rPr>
                <w:rFonts w:ascii="Times New Roman" w:hAnsi="Times New Roman"/>
                <w:sz w:val="22"/>
                <w:szCs w:val="22"/>
              </w:rPr>
              <w:t>Výdavky na zvýšenie dôchodkov (v tis. eur)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7D37" w:rsidRPr="00FA7D37" w:rsidRDefault="00FA7D37" w:rsidP="00B66F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A7D37">
              <w:rPr>
                <w:rFonts w:ascii="Times New Roman" w:hAnsi="Times New Roman"/>
                <w:color w:val="000000"/>
                <w:sz w:val="22"/>
                <w:szCs w:val="22"/>
              </w:rPr>
              <w:t>258 939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7D37" w:rsidRPr="00FA7D37" w:rsidRDefault="00FA7D37" w:rsidP="00B66FFA">
            <w:pPr>
              <w:ind w:left="-193" w:firstLine="19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A7D37">
              <w:rPr>
                <w:rFonts w:ascii="Times New Roman" w:hAnsi="Times New Roman"/>
                <w:color w:val="000000"/>
                <w:sz w:val="22"/>
                <w:szCs w:val="22"/>
              </w:rPr>
              <w:t>717 594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D37" w:rsidRPr="00FA7D37" w:rsidRDefault="00FA7D37" w:rsidP="00B66F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A7D37">
              <w:rPr>
                <w:rFonts w:ascii="Times New Roman" w:hAnsi="Times New Roman"/>
                <w:color w:val="000000"/>
                <w:sz w:val="22"/>
                <w:szCs w:val="22"/>
              </w:rPr>
              <w:t>345 981</w:t>
            </w:r>
          </w:p>
        </w:tc>
      </w:tr>
    </w:tbl>
    <w:p w:rsidR="00672A79" w:rsidRDefault="00672A79" w:rsidP="00FA7D37">
      <w:pPr>
        <w:pStyle w:val="Zarkazkladnhotextu2"/>
        <w:spacing w:before="36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A35F7A">
        <w:rPr>
          <w:rFonts w:ascii="Times New Roman" w:hAnsi="Times New Roman"/>
          <w:color w:val="000000"/>
          <w:szCs w:val="24"/>
        </w:rPr>
        <w:t>V rokoch 2025 sa predpokladajú</w:t>
      </w:r>
      <w:r>
        <w:rPr>
          <w:rFonts w:ascii="Times New Roman" w:hAnsi="Times New Roman"/>
          <w:color w:val="000000"/>
          <w:szCs w:val="24"/>
        </w:rPr>
        <w:t xml:space="preserve"> aj výdavky z použitia </w:t>
      </w:r>
      <w:r w:rsidRPr="00974724">
        <w:rPr>
          <w:rFonts w:ascii="Times New Roman" w:hAnsi="Times New Roman"/>
          <w:b/>
          <w:color w:val="000000"/>
          <w:szCs w:val="24"/>
        </w:rPr>
        <w:t>osobitného fondu</w:t>
      </w:r>
      <w:r>
        <w:rPr>
          <w:rFonts w:ascii="Times New Roman" w:hAnsi="Times New Roman"/>
          <w:color w:val="000000"/>
          <w:szCs w:val="24"/>
        </w:rPr>
        <w:t xml:space="preserve"> pre obecných policajtov v sume </w:t>
      </w:r>
      <w:r w:rsidR="00B131B5">
        <w:rPr>
          <w:rFonts w:ascii="Times New Roman" w:hAnsi="Times New Roman"/>
          <w:color w:val="000000"/>
          <w:szCs w:val="24"/>
        </w:rPr>
        <w:t>3 796</w:t>
      </w:r>
      <w:r>
        <w:rPr>
          <w:rFonts w:ascii="Times New Roman" w:hAnsi="Times New Roman"/>
          <w:color w:val="000000"/>
          <w:szCs w:val="24"/>
        </w:rPr>
        <w:t xml:space="preserve"> tis. eur.   </w:t>
      </w:r>
    </w:p>
    <w:p w:rsidR="00B66FFA" w:rsidRDefault="00672A79" w:rsidP="00A35F7A">
      <w:pPr>
        <w:spacing w:before="360" w:after="120"/>
        <w:ind w:firstLine="709"/>
        <w:jc w:val="both"/>
        <w:rPr>
          <w:rFonts w:ascii="Times New Roman" w:hAnsi="Times New Roman"/>
          <w:szCs w:val="24"/>
        </w:rPr>
      </w:pPr>
      <w:r w:rsidRPr="00200536">
        <w:rPr>
          <w:rFonts w:ascii="Times New Roman" w:hAnsi="Times New Roman"/>
          <w:b/>
          <w:szCs w:val="24"/>
        </w:rPr>
        <w:t>Výdavky základného fondu úrazového poistenia</w:t>
      </w:r>
      <w:r w:rsidRPr="00200536">
        <w:rPr>
          <w:rFonts w:ascii="Times New Roman" w:hAnsi="Times New Roman"/>
          <w:szCs w:val="24"/>
        </w:rPr>
        <w:t xml:space="preserve"> </w:t>
      </w:r>
      <w:r w:rsidRPr="003A6132">
        <w:rPr>
          <w:rFonts w:ascii="Times New Roman" w:hAnsi="Times New Roman"/>
          <w:b/>
          <w:szCs w:val="24"/>
        </w:rPr>
        <w:t xml:space="preserve">v </w:t>
      </w:r>
      <w:r w:rsidRPr="00200536">
        <w:rPr>
          <w:rFonts w:ascii="Times New Roman" w:hAnsi="Times New Roman"/>
          <w:b/>
          <w:szCs w:val="24"/>
        </w:rPr>
        <w:t xml:space="preserve">roku </w:t>
      </w:r>
      <w:r w:rsidR="00B131B5">
        <w:rPr>
          <w:rFonts w:ascii="Times New Roman" w:hAnsi="Times New Roman"/>
          <w:b/>
          <w:szCs w:val="24"/>
        </w:rPr>
        <w:t>2025</w:t>
      </w:r>
      <w:r w:rsidRPr="00200536">
        <w:rPr>
          <w:rFonts w:ascii="Times New Roman" w:hAnsi="Times New Roman"/>
          <w:b/>
          <w:szCs w:val="24"/>
        </w:rPr>
        <w:t xml:space="preserve"> </w:t>
      </w:r>
      <w:r w:rsidRPr="00200536">
        <w:rPr>
          <w:rFonts w:ascii="Times New Roman" w:hAnsi="Times New Roman"/>
          <w:szCs w:val="24"/>
        </w:rPr>
        <w:t xml:space="preserve">sa predpokladajú vo výške </w:t>
      </w:r>
      <w:r w:rsidR="00B131B5">
        <w:rPr>
          <w:rFonts w:ascii="Times New Roman" w:hAnsi="Times New Roman"/>
          <w:b/>
          <w:szCs w:val="24"/>
        </w:rPr>
        <w:t>69 378</w:t>
      </w:r>
      <w:r w:rsidRPr="00200536">
        <w:rPr>
          <w:rFonts w:ascii="Times New Roman" w:hAnsi="Times New Roman"/>
          <w:b/>
          <w:szCs w:val="24"/>
        </w:rPr>
        <w:t> tis.</w:t>
      </w:r>
      <w:r>
        <w:rPr>
          <w:rFonts w:ascii="Times New Roman" w:hAnsi="Times New Roman"/>
          <w:b/>
          <w:szCs w:val="24"/>
        </w:rPr>
        <w:t> eur</w:t>
      </w:r>
      <w:r w:rsidRPr="00200536">
        <w:rPr>
          <w:rFonts w:ascii="Times New Roman" w:hAnsi="Times New Roman"/>
          <w:szCs w:val="24"/>
        </w:rPr>
        <w:t xml:space="preserve"> (</w:t>
      </w:r>
      <w:r w:rsidR="00B131B5">
        <w:rPr>
          <w:rFonts w:ascii="Times New Roman" w:hAnsi="Times New Roman"/>
          <w:szCs w:val="24"/>
        </w:rPr>
        <w:t xml:space="preserve">z toho </w:t>
      </w:r>
      <w:r w:rsidRPr="00200536">
        <w:rPr>
          <w:rFonts w:ascii="Times New Roman" w:hAnsi="Times New Roman"/>
          <w:szCs w:val="24"/>
        </w:rPr>
        <w:t>úhrada</w:t>
      </w:r>
      <w:r w:rsidRPr="004C7EC8">
        <w:rPr>
          <w:rFonts w:ascii="Times New Roman" w:hAnsi="Times New Roman"/>
          <w:szCs w:val="24"/>
        </w:rPr>
        <w:t xml:space="preserve"> poistného na starobné poistenie a príspevkov na SDS za poberateľov úrazovej renty </w:t>
      </w:r>
      <w:r>
        <w:rPr>
          <w:rFonts w:ascii="Times New Roman" w:hAnsi="Times New Roman"/>
          <w:szCs w:val="24"/>
        </w:rPr>
        <w:t xml:space="preserve">vo výške </w:t>
      </w:r>
      <w:r w:rsidR="00B131B5">
        <w:rPr>
          <w:rFonts w:ascii="Times New Roman" w:hAnsi="Times New Roman"/>
          <w:szCs w:val="24"/>
        </w:rPr>
        <w:t>6 72</w:t>
      </w:r>
      <w:r w:rsidR="007E6027">
        <w:rPr>
          <w:rFonts w:ascii="Times New Roman" w:hAnsi="Times New Roman"/>
          <w:szCs w:val="24"/>
        </w:rPr>
        <w:t>2</w:t>
      </w:r>
      <w:r w:rsidRPr="004C7EC8">
        <w:rPr>
          <w:rFonts w:ascii="Times New Roman" w:hAnsi="Times New Roman"/>
          <w:szCs w:val="24"/>
        </w:rPr>
        <w:t> tis.</w:t>
      </w:r>
      <w:r>
        <w:rPr>
          <w:rFonts w:ascii="Times New Roman" w:hAnsi="Times New Roman"/>
          <w:szCs w:val="24"/>
        </w:rPr>
        <w:t> eur</w:t>
      </w:r>
      <w:r w:rsidR="00A35F7A">
        <w:rPr>
          <w:rFonts w:ascii="Times New Roman" w:hAnsi="Times New Roman"/>
          <w:szCs w:val="24"/>
        </w:rPr>
        <w:t xml:space="preserve">). </w:t>
      </w:r>
    </w:p>
    <w:p w:rsidR="00672A79" w:rsidRDefault="00672A79" w:rsidP="00C56E69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color w:val="000000"/>
          <w:szCs w:val="24"/>
        </w:rPr>
        <w:t xml:space="preserve">Úrazové dávky sa </w:t>
      </w:r>
      <w:r>
        <w:rPr>
          <w:rFonts w:ascii="Times New Roman" w:hAnsi="Times New Roman"/>
          <w:color w:val="000000"/>
          <w:szCs w:val="24"/>
        </w:rPr>
        <w:t>v rokoch 2025 až 2027 zvyšujú</w:t>
      </w:r>
      <w:r w:rsidRPr="004C7EC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podľa § 89 zákona o sociálnom poistení. </w:t>
      </w:r>
      <w:r w:rsidRPr="00CA4B4A">
        <w:rPr>
          <w:rFonts w:ascii="Times New Roman" w:hAnsi="Times New Roman"/>
          <w:szCs w:val="24"/>
        </w:rPr>
        <w:t>Valorizácia  úrazových dávok sa týka piatich z desiatich určených dávok a to: úrazová renta, pozostalostná úrazová renta, jednorazové odškodnenie, náhrada nákladov spojených s liečením a náhrada nákladov spojených s pohrebom.</w:t>
      </w:r>
      <w:r w:rsidR="00B66FFA">
        <w:rPr>
          <w:rFonts w:ascii="Times New Roman" w:hAnsi="Times New Roman"/>
          <w:szCs w:val="24"/>
        </w:rPr>
        <w:t xml:space="preserve"> </w:t>
      </w:r>
    </w:p>
    <w:p w:rsidR="00B66FFA" w:rsidRDefault="00B66FFA" w:rsidP="00B66FFA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V</w:t>
      </w:r>
      <w:r w:rsidRPr="004C7EC8">
        <w:rPr>
          <w:rFonts w:ascii="Times New Roman" w:hAnsi="Times New Roman"/>
          <w:color w:val="000000"/>
          <w:szCs w:val="24"/>
        </w:rPr>
        <w:t xml:space="preserve">ýdavky na </w:t>
      </w:r>
      <w:r>
        <w:rPr>
          <w:rFonts w:ascii="Times New Roman" w:hAnsi="Times New Roman"/>
          <w:color w:val="000000"/>
          <w:szCs w:val="24"/>
        </w:rPr>
        <w:t>zvýšenie</w:t>
      </w:r>
      <w:r w:rsidRPr="004C7EC8">
        <w:rPr>
          <w:rFonts w:ascii="Times New Roman" w:hAnsi="Times New Roman"/>
          <w:color w:val="000000"/>
          <w:szCs w:val="24"/>
        </w:rPr>
        <w:t xml:space="preserve"> </w:t>
      </w:r>
      <w:r w:rsidRPr="004C7EC8">
        <w:rPr>
          <w:rFonts w:ascii="Times New Roman" w:hAnsi="Times New Roman"/>
          <w:szCs w:val="24"/>
        </w:rPr>
        <w:t>úrazových dávok</w:t>
      </w:r>
      <w:r w:rsidRPr="004C7EC8">
        <w:rPr>
          <w:rFonts w:ascii="Times New Roman" w:hAnsi="Times New Roman"/>
          <w:color w:val="000000"/>
          <w:szCs w:val="24"/>
        </w:rPr>
        <w:t xml:space="preserve"> v rokoch </w:t>
      </w:r>
      <w:r>
        <w:rPr>
          <w:rFonts w:ascii="Times New Roman" w:hAnsi="Times New Roman"/>
          <w:color w:val="000000"/>
          <w:szCs w:val="24"/>
        </w:rPr>
        <w:t xml:space="preserve">2025 až 2027 </w:t>
      </w:r>
      <w:r w:rsidRPr="004C7EC8">
        <w:rPr>
          <w:rFonts w:ascii="Times New Roman" w:hAnsi="Times New Roman"/>
          <w:color w:val="000000"/>
          <w:szCs w:val="24"/>
        </w:rPr>
        <w:t xml:space="preserve"> rozpočtujú:</w:t>
      </w:r>
    </w:p>
    <w:tbl>
      <w:tblPr>
        <w:tblW w:w="863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485"/>
        <w:gridCol w:w="1485"/>
        <w:gridCol w:w="1485"/>
      </w:tblGrid>
      <w:tr w:rsidR="00B66FFA" w:rsidRPr="004C7EC8" w:rsidTr="00B66FFA">
        <w:trPr>
          <w:trHeight w:val="279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FFA" w:rsidRPr="007E6027" w:rsidRDefault="00B66FFA" w:rsidP="00B66F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sz w:val="22"/>
                <w:szCs w:val="22"/>
              </w:rPr>
              <w:t>Text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FFA" w:rsidRPr="007E6027" w:rsidRDefault="00B66FFA" w:rsidP="00B66F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sz w:val="22"/>
                <w:szCs w:val="22"/>
              </w:rPr>
              <w:t>Rok 2025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FFA" w:rsidRPr="007E6027" w:rsidRDefault="00B66FFA" w:rsidP="00B66F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sz w:val="22"/>
                <w:szCs w:val="22"/>
              </w:rPr>
              <w:t>Rok 2026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FFA" w:rsidRPr="007E6027" w:rsidRDefault="00B66FFA" w:rsidP="00B66F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sz w:val="22"/>
                <w:szCs w:val="22"/>
              </w:rPr>
              <w:t>Rok 2027</w:t>
            </w:r>
          </w:p>
        </w:tc>
      </w:tr>
      <w:tr w:rsidR="00B66FFA" w:rsidRPr="004C7EC8" w:rsidTr="00B66FFA">
        <w:trPr>
          <w:trHeight w:val="274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FFA" w:rsidRPr="004C7EC8" w:rsidRDefault="00B66FFA" w:rsidP="00B66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FFA" w:rsidRPr="004C7EC8" w:rsidRDefault="00B66FFA" w:rsidP="00B66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FFA" w:rsidRPr="004C7EC8" w:rsidRDefault="00B66FFA" w:rsidP="00B66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FFA" w:rsidRPr="004C7EC8" w:rsidRDefault="00B66FFA" w:rsidP="00B66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66FFA" w:rsidRPr="004C7EC8" w:rsidTr="00B66FFA">
        <w:trPr>
          <w:trHeight w:val="274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FFA" w:rsidRPr="004C7EC8" w:rsidRDefault="00B66FFA" w:rsidP="00C56E69">
            <w:pPr>
              <w:rPr>
                <w:rFonts w:ascii="Times New Roman" w:hAnsi="Times New Roman"/>
                <w:sz w:val="22"/>
                <w:szCs w:val="22"/>
              </w:rPr>
            </w:pPr>
            <w:r w:rsidRPr="00597EAD">
              <w:rPr>
                <w:rFonts w:ascii="Times New Roman" w:hAnsi="Times New Roman"/>
                <w:sz w:val="22"/>
                <w:szCs w:val="22"/>
              </w:rPr>
              <w:t>Zvýšenie</w:t>
            </w:r>
            <w:r w:rsidR="00C56E69">
              <w:rPr>
                <w:rFonts w:ascii="Times New Roman" w:hAnsi="Times New Roman"/>
                <w:sz w:val="22"/>
                <w:szCs w:val="22"/>
              </w:rPr>
              <w:t xml:space="preserve"> (v %) 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FFA" w:rsidRPr="004C7EC8" w:rsidRDefault="00B66FFA" w:rsidP="00C56E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FFA" w:rsidRPr="004C7EC8" w:rsidRDefault="00B66FFA" w:rsidP="00C56E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5,5</w:t>
            </w:r>
            <w:r w:rsidR="00C56E6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FFA" w:rsidRDefault="00B66FFA" w:rsidP="00C56E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2,7</w:t>
            </w:r>
          </w:p>
        </w:tc>
      </w:tr>
      <w:tr w:rsidR="00B66FFA" w:rsidRPr="004C7EC8" w:rsidTr="00B66FFA">
        <w:trPr>
          <w:trHeight w:val="364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FFA" w:rsidRPr="004C7EC8" w:rsidRDefault="00B66FFA" w:rsidP="00B66FFA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Výdavky na zvýšenie úrazových dávok podľa zákona o sociálnom poistení (v tis. 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4C7EC8">
              <w:rPr>
                <w:rFonts w:ascii="Times New Roman" w:hAnsi="Times New Roman"/>
                <w:sz w:val="22"/>
                <w:szCs w:val="22"/>
              </w:rPr>
              <w:t>ur)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FFA" w:rsidRPr="004C7EC8" w:rsidRDefault="00B66FFA" w:rsidP="00B66F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1 040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FFA" w:rsidRPr="004C7EC8" w:rsidRDefault="00B66FFA" w:rsidP="00B66F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2 350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FFA" w:rsidRDefault="00B66FFA" w:rsidP="00B66F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1 214</w:t>
            </w:r>
          </w:p>
        </w:tc>
      </w:tr>
    </w:tbl>
    <w:p w:rsidR="00B66FFA" w:rsidRDefault="00B66FFA" w:rsidP="00B66FFA">
      <w:pPr>
        <w:pStyle w:val="Zarkazkladnhotextu2"/>
        <w:spacing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</w:p>
    <w:p w:rsidR="00672A79" w:rsidRPr="00645613" w:rsidRDefault="00672A79" w:rsidP="00090695">
      <w:pPr>
        <w:tabs>
          <w:tab w:val="decimal" w:pos="-3240"/>
          <w:tab w:val="decimal" w:pos="8280"/>
        </w:tabs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645613">
        <w:rPr>
          <w:rFonts w:ascii="Times New Roman" w:hAnsi="Times New Roman"/>
          <w:b/>
          <w:szCs w:val="24"/>
        </w:rPr>
        <w:t xml:space="preserve">Na rok 2025 </w:t>
      </w:r>
      <w:r w:rsidRPr="00645613">
        <w:rPr>
          <w:rFonts w:ascii="Times New Roman" w:hAnsi="Times New Roman"/>
          <w:szCs w:val="24"/>
        </w:rPr>
        <w:t>sa</w:t>
      </w:r>
      <w:r w:rsidRPr="00645613">
        <w:rPr>
          <w:rFonts w:ascii="Times New Roman" w:hAnsi="Times New Roman"/>
          <w:b/>
          <w:szCs w:val="24"/>
        </w:rPr>
        <w:t xml:space="preserve"> </w:t>
      </w:r>
      <w:r w:rsidRPr="00645613">
        <w:rPr>
          <w:rFonts w:ascii="Times New Roman" w:hAnsi="Times New Roman"/>
          <w:szCs w:val="24"/>
        </w:rPr>
        <w:t>predpokladajú</w:t>
      </w:r>
      <w:r w:rsidRPr="00645613">
        <w:rPr>
          <w:rFonts w:ascii="Times New Roman" w:hAnsi="Times New Roman"/>
          <w:b/>
          <w:szCs w:val="24"/>
        </w:rPr>
        <w:t xml:space="preserve"> výdavky základného fondu garančného poistenia</w:t>
      </w:r>
      <w:r w:rsidRPr="00645613">
        <w:rPr>
          <w:rFonts w:ascii="Times New Roman" w:hAnsi="Times New Roman"/>
          <w:szCs w:val="24"/>
        </w:rPr>
        <w:t xml:space="preserve"> vo výške </w:t>
      </w:r>
      <w:r w:rsidR="00645613" w:rsidRPr="00645613">
        <w:rPr>
          <w:rFonts w:ascii="Times New Roman" w:hAnsi="Times New Roman"/>
          <w:b/>
          <w:szCs w:val="24"/>
        </w:rPr>
        <w:t>4</w:t>
      </w:r>
      <w:r w:rsidRPr="00645613">
        <w:rPr>
          <w:rFonts w:ascii="Times New Roman" w:hAnsi="Times New Roman"/>
          <w:b/>
          <w:szCs w:val="24"/>
        </w:rPr>
        <w:t>2 </w:t>
      </w:r>
      <w:r w:rsidR="00645613" w:rsidRPr="00645613">
        <w:rPr>
          <w:rFonts w:ascii="Times New Roman" w:hAnsi="Times New Roman"/>
          <w:b/>
          <w:szCs w:val="24"/>
        </w:rPr>
        <w:t>827</w:t>
      </w:r>
      <w:r w:rsidRPr="00645613">
        <w:rPr>
          <w:rFonts w:ascii="Times New Roman" w:hAnsi="Times New Roman"/>
          <w:b/>
          <w:szCs w:val="24"/>
        </w:rPr>
        <w:t> tis. eur,</w:t>
      </w:r>
      <w:r w:rsidRPr="00645613">
        <w:rPr>
          <w:rFonts w:ascii="Times New Roman" w:hAnsi="Times New Roman"/>
          <w:szCs w:val="24"/>
        </w:rPr>
        <w:t xml:space="preserve"> v tom výdavky na dávku garančného poistenia vo výške </w:t>
      </w:r>
      <w:r w:rsidR="00645613" w:rsidRPr="00645613">
        <w:rPr>
          <w:rFonts w:ascii="Times New Roman" w:hAnsi="Times New Roman"/>
          <w:szCs w:val="24"/>
        </w:rPr>
        <w:t>4 500</w:t>
      </w:r>
      <w:r w:rsidRPr="00645613">
        <w:rPr>
          <w:rFonts w:ascii="Times New Roman" w:hAnsi="Times New Roman"/>
          <w:szCs w:val="24"/>
        </w:rPr>
        <w:t xml:space="preserve"> tis. eur a úhrada príspevkov na SDS nezaplatených zamestnávateľom do základného fondu príspevkov na starobné dôchodkové sporenie vo výške </w:t>
      </w:r>
      <w:r w:rsidR="00645613" w:rsidRPr="00645613">
        <w:rPr>
          <w:rFonts w:ascii="Times New Roman" w:hAnsi="Times New Roman"/>
          <w:szCs w:val="24"/>
        </w:rPr>
        <w:t>3</w:t>
      </w:r>
      <w:r w:rsidRPr="00645613">
        <w:rPr>
          <w:rFonts w:ascii="Times New Roman" w:hAnsi="Times New Roman"/>
          <w:szCs w:val="24"/>
        </w:rPr>
        <w:t>8 </w:t>
      </w:r>
      <w:r w:rsidR="00645613" w:rsidRPr="00645613">
        <w:rPr>
          <w:rFonts w:ascii="Times New Roman" w:hAnsi="Times New Roman"/>
          <w:szCs w:val="24"/>
        </w:rPr>
        <w:t>327</w:t>
      </w:r>
      <w:r w:rsidRPr="00645613">
        <w:rPr>
          <w:rFonts w:ascii="Times New Roman" w:hAnsi="Times New Roman"/>
          <w:szCs w:val="24"/>
        </w:rPr>
        <w:t xml:space="preserve"> tis. eur. Výdavky na dávku garančného poistenia sú, vzhľadom na ich náhodný charakter, stanovené odhadom. Čerpanie týchto prostriedkov je viazané výlučne na insolventnosť zamestnávateľov. </w:t>
      </w:r>
    </w:p>
    <w:p w:rsidR="00672A79" w:rsidRDefault="00672A79" w:rsidP="00E74190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645613">
        <w:rPr>
          <w:rFonts w:ascii="Times New Roman" w:hAnsi="Times New Roman"/>
          <w:b/>
          <w:szCs w:val="24"/>
        </w:rPr>
        <w:t>Výdavky základného fondu poistenia v nezamestnanosti</w:t>
      </w:r>
      <w:r w:rsidRPr="00645613">
        <w:rPr>
          <w:rFonts w:ascii="Times New Roman" w:hAnsi="Times New Roman"/>
          <w:szCs w:val="24"/>
        </w:rPr>
        <w:t xml:space="preserve"> sa </w:t>
      </w:r>
      <w:r w:rsidRPr="00645613">
        <w:rPr>
          <w:rFonts w:ascii="Times New Roman" w:hAnsi="Times New Roman"/>
          <w:b/>
          <w:szCs w:val="24"/>
        </w:rPr>
        <w:t>v</w:t>
      </w:r>
      <w:r w:rsidRPr="00645613">
        <w:rPr>
          <w:rFonts w:ascii="Times New Roman" w:hAnsi="Times New Roman"/>
          <w:szCs w:val="24"/>
        </w:rPr>
        <w:t xml:space="preserve"> </w:t>
      </w:r>
      <w:r w:rsidRPr="00645613">
        <w:rPr>
          <w:rFonts w:ascii="Times New Roman" w:hAnsi="Times New Roman"/>
          <w:b/>
          <w:szCs w:val="24"/>
        </w:rPr>
        <w:t>roku</w:t>
      </w:r>
      <w:r w:rsidRPr="00645613">
        <w:rPr>
          <w:rFonts w:ascii="Times New Roman" w:hAnsi="Times New Roman"/>
          <w:szCs w:val="24"/>
        </w:rPr>
        <w:t xml:space="preserve"> </w:t>
      </w:r>
      <w:r w:rsidRPr="00645613">
        <w:rPr>
          <w:rFonts w:ascii="Times New Roman" w:hAnsi="Times New Roman"/>
          <w:b/>
          <w:szCs w:val="24"/>
        </w:rPr>
        <w:t xml:space="preserve">2025 </w:t>
      </w:r>
      <w:r w:rsidRPr="00645613">
        <w:rPr>
          <w:rFonts w:ascii="Times New Roman" w:hAnsi="Times New Roman"/>
          <w:szCs w:val="24"/>
        </w:rPr>
        <w:t xml:space="preserve">predpokladajú vo výške </w:t>
      </w:r>
      <w:r w:rsidR="00645613" w:rsidRPr="00645613">
        <w:rPr>
          <w:rFonts w:ascii="Times New Roman" w:hAnsi="Times New Roman"/>
          <w:b/>
          <w:szCs w:val="24"/>
        </w:rPr>
        <w:t>306 987</w:t>
      </w:r>
      <w:r w:rsidRPr="00645613">
        <w:rPr>
          <w:rFonts w:ascii="Times New Roman" w:hAnsi="Times New Roman"/>
          <w:b/>
          <w:szCs w:val="24"/>
        </w:rPr>
        <w:t xml:space="preserve"> tis. eur. </w:t>
      </w:r>
      <w:r w:rsidRPr="00645613">
        <w:rPr>
          <w:rFonts w:ascii="Times New Roman" w:hAnsi="Times New Roman"/>
          <w:szCs w:val="24"/>
        </w:rPr>
        <w:t>V uvedenej</w:t>
      </w:r>
      <w:r w:rsidRPr="00645613">
        <w:rPr>
          <w:rFonts w:ascii="Times New Roman" w:hAnsi="Times New Roman"/>
          <w:b/>
          <w:szCs w:val="24"/>
        </w:rPr>
        <w:t xml:space="preserve"> </w:t>
      </w:r>
      <w:r w:rsidRPr="00645613">
        <w:rPr>
          <w:rFonts w:ascii="Times New Roman" w:hAnsi="Times New Roman"/>
          <w:szCs w:val="24"/>
        </w:rPr>
        <w:t xml:space="preserve">sume je zapracované postúpenie finančných prostriedkov, ktoré žiada príslušný orgán na výplatu podpory v čase skrátenej práce vo výške </w:t>
      </w:r>
      <w:r w:rsidR="00645613" w:rsidRPr="00645613">
        <w:rPr>
          <w:rFonts w:ascii="Times New Roman" w:hAnsi="Times New Roman"/>
          <w:szCs w:val="24"/>
        </w:rPr>
        <w:t>3 743</w:t>
      </w:r>
      <w:r w:rsidRPr="00645613">
        <w:rPr>
          <w:rFonts w:ascii="Times New Roman" w:hAnsi="Times New Roman"/>
          <w:szCs w:val="24"/>
        </w:rPr>
        <w:t> tis. eur.</w:t>
      </w:r>
      <w:r w:rsidR="00A35F7A">
        <w:rPr>
          <w:rFonts w:ascii="Times New Roman" w:hAnsi="Times New Roman"/>
          <w:szCs w:val="24"/>
        </w:rPr>
        <w:t xml:space="preserve"> </w:t>
      </w:r>
      <w:r w:rsidRPr="00645613">
        <w:rPr>
          <w:rFonts w:ascii="Times New Roman" w:hAnsi="Times New Roman"/>
          <w:szCs w:val="24"/>
        </w:rPr>
        <w:t xml:space="preserve">Pri </w:t>
      </w:r>
      <w:r w:rsidRPr="00645613">
        <w:rPr>
          <w:rFonts w:ascii="Times New Roman" w:hAnsi="Times New Roman"/>
          <w:szCs w:val="24"/>
        </w:rPr>
        <w:lastRenderedPageBreak/>
        <w:t>kvantifikácii výdavkov na dávku v nezamestnanosti bol zohľadnený</w:t>
      </w:r>
      <w:r w:rsidRPr="00645613">
        <w:rPr>
          <w:rFonts w:ascii="Times New Roman" w:hAnsi="Times New Roman"/>
          <w:b/>
          <w:szCs w:val="24"/>
        </w:rPr>
        <w:t xml:space="preserve"> </w:t>
      </w:r>
      <w:r w:rsidRPr="00645613">
        <w:rPr>
          <w:rFonts w:ascii="Times New Roman" w:hAnsi="Times New Roman"/>
          <w:szCs w:val="24"/>
        </w:rPr>
        <w:t>mierny nárast počtu poberateľov dávky a nárast priemernej mesačnej výšky dávky vzhľadom na rast mzdy.</w:t>
      </w:r>
    </w:p>
    <w:p w:rsidR="0017307D" w:rsidRPr="00685EA7" w:rsidRDefault="0017307D" w:rsidP="0017307D">
      <w:pPr>
        <w:spacing w:before="240"/>
        <w:ind w:firstLine="709"/>
        <w:jc w:val="both"/>
        <w:rPr>
          <w:rFonts w:ascii="Times New Roman" w:hAnsi="Times New Roman"/>
          <w:szCs w:val="24"/>
        </w:rPr>
      </w:pPr>
      <w:r w:rsidRPr="00E74190">
        <w:rPr>
          <w:rFonts w:ascii="Times New Roman" w:hAnsi="Times New Roman"/>
          <w:b/>
          <w:szCs w:val="24"/>
        </w:rPr>
        <w:t>V rokoch 2025 až 2027</w:t>
      </w:r>
      <w:r w:rsidRPr="00685EA7">
        <w:rPr>
          <w:rFonts w:ascii="Times New Roman" w:hAnsi="Times New Roman"/>
          <w:szCs w:val="24"/>
        </w:rPr>
        <w:t xml:space="preserve"> sa </w:t>
      </w:r>
      <w:r w:rsidRPr="00E74190">
        <w:rPr>
          <w:rFonts w:ascii="Times New Roman" w:hAnsi="Times New Roman"/>
          <w:b/>
          <w:szCs w:val="24"/>
        </w:rPr>
        <w:t>výdavky (náklady) správneho fondu</w:t>
      </w:r>
      <w:r w:rsidRPr="00685EA7">
        <w:rPr>
          <w:rFonts w:ascii="Times New Roman" w:hAnsi="Times New Roman"/>
          <w:b/>
          <w:szCs w:val="24"/>
        </w:rPr>
        <w:t xml:space="preserve"> </w:t>
      </w:r>
      <w:r w:rsidRPr="00685EA7">
        <w:rPr>
          <w:rFonts w:ascii="Times New Roman" w:hAnsi="Times New Roman"/>
          <w:szCs w:val="24"/>
        </w:rPr>
        <w:t>predpokladajú:</w:t>
      </w:r>
    </w:p>
    <w:p w:rsidR="0017307D" w:rsidRPr="00685EA7" w:rsidRDefault="0017307D" w:rsidP="006B336F">
      <w:pPr>
        <w:spacing w:before="120"/>
        <w:jc w:val="right"/>
        <w:rPr>
          <w:rFonts w:ascii="Times New Roman" w:hAnsi="Times New Roman"/>
          <w:sz w:val="22"/>
          <w:szCs w:val="22"/>
        </w:rPr>
      </w:pP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22"/>
          <w:szCs w:val="22"/>
        </w:rPr>
        <w:t xml:space="preserve">v tis. </w:t>
      </w:r>
      <w:r w:rsidR="006B336F">
        <w:rPr>
          <w:rFonts w:ascii="Times New Roman" w:hAnsi="Times New Roman"/>
          <w:sz w:val="22"/>
          <w:szCs w:val="22"/>
        </w:rPr>
        <w:t>e</w:t>
      </w:r>
      <w:r w:rsidRPr="00685EA7">
        <w:rPr>
          <w:rFonts w:ascii="Times New Roman" w:hAnsi="Times New Roman"/>
          <w:sz w:val="22"/>
          <w:szCs w:val="22"/>
        </w:rPr>
        <w:t>ur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1559"/>
        <w:gridCol w:w="1418"/>
        <w:gridCol w:w="1417"/>
      </w:tblGrid>
      <w:tr w:rsidR="0017307D" w:rsidRPr="00685EA7" w:rsidTr="006B336F">
        <w:tc>
          <w:tcPr>
            <w:tcW w:w="4887" w:type="dxa"/>
            <w:noWrap/>
            <w:vAlign w:val="bottom"/>
          </w:tcPr>
          <w:p w:rsidR="0017307D" w:rsidRPr="006B336F" w:rsidRDefault="0017307D" w:rsidP="00DB20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336F">
              <w:rPr>
                <w:rFonts w:ascii="Times New Roman" w:hAnsi="Times New Roman"/>
                <w:b/>
                <w:sz w:val="22"/>
                <w:szCs w:val="22"/>
              </w:rPr>
              <w:t>Ukazovateľ</w:t>
            </w:r>
          </w:p>
        </w:tc>
        <w:tc>
          <w:tcPr>
            <w:tcW w:w="1559" w:type="dxa"/>
            <w:vAlign w:val="bottom"/>
          </w:tcPr>
          <w:p w:rsidR="0017307D" w:rsidRPr="006B336F" w:rsidRDefault="0017307D" w:rsidP="00DB20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336F">
              <w:rPr>
                <w:rFonts w:ascii="Times New Roman" w:hAnsi="Times New Roman"/>
                <w:b/>
                <w:sz w:val="22"/>
                <w:szCs w:val="22"/>
              </w:rPr>
              <w:t>Rok 2025</w:t>
            </w:r>
          </w:p>
        </w:tc>
        <w:tc>
          <w:tcPr>
            <w:tcW w:w="1418" w:type="dxa"/>
            <w:vAlign w:val="bottom"/>
          </w:tcPr>
          <w:p w:rsidR="0017307D" w:rsidRPr="006B336F" w:rsidRDefault="0017307D" w:rsidP="00DB20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336F">
              <w:rPr>
                <w:rFonts w:ascii="Times New Roman" w:hAnsi="Times New Roman"/>
                <w:b/>
                <w:sz w:val="22"/>
                <w:szCs w:val="22"/>
              </w:rPr>
              <w:t>Rok 2026</w:t>
            </w:r>
          </w:p>
        </w:tc>
        <w:tc>
          <w:tcPr>
            <w:tcW w:w="1417" w:type="dxa"/>
            <w:vAlign w:val="bottom"/>
          </w:tcPr>
          <w:p w:rsidR="0017307D" w:rsidRPr="006B336F" w:rsidRDefault="0017307D" w:rsidP="00DB20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336F">
              <w:rPr>
                <w:rFonts w:ascii="Times New Roman" w:hAnsi="Times New Roman"/>
                <w:b/>
                <w:sz w:val="22"/>
                <w:szCs w:val="22"/>
              </w:rPr>
              <w:t>Rok 2027</w:t>
            </w:r>
          </w:p>
        </w:tc>
      </w:tr>
      <w:tr w:rsidR="0017307D" w:rsidRPr="00685EA7" w:rsidTr="007833B5">
        <w:tc>
          <w:tcPr>
            <w:tcW w:w="4887" w:type="dxa"/>
            <w:tcBorders>
              <w:bottom w:val="single" w:sz="4" w:space="0" w:color="auto"/>
            </w:tcBorders>
            <w:noWrap/>
            <w:vAlign w:val="bottom"/>
          </w:tcPr>
          <w:p w:rsidR="0017307D" w:rsidRPr="00685EA7" w:rsidRDefault="0017307D" w:rsidP="00DB206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17307D" w:rsidRPr="00685EA7" w:rsidRDefault="0017307D" w:rsidP="00DB206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7307D" w:rsidRPr="00685EA7" w:rsidRDefault="0017307D" w:rsidP="00DB206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17307D" w:rsidRPr="00685EA7" w:rsidRDefault="0017307D" w:rsidP="00DB206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B64BB9" w:rsidRPr="00685EA7" w:rsidTr="007833B5">
        <w:tc>
          <w:tcPr>
            <w:tcW w:w="4887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4BB9" w:rsidRPr="00685EA7" w:rsidRDefault="00B64BB9" w:rsidP="00B64B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Bežné výdavky (náklady) 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274 510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290 927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293 275</w:t>
            </w:r>
          </w:p>
        </w:tc>
      </w:tr>
      <w:tr w:rsidR="00B64BB9" w:rsidRPr="00685EA7" w:rsidTr="007833B5">
        <w:tc>
          <w:tcPr>
            <w:tcW w:w="4887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B64BB9" w:rsidRPr="00685EA7" w:rsidRDefault="00B64BB9" w:rsidP="00B64BB9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- mzdy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128 067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132 474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134 625</w:t>
            </w:r>
          </w:p>
        </w:tc>
      </w:tr>
      <w:tr w:rsidR="00B64BB9" w:rsidRPr="00685EA7" w:rsidTr="007833B5">
        <w:tc>
          <w:tcPr>
            <w:tcW w:w="4887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B64BB9" w:rsidRPr="00685EA7" w:rsidRDefault="00B64BB9" w:rsidP="00B64BB9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- poistné a príspevok do poisťovní.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50 587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52 327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53 177</w:t>
            </w:r>
          </w:p>
        </w:tc>
      </w:tr>
      <w:tr w:rsidR="00B64BB9" w:rsidRPr="00685EA7" w:rsidTr="007833B5">
        <w:tc>
          <w:tcPr>
            <w:tcW w:w="4887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B64BB9" w:rsidRPr="00685EA7" w:rsidRDefault="00B64BB9" w:rsidP="00B64BB9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- tovary a služby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89 696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99 816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073</w:t>
            </w:r>
          </w:p>
        </w:tc>
      </w:tr>
      <w:tr w:rsidR="00B64BB9" w:rsidRPr="00685EA7" w:rsidTr="007833B5">
        <w:tc>
          <w:tcPr>
            <w:tcW w:w="4887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B64BB9" w:rsidRPr="00685EA7" w:rsidRDefault="00B64BB9" w:rsidP="00B64BB9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- bežné transfery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6 400</w:t>
            </w:r>
          </w:p>
        </w:tc>
      </w:tr>
      <w:tr w:rsidR="00B64BB9" w:rsidRPr="00685EA7" w:rsidTr="007833B5">
        <w:tc>
          <w:tcPr>
            <w:tcW w:w="4887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B64BB9" w:rsidRPr="00685EA7" w:rsidRDefault="00B64BB9" w:rsidP="00B64B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Kapitálové výdavky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7 673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7 673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7 673</w:t>
            </w:r>
          </w:p>
        </w:tc>
      </w:tr>
      <w:tr w:rsidR="00B64BB9" w:rsidRPr="00685EA7" w:rsidTr="007833B5">
        <w:tc>
          <w:tcPr>
            <w:tcW w:w="4887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4BB9" w:rsidRPr="00685EA7" w:rsidRDefault="00B64BB9" w:rsidP="00B64B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Výdavky z transakcií s finančnými aktívami a finančnými pasívami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25</w:t>
            </w:r>
          </w:p>
        </w:tc>
      </w:tr>
      <w:tr w:rsidR="00B64BB9" w:rsidRPr="00685EA7" w:rsidTr="007833B5">
        <w:tc>
          <w:tcPr>
            <w:tcW w:w="488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64BB9" w:rsidRPr="00685EA7" w:rsidRDefault="00B64BB9" w:rsidP="00B64B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Spolu výdavky (náklady) správneho fondu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282 208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298 625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4BB9" w:rsidRPr="00685EA7" w:rsidRDefault="00B64BB9" w:rsidP="00B64BB9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300 973</w:t>
            </w:r>
          </w:p>
        </w:tc>
      </w:tr>
    </w:tbl>
    <w:p w:rsidR="00E74190" w:rsidRDefault="00E74190" w:rsidP="00E74190">
      <w:pPr>
        <w:tabs>
          <w:tab w:val="right" w:pos="8931"/>
        </w:tabs>
        <w:spacing w:before="240" w:after="120"/>
        <w:ind w:firstLine="720"/>
        <w:jc w:val="both"/>
        <w:rPr>
          <w:rFonts w:ascii="Times New Roman" w:hAnsi="Times New Roman"/>
        </w:rPr>
      </w:pPr>
      <w:r w:rsidRPr="00685EA7">
        <w:rPr>
          <w:rFonts w:ascii="Times New Roman" w:hAnsi="Times New Roman"/>
        </w:rPr>
        <w:t>V návrhu rozpočtu na rok 20</w:t>
      </w:r>
      <w:r>
        <w:rPr>
          <w:rFonts w:ascii="Times New Roman" w:hAnsi="Times New Roman"/>
        </w:rPr>
        <w:t>25</w:t>
      </w:r>
      <w:r w:rsidRPr="00685EA7">
        <w:rPr>
          <w:rFonts w:ascii="Times New Roman" w:hAnsi="Times New Roman"/>
        </w:rPr>
        <w:t xml:space="preserve"> sa na celkových výdavkoch (nákladoch) správneho fondu najväčšou mierou podieľajú prostriedky na mzdy v objeme </w:t>
      </w:r>
      <w:r>
        <w:rPr>
          <w:rFonts w:ascii="Times New Roman" w:hAnsi="Times New Roman"/>
        </w:rPr>
        <w:t>45,38</w:t>
      </w:r>
      <w:r w:rsidRPr="00685EA7">
        <w:rPr>
          <w:rFonts w:ascii="Times New Roman" w:hAnsi="Times New Roman"/>
        </w:rPr>
        <w:t xml:space="preserve"> %.  S tým súvisiace plnenia (poistné a príspevok do poisťovní) predstavujú </w:t>
      </w:r>
      <w:r>
        <w:rPr>
          <w:rFonts w:ascii="Times New Roman" w:hAnsi="Times New Roman"/>
        </w:rPr>
        <w:t>17</w:t>
      </w:r>
      <w:r w:rsidRPr="00685EA7">
        <w:rPr>
          <w:rFonts w:ascii="Times New Roman" w:hAnsi="Times New Roman"/>
        </w:rPr>
        <w:t>,</w:t>
      </w:r>
      <w:r>
        <w:rPr>
          <w:rFonts w:ascii="Times New Roman" w:hAnsi="Times New Roman"/>
        </w:rPr>
        <w:t>92</w:t>
      </w:r>
      <w:r w:rsidRPr="00685EA7">
        <w:rPr>
          <w:rFonts w:ascii="Times New Roman" w:hAnsi="Times New Roman"/>
        </w:rPr>
        <w:t xml:space="preserve"> %. Ostatné prevádzkové náklady tvoria </w:t>
      </w:r>
      <w:r>
        <w:rPr>
          <w:rFonts w:ascii="Times New Roman" w:hAnsi="Times New Roman"/>
        </w:rPr>
        <w:t>33,98</w:t>
      </w:r>
      <w:r w:rsidRPr="00685EA7">
        <w:rPr>
          <w:rFonts w:ascii="Times New Roman" w:hAnsi="Times New Roman"/>
        </w:rPr>
        <w:t xml:space="preserve"> % podiel. Zostávajúcich </w:t>
      </w:r>
      <w:r>
        <w:rPr>
          <w:rFonts w:ascii="Times New Roman" w:hAnsi="Times New Roman"/>
        </w:rPr>
        <w:t>2,72</w:t>
      </w:r>
      <w:r w:rsidRPr="00685EA7">
        <w:rPr>
          <w:rFonts w:ascii="Times New Roman" w:hAnsi="Times New Roman"/>
        </w:rPr>
        <w:t xml:space="preserve"> % je určených na  kapitálové výdavky.</w:t>
      </w:r>
    </w:p>
    <w:p w:rsidR="0017307D" w:rsidRPr="00685EA7" w:rsidRDefault="0017307D" w:rsidP="0017307D">
      <w:pPr>
        <w:tabs>
          <w:tab w:val="right" w:pos="8931"/>
        </w:tabs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685EA7">
        <w:rPr>
          <w:rFonts w:ascii="Times New Roman" w:hAnsi="Times New Roman"/>
          <w:szCs w:val="24"/>
        </w:rPr>
        <w:t>V oblasti ľudských zdrojov rozpočtované finančné prostriedky určujú nasledujúci vývoj: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418"/>
        <w:gridCol w:w="1181"/>
        <w:gridCol w:w="1181"/>
        <w:gridCol w:w="1181"/>
      </w:tblGrid>
      <w:tr w:rsidR="0017307D" w:rsidRPr="00685EA7" w:rsidTr="00A35F7A">
        <w:tc>
          <w:tcPr>
            <w:tcW w:w="2977" w:type="dxa"/>
            <w:vAlign w:val="center"/>
          </w:tcPr>
          <w:p w:rsidR="0017307D" w:rsidRPr="00D246D7" w:rsidRDefault="0017307D" w:rsidP="00DB206A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46D7">
              <w:rPr>
                <w:rFonts w:ascii="Times New Roman" w:hAnsi="Times New Roman"/>
                <w:b/>
                <w:sz w:val="22"/>
                <w:szCs w:val="22"/>
              </w:rPr>
              <w:t>Ukazovateľ</w:t>
            </w:r>
          </w:p>
        </w:tc>
        <w:tc>
          <w:tcPr>
            <w:tcW w:w="1134" w:type="dxa"/>
            <w:vAlign w:val="center"/>
          </w:tcPr>
          <w:p w:rsidR="0017307D" w:rsidRPr="00D246D7" w:rsidRDefault="0017307D" w:rsidP="00DB206A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46D7">
              <w:rPr>
                <w:rFonts w:ascii="Times New Roman" w:hAnsi="Times New Roman"/>
                <w:b/>
                <w:sz w:val="22"/>
                <w:szCs w:val="22"/>
              </w:rPr>
              <w:t>Merná jednotka</w:t>
            </w:r>
          </w:p>
        </w:tc>
        <w:tc>
          <w:tcPr>
            <w:tcW w:w="1418" w:type="dxa"/>
            <w:vAlign w:val="center"/>
          </w:tcPr>
          <w:p w:rsidR="0017307D" w:rsidRPr="00D246D7" w:rsidRDefault="0017307D" w:rsidP="00DB206A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46D7">
              <w:rPr>
                <w:rFonts w:ascii="Times New Roman" w:hAnsi="Times New Roman"/>
                <w:b/>
                <w:sz w:val="22"/>
                <w:szCs w:val="22"/>
              </w:rPr>
              <w:t>Očakávaná skutočnosť k 31.12 2024</w:t>
            </w:r>
          </w:p>
        </w:tc>
        <w:tc>
          <w:tcPr>
            <w:tcW w:w="1181" w:type="dxa"/>
            <w:vAlign w:val="center"/>
          </w:tcPr>
          <w:p w:rsidR="0017307D" w:rsidRPr="00D246D7" w:rsidRDefault="0017307D" w:rsidP="00DB206A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46D7">
              <w:rPr>
                <w:rFonts w:ascii="Times New Roman" w:hAnsi="Times New Roman"/>
                <w:b/>
                <w:sz w:val="22"/>
                <w:szCs w:val="22"/>
              </w:rPr>
              <w:t>Rok 2025</w:t>
            </w:r>
          </w:p>
        </w:tc>
        <w:tc>
          <w:tcPr>
            <w:tcW w:w="1181" w:type="dxa"/>
            <w:vAlign w:val="center"/>
          </w:tcPr>
          <w:p w:rsidR="0017307D" w:rsidRPr="00D246D7" w:rsidRDefault="0017307D" w:rsidP="00DB206A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46D7">
              <w:rPr>
                <w:rFonts w:ascii="Times New Roman" w:hAnsi="Times New Roman"/>
                <w:b/>
                <w:sz w:val="22"/>
                <w:szCs w:val="22"/>
              </w:rPr>
              <w:t>Rok 2026</w:t>
            </w:r>
          </w:p>
        </w:tc>
        <w:tc>
          <w:tcPr>
            <w:tcW w:w="1181" w:type="dxa"/>
            <w:vAlign w:val="center"/>
          </w:tcPr>
          <w:p w:rsidR="0017307D" w:rsidRPr="00D246D7" w:rsidRDefault="0017307D" w:rsidP="00DB206A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46D7">
              <w:rPr>
                <w:rFonts w:ascii="Times New Roman" w:hAnsi="Times New Roman"/>
                <w:b/>
                <w:sz w:val="22"/>
                <w:szCs w:val="22"/>
              </w:rPr>
              <w:t>Rok 2027</w:t>
            </w:r>
          </w:p>
        </w:tc>
      </w:tr>
      <w:tr w:rsidR="0017307D" w:rsidRPr="00685EA7" w:rsidTr="00A35F7A">
        <w:tc>
          <w:tcPr>
            <w:tcW w:w="4111" w:type="dxa"/>
            <w:gridSpan w:val="2"/>
          </w:tcPr>
          <w:p w:rsidR="0017307D" w:rsidRPr="00685EA7" w:rsidRDefault="0017307D" w:rsidP="00DB206A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18" w:type="dxa"/>
          </w:tcPr>
          <w:p w:rsidR="0017307D" w:rsidRPr="00685EA7" w:rsidRDefault="0017307D" w:rsidP="00DB206A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81" w:type="dxa"/>
          </w:tcPr>
          <w:p w:rsidR="0017307D" w:rsidRPr="00685EA7" w:rsidRDefault="0017307D" w:rsidP="00DB206A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81" w:type="dxa"/>
          </w:tcPr>
          <w:p w:rsidR="0017307D" w:rsidRPr="00685EA7" w:rsidRDefault="0017307D" w:rsidP="00DB206A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81" w:type="dxa"/>
          </w:tcPr>
          <w:p w:rsidR="0017307D" w:rsidRPr="00685EA7" w:rsidRDefault="0017307D" w:rsidP="00DB206A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E74190" w:rsidRPr="00685EA7" w:rsidTr="00A35F7A">
        <w:tc>
          <w:tcPr>
            <w:tcW w:w="2977" w:type="dxa"/>
          </w:tcPr>
          <w:p w:rsidR="00E74190" w:rsidRPr="00685EA7" w:rsidRDefault="00E74190" w:rsidP="00E74190">
            <w:pPr>
              <w:tabs>
                <w:tab w:val="right" w:pos="8931"/>
              </w:tabs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Priemerný evidenčný počet zamestnancov</w:t>
            </w:r>
          </w:p>
        </w:tc>
        <w:tc>
          <w:tcPr>
            <w:tcW w:w="1134" w:type="dxa"/>
            <w:vAlign w:val="bottom"/>
          </w:tcPr>
          <w:p w:rsidR="00E74190" w:rsidRPr="00685EA7" w:rsidRDefault="00E74190" w:rsidP="00E74190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osoby</w:t>
            </w:r>
          </w:p>
        </w:tc>
        <w:tc>
          <w:tcPr>
            <w:tcW w:w="1418" w:type="dxa"/>
            <w:vAlign w:val="bottom"/>
          </w:tcPr>
          <w:p w:rsidR="00E74190" w:rsidRPr="00685EA7" w:rsidRDefault="00E74190" w:rsidP="00E74190">
            <w:pPr>
              <w:tabs>
                <w:tab w:val="right" w:pos="8931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541</w:t>
            </w:r>
          </w:p>
        </w:tc>
        <w:tc>
          <w:tcPr>
            <w:tcW w:w="1181" w:type="dxa"/>
            <w:vAlign w:val="bottom"/>
          </w:tcPr>
          <w:p w:rsidR="00E74190" w:rsidRPr="00685EA7" w:rsidRDefault="00E74190" w:rsidP="00E74190">
            <w:pPr>
              <w:tabs>
                <w:tab w:val="right" w:pos="8931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557</w:t>
            </w:r>
          </w:p>
        </w:tc>
        <w:tc>
          <w:tcPr>
            <w:tcW w:w="1181" w:type="dxa"/>
            <w:vAlign w:val="bottom"/>
          </w:tcPr>
          <w:p w:rsidR="00E74190" w:rsidRPr="00685EA7" w:rsidRDefault="00E74190" w:rsidP="00E74190">
            <w:pPr>
              <w:tabs>
                <w:tab w:val="right" w:pos="8931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473</w:t>
            </w:r>
          </w:p>
        </w:tc>
        <w:tc>
          <w:tcPr>
            <w:tcW w:w="1181" w:type="dxa"/>
            <w:vAlign w:val="bottom"/>
          </w:tcPr>
          <w:p w:rsidR="00E74190" w:rsidRPr="00685EA7" w:rsidRDefault="00E74190" w:rsidP="00E74190">
            <w:pPr>
              <w:tabs>
                <w:tab w:val="right" w:pos="8931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348</w:t>
            </w:r>
          </w:p>
        </w:tc>
      </w:tr>
    </w:tbl>
    <w:p w:rsidR="0017307D" w:rsidRDefault="0017307D" w:rsidP="0017307D">
      <w:pPr>
        <w:tabs>
          <w:tab w:val="right" w:pos="8931"/>
        </w:tabs>
        <w:ind w:firstLine="720"/>
        <w:jc w:val="both"/>
        <w:rPr>
          <w:rFonts w:ascii="Times New Roman" w:hAnsi="Times New Roman"/>
        </w:rPr>
      </w:pPr>
    </w:p>
    <w:p w:rsidR="00E74190" w:rsidRDefault="00E74190" w:rsidP="00E74190">
      <w:pPr>
        <w:ind w:firstLine="708"/>
        <w:jc w:val="both"/>
        <w:rPr>
          <w:rFonts w:ascii="Times New Roman" w:hAnsi="Times New Roman"/>
        </w:rPr>
      </w:pPr>
      <w:r w:rsidRPr="00B9271B">
        <w:rPr>
          <w:rFonts w:ascii="Times New Roman" w:hAnsi="Times New Roman"/>
        </w:rPr>
        <w:t>Zvýšenie počtu  zamestnancov v roku 202</w:t>
      </w:r>
      <w:r>
        <w:rPr>
          <w:rFonts w:ascii="Times New Roman" w:hAnsi="Times New Roman"/>
        </w:rPr>
        <w:t>5</w:t>
      </w:r>
      <w:r w:rsidRPr="00B9271B">
        <w:rPr>
          <w:rFonts w:ascii="Times New Roman" w:hAnsi="Times New Roman"/>
        </w:rPr>
        <w:t xml:space="preserve"> z 5 </w:t>
      </w:r>
      <w:r>
        <w:rPr>
          <w:rFonts w:ascii="Times New Roman" w:hAnsi="Times New Roman"/>
        </w:rPr>
        <w:t>541</w:t>
      </w:r>
      <w:r w:rsidRPr="00B9271B">
        <w:rPr>
          <w:rFonts w:ascii="Times New Roman" w:hAnsi="Times New Roman"/>
        </w:rPr>
        <w:t xml:space="preserve"> na 5 </w:t>
      </w:r>
      <w:r>
        <w:rPr>
          <w:rFonts w:ascii="Times New Roman" w:hAnsi="Times New Roman"/>
        </w:rPr>
        <w:t>55</w:t>
      </w:r>
      <w:r w:rsidRPr="00B9271B">
        <w:rPr>
          <w:rFonts w:ascii="Times New Roman" w:hAnsi="Times New Roman"/>
        </w:rPr>
        <w:t xml:space="preserve">7 (zvýšenie o </w:t>
      </w:r>
      <w:r>
        <w:rPr>
          <w:rFonts w:ascii="Times New Roman" w:hAnsi="Times New Roman"/>
        </w:rPr>
        <w:t>16</w:t>
      </w:r>
      <w:r w:rsidRPr="00B9271B">
        <w:rPr>
          <w:rFonts w:ascii="Times New Roman" w:hAnsi="Times New Roman"/>
        </w:rPr>
        <w:t xml:space="preserve"> zamestnancov</w:t>
      </w:r>
      <w:r>
        <w:rPr>
          <w:rFonts w:ascii="Times New Roman" w:hAnsi="Times New Roman"/>
        </w:rPr>
        <w:t xml:space="preserve"> </w:t>
      </w:r>
      <w:r w:rsidRPr="0082706F">
        <w:rPr>
          <w:rFonts w:ascii="Times New Roman" w:hAnsi="Times New Roman"/>
        </w:rPr>
        <w:t xml:space="preserve">na základe materiálu „Informácia o stabilizačných opatreniach v oblasti strategického personálneho plánovania Sociálnej poisťovne“ predkladaného na 1/23 zasadnutie Dozornej rady Sociálnej poisťovne per </w:t>
      </w:r>
      <w:proofErr w:type="spellStart"/>
      <w:r w:rsidRPr="0082706F">
        <w:rPr>
          <w:rFonts w:ascii="Times New Roman" w:hAnsi="Times New Roman"/>
        </w:rPr>
        <w:t>rollam</w:t>
      </w:r>
      <w:proofErr w:type="spellEnd"/>
      <w:r w:rsidRPr="0082706F">
        <w:rPr>
          <w:rFonts w:ascii="Times New Roman" w:hAnsi="Times New Roman"/>
        </w:rPr>
        <w:t>.</w:t>
      </w:r>
      <w:r>
        <w:rPr>
          <w:rFonts w:ascii="Times New Roman" w:hAnsi="Times New Roman"/>
        </w:rPr>
        <w:t>),</w:t>
      </w:r>
      <w:r w:rsidRPr="00B927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Pr="00B9271B">
        <w:rPr>
          <w:rFonts w:ascii="Times New Roman" w:hAnsi="Times New Roman"/>
        </w:rPr>
        <w:t xml:space="preserve"> roku 202</w:t>
      </w:r>
      <w:r>
        <w:rPr>
          <w:rFonts w:ascii="Times New Roman" w:hAnsi="Times New Roman"/>
        </w:rPr>
        <w:t>6</w:t>
      </w:r>
      <w:r w:rsidRPr="00B927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predpokladáme zníženie počtu o 84 zamestnancov </w:t>
      </w:r>
      <w:r w:rsidRPr="00B9271B">
        <w:rPr>
          <w:rFonts w:ascii="Times New Roman" w:hAnsi="Times New Roman"/>
        </w:rPr>
        <w:t>na 5</w:t>
      </w:r>
      <w:r>
        <w:rPr>
          <w:rFonts w:ascii="Times New Roman" w:hAnsi="Times New Roman"/>
        </w:rPr>
        <w:t> </w:t>
      </w:r>
      <w:r w:rsidRPr="00B9271B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73 a </w:t>
      </w:r>
      <w:r w:rsidRPr="00B9271B">
        <w:rPr>
          <w:rFonts w:ascii="Times New Roman" w:hAnsi="Times New Roman"/>
        </w:rPr>
        <w:t>v roku 202</w:t>
      </w:r>
      <w:r>
        <w:rPr>
          <w:rFonts w:ascii="Times New Roman" w:hAnsi="Times New Roman"/>
        </w:rPr>
        <w:t>7</w:t>
      </w:r>
      <w:r w:rsidRPr="00B9271B">
        <w:rPr>
          <w:rFonts w:ascii="Times New Roman" w:hAnsi="Times New Roman"/>
        </w:rPr>
        <w:t xml:space="preserve"> na 5</w:t>
      </w:r>
      <w:r>
        <w:rPr>
          <w:rFonts w:ascii="Times New Roman" w:hAnsi="Times New Roman"/>
        </w:rPr>
        <w:t xml:space="preserve"> 348 zamestnancov (zníženie o 125 </w:t>
      </w:r>
      <w:r w:rsidRPr="00B9271B">
        <w:rPr>
          <w:rFonts w:ascii="Times New Roman" w:hAnsi="Times New Roman"/>
        </w:rPr>
        <w:t xml:space="preserve"> zamestnancov</w:t>
      </w:r>
      <w:r>
        <w:rPr>
          <w:rFonts w:ascii="Times New Roman" w:hAnsi="Times New Roman"/>
        </w:rPr>
        <w:t>) v súvislosti s ukončením stabilizačného opatrenia v strategickom personálnom plánovaní Sociálnej poisťovne v rokoch 2023 až 2026</w:t>
      </w:r>
      <w:r w:rsidRPr="00B9271B">
        <w:rPr>
          <w:rFonts w:ascii="Times New Roman" w:hAnsi="Times New Roman"/>
        </w:rPr>
        <w:t xml:space="preserve">. </w:t>
      </w:r>
    </w:p>
    <w:p w:rsidR="0017307D" w:rsidRPr="00685EA7" w:rsidRDefault="0017307D" w:rsidP="0017307D">
      <w:pPr>
        <w:tabs>
          <w:tab w:val="right" w:pos="8931"/>
        </w:tabs>
        <w:spacing w:before="360" w:after="120"/>
        <w:ind w:firstLine="720"/>
        <w:jc w:val="both"/>
        <w:rPr>
          <w:rFonts w:ascii="Times New Roman" w:hAnsi="Times New Roman"/>
        </w:rPr>
      </w:pPr>
      <w:r w:rsidRPr="00685EA7">
        <w:rPr>
          <w:rFonts w:ascii="Times New Roman" w:hAnsi="Times New Roman"/>
        </w:rPr>
        <w:t>Kvantifikácia návrhu rozpočtu kategórie tovarov a služieb na jednotlivé roky podľa rozpočtových položiek je uvedená v nasledujúcej tabuľke:</w:t>
      </w:r>
    </w:p>
    <w:p w:rsidR="0017307D" w:rsidRPr="00685EA7" w:rsidRDefault="0017307D" w:rsidP="0017307D">
      <w:pPr>
        <w:spacing w:before="120" w:after="120"/>
        <w:ind w:firstLine="720"/>
        <w:jc w:val="right"/>
        <w:rPr>
          <w:rFonts w:ascii="Times New Roman" w:hAnsi="Times New Roman"/>
          <w:sz w:val="22"/>
          <w:szCs w:val="22"/>
        </w:rPr>
      </w:pPr>
      <w:r w:rsidRPr="00685EA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 w:rsidRPr="00685EA7">
        <w:rPr>
          <w:rFonts w:ascii="Times New Roman" w:hAnsi="Times New Roman"/>
          <w:sz w:val="22"/>
          <w:szCs w:val="22"/>
        </w:rPr>
        <w:t xml:space="preserve">v tis. </w:t>
      </w:r>
      <w:r>
        <w:rPr>
          <w:rFonts w:ascii="Times New Roman" w:hAnsi="Times New Roman"/>
          <w:sz w:val="22"/>
          <w:szCs w:val="22"/>
        </w:rPr>
        <w:t>e</w:t>
      </w:r>
      <w:r w:rsidRPr="00685EA7">
        <w:rPr>
          <w:rFonts w:ascii="Times New Roman" w:hAnsi="Times New Roman"/>
          <w:sz w:val="22"/>
          <w:szCs w:val="22"/>
        </w:rPr>
        <w:t>ur</w:t>
      </w:r>
    </w:p>
    <w:tbl>
      <w:tblPr>
        <w:tblW w:w="928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1701"/>
        <w:gridCol w:w="1559"/>
        <w:gridCol w:w="143"/>
        <w:gridCol w:w="1703"/>
      </w:tblGrid>
      <w:tr w:rsidR="0017307D" w:rsidRPr="007833B5" w:rsidTr="007833B5">
        <w:tc>
          <w:tcPr>
            <w:tcW w:w="4182" w:type="dxa"/>
            <w:tcBorders>
              <w:bottom w:val="nil"/>
            </w:tcBorders>
            <w:noWrap/>
            <w:vAlign w:val="bottom"/>
          </w:tcPr>
          <w:p w:rsidR="0017307D" w:rsidRPr="007833B5" w:rsidRDefault="0017307D" w:rsidP="00DB206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833B5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7833B5">
              <w:rPr>
                <w:rFonts w:ascii="Times New Roman" w:hAnsi="Times New Roman"/>
                <w:b/>
                <w:sz w:val="22"/>
                <w:szCs w:val="22"/>
              </w:rPr>
              <w:tab/>
              <w:t>Ukazovateľ</w:t>
            </w:r>
            <w:r w:rsidR="00D246D7" w:rsidRPr="007833B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17307D" w:rsidRPr="007833B5" w:rsidRDefault="0017307D" w:rsidP="00DB20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3B5">
              <w:rPr>
                <w:rFonts w:ascii="Times New Roman" w:hAnsi="Times New Roman"/>
                <w:b/>
                <w:sz w:val="22"/>
                <w:szCs w:val="22"/>
              </w:rPr>
              <w:t>Rok 2025</w:t>
            </w:r>
          </w:p>
        </w:tc>
        <w:tc>
          <w:tcPr>
            <w:tcW w:w="1559" w:type="dxa"/>
          </w:tcPr>
          <w:p w:rsidR="0017307D" w:rsidRPr="007833B5" w:rsidRDefault="0017307D" w:rsidP="00DB206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7833B5">
              <w:rPr>
                <w:rFonts w:ascii="Times New Roman" w:hAnsi="Times New Roman"/>
                <w:b/>
                <w:sz w:val="22"/>
                <w:szCs w:val="22"/>
              </w:rPr>
              <w:t xml:space="preserve">Rozpočtový </w:t>
            </w:r>
          </w:p>
        </w:tc>
        <w:tc>
          <w:tcPr>
            <w:tcW w:w="1846" w:type="dxa"/>
            <w:gridSpan w:val="2"/>
          </w:tcPr>
          <w:p w:rsidR="0017307D" w:rsidRPr="007833B5" w:rsidRDefault="0017307D" w:rsidP="00DB206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833B5">
              <w:rPr>
                <w:rFonts w:ascii="Times New Roman" w:hAnsi="Times New Roman"/>
                <w:b/>
                <w:sz w:val="22"/>
                <w:szCs w:val="22"/>
              </w:rPr>
              <w:t>výhľad na rok</w:t>
            </w:r>
          </w:p>
        </w:tc>
      </w:tr>
      <w:tr w:rsidR="0017307D" w:rsidRPr="007833B5" w:rsidTr="007833B5">
        <w:tc>
          <w:tcPr>
            <w:tcW w:w="4182" w:type="dxa"/>
            <w:tcBorders>
              <w:top w:val="nil"/>
            </w:tcBorders>
            <w:noWrap/>
            <w:vAlign w:val="bottom"/>
          </w:tcPr>
          <w:p w:rsidR="0017307D" w:rsidRPr="007833B5" w:rsidRDefault="0017307D" w:rsidP="00DB20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</w:tcPr>
          <w:p w:rsidR="0017307D" w:rsidRPr="007833B5" w:rsidRDefault="0017307D" w:rsidP="00DB20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noWrap/>
            <w:vAlign w:val="bottom"/>
          </w:tcPr>
          <w:p w:rsidR="0017307D" w:rsidRPr="007833B5" w:rsidRDefault="0017307D" w:rsidP="00DB20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3B5">
              <w:rPr>
                <w:rFonts w:ascii="Times New Roman" w:hAnsi="Times New Roman"/>
                <w:b/>
                <w:sz w:val="22"/>
                <w:szCs w:val="22"/>
              </w:rPr>
              <w:t>2026</w:t>
            </w:r>
          </w:p>
        </w:tc>
        <w:tc>
          <w:tcPr>
            <w:tcW w:w="1703" w:type="dxa"/>
            <w:noWrap/>
            <w:vAlign w:val="bottom"/>
          </w:tcPr>
          <w:p w:rsidR="0017307D" w:rsidRPr="007833B5" w:rsidRDefault="0017307D" w:rsidP="00DB20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3B5">
              <w:rPr>
                <w:rFonts w:ascii="Times New Roman" w:hAnsi="Times New Roman"/>
                <w:b/>
                <w:sz w:val="22"/>
                <w:szCs w:val="22"/>
              </w:rPr>
              <w:t>2027</w:t>
            </w:r>
          </w:p>
        </w:tc>
      </w:tr>
      <w:tr w:rsidR="0017307D" w:rsidRPr="007833B5" w:rsidTr="007833B5">
        <w:tc>
          <w:tcPr>
            <w:tcW w:w="4182" w:type="dxa"/>
            <w:tcBorders>
              <w:bottom w:val="single" w:sz="4" w:space="0" w:color="auto"/>
            </w:tcBorders>
            <w:noWrap/>
            <w:vAlign w:val="bottom"/>
          </w:tcPr>
          <w:p w:rsidR="0017307D" w:rsidRPr="007833B5" w:rsidRDefault="0017307D" w:rsidP="00DB20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</w:tcPr>
          <w:p w:rsidR="0017307D" w:rsidRPr="007833B5" w:rsidRDefault="0017307D" w:rsidP="00DB20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17307D" w:rsidRPr="007833B5" w:rsidRDefault="0017307D" w:rsidP="00DB20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:rsidR="0017307D" w:rsidRPr="007833B5" w:rsidRDefault="0017307D" w:rsidP="00DB20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E74190" w:rsidRPr="007833B5" w:rsidTr="007833B5">
        <w:tc>
          <w:tcPr>
            <w:tcW w:w="4182" w:type="dxa"/>
            <w:tcBorders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33B5">
              <w:rPr>
                <w:rFonts w:ascii="Times New Roman" w:hAnsi="Times New Roman"/>
                <w:b/>
                <w:bCs/>
                <w:sz w:val="22"/>
                <w:szCs w:val="22"/>
              </w:rPr>
              <w:t>Tovary a služby v tom :</w:t>
            </w:r>
          </w:p>
        </w:tc>
        <w:tc>
          <w:tcPr>
            <w:tcW w:w="1701" w:type="dxa"/>
            <w:tcBorders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33B5">
              <w:rPr>
                <w:rFonts w:ascii="Times New Roman" w:hAnsi="Times New Roman"/>
                <w:b/>
                <w:bCs/>
                <w:sz w:val="22"/>
                <w:szCs w:val="22"/>
              </w:rPr>
              <w:t>89 696</w:t>
            </w:r>
          </w:p>
        </w:tc>
        <w:tc>
          <w:tcPr>
            <w:tcW w:w="1702" w:type="dxa"/>
            <w:gridSpan w:val="2"/>
            <w:tcBorders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33B5">
              <w:rPr>
                <w:rFonts w:ascii="Times New Roman" w:hAnsi="Times New Roman"/>
                <w:b/>
                <w:bCs/>
                <w:sz w:val="22"/>
                <w:szCs w:val="22"/>
              </w:rPr>
              <w:t>99 816</w:t>
            </w:r>
          </w:p>
        </w:tc>
        <w:tc>
          <w:tcPr>
            <w:tcW w:w="1703" w:type="dxa"/>
            <w:tcBorders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33B5">
              <w:rPr>
                <w:rFonts w:ascii="Times New Roman" w:hAnsi="Times New Roman"/>
                <w:b/>
                <w:bCs/>
                <w:sz w:val="22"/>
                <w:szCs w:val="22"/>
              </w:rPr>
              <w:t>99 073</w:t>
            </w:r>
          </w:p>
        </w:tc>
      </w:tr>
      <w:tr w:rsidR="00E74190" w:rsidRPr="007833B5" w:rsidTr="007833B5">
        <w:tc>
          <w:tcPr>
            <w:tcW w:w="4182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 xml:space="preserve"> Cestovné náhrady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210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1703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190</w:t>
            </w:r>
          </w:p>
        </w:tc>
      </w:tr>
      <w:tr w:rsidR="00E74190" w:rsidRPr="007833B5" w:rsidTr="007833B5">
        <w:tc>
          <w:tcPr>
            <w:tcW w:w="4182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 xml:space="preserve"> Energia, voda a komunikácie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41 121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50 792</w:t>
            </w:r>
          </w:p>
        </w:tc>
        <w:tc>
          <w:tcPr>
            <w:tcW w:w="1703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49 570</w:t>
            </w:r>
          </w:p>
        </w:tc>
      </w:tr>
      <w:tr w:rsidR="00E74190" w:rsidRPr="007833B5" w:rsidTr="007833B5">
        <w:tc>
          <w:tcPr>
            <w:tcW w:w="4182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 xml:space="preserve"> Materiál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3 666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3 712</w:t>
            </w:r>
          </w:p>
        </w:tc>
        <w:tc>
          <w:tcPr>
            <w:tcW w:w="1703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4 060</w:t>
            </w:r>
          </w:p>
        </w:tc>
      </w:tr>
      <w:tr w:rsidR="00E74190" w:rsidRPr="007833B5" w:rsidTr="007833B5">
        <w:tc>
          <w:tcPr>
            <w:tcW w:w="4182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 xml:space="preserve"> Dopravné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417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416</w:t>
            </w:r>
          </w:p>
        </w:tc>
        <w:tc>
          <w:tcPr>
            <w:tcW w:w="1703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442</w:t>
            </w:r>
          </w:p>
        </w:tc>
      </w:tr>
      <w:tr w:rsidR="00E74190" w:rsidRPr="007833B5" w:rsidTr="007833B5">
        <w:tc>
          <w:tcPr>
            <w:tcW w:w="4182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 xml:space="preserve"> Rutinná a štandardná údržba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2 792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2 040</w:t>
            </w:r>
          </w:p>
        </w:tc>
        <w:tc>
          <w:tcPr>
            <w:tcW w:w="1703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2 450</w:t>
            </w:r>
          </w:p>
        </w:tc>
      </w:tr>
      <w:tr w:rsidR="00E74190" w:rsidRPr="007833B5" w:rsidTr="007833B5">
        <w:tc>
          <w:tcPr>
            <w:tcW w:w="4182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 xml:space="preserve"> Nájomné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2 740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2 879</w:t>
            </w:r>
          </w:p>
        </w:tc>
        <w:tc>
          <w:tcPr>
            <w:tcW w:w="1703" w:type="dxa"/>
            <w:tcBorders>
              <w:top w:val="nil"/>
              <w:bottom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2 970</w:t>
            </w:r>
          </w:p>
        </w:tc>
      </w:tr>
      <w:tr w:rsidR="00E74190" w:rsidRPr="007833B5" w:rsidTr="007833B5">
        <w:tc>
          <w:tcPr>
            <w:tcW w:w="4182" w:type="dxa"/>
            <w:tcBorders>
              <w:top w:val="nil"/>
            </w:tcBorders>
            <w:noWrap/>
            <w:vAlign w:val="bottom"/>
          </w:tcPr>
          <w:p w:rsidR="00E74190" w:rsidRPr="007833B5" w:rsidRDefault="00E74190" w:rsidP="00E74190">
            <w:pPr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 xml:space="preserve"> Služby</w:t>
            </w:r>
          </w:p>
        </w:tc>
        <w:tc>
          <w:tcPr>
            <w:tcW w:w="1701" w:type="dxa"/>
            <w:tcBorders>
              <w:top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38 750</w:t>
            </w:r>
          </w:p>
        </w:tc>
        <w:tc>
          <w:tcPr>
            <w:tcW w:w="1702" w:type="dxa"/>
            <w:gridSpan w:val="2"/>
            <w:tcBorders>
              <w:top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39 797</w:t>
            </w:r>
          </w:p>
        </w:tc>
        <w:tc>
          <w:tcPr>
            <w:tcW w:w="1703" w:type="dxa"/>
            <w:tcBorders>
              <w:top w:val="nil"/>
            </w:tcBorders>
            <w:noWrap/>
            <w:vAlign w:val="bottom"/>
          </w:tcPr>
          <w:p w:rsidR="00E74190" w:rsidRPr="007833B5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833B5">
              <w:rPr>
                <w:rFonts w:ascii="Times New Roman" w:hAnsi="Times New Roman"/>
                <w:sz w:val="22"/>
                <w:szCs w:val="22"/>
              </w:rPr>
              <w:t>39 391</w:t>
            </w:r>
          </w:p>
        </w:tc>
      </w:tr>
    </w:tbl>
    <w:p w:rsidR="00E74190" w:rsidRDefault="00E74190" w:rsidP="00E74190">
      <w:pPr>
        <w:pStyle w:val="Odsekzoznamu"/>
        <w:tabs>
          <w:tab w:val="left" w:pos="9356"/>
        </w:tabs>
        <w:ind w:left="0" w:firstLine="709"/>
        <w:jc w:val="both"/>
        <w:rPr>
          <w:rFonts w:ascii="Times New Roman" w:hAnsi="Times New Roman"/>
        </w:rPr>
      </w:pPr>
    </w:p>
    <w:p w:rsidR="00E74190" w:rsidRDefault="00E74190" w:rsidP="00E74190">
      <w:pPr>
        <w:pStyle w:val="Odsekzoznamu"/>
        <w:tabs>
          <w:tab w:val="left" w:pos="9356"/>
        </w:tabs>
        <w:spacing w:before="240" w:after="120"/>
        <w:ind w:left="0" w:firstLine="709"/>
        <w:contextualSpacing w:val="0"/>
        <w:jc w:val="both"/>
        <w:rPr>
          <w:rFonts w:ascii="Times New Roman" w:hAnsi="Times New Roman"/>
        </w:rPr>
      </w:pPr>
      <w:r w:rsidRPr="00685EA7">
        <w:rPr>
          <w:rFonts w:ascii="Times New Roman" w:hAnsi="Times New Roman"/>
        </w:rPr>
        <w:lastRenderedPageBreak/>
        <w:t>Návrh rozpočtu na tovary a služby v roku 20</w:t>
      </w:r>
      <w:r>
        <w:rPr>
          <w:rFonts w:ascii="Times New Roman" w:hAnsi="Times New Roman"/>
        </w:rPr>
        <w:t>25</w:t>
      </w:r>
      <w:r w:rsidRPr="00685EA7">
        <w:rPr>
          <w:rFonts w:ascii="Times New Roman" w:hAnsi="Times New Roman"/>
        </w:rPr>
        <w:t xml:space="preserve"> predstavuje </w:t>
      </w:r>
      <w:r>
        <w:rPr>
          <w:rFonts w:ascii="Times New Roman" w:hAnsi="Times New Roman"/>
        </w:rPr>
        <w:t>31</w:t>
      </w:r>
      <w:r w:rsidRPr="00685EA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78 </w:t>
      </w:r>
      <w:r w:rsidRPr="00685EA7">
        <w:rPr>
          <w:rFonts w:ascii="Times New Roman" w:hAnsi="Times New Roman"/>
        </w:rPr>
        <w:t>% z celkových predpokladaných výdavkov správneho fondu na tento rok.</w:t>
      </w:r>
      <w:r>
        <w:rPr>
          <w:rFonts w:ascii="Times New Roman" w:hAnsi="Times New Roman"/>
        </w:rPr>
        <w:t xml:space="preserve"> Nárast nákladov je hlavne na poštových službách z dôvodu </w:t>
      </w:r>
      <w:r w:rsidRPr="00CE5303">
        <w:rPr>
          <w:rFonts w:ascii="Times New Roman" w:hAnsi="Times New Roman"/>
        </w:rPr>
        <w:t>povinnos</w:t>
      </w:r>
      <w:r>
        <w:rPr>
          <w:rFonts w:ascii="Times New Roman" w:hAnsi="Times New Roman"/>
        </w:rPr>
        <w:t>ti</w:t>
      </w:r>
      <w:r w:rsidRPr="00CE5303">
        <w:rPr>
          <w:rFonts w:ascii="Times New Roman" w:hAnsi="Times New Roman"/>
        </w:rPr>
        <w:t xml:space="preserve"> Sociálnej poisťovne zasielať rozhodnutia o nároku dávok sociálneho poistenia doporučenou zásielk</w:t>
      </w:r>
      <w:r>
        <w:rPr>
          <w:rFonts w:ascii="Times New Roman" w:hAnsi="Times New Roman"/>
        </w:rPr>
        <w:t>ou a rastom poštových cien.</w:t>
      </w:r>
    </w:p>
    <w:p w:rsidR="0017307D" w:rsidRPr="00685EA7" w:rsidRDefault="0017307D" w:rsidP="00E74190">
      <w:pPr>
        <w:pStyle w:val="Odsekzoznamu"/>
        <w:tabs>
          <w:tab w:val="left" w:pos="9356"/>
        </w:tabs>
        <w:spacing w:before="240" w:after="120"/>
        <w:ind w:left="0" w:firstLine="709"/>
        <w:contextualSpacing w:val="0"/>
        <w:jc w:val="both"/>
        <w:rPr>
          <w:rFonts w:ascii="Times New Roman" w:hAnsi="Times New Roman"/>
        </w:rPr>
      </w:pPr>
      <w:r w:rsidRPr="00685EA7">
        <w:rPr>
          <w:rFonts w:ascii="Times New Roman" w:hAnsi="Times New Roman"/>
        </w:rPr>
        <w:t>Návrh rozpočtu kapitálových výdavkov na roky 20</w:t>
      </w:r>
      <w:r>
        <w:rPr>
          <w:rFonts w:ascii="Times New Roman" w:hAnsi="Times New Roman"/>
        </w:rPr>
        <w:t>25</w:t>
      </w:r>
      <w:r w:rsidRPr="00685EA7">
        <w:rPr>
          <w:rFonts w:ascii="Times New Roman" w:hAnsi="Times New Roman"/>
        </w:rPr>
        <w:t xml:space="preserve"> až 20</w:t>
      </w:r>
      <w:r>
        <w:rPr>
          <w:rFonts w:ascii="Times New Roman" w:hAnsi="Times New Roman"/>
        </w:rPr>
        <w:t>27</w:t>
      </w:r>
      <w:r w:rsidRPr="00685EA7">
        <w:rPr>
          <w:rFonts w:ascii="Times New Roman" w:hAnsi="Times New Roman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7"/>
        <w:gridCol w:w="1275"/>
        <w:gridCol w:w="1248"/>
        <w:gridCol w:w="170"/>
        <w:gridCol w:w="1417"/>
      </w:tblGrid>
      <w:tr w:rsidR="0017307D" w:rsidRPr="00685EA7" w:rsidTr="007833B5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307D" w:rsidRPr="00685EA7" w:rsidRDefault="0017307D" w:rsidP="00DB206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307D" w:rsidRPr="00685EA7" w:rsidRDefault="0017307D" w:rsidP="00DB206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307D" w:rsidRPr="00685EA7" w:rsidRDefault="0017307D" w:rsidP="00DB206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307D" w:rsidRPr="00685EA7" w:rsidRDefault="0017307D" w:rsidP="00DB206A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v tis.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</w:t>
            </w: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ur</w:t>
            </w:r>
          </w:p>
        </w:tc>
      </w:tr>
      <w:tr w:rsidR="0017307D" w:rsidRPr="00D246D7" w:rsidTr="00D246D7">
        <w:trPr>
          <w:trHeight w:val="240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07D" w:rsidRPr="00D246D7" w:rsidRDefault="0017307D" w:rsidP="00DB20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246D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Ukazovateľ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07D" w:rsidRPr="00D246D7" w:rsidRDefault="0017307D" w:rsidP="00DB20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246D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Rok 2025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07D" w:rsidRPr="00D246D7" w:rsidRDefault="0017307D" w:rsidP="00DB20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246D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Rozpočtový výhľad na rok</w:t>
            </w:r>
          </w:p>
        </w:tc>
      </w:tr>
      <w:tr w:rsidR="0017307D" w:rsidRPr="00D246D7" w:rsidTr="00D246D7">
        <w:trPr>
          <w:trHeight w:val="24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7D" w:rsidRPr="00D246D7" w:rsidRDefault="0017307D" w:rsidP="00DB206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7D" w:rsidRPr="00D246D7" w:rsidRDefault="0017307D" w:rsidP="00DB206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07D" w:rsidRPr="00D246D7" w:rsidRDefault="0017307D" w:rsidP="00DB20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246D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07D" w:rsidRPr="00D246D7" w:rsidRDefault="0017307D" w:rsidP="00DB20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246D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2027</w:t>
            </w:r>
          </w:p>
        </w:tc>
      </w:tr>
      <w:tr w:rsidR="0017307D" w:rsidRPr="00685EA7" w:rsidTr="007833B5">
        <w:trPr>
          <w:trHeight w:val="24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07D" w:rsidRPr="00685EA7" w:rsidRDefault="0017307D" w:rsidP="00DB20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07D" w:rsidRPr="00B95E34" w:rsidRDefault="0017307D" w:rsidP="00DB20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5E3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07D" w:rsidRPr="00685EA7" w:rsidRDefault="0017307D" w:rsidP="00DB20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07D" w:rsidRPr="00685EA7" w:rsidRDefault="0017307D" w:rsidP="00DB206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E74190" w:rsidRPr="00685EA7" w:rsidTr="007833B5">
        <w:trPr>
          <w:trHeight w:val="24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Kapitálové výdavky v tom 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7 673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7 673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7 673</w:t>
            </w:r>
          </w:p>
        </w:tc>
      </w:tr>
      <w:tr w:rsidR="00E74190" w:rsidRPr="00685EA7" w:rsidTr="007833B5">
        <w:trPr>
          <w:trHeight w:val="240"/>
        </w:trPr>
        <w:tc>
          <w:tcPr>
            <w:tcW w:w="4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190" w:rsidRPr="00B95E34" w:rsidRDefault="00E74190" w:rsidP="00E74190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Nákup pozemkov a nehmotných aktív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1 631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1 900</w:t>
            </w:r>
          </w:p>
        </w:tc>
      </w:tr>
      <w:tr w:rsidR="00E74190" w:rsidRPr="00685EA7" w:rsidTr="007833B5">
        <w:trPr>
          <w:trHeight w:val="240"/>
        </w:trPr>
        <w:tc>
          <w:tcPr>
            <w:tcW w:w="4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190" w:rsidRPr="00685EA7" w:rsidRDefault="00E74190" w:rsidP="00E7419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Pozemkov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</w:tr>
      <w:tr w:rsidR="00E74190" w:rsidRPr="00685EA7" w:rsidTr="007833B5">
        <w:trPr>
          <w:trHeight w:val="240"/>
        </w:trPr>
        <w:tc>
          <w:tcPr>
            <w:tcW w:w="497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Softvéru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1 631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1 900</w:t>
            </w:r>
          </w:p>
        </w:tc>
      </w:tr>
      <w:tr w:rsidR="00E74190" w:rsidRPr="00685EA7" w:rsidTr="007833B5">
        <w:trPr>
          <w:trHeight w:val="240"/>
        </w:trPr>
        <w:tc>
          <w:tcPr>
            <w:tcW w:w="4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190" w:rsidRPr="00B95E34" w:rsidRDefault="00E74190" w:rsidP="00E74190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Nákup strojov, prístrojov, zariadení, techniky a náradia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2 290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3 473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2 123</w:t>
            </w:r>
          </w:p>
        </w:tc>
      </w:tr>
      <w:tr w:rsidR="00E74190" w:rsidRPr="00685EA7" w:rsidTr="007833B5">
        <w:trPr>
          <w:trHeight w:val="240"/>
        </w:trPr>
        <w:tc>
          <w:tcPr>
            <w:tcW w:w="4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190" w:rsidRPr="00685EA7" w:rsidRDefault="00E74190" w:rsidP="00E7419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Interiérového vybavenia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-    </w:t>
            </w:r>
          </w:p>
        </w:tc>
      </w:tr>
      <w:tr w:rsidR="00E74190" w:rsidRPr="00685EA7" w:rsidTr="007833B5">
        <w:trPr>
          <w:trHeight w:val="240"/>
        </w:trPr>
        <w:tc>
          <w:tcPr>
            <w:tcW w:w="4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190" w:rsidRPr="00685EA7" w:rsidRDefault="00E74190" w:rsidP="00E7419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Výpočtovej techniky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1 840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3 123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1 523</w:t>
            </w:r>
          </w:p>
        </w:tc>
      </w:tr>
      <w:tr w:rsidR="00E74190" w:rsidRPr="00685EA7" w:rsidTr="007833B5">
        <w:trPr>
          <w:trHeight w:val="240"/>
        </w:trPr>
        <w:tc>
          <w:tcPr>
            <w:tcW w:w="4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190" w:rsidRPr="00685EA7" w:rsidRDefault="00E74190" w:rsidP="00E7419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Telekomunikačnej techniky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>250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E74190" w:rsidRPr="00685EA7" w:rsidTr="007833B5">
        <w:trPr>
          <w:trHeight w:val="240"/>
        </w:trPr>
        <w:tc>
          <w:tcPr>
            <w:tcW w:w="4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190" w:rsidRPr="00685EA7" w:rsidRDefault="00E74190" w:rsidP="00E7419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Prevádzkových strojov, prístrojov, zariadení, techniky a náradia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</w:tr>
      <w:tr w:rsidR="00E74190" w:rsidRPr="00685EA7" w:rsidTr="007833B5">
        <w:trPr>
          <w:trHeight w:val="240"/>
        </w:trPr>
        <w:tc>
          <w:tcPr>
            <w:tcW w:w="4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190" w:rsidRPr="00685EA7" w:rsidRDefault="00E74190" w:rsidP="00E7419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Špeciálnych strojov, prístrojov, zariadení, techniky, náradia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</w:rPr>
              <w:t>200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685EA7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</w:rPr>
              <w:t>200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E74190" w:rsidRPr="00685EA7" w:rsidTr="005376B1">
        <w:trPr>
          <w:trHeight w:val="240"/>
        </w:trPr>
        <w:tc>
          <w:tcPr>
            <w:tcW w:w="497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Nákup dopravných prostriedkov všetkých druhov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-</w:t>
            </w:r>
            <w:r w:rsidRPr="00B95E3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300</w:t>
            </w:r>
            <w:r w:rsidRPr="00B95E3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E74190" w:rsidRPr="00685EA7" w:rsidTr="005376B1">
        <w:trPr>
          <w:trHeight w:val="240"/>
        </w:trPr>
        <w:tc>
          <w:tcPr>
            <w:tcW w:w="497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Prípravná a projektová dokumentácia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1 600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350</w:t>
            </w:r>
          </w:p>
        </w:tc>
      </w:tr>
      <w:tr w:rsidR="00E74190" w:rsidRPr="00685EA7" w:rsidTr="005376B1">
        <w:trPr>
          <w:trHeight w:val="240"/>
        </w:trPr>
        <w:tc>
          <w:tcPr>
            <w:tcW w:w="4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Realizácia stavieb a ich technické zhodnotenie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3 352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2 600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4190" w:rsidRPr="00B95E34" w:rsidRDefault="00E74190" w:rsidP="00E74190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3 000</w:t>
            </w:r>
          </w:p>
        </w:tc>
      </w:tr>
    </w:tbl>
    <w:p w:rsidR="00E74190" w:rsidRPr="004759E4" w:rsidRDefault="00E74190" w:rsidP="00E74190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685EA7">
        <w:rPr>
          <w:rFonts w:ascii="Times New Roman" w:hAnsi="Times New Roman"/>
        </w:rPr>
        <w:t xml:space="preserve">Na zabezpečenie kapitálových výdavkov </w:t>
      </w:r>
      <w:r>
        <w:rPr>
          <w:rFonts w:ascii="Times New Roman" w:hAnsi="Times New Roman"/>
        </w:rPr>
        <w:t xml:space="preserve">v </w:t>
      </w:r>
      <w:r w:rsidRPr="00685EA7">
        <w:rPr>
          <w:rFonts w:ascii="Times New Roman" w:hAnsi="Times New Roman"/>
        </w:rPr>
        <w:t>návrhu rozpočtu</w:t>
      </w:r>
      <w:r>
        <w:rPr>
          <w:rFonts w:ascii="Times New Roman" w:hAnsi="Times New Roman"/>
        </w:rPr>
        <w:t xml:space="preserve"> je vyčlenený</w:t>
      </w:r>
      <w:r w:rsidRPr="00685EA7">
        <w:rPr>
          <w:rFonts w:ascii="Times New Roman" w:hAnsi="Times New Roman"/>
        </w:rPr>
        <w:t xml:space="preserve"> objem finančných prostriedkov v celkovej sume </w:t>
      </w:r>
      <w:r>
        <w:rPr>
          <w:rFonts w:ascii="Times New Roman" w:hAnsi="Times New Roman"/>
        </w:rPr>
        <w:t>7 673</w:t>
      </w:r>
      <w:r w:rsidRPr="004759E4">
        <w:rPr>
          <w:rFonts w:ascii="Times New Roman" w:hAnsi="Times New Roman"/>
        </w:rPr>
        <w:t xml:space="preserve"> tis. </w:t>
      </w:r>
      <w:r>
        <w:rPr>
          <w:rFonts w:ascii="Times New Roman" w:hAnsi="Times New Roman"/>
        </w:rPr>
        <w:t>e</w:t>
      </w:r>
      <w:r w:rsidRPr="004759E4">
        <w:rPr>
          <w:rFonts w:ascii="Times New Roman" w:hAnsi="Times New Roman"/>
        </w:rPr>
        <w:t>ur.</w:t>
      </w:r>
    </w:p>
    <w:p w:rsidR="00E74190" w:rsidRDefault="00E74190" w:rsidP="00E74190">
      <w:pPr>
        <w:pStyle w:val="Zarkazkladnhotextu3"/>
        <w:spacing w:before="2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6F72">
        <w:rPr>
          <w:rFonts w:ascii="Times New Roman" w:hAnsi="Times New Roman"/>
          <w:sz w:val="24"/>
          <w:szCs w:val="24"/>
        </w:rPr>
        <w:t xml:space="preserve">Finančné prostriedky na zabezpečenie </w:t>
      </w:r>
      <w:r w:rsidRPr="004759E4">
        <w:rPr>
          <w:rFonts w:ascii="Times New Roman" w:hAnsi="Times New Roman"/>
          <w:sz w:val="24"/>
          <w:szCs w:val="24"/>
        </w:rPr>
        <w:t>všeobecných investícií</w:t>
      </w:r>
      <w:r w:rsidRPr="00AE6F72">
        <w:rPr>
          <w:rFonts w:ascii="Times New Roman" w:hAnsi="Times New Roman"/>
          <w:sz w:val="24"/>
          <w:szCs w:val="24"/>
        </w:rPr>
        <w:t xml:space="preserve"> v roku 20</w:t>
      </w:r>
      <w:r>
        <w:rPr>
          <w:rFonts w:ascii="Times New Roman" w:hAnsi="Times New Roman"/>
          <w:sz w:val="24"/>
          <w:szCs w:val="24"/>
        </w:rPr>
        <w:t>25</w:t>
      </w:r>
      <w:r w:rsidRPr="00AE6F72">
        <w:rPr>
          <w:rFonts w:ascii="Times New Roman" w:hAnsi="Times New Roman"/>
          <w:sz w:val="24"/>
          <w:szCs w:val="24"/>
        </w:rPr>
        <w:t xml:space="preserve"> sú rozpočtované v celkovej sume </w:t>
      </w:r>
      <w:r>
        <w:rPr>
          <w:rFonts w:ascii="Times New Roman" w:hAnsi="Times New Roman"/>
          <w:sz w:val="24"/>
          <w:szCs w:val="24"/>
        </w:rPr>
        <w:t>3 952</w:t>
      </w:r>
      <w:r w:rsidRPr="004759E4">
        <w:rPr>
          <w:rFonts w:ascii="Times New Roman" w:hAnsi="Times New Roman"/>
          <w:sz w:val="24"/>
          <w:szCs w:val="24"/>
        </w:rPr>
        <w:t> tis. </w:t>
      </w:r>
      <w:r>
        <w:rPr>
          <w:rFonts w:ascii="Times New Roman" w:hAnsi="Times New Roman"/>
          <w:sz w:val="24"/>
          <w:szCs w:val="24"/>
        </w:rPr>
        <w:t>e</w:t>
      </w:r>
      <w:r w:rsidRPr="004759E4">
        <w:rPr>
          <w:rFonts w:ascii="Times New Roman" w:hAnsi="Times New Roman"/>
          <w:sz w:val="24"/>
          <w:szCs w:val="24"/>
        </w:rPr>
        <w:t>ur</w:t>
      </w:r>
      <w:r w:rsidRPr="00AE6F72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>jmä na zabezpečenie investičnej akcie „Pobočka Lučenec, rekonštrukcia budovy“ a na nevy</w:t>
      </w:r>
      <w:r w:rsidRPr="00AE6F72">
        <w:rPr>
          <w:rFonts w:ascii="Times New Roman" w:hAnsi="Times New Roman"/>
          <w:sz w:val="24"/>
          <w:szCs w:val="24"/>
        </w:rPr>
        <w:t>hnutné akcie investičného charakteru.</w:t>
      </w:r>
    </w:p>
    <w:p w:rsidR="00E74190" w:rsidRPr="00AE6F72" w:rsidRDefault="00E74190" w:rsidP="00E74190">
      <w:pPr>
        <w:pStyle w:val="Zarkazkladnhotextu"/>
        <w:spacing w:before="240"/>
        <w:ind w:left="0" w:firstLine="708"/>
        <w:jc w:val="both"/>
        <w:rPr>
          <w:rFonts w:ascii="Times New Roman" w:hAnsi="Times New Roman"/>
          <w:i/>
          <w:u w:val="single"/>
        </w:rPr>
      </w:pPr>
      <w:r w:rsidRPr="00AE6F72">
        <w:rPr>
          <w:rFonts w:ascii="Times New Roman" w:hAnsi="Times New Roman"/>
        </w:rPr>
        <w:t xml:space="preserve">Výdavky na </w:t>
      </w:r>
      <w:proofErr w:type="spellStart"/>
      <w:r w:rsidRPr="00AE6F72">
        <w:rPr>
          <w:rFonts w:ascii="Times New Roman" w:hAnsi="Times New Roman"/>
        </w:rPr>
        <w:t>informačno</w:t>
      </w:r>
      <w:proofErr w:type="spellEnd"/>
      <w:r w:rsidRPr="00AE6F72">
        <w:rPr>
          <w:rFonts w:ascii="Times New Roman" w:hAnsi="Times New Roman"/>
        </w:rPr>
        <w:t>–komunikačné technológie sú rozpočtované v objeme</w:t>
      </w:r>
      <w:r w:rsidRPr="00AE6F72">
        <w:rPr>
          <w:rFonts w:ascii="Times New Roman" w:hAnsi="Times New Roman"/>
        </w:rPr>
        <w:br/>
      </w:r>
      <w:r>
        <w:rPr>
          <w:rFonts w:ascii="Times New Roman" w:hAnsi="Times New Roman"/>
        </w:rPr>
        <w:t>3 721</w:t>
      </w:r>
      <w:r w:rsidRPr="004759E4">
        <w:rPr>
          <w:rFonts w:ascii="Times New Roman" w:hAnsi="Times New Roman"/>
        </w:rPr>
        <w:t> tis. </w:t>
      </w:r>
      <w:r>
        <w:rPr>
          <w:rFonts w:ascii="Times New Roman" w:hAnsi="Times New Roman"/>
        </w:rPr>
        <w:t>e</w:t>
      </w:r>
      <w:r w:rsidRPr="004759E4">
        <w:rPr>
          <w:rFonts w:ascii="Times New Roman" w:hAnsi="Times New Roman"/>
        </w:rPr>
        <w:t>ur</w:t>
      </w:r>
      <w:r w:rsidRPr="00AE6F72">
        <w:rPr>
          <w:rFonts w:ascii="Times New Roman" w:hAnsi="Times New Roman"/>
        </w:rPr>
        <w:t xml:space="preserve"> na finančné krytie kľúčových projektov</w:t>
      </w:r>
      <w:r>
        <w:rPr>
          <w:rFonts w:ascii="Times New Roman" w:hAnsi="Times New Roman"/>
        </w:rPr>
        <w:t>,</w:t>
      </w:r>
      <w:r w:rsidRPr="00D87C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ktoré sú súčasťou dokumentu Strategické zámery a činnosti Sociálnej poisťovne na obdobie rokov 2024 </w:t>
      </w:r>
      <w:r w:rsidR="00496264">
        <w:rPr>
          <w:rFonts w:ascii="Times New Roman" w:hAnsi="Times New Roman"/>
        </w:rPr>
        <w:t>až</w:t>
      </w:r>
      <w:r>
        <w:rPr>
          <w:rFonts w:ascii="Times New Roman" w:hAnsi="Times New Roman"/>
        </w:rPr>
        <w:t xml:space="preserve"> 2029</w:t>
      </w:r>
      <w:r w:rsidRPr="00AE6F72">
        <w:rPr>
          <w:rFonts w:ascii="Times New Roman" w:hAnsi="Times New Roman"/>
        </w:rPr>
        <w:t xml:space="preserve">. </w:t>
      </w:r>
    </w:p>
    <w:p w:rsidR="00E74190" w:rsidRDefault="00E74190" w:rsidP="00E74190">
      <w:pPr>
        <w:tabs>
          <w:tab w:val="left" w:pos="9356"/>
        </w:tabs>
        <w:spacing w:before="240" w:after="120"/>
        <w:ind w:firstLine="709"/>
        <w:jc w:val="both"/>
        <w:rPr>
          <w:rFonts w:ascii="Times New Roman" w:hAnsi="Times New Roman"/>
        </w:rPr>
      </w:pPr>
      <w:r w:rsidRPr="00D57277">
        <w:rPr>
          <w:rFonts w:ascii="Times New Roman" w:hAnsi="Times New Roman"/>
        </w:rPr>
        <w:t>Výdavky správneho fondu navrhované pr</w:t>
      </w:r>
      <w:r>
        <w:rPr>
          <w:rFonts w:ascii="Times New Roman" w:hAnsi="Times New Roman"/>
        </w:rPr>
        <w:t xml:space="preserve">e roky 2025 až 2027 vychádzajú </w:t>
      </w:r>
      <w:r w:rsidRPr="00D57277">
        <w:rPr>
          <w:rFonts w:ascii="Times New Roman" w:hAnsi="Times New Roman"/>
        </w:rPr>
        <w:t>zo zreálnenej očakávanej skutočnosti roku 2024 a zahŕňajú predovšetkým výdavky súvisiace s  predpokladanými legislatívnymi zmenami</w:t>
      </w:r>
      <w:r>
        <w:rPr>
          <w:rFonts w:ascii="Times New Roman" w:hAnsi="Times New Roman"/>
        </w:rPr>
        <w:t xml:space="preserve">. </w:t>
      </w:r>
      <w:r w:rsidRPr="00D87C78">
        <w:rPr>
          <w:rFonts w:ascii="Times New Roman" w:hAnsi="Times New Roman"/>
        </w:rPr>
        <w:t>Pri realizovaní nákladov (výdavkov) v roku 202</w:t>
      </w:r>
      <w:r>
        <w:rPr>
          <w:rFonts w:ascii="Times New Roman" w:hAnsi="Times New Roman"/>
        </w:rPr>
        <w:t>5</w:t>
      </w:r>
      <w:r w:rsidRPr="00D87C78">
        <w:rPr>
          <w:rFonts w:ascii="Times New Roman" w:hAnsi="Times New Roman"/>
        </w:rPr>
        <w:t xml:space="preserve"> je potrebné uplatniť maximálne úsporný režim v oblasti celého správneho fondu.</w:t>
      </w:r>
    </w:p>
    <w:p w:rsidR="00E74190" w:rsidRDefault="00E74190" w:rsidP="00E74190">
      <w:pPr>
        <w:tabs>
          <w:tab w:val="left" w:pos="9356"/>
        </w:tabs>
        <w:spacing w:before="240" w:after="120"/>
        <w:ind w:firstLine="709"/>
        <w:jc w:val="both"/>
        <w:rPr>
          <w:rFonts w:ascii="Times New Roman" w:hAnsi="Times New Roman"/>
        </w:rPr>
      </w:pPr>
    </w:p>
    <w:p w:rsidR="00E74190" w:rsidRDefault="00E74190" w:rsidP="00E74190">
      <w:pPr>
        <w:tabs>
          <w:tab w:val="left" w:pos="9356"/>
        </w:tabs>
        <w:spacing w:before="240" w:after="120"/>
        <w:ind w:firstLine="709"/>
        <w:jc w:val="both"/>
        <w:rPr>
          <w:rFonts w:ascii="Times New Roman" w:hAnsi="Times New Roman"/>
        </w:rPr>
      </w:pPr>
    </w:p>
    <w:p w:rsidR="00E74190" w:rsidRDefault="00E74190" w:rsidP="00E74190">
      <w:pPr>
        <w:tabs>
          <w:tab w:val="left" w:pos="9356"/>
        </w:tabs>
        <w:spacing w:before="240" w:after="120"/>
        <w:ind w:firstLine="709"/>
        <w:jc w:val="both"/>
        <w:rPr>
          <w:rFonts w:ascii="Times New Roman" w:hAnsi="Times New Roman"/>
        </w:rPr>
      </w:pPr>
    </w:p>
    <w:p w:rsidR="00E74190" w:rsidRDefault="00E74190" w:rsidP="00E74190">
      <w:pPr>
        <w:tabs>
          <w:tab w:val="left" w:pos="9356"/>
        </w:tabs>
        <w:spacing w:before="240" w:after="120"/>
        <w:ind w:firstLine="709"/>
        <w:jc w:val="both"/>
        <w:rPr>
          <w:rFonts w:ascii="Times New Roman" w:hAnsi="Times New Roman"/>
        </w:rPr>
      </w:pPr>
    </w:p>
    <w:p w:rsidR="00E74190" w:rsidRDefault="00E74190" w:rsidP="00E74190">
      <w:pPr>
        <w:tabs>
          <w:tab w:val="left" w:pos="9356"/>
        </w:tabs>
        <w:spacing w:before="240" w:after="120"/>
        <w:ind w:firstLine="709"/>
        <w:jc w:val="both"/>
        <w:rPr>
          <w:rFonts w:ascii="Times New Roman" w:hAnsi="Times New Roman"/>
        </w:rPr>
      </w:pPr>
    </w:p>
    <w:p w:rsidR="00E74190" w:rsidRPr="00E74190" w:rsidRDefault="00E74190" w:rsidP="00E74190">
      <w:pPr>
        <w:tabs>
          <w:tab w:val="left" w:pos="9356"/>
        </w:tabs>
        <w:spacing w:before="240" w:after="120"/>
        <w:ind w:firstLine="709"/>
        <w:jc w:val="both"/>
        <w:rPr>
          <w:rFonts w:ascii="Times New Roman" w:hAnsi="Times New Roman"/>
        </w:rPr>
      </w:pPr>
    </w:p>
    <w:p w:rsidR="00D6723F" w:rsidRPr="004C7EC8" w:rsidRDefault="00D6723F" w:rsidP="00593964">
      <w:pPr>
        <w:pStyle w:val="Zarkazkladnhotextu2"/>
        <w:tabs>
          <w:tab w:val="left" w:pos="709"/>
        </w:tabs>
        <w:spacing w:before="24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4C7EC8">
        <w:rPr>
          <w:rFonts w:ascii="Times New Roman" w:hAnsi="Times New Roman"/>
          <w:b/>
          <w:szCs w:val="24"/>
        </w:rPr>
        <w:lastRenderedPageBreak/>
        <w:t xml:space="preserve">III. </w:t>
      </w:r>
      <w:r w:rsidRPr="004C7EC8">
        <w:rPr>
          <w:rFonts w:ascii="Times New Roman" w:hAnsi="Times New Roman"/>
          <w:b/>
          <w:szCs w:val="24"/>
        </w:rPr>
        <w:tab/>
        <w:t>Záver</w:t>
      </w:r>
    </w:p>
    <w:p w:rsidR="00D6723F" w:rsidRDefault="00D6723F" w:rsidP="00E74190">
      <w:pPr>
        <w:spacing w:before="240"/>
        <w:ind w:firstLine="720"/>
        <w:jc w:val="both"/>
        <w:rPr>
          <w:rFonts w:ascii="Times New Roman" w:hAnsi="Times New Roman"/>
          <w:szCs w:val="24"/>
        </w:rPr>
      </w:pPr>
      <w:r w:rsidRPr="00D467C0">
        <w:rPr>
          <w:rFonts w:ascii="Times New Roman" w:hAnsi="Times New Roman"/>
          <w:szCs w:val="24"/>
        </w:rPr>
        <w:t xml:space="preserve">Z hľadiska </w:t>
      </w:r>
      <w:r w:rsidRPr="00D467C0">
        <w:rPr>
          <w:rFonts w:ascii="Times New Roman" w:hAnsi="Times New Roman"/>
          <w:b/>
          <w:szCs w:val="24"/>
        </w:rPr>
        <w:t>celkového hospodárenia Sociálnej poisťovne</w:t>
      </w:r>
      <w:r w:rsidRPr="00D467C0">
        <w:rPr>
          <w:rFonts w:ascii="Times New Roman" w:hAnsi="Times New Roman"/>
          <w:szCs w:val="24"/>
        </w:rPr>
        <w:t xml:space="preserve"> je možné očakávať v rokoch </w:t>
      </w:r>
      <w:r w:rsidR="000123DB">
        <w:rPr>
          <w:rFonts w:ascii="Times New Roman" w:hAnsi="Times New Roman"/>
          <w:szCs w:val="24"/>
        </w:rPr>
        <w:t>2024</w:t>
      </w:r>
      <w:r>
        <w:rPr>
          <w:rFonts w:ascii="Times New Roman" w:hAnsi="Times New Roman"/>
          <w:szCs w:val="24"/>
        </w:rPr>
        <w:t xml:space="preserve"> až </w:t>
      </w:r>
      <w:r w:rsidR="001E3DAD">
        <w:rPr>
          <w:rFonts w:ascii="Times New Roman" w:hAnsi="Times New Roman"/>
          <w:szCs w:val="24"/>
        </w:rPr>
        <w:t>2027</w:t>
      </w:r>
      <w:r w:rsidRPr="00D467C0">
        <w:rPr>
          <w:rFonts w:ascii="Times New Roman" w:hAnsi="Times New Roman"/>
          <w:szCs w:val="24"/>
        </w:rPr>
        <w:t xml:space="preserve"> výsledky:</w:t>
      </w:r>
    </w:p>
    <w:tbl>
      <w:tblPr>
        <w:tblW w:w="9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477"/>
        <w:gridCol w:w="1556"/>
        <w:gridCol w:w="1302"/>
        <w:gridCol w:w="1303"/>
      </w:tblGrid>
      <w:tr w:rsidR="00D6723F" w:rsidRPr="00232A0A" w:rsidTr="00E7419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232A0A" w:rsidRDefault="00D6723F" w:rsidP="00D6723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23F" w:rsidRPr="00232A0A" w:rsidRDefault="00D6723F" w:rsidP="00D6723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v tis. eur</w:t>
            </w:r>
          </w:p>
        </w:tc>
      </w:tr>
      <w:tr w:rsidR="00D6723F" w:rsidRPr="00232A0A" w:rsidTr="00E74190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Ukazovateľ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232A0A" w:rsidRDefault="00D6723F" w:rsidP="0059396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Očakávaná skutočnosť v roku </w:t>
            </w:r>
            <w:r w:rsidR="000123DB">
              <w:rPr>
                <w:rFonts w:ascii="Times New Roman" w:hAnsi="Times New Roman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232A0A" w:rsidRDefault="00D6723F" w:rsidP="0059396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Návrh rozpočtu  na rok </w:t>
            </w:r>
            <w:r w:rsidR="001E3DAD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>Rozpočtový výhľad na</w:t>
            </w:r>
          </w:p>
        </w:tc>
      </w:tr>
      <w:tr w:rsidR="00D6723F" w:rsidRPr="00232A0A" w:rsidTr="00E7419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723F" w:rsidRPr="00232A0A" w:rsidRDefault="00D6723F" w:rsidP="00D6723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23F" w:rsidRPr="00232A0A" w:rsidRDefault="00D6723F" w:rsidP="00D6723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23F" w:rsidRPr="00232A0A" w:rsidRDefault="00D6723F" w:rsidP="00D6723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rok </w:t>
            </w:r>
            <w:r w:rsidR="001E3DAD">
              <w:rPr>
                <w:rFonts w:ascii="Times New Roman" w:hAnsi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rok </w:t>
            </w:r>
            <w:r w:rsidR="001E3DAD">
              <w:rPr>
                <w:rFonts w:ascii="Times New Roman" w:hAnsi="Times New Roman"/>
                <w:b/>
                <w:bCs/>
                <w:sz w:val="22"/>
                <w:szCs w:val="22"/>
              </w:rPr>
              <w:t>2027</w:t>
            </w:r>
          </w:p>
        </w:tc>
      </w:tr>
      <w:tr w:rsidR="00D6723F" w:rsidRPr="00232A0A" w:rsidTr="00E7419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E74190" w:rsidRPr="00232A0A" w:rsidTr="00E7419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90" w:rsidRPr="00232A0A" w:rsidRDefault="00E74190" w:rsidP="00E7419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Zdroje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sz w:val="22"/>
                <w:szCs w:val="22"/>
              </w:rPr>
              <w:t>15 280 875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sz w:val="22"/>
                <w:szCs w:val="22"/>
              </w:rPr>
              <w:t>16 028 725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sz w:val="22"/>
                <w:szCs w:val="22"/>
              </w:rPr>
              <w:t>16 924 367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sz w:val="22"/>
                <w:szCs w:val="22"/>
              </w:rPr>
              <w:t>17 279 954</w:t>
            </w:r>
          </w:p>
        </w:tc>
      </w:tr>
      <w:tr w:rsidR="00E74190" w:rsidRPr="00232A0A" w:rsidTr="00E7419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90" w:rsidRPr="00232A0A" w:rsidRDefault="00E74190" w:rsidP="00E7419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Príjmy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spolu </w:t>
            </w:r>
            <w:r w:rsidRPr="00232A0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 bežnom roku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sz w:val="22"/>
                <w:szCs w:val="22"/>
              </w:rPr>
              <w:t>14 436 125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sz w:val="22"/>
                <w:szCs w:val="22"/>
              </w:rPr>
              <w:t>15 094 663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sz w:val="22"/>
                <w:szCs w:val="22"/>
              </w:rPr>
              <w:t>15 674 585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sz w:val="22"/>
                <w:szCs w:val="22"/>
              </w:rPr>
              <w:t>15 960 947</w:t>
            </w:r>
          </w:p>
        </w:tc>
      </w:tr>
      <w:tr w:rsidR="00E74190" w:rsidRPr="00232A0A" w:rsidTr="00E7419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90" w:rsidRPr="00232A0A" w:rsidRDefault="00E74190" w:rsidP="00E74190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z toho transfer zo ŠR SR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i/>
                <w:iCs/>
                <w:sz w:val="22"/>
                <w:szCs w:val="22"/>
              </w:rPr>
              <w:t>2 720 000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i/>
                <w:iCs/>
                <w:sz w:val="22"/>
                <w:szCs w:val="22"/>
              </w:rPr>
              <w:t>2 750 000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i/>
                <w:iCs/>
                <w:sz w:val="22"/>
                <w:szCs w:val="22"/>
              </w:rPr>
              <w:t>2 700 000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i/>
                <w:iCs/>
                <w:sz w:val="22"/>
                <w:szCs w:val="22"/>
              </w:rPr>
              <w:t>2 350 000</w:t>
            </w:r>
          </w:p>
        </w:tc>
      </w:tr>
      <w:tr w:rsidR="00E74190" w:rsidRPr="00232A0A" w:rsidTr="00E7419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90" w:rsidRPr="00232A0A" w:rsidRDefault="00E74190" w:rsidP="00E7419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Výdavky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spolu</w:t>
            </w:r>
            <w:r w:rsidRPr="00232A0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 v tom: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14 346 813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14 778 943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15 605 360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15 936 901</w:t>
            </w:r>
          </w:p>
        </w:tc>
      </w:tr>
      <w:tr w:rsidR="00E74190" w:rsidRPr="00232A0A" w:rsidTr="00E7419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90" w:rsidRPr="00232A0A" w:rsidRDefault="00E74190" w:rsidP="00E7419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výdavky poistenia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4190">
              <w:rPr>
                <w:rFonts w:ascii="Times New Roman" w:hAnsi="Times New Roman"/>
                <w:color w:val="000000"/>
                <w:sz w:val="22"/>
                <w:szCs w:val="22"/>
              </w:rPr>
              <w:t>14 042 135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4190">
              <w:rPr>
                <w:rFonts w:ascii="Times New Roman" w:hAnsi="Times New Roman"/>
                <w:color w:val="000000"/>
                <w:sz w:val="22"/>
                <w:szCs w:val="22"/>
              </w:rPr>
              <w:t>14 453 908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4190">
              <w:rPr>
                <w:rFonts w:ascii="Times New Roman" w:hAnsi="Times New Roman"/>
                <w:color w:val="000000"/>
                <w:sz w:val="22"/>
                <w:szCs w:val="22"/>
              </w:rPr>
              <w:t>15 261 594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4190">
              <w:rPr>
                <w:rFonts w:ascii="Times New Roman" w:hAnsi="Times New Roman"/>
                <w:color w:val="000000"/>
                <w:sz w:val="22"/>
                <w:szCs w:val="22"/>
              </w:rPr>
              <w:t>15 588 490</w:t>
            </w:r>
          </w:p>
        </w:tc>
      </w:tr>
      <w:tr w:rsidR="00E74190" w:rsidRPr="00232A0A" w:rsidTr="00E7419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90" w:rsidRPr="00232A0A" w:rsidRDefault="00E74190" w:rsidP="00E7419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správny fond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4190">
              <w:rPr>
                <w:rFonts w:ascii="Times New Roman" w:hAnsi="Times New Roman"/>
                <w:color w:val="000000"/>
                <w:sz w:val="22"/>
                <w:szCs w:val="22"/>
              </w:rPr>
              <w:t>264 312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4190">
              <w:rPr>
                <w:rFonts w:ascii="Times New Roman" w:hAnsi="Times New Roman"/>
                <w:color w:val="000000"/>
                <w:sz w:val="22"/>
                <w:szCs w:val="22"/>
              </w:rPr>
              <w:t>282 208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4190">
              <w:rPr>
                <w:rFonts w:ascii="Times New Roman" w:hAnsi="Times New Roman"/>
                <w:color w:val="000000"/>
                <w:sz w:val="22"/>
                <w:szCs w:val="22"/>
              </w:rPr>
              <w:t>298 625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4190">
              <w:rPr>
                <w:rFonts w:ascii="Times New Roman" w:hAnsi="Times New Roman"/>
                <w:color w:val="000000"/>
                <w:sz w:val="22"/>
                <w:szCs w:val="22"/>
              </w:rPr>
              <w:t>300 973</w:t>
            </w:r>
          </w:p>
        </w:tc>
      </w:tr>
      <w:tr w:rsidR="00E74190" w:rsidRPr="00232A0A" w:rsidTr="00E7419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4190" w:rsidRPr="00232A0A" w:rsidRDefault="00E74190" w:rsidP="00E7419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výdavky z transakcií (úver poskytnutý z garančného fondu)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74190">
              <w:rPr>
                <w:rFonts w:ascii="Times New Roman" w:hAnsi="Times New Roman"/>
                <w:sz w:val="22"/>
                <w:szCs w:val="22"/>
              </w:rPr>
              <w:t>40 366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74190">
              <w:rPr>
                <w:rFonts w:ascii="Times New Roman" w:hAnsi="Times New Roman"/>
                <w:sz w:val="22"/>
                <w:szCs w:val="22"/>
              </w:rPr>
              <w:t>42 827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74190">
              <w:rPr>
                <w:rFonts w:ascii="Times New Roman" w:hAnsi="Times New Roman"/>
                <w:sz w:val="22"/>
                <w:szCs w:val="22"/>
              </w:rPr>
              <w:t>45 141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74190">
              <w:rPr>
                <w:rFonts w:ascii="Times New Roman" w:hAnsi="Times New Roman"/>
                <w:sz w:val="22"/>
                <w:szCs w:val="22"/>
              </w:rPr>
              <w:t>47 438</w:t>
            </w:r>
          </w:p>
        </w:tc>
      </w:tr>
      <w:tr w:rsidR="00E74190" w:rsidRPr="00232A0A" w:rsidTr="00E7419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90" w:rsidRPr="00232A0A" w:rsidRDefault="00E74190" w:rsidP="00E7419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>Bilančný rozdiel v bežnom roku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sz w:val="22"/>
                <w:szCs w:val="22"/>
              </w:rPr>
              <w:t>89 312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sz w:val="22"/>
                <w:szCs w:val="22"/>
              </w:rPr>
              <w:t>315 720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sz w:val="22"/>
                <w:szCs w:val="22"/>
              </w:rPr>
              <w:t>69 225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sz w:val="22"/>
                <w:szCs w:val="22"/>
              </w:rPr>
              <w:t>24 046</w:t>
            </w:r>
          </w:p>
        </w:tc>
      </w:tr>
      <w:tr w:rsidR="00E74190" w:rsidRPr="00232A0A" w:rsidTr="00E7419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90" w:rsidRPr="00232A0A" w:rsidRDefault="00E74190" w:rsidP="00E7419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>Bilančný rozdiel celkom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sz w:val="22"/>
                <w:szCs w:val="22"/>
              </w:rPr>
              <w:t>934 062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sz w:val="22"/>
                <w:szCs w:val="22"/>
              </w:rPr>
              <w:t>1 249 782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sz w:val="22"/>
                <w:szCs w:val="22"/>
              </w:rPr>
              <w:t>1 319 007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190" w:rsidRPr="00E74190" w:rsidRDefault="00E74190" w:rsidP="00E7419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190">
              <w:rPr>
                <w:rFonts w:ascii="Times New Roman" w:hAnsi="Times New Roman"/>
                <w:b/>
                <w:bCs/>
                <w:sz w:val="22"/>
                <w:szCs w:val="22"/>
              </w:rPr>
              <w:t>1 343 053</w:t>
            </w:r>
          </w:p>
        </w:tc>
      </w:tr>
    </w:tbl>
    <w:p w:rsidR="00D6723F" w:rsidRDefault="00D6723F" w:rsidP="00E74190">
      <w:pPr>
        <w:jc w:val="both"/>
        <w:rPr>
          <w:rFonts w:ascii="Times New Roman" w:hAnsi="Times New Roman"/>
          <w:szCs w:val="24"/>
        </w:rPr>
      </w:pPr>
    </w:p>
    <w:p w:rsidR="00D6723F" w:rsidRPr="00BA63ED" w:rsidRDefault="00D6723F" w:rsidP="00D6723F">
      <w:pPr>
        <w:ind w:firstLine="720"/>
        <w:jc w:val="both"/>
        <w:rPr>
          <w:rFonts w:ascii="Times New Roman" w:hAnsi="Times New Roman"/>
          <w:szCs w:val="24"/>
        </w:rPr>
      </w:pPr>
      <w:r w:rsidRPr="00BA63ED">
        <w:rPr>
          <w:rFonts w:ascii="Times New Roman" w:hAnsi="Times New Roman"/>
          <w:szCs w:val="24"/>
        </w:rPr>
        <w:t xml:space="preserve">Hospodárenie Sociálnej poisťovne bude v rokoch </w:t>
      </w:r>
      <w:r w:rsidR="000123DB">
        <w:rPr>
          <w:rFonts w:ascii="Times New Roman" w:hAnsi="Times New Roman"/>
          <w:szCs w:val="24"/>
        </w:rPr>
        <w:t>2024</w:t>
      </w:r>
      <w:r>
        <w:rPr>
          <w:rFonts w:ascii="Times New Roman" w:hAnsi="Times New Roman"/>
          <w:szCs w:val="24"/>
        </w:rPr>
        <w:t xml:space="preserve"> až </w:t>
      </w:r>
      <w:r w:rsidR="001E3DAD">
        <w:rPr>
          <w:rFonts w:ascii="Times New Roman" w:hAnsi="Times New Roman"/>
          <w:szCs w:val="24"/>
        </w:rPr>
        <w:t>2027</w:t>
      </w:r>
      <w:r w:rsidRPr="00BA63ED">
        <w:rPr>
          <w:rFonts w:ascii="Times New Roman" w:hAnsi="Times New Roman"/>
          <w:szCs w:val="24"/>
        </w:rPr>
        <w:t xml:space="preserve"> ovplyvňovať deficitné hospodárenie</w:t>
      </w:r>
      <w:r>
        <w:rPr>
          <w:rFonts w:ascii="Times New Roman" w:hAnsi="Times New Roman"/>
          <w:szCs w:val="24"/>
        </w:rPr>
        <w:t xml:space="preserve"> v základnom fonde nemocenského poistenia a</w:t>
      </w:r>
      <w:r w:rsidRPr="00BA63ED">
        <w:rPr>
          <w:rFonts w:ascii="Times New Roman" w:hAnsi="Times New Roman"/>
          <w:szCs w:val="24"/>
        </w:rPr>
        <w:t xml:space="preserve"> v</w:t>
      </w:r>
      <w:r>
        <w:rPr>
          <w:rFonts w:ascii="Times New Roman" w:hAnsi="Times New Roman"/>
          <w:szCs w:val="24"/>
        </w:rPr>
        <w:t> základnom fonde starobného poistenia</w:t>
      </w:r>
      <w:r w:rsidRPr="00BA63ED">
        <w:rPr>
          <w:rFonts w:ascii="Times New Roman" w:hAnsi="Times New Roman"/>
          <w:szCs w:val="24"/>
        </w:rPr>
        <w:t xml:space="preserve">. Deficit bude Sociálna poisťovňa </w:t>
      </w:r>
      <w:r>
        <w:rPr>
          <w:rFonts w:ascii="Times New Roman" w:hAnsi="Times New Roman"/>
          <w:szCs w:val="24"/>
        </w:rPr>
        <w:t>riešiť</w:t>
      </w:r>
      <w:r w:rsidRPr="00BA63ED">
        <w:rPr>
          <w:rFonts w:ascii="Times New Roman" w:hAnsi="Times New Roman"/>
          <w:szCs w:val="24"/>
        </w:rPr>
        <w:t xml:space="preserve"> v zmysle § 167 ods. 1 zákona o sociálnom poistení </w:t>
      </w:r>
      <w:r>
        <w:rPr>
          <w:rFonts w:ascii="Times New Roman" w:hAnsi="Times New Roman"/>
          <w:szCs w:val="24"/>
        </w:rPr>
        <w:t>z rezervného fondu solidarity a </w:t>
      </w:r>
      <w:r w:rsidRPr="00BA63ED">
        <w:rPr>
          <w:rFonts w:ascii="Times New Roman" w:hAnsi="Times New Roman"/>
          <w:szCs w:val="24"/>
        </w:rPr>
        <w:t xml:space="preserve">aj z vnútorných zdrojov </w:t>
      </w:r>
      <w:r>
        <w:rPr>
          <w:rFonts w:ascii="Times New Roman" w:hAnsi="Times New Roman"/>
          <w:szCs w:val="24"/>
        </w:rPr>
        <w:t xml:space="preserve">v zmysle </w:t>
      </w:r>
      <w:r w:rsidRPr="00FE16D4">
        <w:rPr>
          <w:rFonts w:ascii="Times New Roman" w:hAnsi="Times New Roman"/>
          <w:szCs w:val="24"/>
        </w:rPr>
        <w:t xml:space="preserve">§ 122 ods. </w:t>
      </w:r>
      <w:r>
        <w:rPr>
          <w:rFonts w:ascii="Times New Roman" w:hAnsi="Times New Roman"/>
          <w:szCs w:val="24"/>
        </w:rPr>
        <w:t>4 písm. g) a § 123 ods. 2 písm. </w:t>
      </w:r>
      <w:r w:rsidRPr="00FE16D4">
        <w:rPr>
          <w:rFonts w:ascii="Times New Roman" w:hAnsi="Times New Roman"/>
          <w:szCs w:val="24"/>
        </w:rPr>
        <w:t>b)</w:t>
      </w:r>
      <w:r>
        <w:rPr>
          <w:rFonts w:ascii="Times New Roman" w:hAnsi="Times New Roman"/>
          <w:szCs w:val="24"/>
        </w:rPr>
        <w:t xml:space="preserve"> bod 6</w:t>
      </w:r>
      <w:r>
        <w:rPr>
          <w:rFonts w:ascii="Trebuchet MS" w:hAnsi="Trebuchet MS"/>
          <w:color w:val="000000"/>
          <w:sz w:val="20"/>
        </w:rPr>
        <w:t>.</w:t>
      </w:r>
    </w:p>
    <w:p w:rsidR="00D6723F" w:rsidRPr="004C7EC8" w:rsidRDefault="00D6723F" w:rsidP="00D6723F">
      <w:pPr>
        <w:spacing w:before="120" w:after="120"/>
        <w:jc w:val="center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 xml:space="preserve">x  </w:t>
      </w:r>
      <w:proofErr w:type="spellStart"/>
      <w:r w:rsidRPr="004C7EC8">
        <w:rPr>
          <w:rFonts w:ascii="Times New Roman" w:hAnsi="Times New Roman"/>
          <w:szCs w:val="24"/>
        </w:rPr>
        <w:t>x</w:t>
      </w:r>
      <w:proofErr w:type="spellEnd"/>
      <w:r w:rsidRPr="004C7EC8">
        <w:rPr>
          <w:rFonts w:ascii="Times New Roman" w:hAnsi="Times New Roman"/>
          <w:szCs w:val="24"/>
        </w:rPr>
        <w:t xml:space="preserve">  </w:t>
      </w:r>
      <w:proofErr w:type="spellStart"/>
      <w:r w:rsidRPr="004C7EC8">
        <w:rPr>
          <w:rFonts w:ascii="Times New Roman" w:hAnsi="Times New Roman"/>
          <w:szCs w:val="24"/>
        </w:rPr>
        <w:t>x</w:t>
      </w:r>
      <w:proofErr w:type="spellEnd"/>
    </w:p>
    <w:p w:rsidR="00E90153" w:rsidRPr="0062260F" w:rsidRDefault="0062260F" w:rsidP="0062260F">
      <w:pPr>
        <w:pStyle w:val="Zarkazkladnhotextu"/>
        <w:tabs>
          <w:tab w:val="decimal" w:pos="8222"/>
        </w:tabs>
        <w:spacing w:before="240" w:after="0"/>
        <w:ind w:left="0" w:firstLine="720"/>
        <w:jc w:val="center"/>
        <w:rPr>
          <w:rFonts w:ascii="Times New Roman" w:hAnsi="Times New Roman"/>
          <w:b/>
        </w:rPr>
      </w:pPr>
      <w:r w:rsidRPr="0062260F">
        <w:rPr>
          <w:rFonts w:ascii="Times New Roman" w:hAnsi="Times New Roman"/>
          <w:b/>
        </w:rPr>
        <w:t>Príspevky na starobné dôchodkové sporenie v rokoch 2025 až 2027</w:t>
      </w:r>
    </w:p>
    <w:p w:rsidR="00E90153" w:rsidRPr="004C7EC8" w:rsidRDefault="00E90153" w:rsidP="00E90153">
      <w:pPr>
        <w:pStyle w:val="Zarkazkladnhotextu"/>
        <w:tabs>
          <w:tab w:val="decimal" w:pos="8222"/>
        </w:tabs>
        <w:spacing w:before="240" w:after="0"/>
        <w:ind w:left="0" w:firstLine="720"/>
        <w:rPr>
          <w:rFonts w:ascii="Times New Roman" w:hAnsi="Times New Roman"/>
        </w:rPr>
      </w:pPr>
      <w:r w:rsidRPr="004C7EC8">
        <w:rPr>
          <w:rFonts w:ascii="Times New Roman" w:hAnsi="Times New Roman"/>
        </w:rPr>
        <w:t xml:space="preserve">Vybraté príspevky na SDS sa v rokoch </w:t>
      </w:r>
      <w:r>
        <w:rPr>
          <w:rFonts w:ascii="Times New Roman" w:hAnsi="Times New Roman"/>
        </w:rPr>
        <w:t xml:space="preserve">2025 až 2027 </w:t>
      </w:r>
      <w:r w:rsidR="008F2018">
        <w:rPr>
          <w:rFonts w:ascii="Times New Roman" w:hAnsi="Times New Roman"/>
        </w:rPr>
        <w:t>odhadujú</w:t>
      </w:r>
      <w:r w:rsidRPr="004C7EC8">
        <w:rPr>
          <w:rFonts w:ascii="Times New Roman" w:hAnsi="Times New Roman"/>
        </w:rPr>
        <w:t>:</w:t>
      </w:r>
    </w:p>
    <w:tbl>
      <w:tblPr>
        <w:tblW w:w="94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773"/>
        <w:gridCol w:w="1559"/>
        <w:gridCol w:w="1560"/>
      </w:tblGrid>
      <w:tr w:rsidR="00E90153" w:rsidRPr="004C7EC8" w:rsidTr="00A57CA9"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153" w:rsidRPr="004C7EC8" w:rsidRDefault="00E90153" w:rsidP="00A57C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153" w:rsidRPr="004C7EC8" w:rsidRDefault="00E90153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153" w:rsidRPr="004C7EC8" w:rsidRDefault="00E90153" w:rsidP="00A57C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153" w:rsidRPr="004C7EC8" w:rsidRDefault="00E90153" w:rsidP="00A57CA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tis.</w:t>
            </w:r>
            <w:r>
              <w:rPr>
                <w:rFonts w:ascii="Times New Roman" w:hAnsi="Times New Roman"/>
                <w:sz w:val="22"/>
                <w:szCs w:val="22"/>
              </w:rPr>
              <w:t> eur</w:t>
            </w:r>
          </w:p>
        </w:tc>
      </w:tr>
      <w:tr w:rsidR="00E90153" w:rsidRPr="004C7EC8" w:rsidTr="00A57CA9"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153" w:rsidRPr="00005F2A" w:rsidRDefault="00E90153" w:rsidP="00A57CA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>Vybraté príspevky na SDS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153" w:rsidRPr="00005F2A" w:rsidRDefault="00E90153" w:rsidP="00A57CA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Návrh rozpočtu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na </w:t>
            </w: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153" w:rsidRPr="00005F2A" w:rsidRDefault="00E90153" w:rsidP="00A57CA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Rozpočtový výhľad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na</w:t>
            </w:r>
          </w:p>
        </w:tc>
      </w:tr>
      <w:tr w:rsidR="00E90153" w:rsidRPr="004C7EC8" w:rsidTr="00A57CA9"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153" w:rsidRPr="00005F2A" w:rsidRDefault="00E90153" w:rsidP="00A57CA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153" w:rsidRPr="00005F2A" w:rsidRDefault="00E90153" w:rsidP="00A57CA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153" w:rsidRPr="00005F2A" w:rsidRDefault="00E90153" w:rsidP="00A57CA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153" w:rsidRPr="00005F2A" w:rsidRDefault="00E90153" w:rsidP="00A57CA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2027</w:t>
            </w:r>
          </w:p>
        </w:tc>
      </w:tr>
      <w:tr w:rsidR="00E90153" w:rsidRPr="004C7EC8" w:rsidTr="00A57CA9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153" w:rsidRPr="004C7EC8" w:rsidRDefault="00E90153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153" w:rsidRPr="004C7EC8" w:rsidRDefault="00E90153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153" w:rsidRPr="004C7EC8" w:rsidRDefault="00E90153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153" w:rsidRPr="004C7EC8" w:rsidRDefault="00E90153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83846" w:rsidRPr="005978A9" w:rsidTr="00A57CA9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6" w:rsidRPr="005978A9" w:rsidRDefault="00B83846" w:rsidP="00C56E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978A9">
              <w:rPr>
                <w:rFonts w:ascii="Times New Roman" w:hAnsi="Times New Roman"/>
                <w:b/>
                <w:sz w:val="22"/>
                <w:szCs w:val="22"/>
              </w:rPr>
              <w:t xml:space="preserve">Vybraté príspevky na SDS </w:t>
            </w:r>
            <w:r w:rsidR="00C56E69">
              <w:rPr>
                <w:rFonts w:ascii="Times New Roman" w:hAnsi="Times New Roman"/>
                <w:b/>
                <w:sz w:val="22"/>
                <w:szCs w:val="22"/>
              </w:rPr>
              <w:t>spolu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3846">
              <w:rPr>
                <w:rFonts w:ascii="Times New Roman" w:hAnsi="Times New Roman"/>
                <w:b/>
                <w:bCs/>
                <w:sz w:val="22"/>
                <w:szCs w:val="22"/>
              </w:rPr>
              <w:t>1 133 809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3846">
              <w:rPr>
                <w:rFonts w:ascii="Times New Roman" w:hAnsi="Times New Roman"/>
                <w:b/>
                <w:bCs/>
                <w:sz w:val="22"/>
                <w:szCs w:val="22"/>
              </w:rPr>
              <w:t>1 228 649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3846">
              <w:rPr>
                <w:rFonts w:ascii="Times New Roman" w:hAnsi="Times New Roman"/>
                <w:b/>
                <w:bCs/>
                <w:sz w:val="22"/>
                <w:szCs w:val="22"/>
              </w:rPr>
              <w:t>1 281 597</w:t>
            </w:r>
          </w:p>
        </w:tc>
      </w:tr>
      <w:tr w:rsidR="00B83846" w:rsidRPr="004C7EC8" w:rsidTr="00A57CA9"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6" w:rsidRPr="004C7EC8" w:rsidRDefault="00B83846" w:rsidP="00B83846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B83846" w:rsidRPr="004C7EC8" w:rsidTr="00A57CA9"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6" w:rsidRPr="004C7EC8" w:rsidRDefault="00B83846" w:rsidP="00B83846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EAO 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1 083 305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1 172 828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1 220 494</w:t>
            </w:r>
          </w:p>
        </w:tc>
      </w:tr>
      <w:tr w:rsidR="00B83846" w:rsidRPr="004C7EC8" w:rsidTr="00A57CA9"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6" w:rsidRPr="004C7EC8" w:rsidRDefault="00B83846" w:rsidP="00B83846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štát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49 717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54 857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59 920</w:t>
            </w:r>
          </w:p>
        </w:tc>
      </w:tr>
      <w:tr w:rsidR="00B83846" w:rsidRPr="004C7EC8" w:rsidTr="00A57CA9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6" w:rsidRPr="004C7EC8" w:rsidRDefault="00B83846" w:rsidP="00B83846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964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1 183</w:t>
            </w:r>
          </w:p>
        </w:tc>
      </w:tr>
    </w:tbl>
    <w:p w:rsidR="00E90153" w:rsidRPr="004C7EC8" w:rsidRDefault="00E90153" w:rsidP="00E90153">
      <w:pPr>
        <w:pStyle w:val="Zarkazkladnhotextu"/>
        <w:tabs>
          <w:tab w:val="decimal" w:pos="8222"/>
        </w:tabs>
        <w:spacing w:before="120" w:after="0"/>
        <w:ind w:left="0"/>
        <w:rPr>
          <w:rFonts w:ascii="Times New Roman" w:hAnsi="Times New Roman"/>
        </w:rPr>
      </w:pPr>
    </w:p>
    <w:p w:rsidR="00D6723F" w:rsidRPr="004C7EC8" w:rsidRDefault="00D6723F" w:rsidP="00E74190">
      <w:pPr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 xml:space="preserve">Predpokladá sa, že </w:t>
      </w:r>
      <w:r w:rsidRPr="00AE263F">
        <w:rPr>
          <w:rFonts w:ascii="Times New Roman" w:hAnsi="Times New Roman"/>
          <w:b/>
          <w:szCs w:val="24"/>
        </w:rPr>
        <w:t>Sociálna poisťovňa postúpi príspevky na SDS</w:t>
      </w:r>
      <w:r w:rsidRPr="004C7EC8">
        <w:rPr>
          <w:rFonts w:ascii="Times New Roman" w:hAnsi="Times New Roman"/>
          <w:szCs w:val="24"/>
        </w:rPr>
        <w:t xml:space="preserve"> v rokoch </w:t>
      </w:r>
      <w:r w:rsidR="001E3DAD">
        <w:rPr>
          <w:rFonts w:ascii="Times New Roman" w:hAnsi="Times New Roman"/>
          <w:szCs w:val="24"/>
        </w:rPr>
        <w:t>2025</w:t>
      </w:r>
      <w:r>
        <w:rPr>
          <w:rFonts w:ascii="Times New Roman" w:hAnsi="Times New Roman"/>
          <w:szCs w:val="24"/>
        </w:rPr>
        <w:t xml:space="preserve"> až </w:t>
      </w:r>
      <w:r w:rsidR="001E3DAD">
        <w:rPr>
          <w:rFonts w:ascii="Times New Roman" w:hAnsi="Times New Roman"/>
          <w:szCs w:val="24"/>
        </w:rPr>
        <w:t>2027</w:t>
      </w:r>
      <w:r w:rsidRPr="004C7EC8">
        <w:rPr>
          <w:rFonts w:ascii="Times New Roman" w:hAnsi="Times New Roman"/>
          <w:szCs w:val="24"/>
        </w:rPr>
        <w:t xml:space="preserve">: </w:t>
      </w:r>
    </w:p>
    <w:tbl>
      <w:tblPr>
        <w:tblW w:w="915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7"/>
        <w:gridCol w:w="1559"/>
        <w:gridCol w:w="1014"/>
        <w:gridCol w:w="403"/>
        <w:gridCol w:w="1276"/>
      </w:tblGrid>
      <w:tr w:rsidR="00D6723F" w:rsidRPr="00DD48E0" w:rsidTr="00E74190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4C7EC8" w:rsidRDefault="00D6723F" w:rsidP="00D672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4C7EC8" w:rsidRDefault="00D6723F" w:rsidP="00D672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F" w:rsidRPr="004C7EC8" w:rsidRDefault="00D6723F" w:rsidP="00D672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F" w:rsidRPr="00DD48E0" w:rsidRDefault="00D6723F" w:rsidP="00D672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D48E0">
              <w:rPr>
                <w:rFonts w:ascii="Times New Roman" w:hAnsi="Times New Roman"/>
                <w:sz w:val="22"/>
                <w:szCs w:val="22"/>
              </w:rPr>
              <w:t>v tis. eur</w:t>
            </w:r>
          </w:p>
        </w:tc>
      </w:tr>
      <w:tr w:rsidR="00D6723F" w:rsidRPr="004C7EC8" w:rsidTr="00E74190">
        <w:tc>
          <w:tcPr>
            <w:tcW w:w="4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Príspevky na SDS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Návrh rozpočtu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na</w:t>
            </w: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 xml:space="preserve">  rok </w:t>
            </w:r>
            <w:r w:rsidR="001E3DAD"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 xml:space="preserve">Rozpočtový výhľad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na</w:t>
            </w:r>
          </w:p>
        </w:tc>
      </w:tr>
      <w:tr w:rsidR="00D6723F" w:rsidRPr="004C7EC8" w:rsidTr="00E74190">
        <w:tc>
          <w:tcPr>
            <w:tcW w:w="4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23F" w:rsidRPr="0015437A" w:rsidRDefault="00D6723F" w:rsidP="00D6723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23F" w:rsidRPr="0015437A" w:rsidRDefault="00D6723F" w:rsidP="00D6723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 w:rsidR="001E3DAD">
              <w:rPr>
                <w:rFonts w:ascii="Times New Roman" w:hAnsi="Times New Roman"/>
                <w:b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 w:rsidR="001E3DAD">
              <w:rPr>
                <w:rFonts w:ascii="Times New Roman" w:hAnsi="Times New Roman"/>
                <w:b/>
                <w:sz w:val="22"/>
                <w:szCs w:val="22"/>
              </w:rPr>
              <w:t>2027</w:t>
            </w:r>
          </w:p>
        </w:tc>
      </w:tr>
      <w:tr w:rsidR="00D6723F" w:rsidRPr="004C7EC8" w:rsidTr="00E74190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  <w:tr w:rsidR="00B83846" w:rsidRPr="004C7EC8" w:rsidTr="00E74190"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6" w:rsidRPr="0015437A" w:rsidRDefault="00B83846" w:rsidP="00C56E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 xml:space="preserve">Postúpené príspevky na SDS </w:t>
            </w:r>
            <w:r w:rsidR="00C56E69">
              <w:rPr>
                <w:rFonts w:ascii="Times New Roman" w:hAnsi="Times New Roman"/>
                <w:b/>
                <w:sz w:val="22"/>
                <w:szCs w:val="22"/>
              </w:rPr>
              <w:t>spolu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3846">
              <w:rPr>
                <w:rFonts w:ascii="Times New Roman" w:hAnsi="Times New Roman"/>
                <w:b/>
                <w:bCs/>
                <w:sz w:val="22"/>
                <w:szCs w:val="22"/>
              </w:rPr>
              <w:t>1 169 303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3846">
              <w:rPr>
                <w:rFonts w:ascii="Times New Roman" w:hAnsi="Times New Roman"/>
                <w:b/>
                <w:bCs/>
                <w:sz w:val="22"/>
                <w:szCs w:val="22"/>
              </w:rPr>
              <w:t>1 265 897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3846">
              <w:rPr>
                <w:rFonts w:ascii="Times New Roman" w:hAnsi="Times New Roman"/>
                <w:b/>
                <w:bCs/>
                <w:sz w:val="22"/>
                <w:szCs w:val="22"/>
              </w:rPr>
              <w:t>1 320 678</w:t>
            </w:r>
          </w:p>
        </w:tc>
      </w:tr>
      <w:tr w:rsidR="00B83846" w:rsidRPr="004C7EC8" w:rsidTr="00E74190"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6" w:rsidRPr="004C7EC8" w:rsidRDefault="00B83846" w:rsidP="00B83846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B83846" w:rsidRPr="004C7EC8" w:rsidTr="00E74190"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6" w:rsidRPr="004C7EC8" w:rsidRDefault="00B83846" w:rsidP="00B83846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EAO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1 080 597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1 169 896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1 217 442</w:t>
            </w:r>
          </w:p>
        </w:tc>
      </w:tr>
      <w:tr w:rsidR="00B83846" w:rsidRPr="004C7EC8" w:rsidTr="00E74190"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6" w:rsidRPr="004C7EC8" w:rsidRDefault="00B83846" w:rsidP="00B83846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štát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49 592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54 720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59 770</w:t>
            </w:r>
          </w:p>
        </w:tc>
      </w:tr>
      <w:tr w:rsidR="00B83846" w:rsidRPr="004C7EC8" w:rsidTr="00E74190"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6" w:rsidRPr="004C7EC8" w:rsidRDefault="00B83846" w:rsidP="00B83846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787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964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1 183</w:t>
            </w:r>
          </w:p>
        </w:tc>
      </w:tr>
      <w:tr w:rsidR="00B83846" w:rsidRPr="00BA63ED" w:rsidTr="00E74190">
        <w:tc>
          <w:tcPr>
            <w:tcW w:w="4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6" w:rsidRPr="004C7EC8" w:rsidRDefault="00B83846" w:rsidP="00B83846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uhradené príspevky zo základného fondu garančného poistenia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38 327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40 317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846" w:rsidRPr="00B83846" w:rsidRDefault="00B83846" w:rsidP="00B8384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83846">
              <w:rPr>
                <w:rFonts w:ascii="Times New Roman" w:hAnsi="Times New Roman"/>
                <w:sz w:val="22"/>
                <w:szCs w:val="22"/>
              </w:rPr>
              <w:t>42 283</w:t>
            </w:r>
          </w:p>
        </w:tc>
      </w:tr>
    </w:tbl>
    <w:p w:rsidR="006B7F65" w:rsidRPr="00BA63ED" w:rsidRDefault="006B7F65" w:rsidP="00820899">
      <w:pPr>
        <w:jc w:val="both"/>
        <w:rPr>
          <w:rFonts w:ascii="Times New Roman" w:hAnsi="Times New Roman"/>
        </w:rPr>
      </w:pPr>
    </w:p>
    <w:sectPr w:rsidR="006B7F65" w:rsidRPr="00BA63ED" w:rsidSect="000E120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1134" w:bottom="851" w:left="1418" w:header="703" w:footer="4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7B" w:rsidRDefault="00BB6C7B">
      <w:r>
        <w:separator/>
      </w:r>
    </w:p>
  </w:endnote>
  <w:endnote w:type="continuationSeparator" w:id="0">
    <w:p w:rsidR="00BB6C7B" w:rsidRDefault="00BB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7B" w:rsidRDefault="00BB6C7B" w:rsidP="009329C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B6C7B" w:rsidRDefault="00BB6C7B" w:rsidP="00E12DD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2875000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Times New Roman" w:hAnsi="Times New Roman"/>
          </w:rPr>
          <w:id w:val="352395227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BB6C7B" w:rsidRPr="00C320A4" w:rsidRDefault="00BB6C7B" w:rsidP="00915D43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instrText>PAGE</w:instrTex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2939C8">
              <w:rPr>
                <w:rFonts w:ascii="Times New Roman" w:hAnsi="Times New Roman"/>
                <w:bCs/>
                <w:noProof/>
                <w:sz w:val="22"/>
                <w:szCs w:val="22"/>
              </w:rPr>
              <w:t>8</w: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C320A4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instrText>NUMPAGES</w:instrTex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2939C8">
              <w:rPr>
                <w:rFonts w:ascii="Times New Roman" w:hAnsi="Times New Roman"/>
                <w:bCs/>
                <w:noProof/>
                <w:sz w:val="22"/>
                <w:szCs w:val="22"/>
              </w:rPr>
              <w:t>9</w: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0943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2"/>
            <w:szCs w:val="22"/>
          </w:rPr>
        </w:sdtEndPr>
        <w:sdtContent>
          <w:p w:rsidR="00BB6C7B" w:rsidRPr="001C1AD2" w:rsidRDefault="00BB6C7B" w:rsidP="003F4466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instrText>PAGE</w:instrText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2939C8">
              <w:rPr>
                <w:rFonts w:ascii="Times New Roman" w:hAnsi="Times New Roman"/>
                <w:bCs/>
                <w:noProof/>
                <w:sz w:val="22"/>
                <w:szCs w:val="22"/>
              </w:rPr>
              <w:t>1</w:t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3F4466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instrText>NUMPAGES</w:instrText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2939C8">
              <w:rPr>
                <w:rFonts w:ascii="Times New Roman" w:hAnsi="Times New Roman"/>
                <w:bCs/>
                <w:noProof/>
                <w:sz w:val="22"/>
                <w:szCs w:val="22"/>
              </w:rPr>
              <w:t>9</w:t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7B" w:rsidRDefault="00BB6C7B">
      <w:r>
        <w:separator/>
      </w:r>
    </w:p>
  </w:footnote>
  <w:footnote w:type="continuationSeparator" w:id="0">
    <w:p w:rsidR="00BB6C7B" w:rsidRDefault="00BB6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7B" w:rsidRPr="001C1AD2" w:rsidRDefault="00BB6C7B" w:rsidP="00430A51">
    <w:pPr>
      <w:pStyle w:val="Hlavika"/>
      <w:jc w:val="center"/>
      <w:rPr>
        <w:rFonts w:ascii="Times New Roman" w:hAnsi="Times New Roman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Návrh rozpočtu Sociálnej poisťovne na rok 2025 a rozpočtový výhľad na roky 2026 a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048"/>
    <w:multiLevelType w:val="singleLevel"/>
    <w:tmpl w:val="A88A264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1" w15:restartNumberingAfterBreak="0">
    <w:nsid w:val="03266FA7"/>
    <w:multiLevelType w:val="hybridMultilevel"/>
    <w:tmpl w:val="7834DDAE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57383F"/>
    <w:multiLevelType w:val="hybridMultilevel"/>
    <w:tmpl w:val="DE96DB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D4BEF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A24239"/>
    <w:multiLevelType w:val="hybridMultilevel"/>
    <w:tmpl w:val="94C01306"/>
    <w:lvl w:ilvl="0" w:tplc="9E163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A6FD5"/>
    <w:multiLevelType w:val="hybridMultilevel"/>
    <w:tmpl w:val="1334FC04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BF732C2"/>
    <w:multiLevelType w:val="hybridMultilevel"/>
    <w:tmpl w:val="89061C6E"/>
    <w:lvl w:ilvl="0" w:tplc="275AF9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4239F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9648D3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49549C3"/>
    <w:multiLevelType w:val="hybridMultilevel"/>
    <w:tmpl w:val="EB549BF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672D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647533E"/>
    <w:multiLevelType w:val="hybridMultilevel"/>
    <w:tmpl w:val="8DCAF820"/>
    <w:lvl w:ilvl="0" w:tplc="0284CF70">
      <w:start w:val="1"/>
      <w:numFmt w:val="bullet"/>
      <w:lvlText w:val="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F4ACD"/>
    <w:multiLevelType w:val="hybridMultilevel"/>
    <w:tmpl w:val="C01EBA6A"/>
    <w:lvl w:ilvl="0" w:tplc="041B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1D48779B"/>
    <w:multiLevelType w:val="hybridMultilevel"/>
    <w:tmpl w:val="89F88EB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FE95767"/>
    <w:multiLevelType w:val="hybridMultilevel"/>
    <w:tmpl w:val="CA3E55D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90A27"/>
    <w:multiLevelType w:val="hybridMultilevel"/>
    <w:tmpl w:val="366C1E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D3C9D"/>
    <w:multiLevelType w:val="hybridMultilevel"/>
    <w:tmpl w:val="1B1AFE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B4E1C"/>
    <w:multiLevelType w:val="hybridMultilevel"/>
    <w:tmpl w:val="9AF4221A"/>
    <w:lvl w:ilvl="0" w:tplc="C4407CDE"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00D0F6E"/>
    <w:multiLevelType w:val="hybridMultilevel"/>
    <w:tmpl w:val="205A6CA0"/>
    <w:lvl w:ilvl="0" w:tplc="3F7839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337B2110"/>
    <w:multiLevelType w:val="hybridMultilevel"/>
    <w:tmpl w:val="248EB1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640469"/>
    <w:multiLevelType w:val="hybridMultilevel"/>
    <w:tmpl w:val="9E989D8C"/>
    <w:lvl w:ilvl="0" w:tplc="9E163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F0224"/>
    <w:multiLevelType w:val="hybridMultilevel"/>
    <w:tmpl w:val="806044AA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 w15:restartNumberingAfterBreak="0">
    <w:nsid w:val="389A2CC6"/>
    <w:multiLevelType w:val="multilevel"/>
    <w:tmpl w:val="DF241B4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E086EC6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B73096"/>
    <w:multiLevelType w:val="hybridMultilevel"/>
    <w:tmpl w:val="4C92D45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D6019"/>
    <w:multiLevelType w:val="hybridMultilevel"/>
    <w:tmpl w:val="CB1C7D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157FF"/>
    <w:multiLevelType w:val="hybridMultilevel"/>
    <w:tmpl w:val="B81694EE"/>
    <w:lvl w:ilvl="0" w:tplc="C4407C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61E5F"/>
    <w:multiLevelType w:val="hybridMultilevel"/>
    <w:tmpl w:val="C92C1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D040A"/>
    <w:multiLevelType w:val="hybridMultilevel"/>
    <w:tmpl w:val="3F282DA4"/>
    <w:lvl w:ilvl="0" w:tplc="C4407CDE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A38119B"/>
    <w:multiLevelType w:val="hybridMultilevel"/>
    <w:tmpl w:val="7DB6416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F4438"/>
    <w:multiLevelType w:val="hybridMultilevel"/>
    <w:tmpl w:val="A84CF6E6"/>
    <w:lvl w:ilvl="0" w:tplc="3F7839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7338C"/>
    <w:multiLevelType w:val="hybridMultilevel"/>
    <w:tmpl w:val="91EA5B4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44C92"/>
    <w:multiLevelType w:val="hybridMultilevel"/>
    <w:tmpl w:val="89B44AD6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37D2E41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3F8182C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84C3597"/>
    <w:multiLevelType w:val="hybridMultilevel"/>
    <w:tmpl w:val="46688EA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21D3C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0074AA7"/>
    <w:multiLevelType w:val="hybridMultilevel"/>
    <w:tmpl w:val="607CEA48"/>
    <w:lvl w:ilvl="0" w:tplc="C4407CDE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32A0D57"/>
    <w:multiLevelType w:val="hybridMultilevel"/>
    <w:tmpl w:val="D0A266B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F27B6F"/>
    <w:multiLevelType w:val="hybridMultilevel"/>
    <w:tmpl w:val="603A22B4"/>
    <w:lvl w:ilvl="0" w:tplc="0284CF70">
      <w:start w:val="1"/>
      <w:numFmt w:val="bullet"/>
      <w:lvlText w:val=""/>
      <w:lvlJc w:val="left"/>
      <w:pPr>
        <w:tabs>
          <w:tab w:val="num" w:pos="537"/>
        </w:tabs>
        <w:ind w:left="180" w:firstLine="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6879333B"/>
    <w:multiLevelType w:val="hybridMultilevel"/>
    <w:tmpl w:val="5DC6089C"/>
    <w:lvl w:ilvl="0" w:tplc="C2500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82168"/>
    <w:multiLevelType w:val="hybridMultilevel"/>
    <w:tmpl w:val="D6448940"/>
    <w:lvl w:ilvl="0" w:tplc="B1720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00D94"/>
    <w:multiLevelType w:val="hybridMultilevel"/>
    <w:tmpl w:val="0400D2C0"/>
    <w:lvl w:ilvl="0" w:tplc="32FEB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A7928"/>
    <w:multiLevelType w:val="hybridMultilevel"/>
    <w:tmpl w:val="AB06A3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BF4DF6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FA1CAA"/>
    <w:multiLevelType w:val="multilevel"/>
    <w:tmpl w:val="DF241B4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7F9C4651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5"/>
  </w:num>
  <w:num w:numId="2">
    <w:abstractNumId w:val="24"/>
  </w:num>
  <w:num w:numId="3">
    <w:abstractNumId w:val="39"/>
  </w:num>
  <w:num w:numId="4">
    <w:abstractNumId w:val="11"/>
  </w:num>
  <w:num w:numId="5">
    <w:abstractNumId w:val="36"/>
  </w:num>
  <w:num w:numId="6">
    <w:abstractNumId w:val="10"/>
  </w:num>
  <w:num w:numId="7">
    <w:abstractNumId w:val="22"/>
  </w:num>
  <w:num w:numId="8">
    <w:abstractNumId w:val="33"/>
  </w:num>
  <w:num w:numId="9">
    <w:abstractNumId w:val="23"/>
  </w:num>
  <w:num w:numId="10">
    <w:abstractNumId w:val="46"/>
  </w:num>
  <w:num w:numId="11">
    <w:abstractNumId w:val="34"/>
  </w:num>
  <w:num w:numId="12">
    <w:abstractNumId w:val="9"/>
  </w:num>
  <w:num w:numId="13">
    <w:abstractNumId w:val="45"/>
  </w:num>
  <w:num w:numId="14">
    <w:abstractNumId w:val="8"/>
  </w:num>
  <w:num w:numId="15">
    <w:abstractNumId w:val="44"/>
  </w:num>
  <w:num w:numId="16">
    <w:abstractNumId w:val="7"/>
  </w:num>
  <w:num w:numId="17">
    <w:abstractNumId w:val="3"/>
  </w:num>
  <w:num w:numId="18">
    <w:abstractNumId w:val="26"/>
  </w:num>
  <w:num w:numId="19">
    <w:abstractNumId w:val="6"/>
  </w:num>
  <w:num w:numId="20">
    <w:abstractNumId w:val="0"/>
  </w:num>
  <w:num w:numId="21">
    <w:abstractNumId w:val="20"/>
  </w:num>
  <w:num w:numId="22">
    <w:abstractNumId w:val="4"/>
  </w:num>
  <w:num w:numId="23">
    <w:abstractNumId w:val="30"/>
  </w:num>
  <w:num w:numId="24">
    <w:abstractNumId w:val="18"/>
  </w:num>
  <w:num w:numId="25">
    <w:abstractNumId w:val="31"/>
  </w:num>
  <w:num w:numId="26">
    <w:abstractNumId w:val="21"/>
  </w:num>
  <w:num w:numId="27">
    <w:abstractNumId w:val="40"/>
  </w:num>
  <w:num w:numId="28">
    <w:abstractNumId w:val="41"/>
  </w:num>
  <w:num w:numId="29">
    <w:abstractNumId w:val="38"/>
  </w:num>
  <w:num w:numId="30">
    <w:abstractNumId w:val="32"/>
  </w:num>
  <w:num w:numId="31">
    <w:abstractNumId w:val="1"/>
  </w:num>
  <w:num w:numId="32">
    <w:abstractNumId w:val="13"/>
  </w:num>
  <w:num w:numId="33">
    <w:abstractNumId w:val="12"/>
  </w:num>
  <w:num w:numId="34">
    <w:abstractNumId w:val="27"/>
  </w:num>
  <w:num w:numId="35">
    <w:abstractNumId w:val="14"/>
  </w:num>
  <w:num w:numId="36">
    <w:abstractNumId w:val="15"/>
  </w:num>
  <w:num w:numId="37">
    <w:abstractNumId w:val="42"/>
  </w:num>
  <w:num w:numId="38">
    <w:abstractNumId w:val="37"/>
  </w:num>
  <w:num w:numId="39">
    <w:abstractNumId w:val="25"/>
  </w:num>
  <w:num w:numId="40">
    <w:abstractNumId w:val="5"/>
  </w:num>
  <w:num w:numId="41">
    <w:abstractNumId w:val="28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43"/>
  </w:num>
  <w:num w:numId="45">
    <w:abstractNumId w:val="17"/>
  </w:num>
  <w:num w:numId="46">
    <w:abstractNumId w:val="16"/>
  </w:num>
  <w:num w:numId="47">
    <w:abstractNumId w:val="2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E4"/>
    <w:rsid w:val="00002E6B"/>
    <w:rsid w:val="000054DA"/>
    <w:rsid w:val="00005AA4"/>
    <w:rsid w:val="00005DB7"/>
    <w:rsid w:val="00005F2A"/>
    <w:rsid w:val="00006687"/>
    <w:rsid w:val="00006EB6"/>
    <w:rsid w:val="00006F32"/>
    <w:rsid w:val="00011314"/>
    <w:rsid w:val="000123DB"/>
    <w:rsid w:val="000132D0"/>
    <w:rsid w:val="0001484E"/>
    <w:rsid w:val="0001600D"/>
    <w:rsid w:val="000178EC"/>
    <w:rsid w:val="00020C41"/>
    <w:rsid w:val="00022346"/>
    <w:rsid w:val="0002248D"/>
    <w:rsid w:val="00025CC0"/>
    <w:rsid w:val="00026E0E"/>
    <w:rsid w:val="00031BFF"/>
    <w:rsid w:val="000360DC"/>
    <w:rsid w:val="00036F71"/>
    <w:rsid w:val="0004013A"/>
    <w:rsid w:val="000405E4"/>
    <w:rsid w:val="000407A6"/>
    <w:rsid w:val="00043044"/>
    <w:rsid w:val="00043BA4"/>
    <w:rsid w:val="00045FF4"/>
    <w:rsid w:val="0004624C"/>
    <w:rsid w:val="00051644"/>
    <w:rsid w:val="000528EC"/>
    <w:rsid w:val="000536AA"/>
    <w:rsid w:val="000544CE"/>
    <w:rsid w:val="00056EF2"/>
    <w:rsid w:val="000570F4"/>
    <w:rsid w:val="00060340"/>
    <w:rsid w:val="00060D15"/>
    <w:rsid w:val="00061FDB"/>
    <w:rsid w:val="0006494C"/>
    <w:rsid w:val="00065B9D"/>
    <w:rsid w:val="00071EC4"/>
    <w:rsid w:val="00074BDC"/>
    <w:rsid w:val="000761A1"/>
    <w:rsid w:val="00077801"/>
    <w:rsid w:val="00081044"/>
    <w:rsid w:val="000850E0"/>
    <w:rsid w:val="00086008"/>
    <w:rsid w:val="00090610"/>
    <w:rsid w:val="00090695"/>
    <w:rsid w:val="00091DE3"/>
    <w:rsid w:val="000921C4"/>
    <w:rsid w:val="00095E26"/>
    <w:rsid w:val="000A08E2"/>
    <w:rsid w:val="000A0BD0"/>
    <w:rsid w:val="000A2E9F"/>
    <w:rsid w:val="000A30D2"/>
    <w:rsid w:val="000A4CE1"/>
    <w:rsid w:val="000A5525"/>
    <w:rsid w:val="000A5701"/>
    <w:rsid w:val="000A590B"/>
    <w:rsid w:val="000A67B0"/>
    <w:rsid w:val="000A69B3"/>
    <w:rsid w:val="000A73EB"/>
    <w:rsid w:val="000B095D"/>
    <w:rsid w:val="000B0DD8"/>
    <w:rsid w:val="000B0E29"/>
    <w:rsid w:val="000B0E2E"/>
    <w:rsid w:val="000B1E08"/>
    <w:rsid w:val="000B53FF"/>
    <w:rsid w:val="000B5E3E"/>
    <w:rsid w:val="000B6477"/>
    <w:rsid w:val="000B6795"/>
    <w:rsid w:val="000B7BC3"/>
    <w:rsid w:val="000C16AA"/>
    <w:rsid w:val="000C246C"/>
    <w:rsid w:val="000C4A87"/>
    <w:rsid w:val="000C690A"/>
    <w:rsid w:val="000C7765"/>
    <w:rsid w:val="000D04E8"/>
    <w:rsid w:val="000D134A"/>
    <w:rsid w:val="000D2352"/>
    <w:rsid w:val="000D5B26"/>
    <w:rsid w:val="000E01D4"/>
    <w:rsid w:val="000E041F"/>
    <w:rsid w:val="000E120E"/>
    <w:rsid w:val="000E1DA3"/>
    <w:rsid w:val="000E22BB"/>
    <w:rsid w:val="000E3CD8"/>
    <w:rsid w:val="000E6706"/>
    <w:rsid w:val="000F1FFD"/>
    <w:rsid w:val="000F3168"/>
    <w:rsid w:val="000F3851"/>
    <w:rsid w:val="000F3AC5"/>
    <w:rsid w:val="000F4A30"/>
    <w:rsid w:val="000F4D89"/>
    <w:rsid w:val="000F7344"/>
    <w:rsid w:val="0010254C"/>
    <w:rsid w:val="0010360E"/>
    <w:rsid w:val="00107CE0"/>
    <w:rsid w:val="001109FA"/>
    <w:rsid w:val="00112CC7"/>
    <w:rsid w:val="00115946"/>
    <w:rsid w:val="001160C6"/>
    <w:rsid w:val="00117B42"/>
    <w:rsid w:val="001210AE"/>
    <w:rsid w:val="0012236A"/>
    <w:rsid w:val="0012285E"/>
    <w:rsid w:val="00123329"/>
    <w:rsid w:val="00123FBF"/>
    <w:rsid w:val="00126429"/>
    <w:rsid w:val="001264D2"/>
    <w:rsid w:val="00127635"/>
    <w:rsid w:val="00127D86"/>
    <w:rsid w:val="00131C9C"/>
    <w:rsid w:val="001327F4"/>
    <w:rsid w:val="00132B0B"/>
    <w:rsid w:val="00137AF6"/>
    <w:rsid w:val="001457C7"/>
    <w:rsid w:val="001476B6"/>
    <w:rsid w:val="001508A6"/>
    <w:rsid w:val="00151F21"/>
    <w:rsid w:val="00152AC8"/>
    <w:rsid w:val="0015437A"/>
    <w:rsid w:val="00154504"/>
    <w:rsid w:val="00154B62"/>
    <w:rsid w:val="00156632"/>
    <w:rsid w:val="001567DE"/>
    <w:rsid w:val="00161729"/>
    <w:rsid w:val="00161C01"/>
    <w:rsid w:val="00162E21"/>
    <w:rsid w:val="001643F5"/>
    <w:rsid w:val="00167051"/>
    <w:rsid w:val="00167E50"/>
    <w:rsid w:val="0017177F"/>
    <w:rsid w:val="0017307D"/>
    <w:rsid w:val="001733D5"/>
    <w:rsid w:val="001741E0"/>
    <w:rsid w:val="00174594"/>
    <w:rsid w:val="001747F5"/>
    <w:rsid w:val="001752A9"/>
    <w:rsid w:val="001767C5"/>
    <w:rsid w:val="001775CA"/>
    <w:rsid w:val="00177A3F"/>
    <w:rsid w:val="00180883"/>
    <w:rsid w:val="00181377"/>
    <w:rsid w:val="00182058"/>
    <w:rsid w:val="0018221E"/>
    <w:rsid w:val="001830E1"/>
    <w:rsid w:val="001859E2"/>
    <w:rsid w:val="001874F9"/>
    <w:rsid w:val="00191B82"/>
    <w:rsid w:val="00192C03"/>
    <w:rsid w:val="0019475C"/>
    <w:rsid w:val="00197823"/>
    <w:rsid w:val="00197B18"/>
    <w:rsid w:val="001A12B0"/>
    <w:rsid w:val="001A12D8"/>
    <w:rsid w:val="001A1B53"/>
    <w:rsid w:val="001A27A4"/>
    <w:rsid w:val="001A374E"/>
    <w:rsid w:val="001A4046"/>
    <w:rsid w:val="001A56DC"/>
    <w:rsid w:val="001A79D5"/>
    <w:rsid w:val="001A7DCB"/>
    <w:rsid w:val="001B042E"/>
    <w:rsid w:val="001B04DB"/>
    <w:rsid w:val="001B0A10"/>
    <w:rsid w:val="001B3690"/>
    <w:rsid w:val="001B50DF"/>
    <w:rsid w:val="001C0721"/>
    <w:rsid w:val="001C133C"/>
    <w:rsid w:val="001C1AD2"/>
    <w:rsid w:val="001C30EA"/>
    <w:rsid w:val="001C3C3A"/>
    <w:rsid w:val="001C53A6"/>
    <w:rsid w:val="001C6947"/>
    <w:rsid w:val="001C7081"/>
    <w:rsid w:val="001D116E"/>
    <w:rsid w:val="001D1C97"/>
    <w:rsid w:val="001D3D02"/>
    <w:rsid w:val="001D46D6"/>
    <w:rsid w:val="001D537D"/>
    <w:rsid w:val="001E0A87"/>
    <w:rsid w:val="001E3593"/>
    <w:rsid w:val="001E38B1"/>
    <w:rsid w:val="001E3DAD"/>
    <w:rsid w:val="001E5216"/>
    <w:rsid w:val="001E72BA"/>
    <w:rsid w:val="001E7BFC"/>
    <w:rsid w:val="001F060F"/>
    <w:rsid w:val="001F092D"/>
    <w:rsid w:val="001F2EEA"/>
    <w:rsid w:val="001F7F63"/>
    <w:rsid w:val="00200536"/>
    <w:rsid w:val="00202A41"/>
    <w:rsid w:val="002060AB"/>
    <w:rsid w:val="0021336C"/>
    <w:rsid w:val="0021365F"/>
    <w:rsid w:val="00216C51"/>
    <w:rsid w:val="0021738E"/>
    <w:rsid w:val="002176F7"/>
    <w:rsid w:val="00221268"/>
    <w:rsid w:val="00221659"/>
    <w:rsid w:val="00221963"/>
    <w:rsid w:val="0022386F"/>
    <w:rsid w:val="00225041"/>
    <w:rsid w:val="00226E1F"/>
    <w:rsid w:val="00231303"/>
    <w:rsid w:val="00233120"/>
    <w:rsid w:val="002358D7"/>
    <w:rsid w:val="00236616"/>
    <w:rsid w:val="002373A6"/>
    <w:rsid w:val="00240632"/>
    <w:rsid w:val="002411F7"/>
    <w:rsid w:val="00244DAE"/>
    <w:rsid w:val="00244FCA"/>
    <w:rsid w:val="002452E9"/>
    <w:rsid w:val="00247FC5"/>
    <w:rsid w:val="00251817"/>
    <w:rsid w:val="00253D31"/>
    <w:rsid w:val="00257A7D"/>
    <w:rsid w:val="00261244"/>
    <w:rsid w:val="00270573"/>
    <w:rsid w:val="002709EF"/>
    <w:rsid w:val="00272C1E"/>
    <w:rsid w:val="00276381"/>
    <w:rsid w:val="00276A39"/>
    <w:rsid w:val="002776BB"/>
    <w:rsid w:val="00280DAC"/>
    <w:rsid w:val="00283CAC"/>
    <w:rsid w:val="0029033B"/>
    <w:rsid w:val="00290591"/>
    <w:rsid w:val="002907C3"/>
    <w:rsid w:val="002930D2"/>
    <w:rsid w:val="0029349B"/>
    <w:rsid w:val="002939C8"/>
    <w:rsid w:val="002943DC"/>
    <w:rsid w:val="00295377"/>
    <w:rsid w:val="002A1BB3"/>
    <w:rsid w:val="002A2EB4"/>
    <w:rsid w:val="002A3AEF"/>
    <w:rsid w:val="002A4176"/>
    <w:rsid w:val="002A5C96"/>
    <w:rsid w:val="002A5DF0"/>
    <w:rsid w:val="002A636F"/>
    <w:rsid w:val="002A6F06"/>
    <w:rsid w:val="002A7133"/>
    <w:rsid w:val="002A7282"/>
    <w:rsid w:val="002B470E"/>
    <w:rsid w:val="002B4EF2"/>
    <w:rsid w:val="002B5F68"/>
    <w:rsid w:val="002B6E88"/>
    <w:rsid w:val="002B7C90"/>
    <w:rsid w:val="002C06DE"/>
    <w:rsid w:val="002C0A28"/>
    <w:rsid w:val="002C1BCD"/>
    <w:rsid w:val="002C2078"/>
    <w:rsid w:val="002C209F"/>
    <w:rsid w:val="002D0023"/>
    <w:rsid w:val="002E1F43"/>
    <w:rsid w:val="002E3AEA"/>
    <w:rsid w:val="002E6AD5"/>
    <w:rsid w:val="002E7816"/>
    <w:rsid w:val="002F5706"/>
    <w:rsid w:val="002F78ED"/>
    <w:rsid w:val="002F7D48"/>
    <w:rsid w:val="003003DC"/>
    <w:rsid w:val="0030616E"/>
    <w:rsid w:val="00313E6B"/>
    <w:rsid w:val="00313F47"/>
    <w:rsid w:val="00315703"/>
    <w:rsid w:val="00316D70"/>
    <w:rsid w:val="00320BB2"/>
    <w:rsid w:val="00322096"/>
    <w:rsid w:val="003223FE"/>
    <w:rsid w:val="00322E35"/>
    <w:rsid w:val="0032617C"/>
    <w:rsid w:val="00326A7D"/>
    <w:rsid w:val="00327FD1"/>
    <w:rsid w:val="0033036C"/>
    <w:rsid w:val="0033598C"/>
    <w:rsid w:val="00342431"/>
    <w:rsid w:val="00342844"/>
    <w:rsid w:val="00343A6C"/>
    <w:rsid w:val="00344BB9"/>
    <w:rsid w:val="003451F6"/>
    <w:rsid w:val="0035356D"/>
    <w:rsid w:val="00353651"/>
    <w:rsid w:val="0035795C"/>
    <w:rsid w:val="00360FB5"/>
    <w:rsid w:val="00361CB9"/>
    <w:rsid w:val="00363C70"/>
    <w:rsid w:val="003644C2"/>
    <w:rsid w:val="003671B5"/>
    <w:rsid w:val="00367D5F"/>
    <w:rsid w:val="00371B8D"/>
    <w:rsid w:val="003748CE"/>
    <w:rsid w:val="00376625"/>
    <w:rsid w:val="003771E4"/>
    <w:rsid w:val="00382801"/>
    <w:rsid w:val="00383615"/>
    <w:rsid w:val="003857F2"/>
    <w:rsid w:val="00386838"/>
    <w:rsid w:val="00387013"/>
    <w:rsid w:val="003A3A30"/>
    <w:rsid w:val="003A64A2"/>
    <w:rsid w:val="003A7716"/>
    <w:rsid w:val="003B049C"/>
    <w:rsid w:val="003B229F"/>
    <w:rsid w:val="003B236B"/>
    <w:rsid w:val="003B47D7"/>
    <w:rsid w:val="003B529E"/>
    <w:rsid w:val="003B64F8"/>
    <w:rsid w:val="003B724C"/>
    <w:rsid w:val="003C2585"/>
    <w:rsid w:val="003C2F37"/>
    <w:rsid w:val="003C6CFA"/>
    <w:rsid w:val="003D4FD5"/>
    <w:rsid w:val="003D6E6F"/>
    <w:rsid w:val="003D7191"/>
    <w:rsid w:val="003E0193"/>
    <w:rsid w:val="003E760B"/>
    <w:rsid w:val="003E7B08"/>
    <w:rsid w:val="003E7B5A"/>
    <w:rsid w:val="003F2C6A"/>
    <w:rsid w:val="003F40C6"/>
    <w:rsid w:val="003F41CC"/>
    <w:rsid w:val="003F4466"/>
    <w:rsid w:val="003F7490"/>
    <w:rsid w:val="003F79B7"/>
    <w:rsid w:val="00400886"/>
    <w:rsid w:val="0040181D"/>
    <w:rsid w:val="00401DBE"/>
    <w:rsid w:val="004033A3"/>
    <w:rsid w:val="004077B3"/>
    <w:rsid w:val="00410089"/>
    <w:rsid w:val="004170D2"/>
    <w:rsid w:val="00424068"/>
    <w:rsid w:val="0042583A"/>
    <w:rsid w:val="00426361"/>
    <w:rsid w:val="0042681D"/>
    <w:rsid w:val="00426F83"/>
    <w:rsid w:val="00427B6B"/>
    <w:rsid w:val="004302AD"/>
    <w:rsid w:val="00430A51"/>
    <w:rsid w:val="00437D9F"/>
    <w:rsid w:val="00437ED8"/>
    <w:rsid w:val="0044214E"/>
    <w:rsid w:val="00442BB7"/>
    <w:rsid w:val="004430C5"/>
    <w:rsid w:val="00444879"/>
    <w:rsid w:val="004526DF"/>
    <w:rsid w:val="00455981"/>
    <w:rsid w:val="00455B1A"/>
    <w:rsid w:val="0046040C"/>
    <w:rsid w:val="00461962"/>
    <w:rsid w:val="00461E0B"/>
    <w:rsid w:val="0046477B"/>
    <w:rsid w:val="00464E1D"/>
    <w:rsid w:val="00465E01"/>
    <w:rsid w:val="0047221C"/>
    <w:rsid w:val="00473C5E"/>
    <w:rsid w:val="00474213"/>
    <w:rsid w:val="00476218"/>
    <w:rsid w:val="004770AC"/>
    <w:rsid w:val="00481695"/>
    <w:rsid w:val="0048254C"/>
    <w:rsid w:val="00482780"/>
    <w:rsid w:val="0048516F"/>
    <w:rsid w:val="004869FE"/>
    <w:rsid w:val="00486FDA"/>
    <w:rsid w:val="004949C1"/>
    <w:rsid w:val="00496264"/>
    <w:rsid w:val="0049644C"/>
    <w:rsid w:val="00496E8E"/>
    <w:rsid w:val="004A0214"/>
    <w:rsid w:val="004A0BC0"/>
    <w:rsid w:val="004A2C2A"/>
    <w:rsid w:val="004A4A8E"/>
    <w:rsid w:val="004A5B6C"/>
    <w:rsid w:val="004A6549"/>
    <w:rsid w:val="004B1350"/>
    <w:rsid w:val="004B2189"/>
    <w:rsid w:val="004C1A31"/>
    <w:rsid w:val="004C29BD"/>
    <w:rsid w:val="004C446E"/>
    <w:rsid w:val="004C61AE"/>
    <w:rsid w:val="004C7EC8"/>
    <w:rsid w:val="004D06B4"/>
    <w:rsid w:val="004D55CE"/>
    <w:rsid w:val="004E0DE6"/>
    <w:rsid w:val="004E5053"/>
    <w:rsid w:val="004E5332"/>
    <w:rsid w:val="004E6656"/>
    <w:rsid w:val="004E66CD"/>
    <w:rsid w:val="004F4844"/>
    <w:rsid w:val="004F5630"/>
    <w:rsid w:val="004F640A"/>
    <w:rsid w:val="004F674E"/>
    <w:rsid w:val="004F6E62"/>
    <w:rsid w:val="004F726A"/>
    <w:rsid w:val="004F77E0"/>
    <w:rsid w:val="0050080B"/>
    <w:rsid w:val="00501AAB"/>
    <w:rsid w:val="00501F16"/>
    <w:rsid w:val="005025E6"/>
    <w:rsid w:val="00505B00"/>
    <w:rsid w:val="005065B6"/>
    <w:rsid w:val="00506A3E"/>
    <w:rsid w:val="005070BA"/>
    <w:rsid w:val="005078EB"/>
    <w:rsid w:val="00507B2C"/>
    <w:rsid w:val="00510152"/>
    <w:rsid w:val="0051691F"/>
    <w:rsid w:val="00517233"/>
    <w:rsid w:val="00517328"/>
    <w:rsid w:val="0052206B"/>
    <w:rsid w:val="00522A8F"/>
    <w:rsid w:val="00523407"/>
    <w:rsid w:val="005275FB"/>
    <w:rsid w:val="00531393"/>
    <w:rsid w:val="005331C6"/>
    <w:rsid w:val="005337FA"/>
    <w:rsid w:val="00534837"/>
    <w:rsid w:val="005355B8"/>
    <w:rsid w:val="005376B1"/>
    <w:rsid w:val="0054137B"/>
    <w:rsid w:val="00543FAF"/>
    <w:rsid w:val="00547911"/>
    <w:rsid w:val="00551A62"/>
    <w:rsid w:val="005552E7"/>
    <w:rsid w:val="0056239A"/>
    <w:rsid w:val="00564893"/>
    <w:rsid w:val="00570510"/>
    <w:rsid w:val="00570B42"/>
    <w:rsid w:val="0057240B"/>
    <w:rsid w:val="00572462"/>
    <w:rsid w:val="005724D9"/>
    <w:rsid w:val="00574744"/>
    <w:rsid w:val="005769EF"/>
    <w:rsid w:val="00580CED"/>
    <w:rsid w:val="00580E57"/>
    <w:rsid w:val="005818EC"/>
    <w:rsid w:val="00582805"/>
    <w:rsid w:val="0059041F"/>
    <w:rsid w:val="0059069C"/>
    <w:rsid w:val="005907CB"/>
    <w:rsid w:val="0059197E"/>
    <w:rsid w:val="00593964"/>
    <w:rsid w:val="00593DD9"/>
    <w:rsid w:val="00595BFF"/>
    <w:rsid w:val="005978A9"/>
    <w:rsid w:val="005A1D90"/>
    <w:rsid w:val="005A3062"/>
    <w:rsid w:val="005A3215"/>
    <w:rsid w:val="005A75A6"/>
    <w:rsid w:val="005B1F27"/>
    <w:rsid w:val="005B32A7"/>
    <w:rsid w:val="005B347F"/>
    <w:rsid w:val="005B3DE7"/>
    <w:rsid w:val="005B4279"/>
    <w:rsid w:val="005B6555"/>
    <w:rsid w:val="005B75AA"/>
    <w:rsid w:val="005B78D9"/>
    <w:rsid w:val="005C0C9F"/>
    <w:rsid w:val="005C4CE5"/>
    <w:rsid w:val="005C5205"/>
    <w:rsid w:val="005C6730"/>
    <w:rsid w:val="005C684B"/>
    <w:rsid w:val="005C7952"/>
    <w:rsid w:val="005D1444"/>
    <w:rsid w:val="005D17E0"/>
    <w:rsid w:val="005E14C2"/>
    <w:rsid w:val="005E2CC0"/>
    <w:rsid w:val="005E579B"/>
    <w:rsid w:val="005E5E4E"/>
    <w:rsid w:val="005E76EF"/>
    <w:rsid w:val="005E7D18"/>
    <w:rsid w:val="005F07A1"/>
    <w:rsid w:val="005F4755"/>
    <w:rsid w:val="006005CB"/>
    <w:rsid w:val="00604913"/>
    <w:rsid w:val="00605CF4"/>
    <w:rsid w:val="00614B72"/>
    <w:rsid w:val="00617DE0"/>
    <w:rsid w:val="00621BCA"/>
    <w:rsid w:val="0062260F"/>
    <w:rsid w:val="00626B55"/>
    <w:rsid w:val="0062775A"/>
    <w:rsid w:val="00630C55"/>
    <w:rsid w:val="00631361"/>
    <w:rsid w:val="006344BD"/>
    <w:rsid w:val="00635B82"/>
    <w:rsid w:val="00636379"/>
    <w:rsid w:val="0064126B"/>
    <w:rsid w:val="00643611"/>
    <w:rsid w:val="006439F4"/>
    <w:rsid w:val="00645613"/>
    <w:rsid w:val="00646773"/>
    <w:rsid w:val="0065014C"/>
    <w:rsid w:val="00650CD6"/>
    <w:rsid w:val="006514D4"/>
    <w:rsid w:val="00653BD0"/>
    <w:rsid w:val="00653E83"/>
    <w:rsid w:val="00663DCC"/>
    <w:rsid w:val="006642FB"/>
    <w:rsid w:val="0066461B"/>
    <w:rsid w:val="00664A3B"/>
    <w:rsid w:val="00665B79"/>
    <w:rsid w:val="00671D98"/>
    <w:rsid w:val="00672A79"/>
    <w:rsid w:val="00675333"/>
    <w:rsid w:val="00675566"/>
    <w:rsid w:val="006804A9"/>
    <w:rsid w:val="00682EEF"/>
    <w:rsid w:val="00685AD0"/>
    <w:rsid w:val="00691F60"/>
    <w:rsid w:val="00692345"/>
    <w:rsid w:val="006938BB"/>
    <w:rsid w:val="006960C3"/>
    <w:rsid w:val="00696B4A"/>
    <w:rsid w:val="006A03F2"/>
    <w:rsid w:val="006A4C7C"/>
    <w:rsid w:val="006B00B4"/>
    <w:rsid w:val="006B03DE"/>
    <w:rsid w:val="006B0F55"/>
    <w:rsid w:val="006B153B"/>
    <w:rsid w:val="006B2677"/>
    <w:rsid w:val="006B26AF"/>
    <w:rsid w:val="006B336F"/>
    <w:rsid w:val="006B43DE"/>
    <w:rsid w:val="006B58D7"/>
    <w:rsid w:val="006B5F66"/>
    <w:rsid w:val="006B6794"/>
    <w:rsid w:val="006B6C45"/>
    <w:rsid w:val="006B7CEC"/>
    <w:rsid w:val="006B7F65"/>
    <w:rsid w:val="006C0477"/>
    <w:rsid w:val="006C0690"/>
    <w:rsid w:val="006C0F88"/>
    <w:rsid w:val="006C60A6"/>
    <w:rsid w:val="006C6AE6"/>
    <w:rsid w:val="006C6BC2"/>
    <w:rsid w:val="006C77B0"/>
    <w:rsid w:val="006D06A6"/>
    <w:rsid w:val="006D1A23"/>
    <w:rsid w:val="006D1DA4"/>
    <w:rsid w:val="006D573C"/>
    <w:rsid w:val="006D74C6"/>
    <w:rsid w:val="006D7644"/>
    <w:rsid w:val="006E0E5E"/>
    <w:rsid w:val="006E2ABA"/>
    <w:rsid w:val="006E4725"/>
    <w:rsid w:val="006E545D"/>
    <w:rsid w:val="006E6C59"/>
    <w:rsid w:val="006F1F34"/>
    <w:rsid w:val="006F5E43"/>
    <w:rsid w:val="006F5F88"/>
    <w:rsid w:val="006F660E"/>
    <w:rsid w:val="007011F6"/>
    <w:rsid w:val="00706840"/>
    <w:rsid w:val="00706844"/>
    <w:rsid w:val="00710839"/>
    <w:rsid w:val="007136DF"/>
    <w:rsid w:val="00713E3D"/>
    <w:rsid w:val="007144F8"/>
    <w:rsid w:val="007146C2"/>
    <w:rsid w:val="00714985"/>
    <w:rsid w:val="00716880"/>
    <w:rsid w:val="00717A2D"/>
    <w:rsid w:val="00723DB2"/>
    <w:rsid w:val="007245CC"/>
    <w:rsid w:val="0072465C"/>
    <w:rsid w:val="00727FE8"/>
    <w:rsid w:val="00730DC0"/>
    <w:rsid w:val="0073177A"/>
    <w:rsid w:val="007319C3"/>
    <w:rsid w:val="007327D6"/>
    <w:rsid w:val="00734164"/>
    <w:rsid w:val="0073582B"/>
    <w:rsid w:val="00735C03"/>
    <w:rsid w:val="00736E36"/>
    <w:rsid w:val="007377F6"/>
    <w:rsid w:val="007378B0"/>
    <w:rsid w:val="00740B5F"/>
    <w:rsid w:val="00741B87"/>
    <w:rsid w:val="0074695C"/>
    <w:rsid w:val="00751AA6"/>
    <w:rsid w:val="0075445C"/>
    <w:rsid w:val="00754D6F"/>
    <w:rsid w:val="00756859"/>
    <w:rsid w:val="0075773E"/>
    <w:rsid w:val="0076138F"/>
    <w:rsid w:val="00766501"/>
    <w:rsid w:val="00770BA0"/>
    <w:rsid w:val="00770F20"/>
    <w:rsid w:val="007735D0"/>
    <w:rsid w:val="00777A08"/>
    <w:rsid w:val="007833B5"/>
    <w:rsid w:val="007846A8"/>
    <w:rsid w:val="00786542"/>
    <w:rsid w:val="00787E25"/>
    <w:rsid w:val="00790DFE"/>
    <w:rsid w:val="00791458"/>
    <w:rsid w:val="00791510"/>
    <w:rsid w:val="007947D5"/>
    <w:rsid w:val="00796FA9"/>
    <w:rsid w:val="00797D74"/>
    <w:rsid w:val="007A1075"/>
    <w:rsid w:val="007A5E54"/>
    <w:rsid w:val="007A62B0"/>
    <w:rsid w:val="007A6665"/>
    <w:rsid w:val="007A72E3"/>
    <w:rsid w:val="007B22BB"/>
    <w:rsid w:val="007B320F"/>
    <w:rsid w:val="007C091D"/>
    <w:rsid w:val="007C409E"/>
    <w:rsid w:val="007C43CB"/>
    <w:rsid w:val="007C4A8C"/>
    <w:rsid w:val="007C68BC"/>
    <w:rsid w:val="007D1401"/>
    <w:rsid w:val="007D1452"/>
    <w:rsid w:val="007D146A"/>
    <w:rsid w:val="007D3BD2"/>
    <w:rsid w:val="007D4383"/>
    <w:rsid w:val="007D533C"/>
    <w:rsid w:val="007D6608"/>
    <w:rsid w:val="007E0862"/>
    <w:rsid w:val="007E2445"/>
    <w:rsid w:val="007E35DB"/>
    <w:rsid w:val="007E38AB"/>
    <w:rsid w:val="007E4660"/>
    <w:rsid w:val="007E5352"/>
    <w:rsid w:val="007E6027"/>
    <w:rsid w:val="007F2DF3"/>
    <w:rsid w:val="007F4B9F"/>
    <w:rsid w:val="007F7B26"/>
    <w:rsid w:val="008010D8"/>
    <w:rsid w:val="00801F0E"/>
    <w:rsid w:val="00802377"/>
    <w:rsid w:val="008027E9"/>
    <w:rsid w:val="00802998"/>
    <w:rsid w:val="00803AB6"/>
    <w:rsid w:val="00803EA4"/>
    <w:rsid w:val="00804C12"/>
    <w:rsid w:val="00807D53"/>
    <w:rsid w:val="008115A9"/>
    <w:rsid w:val="008118AF"/>
    <w:rsid w:val="0081216E"/>
    <w:rsid w:val="0081576D"/>
    <w:rsid w:val="00820899"/>
    <w:rsid w:val="00822609"/>
    <w:rsid w:val="008231B9"/>
    <w:rsid w:val="008234AD"/>
    <w:rsid w:val="00823A40"/>
    <w:rsid w:val="0082411B"/>
    <w:rsid w:val="00825463"/>
    <w:rsid w:val="00825CCA"/>
    <w:rsid w:val="00827E0B"/>
    <w:rsid w:val="008309DA"/>
    <w:rsid w:val="0083138A"/>
    <w:rsid w:val="0083261A"/>
    <w:rsid w:val="008346CF"/>
    <w:rsid w:val="00836F8D"/>
    <w:rsid w:val="00837676"/>
    <w:rsid w:val="00840786"/>
    <w:rsid w:val="00843324"/>
    <w:rsid w:val="00844EFE"/>
    <w:rsid w:val="008463FE"/>
    <w:rsid w:val="00850F37"/>
    <w:rsid w:val="008570E5"/>
    <w:rsid w:val="00863366"/>
    <w:rsid w:val="00863741"/>
    <w:rsid w:val="00864AF4"/>
    <w:rsid w:val="008676DD"/>
    <w:rsid w:val="00867F00"/>
    <w:rsid w:val="008701EE"/>
    <w:rsid w:val="00870C0D"/>
    <w:rsid w:val="00871792"/>
    <w:rsid w:val="00874771"/>
    <w:rsid w:val="00881951"/>
    <w:rsid w:val="00885DF5"/>
    <w:rsid w:val="00887DFF"/>
    <w:rsid w:val="0089117F"/>
    <w:rsid w:val="008924D8"/>
    <w:rsid w:val="008927DF"/>
    <w:rsid w:val="00893E2C"/>
    <w:rsid w:val="0089493E"/>
    <w:rsid w:val="00894BAA"/>
    <w:rsid w:val="00897909"/>
    <w:rsid w:val="008A0716"/>
    <w:rsid w:val="008A0DC2"/>
    <w:rsid w:val="008A2496"/>
    <w:rsid w:val="008A438B"/>
    <w:rsid w:val="008A5626"/>
    <w:rsid w:val="008B2CF7"/>
    <w:rsid w:val="008B5DE4"/>
    <w:rsid w:val="008B62BF"/>
    <w:rsid w:val="008B64C9"/>
    <w:rsid w:val="008B66DC"/>
    <w:rsid w:val="008B6BB8"/>
    <w:rsid w:val="008B71A6"/>
    <w:rsid w:val="008B7BB2"/>
    <w:rsid w:val="008C033B"/>
    <w:rsid w:val="008C2367"/>
    <w:rsid w:val="008C3D84"/>
    <w:rsid w:val="008C4C24"/>
    <w:rsid w:val="008C746B"/>
    <w:rsid w:val="008C7495"/>
    <w:rsid w:val="008D05A8"/>
    <w:rsid w:val="008D0CBB"/>
    <w:rsid w:val="008D0DC3"/>
    <w:rsid w:val="008D14AE"/>
    <w:rsid w:val="008D2A7F"/>
    <w:rsid w:val="008D3023"/>
    <w:rsid w:val="008D3AA4"/>
    <w:rsid w:val="008D4FB5"/>
    <w:rsid w:val="008D62FF"/>
    <w:rsid w:val="008E0651"/>
    <w:rsid w:val="008E103C"/>
    <w:rsid w:val="008E2262"/>
    <w:rsid w:val="008E51C5"/>
    <w:rsid w:val="008E63B3"/>
    <w:rsid w:val="008E6856"/>
    <w:rsid w:val="008F13F0"/>
    <w:rsid w:val="008F2018"/>
    <w:rsid w:val="008F30E0"/>
    <w:rsid w:val="008F3F0D"/>
    <w:rsid w:val="008F4618"/>
    <w:rsid w:val="008F5931"/>
    <w:rsid w:val="008F5C0D"/>
    <w:rsid w:val="008F7DF2"/>
    <w:rsid w:val="00903136"/>
    <w:rsid w:val="00903879"/>
    <w:rsid w:val="0090404B"/>
    <w:rsid w:val="00907330"/>
    <w:rsid w:val="00910595"/>
    <w:rsid w:val="00910857"/>
    <w:rsid w:val="00912146"/>
    <w:rsid w:val="00912576"/>
    <w:rsid w:val="009136D8"/>
    <w:rsid w:val="009158A0"/>
    <w:rsid w:val="00915D43"/>
    <w:rsid w:val="00916057"/>
    <w:rsid w:val="009164F0"/>
    <w:rsid w:val="00916750"/>
    <w:rsid w:val="009173B3"/>
    <w:rsid w:val="00917893"/>
    <w:rsid w:val="00917C7B"/>
    <w:rsid w:val="00921FB2"/>
    <w:rsid w:val="009243D4"/>
    <w:rsid w:val="00924966"/>
    <w:rsid w:val="009329C8"/>
    <w:rsid w:val="00932A15"/>
    <w:rsid w:val="009337AC"/>
    <w:rsid w:val="00933D54"/>
    <w:rsid w:val="00933E90"/>
    <w:rsid w:val="00934BBD"/>
    <w:rsid w:val="00935DDB"/>
    <w:rsid w:val="0093697D"/>
    <w:rsid w:val="00940519"/>
    <w:rsid w:val="00947765"/>
    <w:rsid w:val="00947ABA"/>
    <w:rsid w:val="00947B3D"/>
    <w:rsid w:val="009506E5"/>
    <w:rsid w:val="00951872"/>
    <w:rsid w:val="0095211C"/>
    <w:rsid w:val="009522CC"/>
    <w:rsid w:val="00954C5B"/>
    <w:rsid w:val="00957AE9"/>
    <w:rsid w:val="00960AF2"/>
    <w:rsid w:val="00961CB0"/>
    <w:rsid w:val="009632AD"/>
    <w:rsid w:val="00963C20"/>
    <w:rsid w:val="00963F4C"/>
    <w:rsid w:val="009649BE"/>
    <w:rsid w:val="00964BA4"/>
    <w:rsid w:val="00966E91"/>
    <w:rsid w:val="00967196"/>
    <w:rsid w:val="00970B41"/>
    <w:rsid w:val="00973F50"/>
    <w:rsid w:val="00976563"/>
    <w:rsid w:val="00976875"/>
    <w:rsid w:val="00990B34"/>
    <w:rsid w:val="009912F9"/>
    <w:rsid w:val="0099450D"/>
    <w:rsid w:val="0099579B"/>
    <w:rsid w:val="00996B4D"/>
    <w:rsid w:val="009A0DDD"/>
    <w:rsid w:val="009A1521"/>
    <w:rsid w:val="009A3BDF"/>
    <w:rsid w:val="009A65EE"/>
    <w:rsid w:val="009A6894"/>
    <w:rsid w:val="009B2179"/>
    <w:rsid w:val="009B3153"/>
    <w:rsid w:val="009B6251"/>
    <w:rsid w:val="009B67AD"/>
    <w:rsid w:val="009B7850"/>
    <w:rsid w:val="009D0291"/>
    <w:rsid w:val="009D1103"/>
    <w:rsid w:val="009D431D"/>
    <w:rsid w:val="009E009D"/>
    <w:rsid w:val="009E1F79"/>
    <w:rsid w:val="009E20DF"/>
    <w:rsid w:val="009E23DD"/>
    <w:rsid w:val="009E2698"/>
    <w:rsid w:val="009E3571"/>
    <w:rsid w:val="009E3853"/>
    <w:rsid w:val="009E3AC5"/>
    <w:rsid w:val="009E4985"/>
    <w:rsid w:val="009E5704"/>
    <w:rsid w:val="009E6844"/>
    <w:rsid w:val="009E6FD9"/>
    <w:rsid w:val="009F25F4"/>
    <w:rsid w:val="009F2AF5"/>
    <w:rsid w:val="009F4206"/>
    <w:rsid w:val="009F6033"/>
    <w:rsid w:val="009F74B2"/>
    <w:rsid w:val="00A03B35"/>
    <w:rsid w:val="00A06D59"/>
    <w:rsid w:val="00A0737D"/>
    <w:rsid w:val="00A07C86"/>
    <w:rsid w:val="00A100DC"/>
    <w:rsid w:val="00A11918"/>
    <w:rsid w:val="00A125AB"/>
    <w:rsid w:val="00A125B5"/>
    <w:rsid w:val="00A136E7"/>
    <w:rsid w:val="00A136F7"/>
    <w:rsid w:val="00A23E63"/>
    <w:rsid w:val="00A25595"/>
    <w:rsid w:val="00A269FE"/>
    <w:rsid w:val="00A278B0"/>
    <w:rsid w:val="00A301E4"/>
    <w:rsid w:val="00A31281"/>
    <w:rsid w:val="00A315C4"/>
    <w:rsid w:val="00A31DE6"/>
    <w:rsid w:val="00A32742"/>
    <w:rsid w:val="00A33AB9"/>
    <w:rsid w:val="00A34D2D"/>
    <w:rsid w:val="00A34EA3"/>
    <w:rsid w:val="00A35F7A"/>
    <w:rsid w:val="00A37112"/>
    <w:rsid w:val="00A4074A"/>
    <w:rsid w:val="00A419B0"/>
    <w:rsid w:val="00A42181"/>
    <w:rsid w:val="00A43BE3"/>
    <w:rsid w:val="00A43F89"/>
    <w:rsid w:val="00A45C5E"/>
    <w:rsid w:val="00A52B9A"/>
    <w:rsid w:val="00A53F77"/>
    <w:rsid w:val="00A543C7"/>
    <w:rsid w:val="00A544E2"/>
    <w:rsid w:val="00A573BC"/>
    <w:rsid w:val="00A57CA9"/>
    <w:rsid w:val="00A62CD5"/>
    <w:rsid w:val="00A650FC"/>
    <w:rsid w:val="00A66536"/>
    <w:rsid w:val="00A66769"/>
    <w:rsid w:val="00A70231"/>
    <w:rsid w:val="00A7105F"/>
    <w:rsid w:val="00A760C2"/>
    <w:rsid w:val="00A77333"/>
    <w:rsid w:val="00A7785E"/>
    <w:rsid w:val="00A77964"/>
    <w:rsid w:val="00A779EF"/>
    <w:rsid w:val="00A81FAD"/>
    <w:rsid w:val="00A923C9"/>
    <w:rsid w:val="00A92E6D"/>
    <w:rsid w:val="00A937B8"/>
    <w:rsid w:val="00A93D79"/>
    <w:rsid w:val="00A94A58"/>
    <w:rsid w:val="00A95ABF"/>
    <w:rsid w:val="00A9691F"/>
    <w:rsid w:val="00A96B17"/>
    <w:rsid w:val="00AA46A4"/>
    <w:rsid w:val="00AA7C47"/>
    <w:rsid w:val="00AB06DC"/>
    <w:rsid w:val="00AB08FF"/>
    <w:rsid w:val="00AB11E6"/>
    <w:rsid w:val="00AB2072"/>
    <w:rsid w:val="00AB4E9C"/>
    <w:rsid w:val="00AB5107"/>
    <w:rsid w:val="00AC18B8"/>
    <w:rsid w:val="00AC2FAD"/>
    <w:rsid w:val="00AC636C"/>
    <w:rsid w:val="00AC772A"/>
    <w:rsid w:val="00AC7FA0"/>
    <w:rsid w:val="00AD1249"/>
    <w:rsid w:val="00AD3D4B"/>
    <w:rsid w:val="00AD5A89"/>
    <w:rsid w:val="00AD732A"/>
    <w:rsid w:val="00AE06D2"/>
    <w:rsid w:val="00AE41D2"/>
    <w:rsid w:val="00AE7794"/>
    <w:rsid w:val="00AF0BEC"/>
    <w:rsid w:val="00AF197F"/>
    <w:rsid w:val="00AF4CC1"/>
    <w:rsid w:val="00B00300"/>
    <w:rsid w:val="00B004FD"/>
    <w:rsid w:val="00B00702"/>
    <w:rsid w:val="00B02982"/>
    <w:rsid w:val="00B04B29"/>
    <w:rsid w:val="00B05468"/>
    <w:rsid w:val="00B07E2B"/>
    <w:rsid w:val="00B131B5"/>
    <w:rsid w:val="00B16302"/>
    <w:rsid w:val="00B17437"/>
    <w:rsid w:val="00B20C55"/>
    <w:rsid w:val="00B21034"/>
    <w:rsid w:val="00B2327E"/>
    <w:rsid w:val="00B24C0C"/>
    <w:rsid w:val="00B25352"/>
    <w:rsid w:val="00B26840"/>
    <w:rsid w:val="00B31D8B"/>
    <w:rsid w:val="00B35F49"/>
    <w:rsid w:val="00B36EBC"/>
    <w:rsid w:val="00B37062"/>
    <w:rsid w:val="00B403BD"/>
    <w:rsid w:val="00B40CE4"/>
    <w:rsid w:val="00B4173C"/>
    <w:rsid w:val="00B417AE"/>
    <w:rsid w:val="00B41D51"/>
    <w:rsid w:val="00B442C2"/>
    <w:rsid w:val="00B454C8"/>
    <w:rsid w:val="00B47898"/>
    <w:rsid w:val="00B50FEF"/>
    <w:rsid w:val="00B52D0B"/>
    <w:rsid w:val="00B52FCE"/>
    <w:rsid w:val="00B535AF"/>
    <w:rsid w:val="00B55153"/>
    <w:rsid w:val="00B55579"/>
    <w:rsid w:val="00B60574"/>
    <w:rsid w:val="00B606AE"/>
    <w:rsid w:val="00B6196E"/>
    <w:rsid w:val="00B6350E"/>
    <w:rsid w:val="00B64BB9"/>
    <w:rsid w:val="00B65D2C"/>
    <w:rsid w:val="00B66370"/>
    <w:rsid w:val="00B66FFA"/>
    <w:rsid w:val="00B71F97"/>
    <w:rsid w:val="00B72A01"/>
    <w:rsid w:val="00B75DE3"/>
    <w:rsid w:val="00B76892"/>
    <w:rsid w:val="00B76986"/>
    <w:rsid w:val="00B80C92"/>
    <w:rsid w:val="00B80D31"/>
    <w:rsid w:val="00B81DD9"/>
    <w:rsid w:val="00B8293D"/>
    <w:rsid w:val="00B83709"/>
    <w:rsid w:val="00B83846"/>
    <w:rsid w:val="00B87365"/>
    <w:rsid w:val="00B917EB"/>
    <w:rsid w:val="00B91FDB"/>
    <w:rsid w:val="00B9218C"/>
    <w:rsid w:val="00B92318"/>
    <w:rsid w:val="00B95CA0"/>
    <w:rsid w:val="00B96343"/>
    <w:rsid w:val="00B97811"/>
    <w:rsid w:val="00BA0F71"/>
    <w:rsid w:val="00BA1438"/>
    <w:rsid w:val="00BA16C0"/>
    <w:rsid w:val="00BA340B"/>
    <w:rsid w:val="00BA63ED"/>
    <w:rsid w:val="00BA7013"/>
    <w:rsid w:val="00BA76A8"/>
    <w:rsid w:val="00BB0D2C"/>
    <w:rsid w:val="00BB261B"/>
    <w:rsid w:val="00BB28B2"/>
    <w:rsid w:val="00BB4179"/>
    <w:rsid w:val="00BB41C7"/>
    <w:rsid w:val="00BB456F"/>
    <w:rsid w:val="00BB5065"/>
    <w:rsid w:val="00BB6597"/>
    <w:rsid w:val="00BB67E4"/>
    <w:rsid w:val="00BB6C7B"/>
    <w:rsid w:val="00BB74BB"/>
    <w:rsid w:val="00BB7BC6"/>
    <w:rsid w:val="00BC36AB"/>
    <w:rsid w:val="00BC396C"/>
    <w:rsid w:val="00BC3ED4"/>
    <w:rsid w:val="00BC698E"/>
    <w:rsid w:val="00BD3228"/>
    <w:rsid w:val="00BD79AC"/>
    <w:rsid w:val="00BE11B5"/>
    <w:rsid w:val="00BE4342"/>
    <w:rsid w:val="00BE614D"/>
    <w:rsid w:val="00BF2557"/>
    <w:rsid w:val="00BF43E9"/>
    <w:rsid w:val="00BF46EA"/>
    <w:rsid w:val="00BF5E51"/>
    <w:rsid w:val="00BF7028"/>
    <w:rsid w:val="00C0076F"/>
    <w:rsid w:val="00C01AAD"/>
    <w:rsid w:val="00C02E88"/>
    <w:rsid w:val="00C03A57"/>
    <w:rsid w:val="00C0701E"/>
    <w:rsid w:val="00C11847"/>
    <w:rsid w:val="00C129CF"/>
    <w:rsid w:val="00C136DC"/>
    <w:rsid w:val="00C14D8B"/>
    <w:rsid w:val="00C20FA7"/>
    <w:rsid w:val="00C23A31"/>
    <w:rsid w:val="00C2582D"/>
    <w:rsid w:val="00C26FFA"/>
    <w:rsid w:val="00C27BF4"/>
    <w:rsid w:val="00C313F9"/>
    <w:rsid w:val="00C320A4"/>
    <w:rsid w:val="00C3309C"/>
    <w:rsid w:val="00C363F9"/>
    <w:rsid w:val="00C367E6"/>
    <w:rsid w:val="00C36B79"/>
    <w:rsid w:val="00C378E0"/>
    <w:rsid w:val="00C430F9"/>
    <w:rsid w:val="00C44436"/>
    <w:rsid w:val="00C45AA4"/>
    <w:rsid w:val="00C46C76"/>
    <w:rsid w:val="00C5066E"/>
    <w:rsid w:val="00C51DEB"/>
    <w:rsid w:val="00C529D3"/>
    <w:rsid w:val="00C54A68"/>
    <w:rsid w:val="00C56E69"/>
    <w:rsid w:val="00C57431"/>
    <w:rsid w:val="00C6120C"/>
    <w:rsid w:val="00C62877"/>
    <w:rsid w:val="00C63ECD"/>
    <w:rsid w:val="00C64620"/>
    <w:rsid w:val="00C660BB"/>
    <w:rsid w:val="00C66EEB"/>
    <w:rsid w:val="00C72182"/>
    <w:rsid w:val="00C749C1"/>
    <w:rsid w:val="00C74E1D"/>
    <w:rsid w:val="00C8039B"/>
    <w:rsid w:val="00C8273C"/>
    <w:rsid w:val="00C8361D"/>
    <w:rsid w:val="00C8406B"/>
    <w:rsid w:val="00C84D21"/>
    <w:rsid w:val="00C853AF"/>
    <w:rsid w:val="00C866E5"/>
    <w:rsid w:val="00C86C64"/>
    <w:rsid w:val="00C9034C"/>
    <w:rsid w:val="00C9230C"/>
    <w:rsid w:val="00C93BD3"/>
    <w:rsid w:val="00CA0EAF"/>
    <w:rsid w:val="00CA1D97"/>
    <w:rsid w:val="00CB105E"/>
    <w:rsid w:val="00CB2756"/>
    <w:rsid w:val="00CB3C3F"/>
    <w:rsid w:val="00CB6112"/>
    <w:rsid w:val="00CC2DA0"/>
    <w:rsid w:val="00CC30B5"/>
    <w:rsid w:val="00CC5259"/>
    <w:rsid w:val="00CC56D7"/>
    <w:rsid w:val="00CC6EDE"/>
    <w:rsid w:val="00CD30F4"/>
    <w:rsid w:val="00CD47A5"/>
    <w:rsid w:val="00CE0D2E"/>
    <w:rsid w:val="00CE2ABA"/>
    <w:rsid w:val="00CE350E"/>
    <w:rsid w:val="00CE4883"/>
    <w:rsid w:val="00CF2281"/>
    <w:rsid w:val="00CF2774"/>
    <w:rsid w:val="00CF2FE0"/>
    <w:rsid w:val="00CF7664"/>
    <w:rsid w:val="00D019B2"/>
    <w:rsid w:val="00D01E9E"/>
    <w:rsid w:val="00D02B5E"/>
    <w:rsid w:val="00D0466A"/>
    <w:rsid w:val="00D048BB"/>
    <w:rsid w:val="00D057B3"/>
    <w:rsid w:val="00D07422"/>
    <w:rsid w:val="00D0747E"/>
    <w:rsid w:val="00D07744"/>
    <w:rsid w:val="00D135DE"/>
    <w:rsid w:val="00D14B66"/>
    <w:rsid w:val="00D222AC"/>
    <w:rsid w:val="00D246D7"/>
    <w:rsid w:val="00D24FB4"/>
    <w:rsid w:val="00D27D0B"/>
    <w:rsid w:val="00D339DE"/>
    <w:rsid w:val="00D352A5"/>
    <w:rsid w:val="00D35371"/>
    <w:rsid w:val="00D36DEB"/>
    <w:rsid w:val="00D441AB"/>
    <w:rsid w:val="00D453B4"/>
    <w:rsid w:val="00D45F19"/>
    <w:rsid w:val="00D46AEB"/>
    <w:rsid w:val="00D4778B"/>
    <w:rsid w:val="00D57026"/>
    <w:rsid w:val="00D5729C"/>
    <w:rsid w:val="00D60621"/>
    <w:rsid w:val="00D61B11"/>
    <w:rsid w:val="00D62946"/>
    <w:rsid w:val="00D64680"/>
    <w:rsid w:val="00D66CFF"/>
    <w:rsid w:val="00D6723F"/>
    <w:rsid w:val="00D6763D"/>
    <w:rsid w:val="00D6786F"/>
    <w:rsid w:val="00D67CBF"/>
    <w:rsid w:val="00D715C7"/>
    <w:rsid w:val="00D72537"/>
    <w:rsid w:val="00D735C4"/>
    <w:rsid w:val="00D76063"/>
    <w:rsid w:val="00D77E97"/>
    <w:rsid w:val="00D80C67"/>
    <w:rsid w:val="00D84C1C"/>
    <w:rsid w:val="00D90F89"/>
    <w:rsid w:val="00D91544"/>
    <w:rsid w:val="00D92BF1"/>
    <w:rsid w:val="00D968BC"/>
    <w:rsid w:val="00D96EE4"/>
    <w:rsid w:val="00DA176F"/>
    <w:rsid w:val="00DA177C"/>
    <w:rsid w:val="00DA3A85"/>
    <w:rsid w:val="00DA4476"/>
    <w:rsid w:val="00DB206A"/>
    <w:rsid w:val="00DB33B0"/>
    <w:rsid w:val="00DC0563"/>
    <w:rsid w:val="00DC0A70"/>
    <w:rsid w:val="00DC13E7"/>
    <w:rsid w:val="00DC2A94"/>
    <w:rsid w:val="00DC44A5"/>
    <w:rsid w:val="00DC4E4E"/>
    <w:rsid w:val="00DC57DB"/>
    <w:rsid w:val="00DC5932"/>
    <w:rsid w:val="00DC7A2E"/>
    <w:rsid w:val="00DD06B6"/>
    <w:rsid w:val="00DD0A9A"/>
    <w:rsid w:val="00DD3CA0"/>
    <w:rsid w:val="00DD3F06"/>
    <w:rsid w:val="00DD48E0"/>
    <w:rsid w:val="00DD5B0E"/>
    <w:rsid w:val="00DE07A8"/>
    <w:rsid w:val="00DE314E"/>
    <w:rsid w:val="00DF1B00"/>
    <w:rsid w:val="00DF4A2A"/>
    <w:rsid w:val="00DF5A2A"/>
    <w:rsid w:val="00DF6538"/>
    <w:rsid w:val="00DF6F48"/>
    <w:rsid w:val="00DF74D7"/>
    <w:rsid w:val="00E03860"/>
    <w:rsid w:val="00E0416C"/>
    <w:rsid w:val="00E04243"/>
    <w:rsid w:val="00E06C29"/>
    <w:rsid w:val="00E070F5"/>
    <w:rsid w:val="00E10ABF"/>
    <w:rsid w:val="00E113DB"/>
    <w:rsid w:val="00E12A9A"/>
    <w:rsid w:val="00E12DD7"/>
    <w:rsid w:val="00E169B1"/>
    <w:rsid w:val="00E16A52"/>
    <w:rsid w:val="00E17853"/>
    <w:rsid w:val="00E17A3F"/>
    <w:rsid w:val="00E17B63"/>
    <w:rsid w:val="00E20144"/>
    <w:rsid w:val="00E20467"/>
    <w:rsid w:val="00E20A7E"/>
    <w:rsid w:val="00E22D08"/>
    <w:rsid w:val="00E23128"/>
    <w:rsid w:val="00E2564B"/>
    <w:rsid w:val="00E323FD"/>
    <w:rsid w:val="00E35DDB"/>
    <w:rsid w:val="00E365F9"/>
    <w:rsid w:val="00E4004A"/>
    <w:rsid w:val="00E41C57"/>
    <w:rsid w:val="00E43668"/>
    <w:rsid w:val="00E44A1B"/>
    <w:rsid w:val="00E457D1"/>
    <w:rsid w:val="00E458AD"/>
    <w:rsid w:val="00E45BFB"/>
    <w:rsid w:val="00E46259"/>
    <w:rsid w:val="00E472FD"/>
    <w:rsid w:val="00E50CA7"/>
    <w:rsid w:val="00E5119A"/>
    <w:rsid w:val="00E51C25"/>
    <w:rsid w:val="00E51D8D"/>
    <w:rsid w:val="00E53709"/>
    <w:rsid w:val="00E5382D"/>
    <w:rsid w:val="00E53881"/>
    <w:rsid w:val="00E53D83"/>
    <w:rsid w:val="00E563FE"/>
    <w:rsid w:val="00E57147"/>
    <w:rsid w:val="00E625F9"/>
    <w:rsid w:val="00E647C3"/>
    <w:rsid w:val="00E6554B"/>
    <w:rsid w:val="00E65D97"/>
    <w:rsid w:val="00E71E36"/>
    <w:rsid w:val="00E72053"/>
    <w:rsid w:val="00E74190"/>
    <w:rsid w:val="00E74DB6"/>
    <w:rsid w:val="00E76616"/>
    <w:rsid w:val="00E864C7"/>
    <w:rsid w:val="00E87511"/>
    <w:rsid w:val="00E90153"/>
    <w:rsid w:val="00E90865"/>
    <w:rsid w:val="00E90C91"/>
    <w:rsid w:val="00E91AC7"/>
    <w:rsid w:val="00E92722"/>
    <w:rsid w:val="00E93D6A"/>
    <w:rsid w:val="00E9495E"/>
    <w:rsid w:val="00EA0616"/>
    <w:rsid w:val="00EA34A7"/>
    <w:rsid w:val="00EA366B"/>
    <w:rsid w:val="00EA3AA2"/>
    <w:rsid w:val="00EA63D3"/>
    <w:rsid w:val="00EA6762"/>
    <w:rsid w:val="00EA7B3B"/>
    <w:rsid w:val="00EA7D4A"/>
    <w:rsid w:val="00EC0111"/>
    <w:rsid w:val="00EC270F"/>
    <w:rsid w:val="00EC2F71"/>
    <w:rsid w:val="00EC61E0"/>
    <w:rsid w:val="00EC6525"/>
    <w:rsid w:val="00EC7F4A"/>
    <w:rsid w:val="00ED2CE0"/>
    <w:rsid w:val="00ED741A"/>
    <w:rsid w:val="00ED74A1"/>
    <w:rsid w:val="00EE0572"/>
    <w:rsid w:val="00EE3E6A"/>
    <w:rsid w:val="00EE6020"/>
    <w:rsid w:val="00EE747C"/>
    <w:rsid w:val="00EE7B57"/>
    <w:rsid w:val="00EF10E5"/>
    <w:rsid w:val="00EF1C33"/>
    <w:rsid w:val="00EF4739"/>
    <w:rsid w:val="00EF5980"/>
    <w:rsid w:val="00F00F85"/>
    <w:rsid w:val="00F02E56"/>
    <w:rsid w:val="00F04636"/>
    <w:rsid w:val="00F0552C"/>
    <w:rsid w:val="00F06FB0"/>
    <w:rsid w:val="00F07B11"/>
    <w:rsid w:val="00F11721"/>
    <w:rsid w:val="00F122FD"/>
    <w:rsid w:val="00F13657"/>
    <w:rsid w:val="00F20062"/>
    <w:rsid w:val="00F249D8"/>
    <w:rsid w:val="00F27258"/>
    <w:rsid w:val="00F30845"/>
    <w:rsid w:val="00F3356F"/>
    <w:rsid w:val="00F3420A"/>
    <w:rsid w:val="00F34443"/>
    <w:rsid w:val="00F37F4D"/>
    <w:rsid w:val="00F40ADB"/>
    <w:rsid w:val="00F419F3"/>
    <w:rsid w:val="00F42135"/>
    <w:rsid w:val="00F42FA2"/>
    <w:rsid w:val="00F4339C"/>
    <w:rsid w:val="00F43D69"/>
    <w:rsid w:val="00F44AE3"/>
    <w:rsid w:val="00F44CE6"/>
    <w:rsid w:val="00F44E5E"/>
    <w:rsid w:val="00F50085"/>
    <w:rsid w:val="00F501CC"/>
    <w:rsid w:val="00F54B6F"/>
    <w:rsid w:val="00F56F68"/>
    <w:rsid w:val="00F57753"/>
    <w:rsid w:val="00F60CD7"/>
    <w:rsid w:val="00F624F3"/>
    <w:rsid w:val="00F6299C"/>
    <w:rsid w:val="00F63253"/>
    <w:rsid w:val="00F63757"/>
    <w:rsid w:val="00F66452"/>
    <w:rsid w:val="00F742E4"/>
    <w:rsid w:val="00F76890"/>
    <w:rsid w:val="00F76F2B"/>
    <w:rsid w:val="00F77C96"/>
    <w:rsid w:val="00F85D1E"/>
    <w:rsid w:val="00F9495D"/>
    <w:rsid w:val="00F95E38"/>
    <w:rsid w:val="00F9763E"/>
    <w:rsid w:val="00FA057A"/>
    <w:rsid w:val="00FA7804"/>
    <w:rsid w:val="00FA7B41"/>
    <w:rsid w:val="00FA7D37"/>
    <w:rsid w:val="00FB04C1"/>
    <w:rsid w:val="00FB0E60"/>
    <w:rsid w:val="00FB1219"/>
    <w:rsid w:val="00FB2845"/>
    <w:rsid w:val="00FB3AF3"/>
    <w:rsid w:val="00FB3C88"/>
    <w:rsid w:val="00FC0AA0"/>
    <w:rsid w:val="00FC6416"/>
    <w:rsid w:val="00FC653F"/>
    <w:rsid w:val="00FD0178"/>
    <w:rsid w:val="00FD3E29"/>
    <w:rsid w:val="00FD53F1"/>
    <w:rsid w:val="00FD5A39"/>
    <w:rsid w:val="00FE06CD"/>
    <w:rsid w:val="00FE1399"/>
    <w:rsid w:val="00FE16D4"/>
    <w:rsid w:val="00FE1F78"/>
    <w:rsid w:val="00FE35F1"/>
    <w:rsid w:val="00FE54E7"/>
    <w:rsid w:val="00FE55D7"/>
    <w:rsid w:val="00FE5D1A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6121F8"/>
  <w15:docId w15:val="{402A6BC0-CCA8-4702-B261-CB7A8AE1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1DA4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qFormat/>
    <w:rsid w:val="00342431"/>
    <w:pPr>
      <w:keepNext/>
      <w:outlineLvl w:val="0"/>
    </w:pPr>
    <w:rPr>
      <w:b/>
      <w:snapToGrid w:val="0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6D1DA4"/>
    <w:pPr>
      <w:spacing w:after="120" w:line="480" w:lineRule="auto"/>
      <w:ind w:left="283"/>
    </w:pPr>
  </w:style>
  <w:style w:type="paragraph" w:styleId="Zarkazkladnhotextu">
    <w:name w:val="Body Text Indent"/>
    <w:basedOn w:val="Normlny"/>
    <w:link w:val="ZarkazkladnhotextuChar"/>
    <w:rsid w:val="00025CC0"/>
    <w:pPr>
      <w:spacing w:after="120"/>
      <w:ind w:left="283"/>
    </w:pPr>
  </w:style>
  <w:style w:type="paragraph" w:styleId="Zkladntext2">
    <w:name w:val="Body Text 2"/>
    <w:basedOn w:val="Normlny"/>
    <w:link w:val="Zkladntext2Char"/>
    <w:rsid w:val="00025CC0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uiPriority w:val="99"/>
    <w:rsid w:val="00025CC0"/>
    <w:pPr>
      <w:spacing w:after="120"/>
      <w:ind w:left="283"/>
    </w:pPr>
    <w:rPr>
      <w:sz w:val="16"/>
      <w:szCs w:val="16"/>
    </w:rPr>
  </w:style>
  <w:style w:type="paragraph" w:styleId="Pta">
    <w:name w:val="footer"/>
    <w:basedOn w:val="Normlny"/>
    <w:link w:val="PtaChar"/>
    <w:uiPriority w:val="99"/>
    <w:rsid w:val="00E12DD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12DD7"/>
  </w:style>
  <w:style w:type="paragraph" w:styleId="Textbubliny">
    <w:name w:val="Balloon Text"/>
    <w:basedOn w:val="Normlny"/>
    <w:link w:val="TextbublinyChar"/>
    <w:semiHidden/>
    <w:rsid w:val="00464E1D"/>
    <w:rPr>
      <w:rFonts w:ascii="Tahoma" w:hAnsi="Tahoma" w:cs="Tahoma"/>
      <w:sz w:val="16"/>
      <w:szCs w:val="16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B347F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11721"/>
    <w:rPr>
      <w:rFonts w:ascii="Arial" w:hAnsi="Arial"/>
      <w:sz w:val="24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BB28B2"/>
    <w:pPr>
      <w:ind w:left="720"/>
      <w:contextualSpacing/>
    </w:pPr>
  </w:style>
  <w:style w:type="paragraph" w:styleId="Hlavika">
    <w:name w:val="header"/>
    <w:basedOn w:val="Normlny"/>
    <w:link w:val="HlavikaChar"/>
    <w:rsid w:val="009164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164F0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547911"/>
    <w:rPr>
      <w:rFonts w:ascii="Arial" w:hAnsi="Arial"/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5E5E4E"/>
    <w:rPr>
      <w:rFonts w:ascii="Arial" w:hAnsi="Arial"/>
      <w:sz w:val="16"/>
      <w:szCs w:val="16"/>
    </w:rPr>
  </w:style>
  <w:style w:type="paragraph" w:styleId="Obyajntext">
    <w:name w:val="Plain Text"/>
    <w:basedOn w:val="Normlny"/>
    <w:link w:val="ObyajntextChar"/>
    <w:uiPriority w:val="99"/>
    <w:unhideWhenUsed/>
    <w:rsid w:val="000E22B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E22B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770F20"/>
    <w:rPr>
      <w:rFonts w:ascii="Arial" w:hAnsi="Arial"/>
      <w:sz w:val="24"/>
    </w:rPr>
  </w:style>
  <w:style w:type="character" w:customStyle="1" w:styleId="Nadpis1Char">
    <w:name w:val="Nadpis 1 Char"/>
    <w:basedOn w:val="Predvolenpsmoodseku"/>
    <w:link w:val="Nadpis1"/>
    <w:rsid w:val="00D6723F"/>
    <w:rPr>
      <w:rFonts w:ascii="Arial" w:hAnsi="Arial"/>
      <w:b/>
      <w:snapToGrid w:val="0"/>
      <w:color w:val="000000"/>
      <w:sz w:val="22"/>
    </w:rPr>
  </w:style>
  <w:style w:type="character" w:customStyle="1" w:styleId="Zkladntext2Char">
    <w:name w:val="Základný text 2 Char"/>
    <w:basedOn w:val="Predvolenpsmoodseku"/>
    <w:link w:val="Zkladntext2"/>
    <w:rsid w:val="00D6723F"/>
    <w:rPr>
      <w:rFonts w:ascii="Arial" w:hAnsi="Arial"/>
      <w:sz w:val="24"/>
    </w:rPr>
  </w:style>
  <w:style w:type="character" w:customStyle="1" w:styleId="TextbublinyChar">
    <w:name w:val="Text bubliny Char"/>
    <w:basedOn w:val="Predvolenpsmoodseku"/>
    <w:link w:val="Textbubliny"/>
    <w:semiHidden/>
    <w:rsid w:val="00D67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A135-4F15-4495-945D-40168543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3691</Words>
  <Characters>18059</Characters>
  <Application>Microsoft Office Word</Application>
  <DocSecurity>0</DocSecurity>
  <Lines>150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Výdavky na nemocenské dávky</vt:lpstr>
    </vt:vector>
  </TitlesOfParts>
  <Company>Sociálna poisťovňa</Company>
  <LinksUpToDate>false</LinksUpToDate>
  <CharactersWithSpaces>21707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Výdavky na nemocenské dávky</dc:title>
  <dc:creator>FARKASOVA_K</dc:creator>
  <cp:lastModifiedBy>Spevár Jozef</cp:lastModifiedBy>
  <cp:revision>10</cp:revision>
  <cp:lastPrinted>2024-10-15T10:04:00Z</cp:lastPrinted>
  <dcterms:created xsi:type="dcterms:W3CDTF">2024-10-01T17:39:00Z</dcterms:created>
  <dcterms:modified xsi:type="dcterms:W3CDTF">2024-10-15T10:04:00Z</dcterms:modified>
</cp:coreProperties>
</file>