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1EA8" w:rsidRPr="001835A8" w:rsidRDefault="009A1EA8">
      <w:pPr>
        <w:pStyle w:val="Zkladntext0"/>
        <w:spacing w:line="360" w:lineRule="atLeast"/>
        <w:jc w:val="both"/>
        <w:rPr>
          <w:szCs w:val="24"/>
          <w:u w:val="single"/>
        </w:rPr>
      </w:pPr>
      <w:r w:rsidRPr="001835A8">
        <w:rPr>
          <w:b/>
          <w:szCs w:val="24"/>
          <w:u w:val="single"/>
        </w:rPr>
        <w:t>II. Osobitná časť</w:t>
      </w:r>
    </w:p>
    <w:p w:rsidR="009A1EA8" w:rsidRDefault="009A1EA8">
      <w:pPr>
        <w:pStyle w:val="Zkladntext0"/>
        <w:spacing w:line="360" w:lineRule="atLeast"/>
        <w:jc w:val="both"/>
        <w:rPr>
          <w:szCs w:val="24"/>
        </w:rPr>
      </w:pPr>
      <w:r w:rsidRPr="001835A8">
        <w:rPr>
          <w:szCs w:val="24"/>
        </w:rPr>
        <w:t xml:space="preserve">    </w:t>
      </w:r>
    </w:p>
    <w:p w:rsidR="008869E1" w:rsidRDefault="008869E1" w:rsidP="008869E1">
      <w:pPr>
        <w:pStyle w:val="Zkladntext0"/>
        <w:jc w:val="both"/>
        <w:rPr>
          <w:szCs w:val="24"/>
          <w:u w:val="single"/>
        </w:rPr>
      </w:pPr>
      <w:r>
        <w:rPr>
          <w:szCs w:val="24"/>
          <w:u w:val="single"/>
        </w:rPr>
        <w:t>K § 1</w:t>
      </w:r>
    </w:p>
    <w:p w:rsidR="008869E1" w:rsidRDefault="008869E1" w:rsidP="008869E1">
      <w:pPr>
        <w:pStyle w:val="Zkladntext0"/>
        <w:ind w:firstLine="709"/>
        <w:jc w:val="both"/>
        <w:rPr>
          <w:szCs w:val="24"/>
          <w:u w:val="single"/>
        </w:rPr>
      </w:pPr>
    </w:p>
    <w:p w:rsidR="008869E1" w:rsidRDefault="008869E1" w:rsidP="008869E1">
      <w:pPr>
        <w:pStyle w:val="Zkladntext0"/>
        <w:jc w:val="both"/>
        <w:rPr>
          <w:szCs w:val="24"/>
        </w:rPr>
      </w:pPr>
      <w:r>
        <w:rPr>
          <w:szCs w:val="24"/>
        </w:rPr>
        <w:t>Ustanovenia tohto paragrafu určujú v prílohe č. 1 základné rozpočtové rámce príjmovej a výdavkovej časti štátneho rozpočtu. V rámci príjmov a výdavkov sa rozpočtujú aj prostriedky Európskej únie v súlade s § 7 ods. 2 a § 8 ods. 3 zákona o rozpočtových pravidlách verejnej správy a prostriedky mechanizmu na podporu obnovy a odolnosti.</w:t>
      </w:r>
    </w:p>
    <w:p w:rsidR="008869E1" w:rsidRDefault="008869E1" w:rsidP="008869E1">
      <w:pPr>
        <w:pStyle w:val="Zkladntext0"/>
        <w:spacing w:before="240"/>
        <w:jc w:val="both"/>
        <w:rPr>
          <w:szCs w:val="24"/>
        </w:rPr>
      </w:pPr>
      <w:r>
        <w:rPr>
          <w:szCs w:val="24"/>
        </w:rPr>
        <w:t xml:space="preserve">Určujú sa príjmy štátneho rozpočtu, pričom záväzné ukazovatele príjmov kapitol sú uvedené v prílohe č. 2. </w:t>
      </w:r>
    </w:p>
    <w:p w:rsidR="008869E1" w:rsidRDefault="008869E1" w:rsidP="008869E1">
      <w:pPr>
        <w:pStyle w:val="Zkladntext0"/>
        <w:spacing w:before="240"/>
        <w:jc w:val="both"/>
        <w:rPr>
          <w:szCs w:val="24"/>
        </w:rPr>
      </w:pPr>
      <w:r>
        <w:rPr>
          <w:szCs w:val="24"/>
        </w:rPr>
        <w:t>Určujú sa výdavky štátneho rozpočtu, ich rozdelenie do jednotlivých kapitol obsahuje príloha č. 3.</w:t>
      </w:r>
    </w:p>
    <w:p w:rsidR="008869E1" w:rsidRDefault="008869E1" w:rsidP="008869E1">
      <w:pPr>
        <w:pStyle w:val="Zkladntext0"/>
        <w:spacing w:before="240"/>
        <w:jc w:val="both"/>
      </w:pPr>
      <w:r>
        <w:t>Rozpočet uvažuje s inými výdavkami kapitoly Najvyšší kontrolný úrad SR, ako návrh rozpočtu NKÚ SR predložený do výboru NR SR. V § 21a odseku 2 zákona č. 39/1993 Z. z. o Najvyššom kontrolnom úrade Slovenskej republiky je ustanovené, že „Návrh rozpočtu kapitoly Úradu predloží Úrad na schválenie príslušnému výboru Národnej rady Slovenskej republiky. Príslušný výbor Národnej rady Slovenskej republiky predloží schválený návrh rozpočtu kapitoly Úradu vláde SR do 30. júna bežného roka. Vláda rozhodne o návrhu rozpočtu kapitoly Úradu. Ak vláda vykoná v návrhu rozpočtu kapitoly Úradu zmeny, pri predkladaní návrhu zákona o štátnom rozpočte Národnej rade Slovenskej republiky ich odôvodní.“. Keďže vláda SR predložila Národnej rade SR návrh zákona o štátnom rozpočte na rok 2025 so zohľadnením konsolidačných opatrení, je odôvodnené, aby aj návrh rozpočtu Najvyššieho kontrolného úradu SR bol zosúladený s rozpočtom verejnej správy na roky 2025 až 2027. Z dôvodu, že viazanie výdavkov sa týkalo aj štátnych rozpočtových organizácií, bol týmto konsolidačným opatrením ovplyvnený aj rozpočet Najvyššieho kontrolného úradu SR.</w:t>
      </w:r>
    </w:p>
    <w:p w:rsidR="008869E1" w:rsidRDefault="008869E1" w:rsidP="008869E1">
      <w:pPr>
        <w:pStyle w:val="Zkladntext0"/>
        <w:spacing w:before="240"/>
        <w:jc w:val="both"/>
        <w:rPr>
          <w:szCs w:val="24"/>
        </w:rPr>
      </w:pPr>
      <w:r>
        <w:rPr>
          <w:szCs w:val="24"/>
        </w:rPr>
        <w:t xml:space="preserve">Určuje sa schodok štátneho rozpočtu. Tento schodok možno v priebehu rozpočtového roka prekročiť alebo znížiť len v súlade s ustanoveniami § 8 ods. 7 a 8 zákona o rozpočtových pravidlách verejnej správy. </w:t>
      </w:r>
    </w:p>
    <w:p w:rsidR="008869E1" w:rsidRDefault="008869E1" w:rsidP="008869E1">
      <w:pPr>
        <w:pStyle w:val="Zkladntext0"/>
        <w:spacing w:before="240"/>
        <w:jc w:val="both"/>
        <w:rPr>
          <w:szCs w:val="24"/>
        </w:rPr>
      </w:pPr>
      <w:r>
        <w:rPr>
          <w:szCs w:val="24"/>
        </w:rPr>
        <w:t>V prílohe č. 4 sú uvedené jednotlivé časti programov, ktoré sú záväznými ukazovateľmi. Záväznými limitmi výdavkov v rámci programov sú záväzné limity uvedené v prílohe č. 4 a bližšie môžu byť definované v rozpisovom liste. Ostatné časti programov, na ktoré nie sú alokované výdavky, môže kapitola financovať v rámci ustanovených záväzných ukazovateľov.</w:t>
      </w:r>
    </w:p>
    <w:p w:rsidR="008869E1" w:rsidRDefault="008869E1" w:rsidP="008869E1">
      <w:pPr>
        <w:pStyle w:val="Zkladntext0"/>
        <w:spacing w:before="240"/>
        <w:jc w:val="both"/>
        <w:rPr>
          <w:szCs w:val="24"/>
        </w:rPr>
      </w:pPr>
      <w:r>
        <w:rPr>
          <w:szCs w:val="24"/>
        </w:rPr>
        <w:t>V zákone sa ustanovuje aj výška finančných prostriedkov poskytnutých zo štátneho rozpočtu do rozpočtov obcí a do rozpočtov vyšších územných celkov na prenesený výkon štátnej správy zabezpečovaný obcami a vyššími územnými celkami, ktoré sú rozpočtované v kapitolách, do pôsobnosti ktorých predmetné kompetencie patria. Prehľad týchto finančných prostriedkov je uvedený v prílohe č. 5.</w:t>
      </w:r>
    </w:p>
    <w:p w:rsidR="008869E1" w:rsidRDefault="008869E1" w:rsidP="008869E1">
      <w:pPr>
        <w:pStyle w:val="Zkladntext0"/>
        <w:spacing w:before="240"/>
        <w:jc w:val="both"/>
        <w:rPr>
          <w:color w:val="auto"/>
          <w:szCs w:val="24"/>
        </w:rPr>
      </w:pPr>
      <w:r>
        <w:rPr>
          <w:color w:val="auto"/>
          <w:szCs w:val="24"/>
        </w:rPr>
        <w:t xml:space="preserve">V súlade s ustanovením § 10 zákona o rozpočtových pravidlách verejnej správy sa v rámci celkových výdavkov štátneho rozpočtu uvedených v odseku 1 na </w:t>
      </w:r>
      <w:r>
        <w:rPr>
          <w:color w:val="auto"/>
          <w:szCs w:val="24"/>
          <w:shd w:val="clear" w:color="auto" w:fill="FFFFFF"/>
        </w:rPr>
        <w:t>zabezpečenie rozpočtového hospodárenia vytvárajú v štátnom rozpočte rezervy</w:t>
      </w:r>
      <w:r>
        <w:rPr>
          <w:color w:val="auto"/>
          <w:szCs w:val="24"/>
        </w:rPr>
        <w:t xml:space="preserve"> na krytie v čase alebo výške neistých nevyhnutných alebo nepredvídateľných výdavkov, ktorých prehľad je uvedený v prílohe č. 6.</w:t>
      </w:r>
    </w:p>
    <w:p w:rsidR="008869E1" w:rsidRDefault="008869E1" w:rsidP="008869E1">
      <w:pPr>
        <w:pStyle w:val="Zkladntext0"/>
        <w:jc w:val="both"/>
        <w:rPr>
          <w:szCs w:val="24"/>
        </w:rPr>
      </w:pPr>
    </w:p>
    <w:p w:rsidR="008869E1" w:rsidRDefault="008869E1" w:rsidP="008869E1">
      <w:pPr>
        <w:pStyle w:val="Zkladntext0"/>
        <w:jc w:val="both"/>
        <w:rPr>
          <w:szCs w:val="24"/>
        </w:rPr>
      </w:pPr>
    </w:p>
    <w:p w:rsidR="008869E1" w:rsidRDefault="008869E1" w:rsidP="008869E1">
      <w:pPr>
        <w:pStyle w:val="Zkladntext0"/>
        <w:jc w:val="both"/>
        <w:rPr>
          <w:szCs w:val="24"/>
        </w:rPr>
      </w:pPr>
    </w:p>
    <w:p w:rsidR="008869E1" w:rsidRDefault="008869E1" w:rsidP="008869E1">
      <w:pPr>
        <w:pStyle w:val="Zkladntext0"/>
        <w:jc w:val="both"/>
        <w:rPr>
          <w:szCs w:val="24"/>
          <w:u w:val="single"/>
        </w:rPr>
      </w:pPr>
      <w:r>
        <w:rPr>
          <w:szCs w:val="24"/>
          <w:u w:val="single"/>
        </w:rPr>
        <w:lastRenderedPageBreak/>
        <w:t>K § 2</w:t>
      </w:r>
    </w:p>
    <w:p w:rsidR="008869E1" w:rsidRDefault="008869E1" w:rsidP="008869E1">
      <w:pPr>
        <w:pStyle w:val="Zkladntext0"/>
        <w:ind w:firstLine="709"/>
        <w:jc w:val="both"/>
        <w:rPr>
          <w:szCs w:val="24"/>
          <w:u w:val="single"/>
        </w:rPr>
      </w:pPr>
    </w:p>
    <w:p w:rsidR="008869E1" w:rsidRDefault="008869E1" w:rsidP="008869E1">
      <w:pPr>
        <w:jc w:val="both"/>
      </w:pPr>
      <w:r>
        <w:t xml:space="preserve">Obsahom tohto ustanovenia je splnomocnenie vlády, resp. ministra financií na úpravu schválených záväzných ukazovateľov štátneho rozpočtu v priebehu roka v súlade so zákonom o rozpočtových pravidlách verejnej správy v súvislosti s vývojom hospodárenia Slovenskej republiky, ktorý nebolo možné pri zostavovaní rozpočtu plne postihnúť. </w:t>
      </w:r>
    </w:p>
    <w:p w:rsidR="008869E1" w:rsidRDefault="008869E1" w:rsidP="008869E1">
      <w:pPr>
        <w:jc w:val="both"/>
        <w:rPr>
          <w:strike/>
        </w:rPr>
      </w:pPr>
    </w:p>
    <w:p w:rsidR="008869E1" w:rsidRDefault="008869E1" w:rsidP="008869E1">
      <w:pPr>
        <w:pStyle w:val="Zkladntext0"/>
        <w:jc w:val="both"/>
        <w:rPr>
          <w:szCs w:val="24"/>
        </w:rPr>
      </w:pPr>
      <w:r>
        <w:rPr>
          <w:szCs w:val="24"/>
        </w:rPr>
        <w:t>Vláda alebo na základe jej splnomocnenia minister financií sa splnomocňuje v súlade s osobitnými predpismi na vykonávanie úprav systemizácie v priebehu roka 2025.</w:t>
      </w:r>
    </w:p>
    <w:p w:rsidR="008869E1" w:rsidRDefault="008869E1" w:rsidP="008869E1">
      <w:pPr>
        <w:pStyle w:val="Zkladntext0"/>
        <w:jc w:val="both"/>
        <w:rPr>
          <w:szCs w:val="24"/>
        </w:rPr>
      </w:pPr>
    </w:p>
    <w:p w:rsidR="008869E1" w:rsidRDefault="008869E1" w:rsidP="008869E1">
      <w:pPr>
        <w:pStyle w:val="Zkladntext0"/>
        <w:jc w:val="both"/>
        <w:rPr>
          <w:szCs w:val="24"/>
        </w:rPr>
      </w:pPr>
      <w:r>
        <w:rPr>
          <w:szCs w:val="24"/>
        </w:rPr>
        <w:t>Zároveň sa vláda alebo na základe jej splnomocnenia minister financií splnomocňuje na vykonávanie úprav limitov verejných výdavkov kapitol štátneho rozpočtu v roku 2025 pri dodržaní limitu verejných výdavkov štátneho rozpočtu schváleného Národnou radou SR na rok 2025.</w:t>
      </w:r>
    </w:p>
    <w:p w:rsidR="008869E1" w:rsidRDefault="008869E1" w:rsidP="008869E1">
      <w:pPr>
        <w:pStyle w:val="Zkladntext0"/>
        <w:jc w:val="both"/>
        <w:rPr>
          <w:szCs w:val="24"/>
          <w:u w:val="single"/>
        </w:rPr>
      </w:pPr>
    </w:p>
    <w:p w:rsidR="008869E1" w:rsidRDefault="008869E1" w:rsidP="008869E1">
      <w:pPr>
        <w:pStyle w:val="Zkladntext0"/>
        <w:jc w:val="both"/>
        <w:rPr>
          <w:szCs w:val="24"/>
          <w:u w:val="single"/>
        </w:rPr>
      </w:pPr>
      <w:r>
        <w:rPr>
          <w:szCs w:val="24"/>
          <w:u w:val="single"/>
        </w:rPr>
        <w:t>K § 3</w:t>
      </w:r>
    </w:p>
    <w:p w:rsidR="008869E1" w:rsidRDefault="008869E1" w:rsidP="008869E1">
      <w:pPr>
        <w:pStyle w:val="Zkladntext0"/>
        <w:ind w:firstLine="709"/>
        <w:jc w:val="both"/>
        <w:rPr>
          <w:szCs w:val="24"/>
          <w:u w:val="single"/>
        </w:rPr>
      </w:pPr>
    </w:p>
    <w:p w:rsidR="008869E1" w:rsidRDefault="008869E1" w:rsidP="008869E1">
      <w:pPr>
        <w:pStyle w:val="Zkladntext0"/>
        <w:jc w:val="both"/>
        <w:rPr>
          <w:szCs w:val="24"/>
        </w:rPr>
      </w:pPr>
      <w:r>
        <w:rPr>
          <w:szCs w:val="24"/>
        </w:rPr>
        <w:t>V súlade so zákonom č. 483/2001 Z. z. o bankách a o zmene a doplnení niektorých zákonov v znení neskorších predpisov (§ 122ya ods. 12) sa percentuálna výška štátneho príspevku a štátneho príspevku pre mladých na základe zmluvy o hypotekárnom úvere uzavretej pred 1. januárom 2018 určuje na jednotlivé kalendárne roky zákonom o štátnom rozpočte na príslušný rozpočtový rok a v tom istom roku platí pre všetky zmluvy o hypotekárnom úvere uzavreté pred 1. januárom 2018, okrem zmlúv uzavretých pred 1. júlom 2003. Pri týchto zmluvách sa poskytuje štátny príspevok, ktorý bol určený zákonom o štátnom rozpočte na príslušný rozpočtový rok, v ktorom bola zmluva uzavretá, v nezmenenej výške počas celej lehoty splatnosti hypotekárneho úveru.</w:t>
      </w:r>
    </w:p>
    <w:p w:rsidR="008869E1" w:rsidRDefault="008869E1" w:rsidP="008869E1">
      <w:pPr>
        <w:pStyle w:val="Zkladntext0"/>
        <w:ind w:firstLine="708"/>
        <w:jc w:val="both"/>
        <w:rPr>
          <w:szCs w:val="24"/>
        </w:rPr>
      </w:pPr>
    </w:p>
    <w:p w:rsidR="008869E1" w:rsidRDefault="008869E1" w:rsidP="008869E1">
      <w:pPr>
        <w:pStyle w:val="Zkladntext0"/>
        <w:jc w:val="both"/>
        <w:rPr>
          <w:szCs w:val="24"/>
        </w:rPr>
      </w:pPr>
      <w:r>
        <w:rPr>
          <w:szCs w:val="24"/>
        </w:rPr>
        <w:t>Pri zmluvách o mladomanželskom úvere sa v súlade so zákonom č. 483/2001 Z. z. o bankách a o zmene a doplnení niektorých zákonov v znení neskorších predpisov (§ 88a) poskytuje štátny príspevok pre mladomanželov, ktorý sa určuje zákonom o štátnom rozpočte na príslušný rozpočtový rok, v ktorom bola zmluva uzavretá, v nezmenenej výške počas celej lehoty splatnosti mladomanželského úveru.</w:t>
      </w:r>
    </w:p>
    <w:p w:rsidR="008869E1" w:rsidRDefault="008869E1" w:rsidP="008869E1">
      <w:pPr>
        <w:pStyle w:val="Zkladntext0"/>
        <w:jc w:val="both"/>
        <w:rPr>
          <w:szCs w:val="24"/>
        </w:rPr>
      </w:pPr>
    </w:p>
    <w:p w:rsidR="008869E1" w:rsidRDefault="008869E1" w:rsidP="008869E1">
      <w:pPr>
        <w:pStyle w:val="Zkladntext0"/>
        <w:jc w:val="both"/>
        <w:rPr>
          <w:szCs w:val="24"/>
          <w:u w:val="single"/>
        </w:rPr>
      </w:pPr>
      <w:r>
        <w:rPr>
          <w:szCs w:val="24"/>
          <w:u w:val="single"/>
        </w:rPr>
        <w:t>K § 4</w:t>
      </w:r>
    </w:p>
    <w:p w:rsidR="008869E1" w:rsidRDefault="008869E1" w:rsidP="008869E1">
      <w:pPr>
        <w:pStyle w:val="Zkladntext0"/>
        <w:ind w:firstLine="709"/>
        <w:jc w:val="both"/>
        <w:rPr>
          <w:szCs w:val="24"/>
        </w:rPr>
      </w:pPr>
    </w:p>
    <w:p w:rsidR="008869E1" w:rsidRDefault="008869E1" w:rsidP="008869E1">
      <w:pPr>
        <w:pStyle w:val="Zkladntext0"/>
        <w:jc w:val="both"/>
        <w:rPr>
          <w:szCs w:val="24"/>
        </w:rPr>
      </w:pPr>
      <w:r>
        <w:rPr>
          <w:szCs w:val="24"/>
        </w:rPr>
        <w:t xml:space="preserve">V navrhovanom ustanovení sa deklaruje potreba </w:t>
      </w:r>
      <w:proofErr w:type="spellStart"/>
      <w:r>
        <w:rPr>
          <w:szCs w:val="24"/>
        </w:rPr>
        <w:t>prefinancovania</w:t>
      </w:r>
      <w:proofErr w:type="spellEnd"/>
      <w:r>
        <w:rPr>
          <w:szCs w:val="24"/>
        </w:rPr>
        <w:t xml:space="preserve"> štátneho dlhu splatného v roku 2025, t. j. nevyhnutná úhrada záväzkov vnútorného a zahraničného dlhu, predstavujúca splatné čiastky istín štátneho dlhu v roku 2025.</w:t>
      </w:r>
    </w:p>
    <w:p w:rsidR="008869E1" w:rsidRDefault="008869E1" w:rsidP="008869E1">
      <w:pPr>
        <w:pStyle w:val="Zkladntext0"/>
        <w:ind w:firstLine="709"/>
        <w:jc w:val="both"/>
        <w:rPr>
          <w:szCs w:val="24"/>
        </w:rPr>
      </w:pPr>
    </w:p>
    <w:p w:rsidR="008869E1" w:rsidRDefault="008869E1" w:rsidP="008869E1">
      <w:pPr>
        <w:pStyle w:val="Zkladntext0"/>
        <w:jc w:val="both"/>
        <w:rPr>
          <w:szCs w:val="24"/>
        </w:rPr>
      </w:pPr>
      <w:r>
        <w:rPr>
          <w:szCs w:val="24"/>
        </w:rPr>
        <w:t>Zároveň sa vytvára možnosť prevziať úvery od Rozvojovej banky Rady Európy a úvery od Európskej investičnej banky na financovanie vhodných projektov podporených zo štátneho rozpočtu v rámci jednotlivých kapitol štátneho rozpočtu.</w:t>
      </w:r>
    </w:p>
    <w:p w:rsidR="008869E1" w:rsidRDefault="008869E1" w:rsidP="008869E1">
      <w:pPr>
        <w:pStyle w:val="Zkladntext0"/>
        <w:jc w:val="both"/>
        <w:rPr>
          <w:szCs w:val="24"/>
        </w:rPr>
      </w:pPr>
    </w:p>
    <w:p w:rsidR="008869E1" w:rsidRDefault="008869E1" w:rsidP="008869E1">
      <w:pPr>
        <w:pStyle w:val="Zkladntext0"/>
        <w:jc w:val="both"/>
        <w:rPr>
          <w:szCs w:val="24"/>
        </w:rPr>
      </w:pPr>
      <w:r>
        <w:rPr>
          <w:szCs w:val="24"/>
        </w:rPr>
        <w:t>Vytvára sa aj možnosť na úhradu záväzku voči skupine Európskej investičnej banky splatného na vyzvanie, vyplývajúceho z účasti Slovenskej republiky vo Fonde Európskej únie pre Ukrajinu.</w:t>
      </w:r>
    </w:p>
    <w:p w:rsidR="008869E1" w:rsidRDefault="008869E1" w:rsidP="008869E1">
      <w:pPr>
        <w:pStyle w:val="Zkladntext0"/>
        <w:jc w:val="both"/>
        <w:rPr>
          <w:szCs w:val="24"/>
        </w:rPr>
      </w:pPr>
    </w:p>
    <w:p w:rsidR="008869E1" w:rsidRDefault="008869E1" w:rsidP="008869E1">
      <w:pPr>
        <w:pStyle w:val="Zkladntext0"/>
        <w:jc w:val="both"/>
        <w:rPr>
          <w:szCs w:val="24"/>
          <w:u w:val="single"/>
        </w:rPr>
      </w:pPr>
      <w:r>
        <w:rPr>
          <w:szCs w:val="24"/>
          <w:u w:val="single"/>
        </w:rPr>
        <w:t>K § 5</w:t>
      </w:r>
    </w:p>
    <w:p w:rsidR="008869E1" w:rsidRDefault="008869E1" w:rsidP="008869E1">
      <w:pPr>
        <w:pStyle w:val="Zkladntext0"/>
        <w:ind w:firstLine="709"/>
        <w:jc w:val="both"/>
        <w:rPr>
          <w:szCs w:val="24"/>
          <w:u w:val="single"/>
        </w:rPr>
      </w:pPr>
    </w:p>
    <w:p w:rsidR="008869E1" w:rsidRDefault="008869E1" w:rsidP="008869E1">
      <w:pPr>
        <w:pStyle w:val="Zkladntext0"/>
        <w:jc w:val="both"/>
        <w:rPr>
          <w:szCs w:val="24"/>
        </w:rPr>
      </w:pPr>
      <w:r>
        <w:rPr>
          <w:szCs w:val="24"/>
        </w:rPr>
        <w:t xml:space="preserve">Pre štátnych zamestnancov v štátnozamestnaneckom pomere a zamestnancov pri výkone práce </w:t>
      </w:r>
      <w:r>
        <w:rPr>
          <w:szCs w:val="24"/>
        </w:rPr>
        <w:lastRenderedPageBreak/>
        <w:t xml:space="preserve">vo verejnom záujme, odmeňovaných podľa príslušných zákonov, sa zákonom o štátnom rozpočte na rok 2025 v termíne od 1. januára 2025 nenavrhuje úprava platov;  platové tarify, resp. stupnice platových taríf sa zvýšia o 0 %. </w:t>
      </w:r>
    </w:p>
    <w:p w:rsidR="008869E1" w:rsidRDefault="008869E1" w:rsidP="008869E1">
      <w:pPr>
        <w:pStyle w:val="Zkladntext0"/>
        <w:ind w:firstLine="709"/>
        <w:jc w:val="both"/>
        <w:rPr>
          <w:szCs w:val="24"/>
          <w:highlight w:val="yellow"/>
        </w:rPr>
      </w:pPr>
      <w:r>
        <w:rPr>
          <w:szCs w:val="24"/>
          <w:highlight w:val="yellow"/>
        </w:rPr>
        <w:t xml:space="preserve"> </w:t>
      </w:r>
    </w:p>
    <w:p w:rsidR="008869E1" w:rsidRDefault="008869E1" w:rsidP="008869E1">
      <w:pPr>
        <w:pStyle w:val="Zkladntext0"/>
        <w:jc w:val="both"/>
        <w:rPr>
          <w:color w:val="auto"/>
          <w:szCs w:val="24"/>
        </w:rPr>
      </w:pPr>
      <w:r>
        <w:rPr>
          <w:szCs w:val="24"/>
        </w:rPr>
        <w:t xml:space="preserve">Zákonom o štátnom rozpočte na príslušný rok sa v súlade s osobitnými zákonmi pre štátnych zamestnancov v služobnom pomere stanovuje výška a termín zvýšenia stupnice platových taríf, funkčných platov, resp. hodnostných platov. </w:t>
      </w:r>
      <w:r>
        <w:rPr>
          <w:color w:val="auto"/>
          <w:szCs w:val="24"/>
        </w:rPr>
        <w:t>Na rok 2025 sa od 1. januára 2025 navrhuje zvýšenie stupnice platových taríf príslušníkov Hasičského a záchranného zboru a príslušníkov Horskej záchrannej služby, funkčných platov p</w:t>
      </w:r>
      <w:r>
        <w:t>ríslušníkov Policajného zboru, Slovenskej informačnej služby, Zboru väzenskej a justičnej stráže Slovenskej republiky, Národného bezpečnostného úradu, príslušníkov finančnej správy a hodnostných platov profesionálnych vojakov na úrovni 0 %</w:t>
      </w:r>
      <w:r>
        <w:rPr>
          <w:color w:val="auto"/>
          <w:szCs w:val="24"/>
        </w:rPr>
        <w:t>.</w:t>
      </w:r>
    </w:p>
    <w:p w:rsidR="008869E1" w:rsidRDefault="008869E1" w:rsidP="008869E1">
      <w:pPr>
        <w:pStyle w:val="Zkladntext0"/>
        <w:jc w:val="both"/>
        <w:rPr>
          <w:color w:val="auto"/>
          <w:szCs w:val="24"/>
        </w:rPr>
      </w:pPr>
    </w:p>
    <w:p w:rsidR="008869E1" w:rsidRDefault="008869E1" w:rsidP="008869E1">
      <w:pPr>
        <w:pStyle w:val="Zkladntext0"/>
        <w:jc w:val="both"/>
        <w:rPr>
          <w:szCs w:val="24"/>
        </w:rPr>
      </w:pPr>
      <w:r>
        <w:t xml:space="preserve">Na základe vyjednaných podmienok kolektívnych zmlúv vyššieho stupňa na rok 2025 sú v kapitole Všeobecná pokladničná správa zabezpečené zdroje na vyplatenie odmeny v sume 800 eur na zamestnanca v roku 2025. </w:t>
      </w:r>
    </w:p>
    <w:p w:rsidR="008869E1" w:rsidRDefault="008869E1" w:rsidP="008869E1">
      <w:pPr>
        <w:pStyle w:val="Zkladntext0"/>
        <w:jc w:val="both"/>
        <w:rPr>
          <w:color w:val="auto"/>
          <w:szCs w:val="24"/>
        </w:rPr>
      </w:pPr>
    </w:p>
    <w:p w:rsidR="008869E1" w:rsidRDefault="008869E1" w:rsidP="008869E1">
      <w:pPr>
        <w:pStyle w:val="Zkladntext0"/>
        <w:jc w:val="both"/>
        <w:rPr>
          <w:szCs w:val="24"/>
          <w:u w:val="single"/>
        </w:rPr>
      </w:pPr>
      <w:r>
        <w:rPr>
          <w:szCs w:val="24"/>
          <w:u w:val="single"/>
        </w:rPr>
        <w:t xml:space="preserve">K § 6 </w:t>
      </w:r>
    </w:p>
    <w:p w:rsidR="008869E1" w:rsidRDefault="008869E1" w:rsidP="008869E1">
      <w:pPr>
        <w:pStyle w:val="Zkladntext0"/>
        <w:jc w:val="both"/>
        <w:rPr>
          <w:szCs w:val="24"/>
          <w:u w:val="single"/>
        </w:rPr>
      </w:pPr>
    </w:p>
    <w:p w:rsidR="008869E1" w:rsidRDefault="008869E1" w:rsidP="008869E1">
      <w:pPr>
        <w:pStyle w:val="Zkladntext0"/>
        <w:jc w:val="both"/>
        <w:rPr>
          <w:szCs w:val="24"/>
        </w:rPr>
      </w:pPr>
      <w:r>
        <w:rPr>
          <w:szCs w:val="24"/>
        </w:rPr>
        <w:t>V súlade so zákonom č. 111/1990 Zb. o štátnom podniku v znení neskorších predpisov sa určuje osobitný odvod do štátneho rozpočtu zo zisku po zdanení pre Vodohospodársku výstavbu, š. p. v sume 40 000 000 eur. Uvedené prostriedky budú odvedené na príjmový účet kapitoly štátneho rozpočtu Ministerstva životného prostredia Slovenskej republiky do 15. decembra 2025.</w:t>
      </w:r>
    </w:p>
    <w:p w:rsidR="008869E1" w:rsidRDefault="008869E1" w:rsidP="008869E1">
      <w:pPr>
        <w:pStyle w:val="Zkladntext0"/>
        <w:ind w:firstLine="709"/>
        <w:jc w:val="both"/>
        <w:rPr>
          <w:szCs w:val="24"/>
          <w:u w:val="single"/>
        </w:rPr>
      </w:pPr>
    </w:p>
    <w:p w:rsidR="008869E1" w:rsidRDefault="008869E1" w:rsidP="008869E1">
      <w:pPr>
        <w:pStyle w:val="Zkladntext0"/>
        <w:jc w:val="both"/>
        <w:rPr>
          <w:szCs w:val="24"/>
          <w:u w:val="single"/>
        </w:rPr>
      </w:pPr>
      <w:r>
        <w:rPr>
          <w:szCs w:val="24"/>
          <w:u w:val="single"/>
        </w:rPr>
        <w:t>K § 7</w:t>
      </w:r>
    </w:p>
    <w:p w:rsidR="008869E1" w:rsidRDefault="008869E1" w:rsidP="008869E1">
      <w:pPr>
        <w:pStyle w:val="Zkladntext0"/>
        <w:jc w:val="both"/>
        <w:rPr>
          <w:szCs w:val="24"/>
        </w:rPr>
      </w:pPr>
    </w:p>
    <w:p w:rsidR="008869E1" w:rsidRDefault="008869E1" w:rsidP="008869E1">
      <w:pPr>
        <w:pStyle w:val="Zkladntext0"/>
        <w:jc w:val="both"/>
      </w:pPr>
      <w:r>
        <w:rPr>
          <w:szCs w:val="24"/>
        </w:rPr>
        <w:t>Účinnosť zákona sa navrhuje od 1. januára 2025.</w:t>
      </w:r>
    </w:p>
    <w:p w:rsidR="008869E1" w:rsidRDefault="008869E1" w:rsidP="008869E1">
      <w:pPr>
        <w:pStyle w:val="Zkladntext0"/>
        <w:spacing w:line="360" w:lineRule="atLeast"/>
        <w:jc w:val="both"/>
        <w:rPr>
          <w:szCs w:val="24"/>
        </w:rPr>
      </w:pPr>
    </w:p>
    <w:p w:rsidR="002029B9" w:rsidRDefault="002029B9" w:rsidP="00727019">
      <w:pPr>
        <w:pStyle w:val="Zkladntext0"/>
        <w:jc w:val="both"/>
        <w:rPr>
          <w:szCs w:val="24"/>
        </w:rPr>
      </w:pPr>
    </w:p>
    <w:p w:rsidR="002029B9" w:rsidRDefault="002029B9" w:rsidP="00727019">
      <w:pPr>
        <w:pStyle w:val="Zkladntext0"/>
        <w:jc w:val="both"/>
        <w:rPr>
          <w:szCs w:val="24"/>
        </w:rPr>
      </w:pPr>
    </w:p>
    <w:p w:rsidR="002029B9" w:rsidRDefault="002029B9" w:rsidP="002029B9">
      <w:r>
        <w:t>V</w:t>
      </w:r>
      <w:r w:rsidR="00182F5E">
        <w:t> </w:t>
      </w:r>
      <w:r>
        <w:t>Brati</w:t>
      </w:r>
      <w:bookmarkStart w:id="0" w:name="_GoBack"/>
      <w:bookmarkEnd w:id="0"/>
      <w:r>
        <w:t>slave</w:t>
      </w:r>
      <w:r w:rsidR="00182F5E">
        <w:t xml:space="preserve"> </w:t>
      </w:r>
      <w:r w:rsidR="00400B05">
        <w:t>15</w:t>
      </w:r>
      <w:r w:rsidRPr="00400B05">
        <w:t xml:space="preserve">. </w:t>
      </w:r>
      <w:r w:rsidR="00182F5E" w:rsidRPr="00400B05">
        <w:t>októbra</w:t>
      </w:r>
      <w:r w:rsidRPr="00400B05">
        <w:t xml:space="preserve"> 202</w:t>
      </w:r>
      <w:r w:rsidR="00182F5E" w:rsidRPr="00400B05">
        <w:t>4</w:t>
      </w:r>
    </w:p>
    <w:p w:rsidR="002029B9" w:rsidRDefault="002029B9" w:rsidP="002029B9">
      <w:pPr>
        <w:pStyle w:val="Zkladntext0"/>
        <w:ind w:firstLine="709"/>
        <w:jc w:val="both"/>
        <w:rPr>
          <w:szCs w:val="24"/>
        </w:rPr>
      </w:pPr>
    </w:p>
    <w:p w:rsidR="002029B9" w:rsidRDefault="002029B9" w:rsidP="002029B9">
      <w:pPr>
        <w:pStyle w:val="Zkladntext0"/>
        <w:ind w:firstLine="709"/>
        <w:jc w:val="both"/>
        <w:rPr>
          <w:szCs w:val="24"/>
        </w:rPr>
      </w:pPr>
    </w:p>
    <w:p w:rsidR="002029B9" w:rsidRDefault="002029B9" w:rsidP="002029B9">
      <w:pPr>
        <w:pStyle w:val="Zkladntext0"/>
        <w:ind w:firstLine="709"/>
        <w:jc w:val="both"/>
        <w:rPr>
          <w:szCs w:val="24"/>
        </w:rPr>
      </w:pPr>
    </w:p>
    <w:p w:rsidR="002029B9" w:rsidRDefault="002029B9" w:rsidP="002029B9">
      <w:pPr>
        <w:pStyle w:val="Zkladntext0"/>
        <w:ind w:firstLine="709"/>
        <w:jc w:val="both"/>
        <w:rPr>
          <w:szCs w:val="24"/>
        </w:rPr>
      </w:pPr>
    </w:p>
    <w:p w:rsidR="002029B9" w:rsidRDefault="002029B9" w:rsidP="002029B9">
      <w:pPr>
        <w:pStyle w:val="Zkladntext0"/>
        <w:ind w:firstLine="709"/>
        <w:jc w:val="both"/>
        <w:rPr>
          <w:szCs w:val="24"/>
        </w:rPr>
      </w:pPr>
    </w:p>
    <w:p w:rsidR="002029B9" w:rsidRDefault="002029B9" w:rsidP="002029B9">
      <w:pPr>
        <w:pStyle w:val="Zkladntext0"/>
        <w:ind w:firstLine="709"/>
        <w:jc w:val="both"/>
        <w:rPr>
          <w:szCs w:val="24"/>
        </w:rPr>
      </w:pPr>
    </w:p>
    <w:p w:rsidR="002029B9" w:rsidRDefault="002029B9" w:rsidP="002029B9">
      <w:pPr>
        <w:pStyle w:val="Zkladntext0"/>
        <w:ind w:firstLine="709"/>
        <w:jc w:val="both"/>
        <w:rPr>
          <w:szCs w:val="24"/>
        </w:rPr>
      </w:pPr>
    </w:p>
    <w:p w:rsidR="002029B9" w:rsidRDefault="002029B9" w:rsidP="002029B9">
      <w:pPr>
        <w:pStyle w:val="Zkladntext0"/>
        <w:ind w:firstLine="709"/>
        <w:jc w:val="both"/>
        <w:rPr>
          <w:szCs w:val="24"/>
        </w:rPr>
      </w:pPr>
    </w:p>
    <w:p w:rsidR="0051566C" w:rsidRDefault="0051566C" w:rsidP="0051566C">
      <w:pPr>
        <w:jc w:val="center"/>
        <w:rPr>
          <w:b/>
        </w:rPr>
      </w:pPr>
      <w:r>
        <w:rPr>
          <w:b/>
        </w:rPr>
        <w:t xml:space="preserve">Robert Fico  v. r. </w:t>
      </w:r>
    </w:p>
    <w:p w:rsidR="0051566C" w:rsidRDefault="0051566C" w:rsidP="0051566C">
      <w:pPr>
        <w:jc w:val="center"/>
        <w:rPr>
          <w:b/>
        </w:rPr>
      </w:pPr>
      <w:r>
        <w:rPr>
          <w:b/>
        </w:rPr>
        <w:t>predseda vlády Slovenskej republiky</w:t>
      </w:r>
    </w:p>
    <w:p w:rsidR="0051566C" w:rsidRDefault="0051566C" w:rsidP="0051566C">
      <w:pPr>
        <w:jc w:val="center"/>
        <w:rPr>
          <w:b/>
        </w:rPr>
      </w:pPr>
    </w:p>
    <w:p w:rsidR="0051566C" w:rsidRDefault="0051566C" w:rsidP="0051566C">
      <w:pPr>
        <w:jc w:val="center"/>
        <w:rPr>
          <w:b/>
        </w:rPr>
      </w:pPr>
    </w:p>
    <w:p w:rsidR="0051566C" w:rsidRDefault="0051566C" w:rsidP="0051566C">
      <w:pPr>
        <w:jc w:val="center"/>
        <w:rPr>
          <w:b/>
        </w:rPr>
      </w:pPr>
    </w:p>
    <w:p w:rsidR="0051566C" w:rsidRDefault="0051566C" w:rsidP="0051566C">
      <w:pPr>
        <w:jc w:val="center"/>
        <w:rPr>
          <w:b/>
        </w:rPr>
      </w:pPr>
    </w:p>
    <w:p w:rsidR="0051566C" w:rsidRDefault="0051566C" w:rsidP="0051566C">
      <w:pPr>
        <w:jc w:val="center"/>
        <w:rPr>
          <w:b/>
        </w:rPr>
      </w:pPr>
      <w:r>
        <w:rPr>
          <w:b/>
        </w:rPr>
        <w:t xml:space="preserve"> </w:t>
      </w:r>
    </w:p>
    <w:p w:rsidR="0051566C" w:rsidRDefault="0051566C" w:rsidP="0051566C">
      <w:pPr>
        <w:jc w:val="center"/>
        <w:rPr>
          <w:b/>
        </w:rPr>
      </w:pPr>
      <w:r>
        <w:rPr>
          <w:b/>
        </w:rPr>
        <w:t xml:space="preserve"> Ladislav Kamenický  v. r. </w:t>
      </w:r>
    </w:p>
    <w:p w:rsidR="0051566C" w:rsidRDefault="0051566C" w:rsidP="0051566C">
      <w:pPr>
        <w:jc w:val="center"/>
      </w:pPr>
      <w:r>
        <w:rPr>
          <w:b/>
        </w:rPr>
        <w:t xml:space="preserve">  minister financií Slovenskej republiky</w:t>
      </w:r>
    </w:p>
    <w:p w:rsidR="002029B9" w:rsidRPr="001835A8" w:rsidRDefault="002029B9" w:rsidP="00727019">
      <w:pPr>
        <w:pStyle w:val="Zkladntext0"/>
        <w:jc w:val="both"/>
      </w:pPr>
    </w:p>
    <w:sectPr w:rsidR="002029B9" w:rsidRPr="001835A8" w:rsidSect="0033345B">
      <w:footerReference w:type="even" r:id="rId8"/>
      <w:footerReference w:type="default" r:id="rId9"/>
      <w:footerReference w:type="firs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6883" w:rsidRDefault="00066883">
      <w:r>
        <w:separator/>
      </w:r>
    </w:p>
  </w:endnote>
  <w:endnote w:type="continuationSeparator" w:id="0">
    <w:p w:rsidR="00066883" w:rsidRDefault="000668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6FB0" w:rsidRDefault="005A6FB0">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end"/>
    </w:r>
  </w:p>
  <w:p w:rsidR="005A6FB0" w:rsidRDefault="005A6FB0">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345B" w:rsidRDefault="0033345B">
    <w:pPr>
      <w:pStyle w:val="Pta"/>
      <w:jc w:val="center"/>
    </w:pPr>
    <w:r>
      <w:fldChar w:fldCharType="begin"/>
    </w:r>
    <w:r>
      <w:instrText>PAGE   \* MERGEFORMAT</w:instrText>
    </w:r>
    <w:r>
      <w:fldChar w:fldCharType="separate"/>
    </w:r>
    <w:r w:rsidR="00B70379">
      <w:rPr>
        <w:noProof/>
      </w:rPr>
      <w:t>3</w:t>
    </w:r>
    <w:r>
      <w:fldChar w:fldCharType="end"/>
    </w:r>
  </w:p>
  <w:p w:rsidR="0033345B" w:rsidRDefault="0033345B">
    <w:pPr>
      <w:pStyle w:val="Pt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345B" w:rsidRDefault="0033345B">
    <w:pPr>
      <w:pStyle w:val="Pta"/>
      <w:jc w:val="center"/>
    </w:pPr>
    <w:r>
      <w:fldChar w:fldCharType="begin"/>
    </w:r>
    <w:r>
      <w:instrText>PAGE   \* MERGEFORMAT</w:instrText>
    </w:r>
    <w:r>
      <w:fldChar w:fldCharType="separate"/>
    </w:r>
    <w:r>
      <w:rPr>
        <w:noProof/>
      </w:rPr>
      <w:t>1</w:t>
    </w:r>
    <w:r>
      <w:fldChar w:fldCharType="end"/>
    </w:r>
  </w:p>
  <w:p w:rsidR="0033345B" w:rsidRDefault="0033345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6883" w:rsidRDefault="00066883">
      <w:r>
        <w:separator/>
      </w:r>
    </w:p>
  </w:footnote>
  <w:footnote w:type="continuationSeparator" w:id="0">
    <w:p w:rsidR="00066883" w:rsidRDefault="0006688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A3A26FE"/>
    <w:multiLevelType w:val="hybridMultilevel"/>
    <w:tmpl w:val="335E0090"/>
    <w:lvl w:ilvl="0" w:tplc="4E7A1AE6">
      <w:start w:val="1"/>
      <w:numFmt w:val="bullet"/>
      <w:lvlText w:val="-"/>
      <w:lvlJc w:val="left"/>
      <w:pPr>
        <w:tabs>
          <w:tab w:val="num" w:pos="720"/>
        </w:tabs>
        <w:ind w:left="720" w:hanging="360"/>
      </w:pPr>
      <w:rPr>
        <w:rFonts w:ascii="Times New Roman" w:eastAsia="Times New Roman" w:hAnsi="Times New Roman" w:hint="default"/>
      </w:rPr>
    </w:lvl>
    <w:lvl w:ilvl="1" w:tplc="041B0003">
      <w:start w:val="1"/>
      <w:numFmt w:val="decimal"/>
      <w:lvlText w:val="%2."/>
      <w:lvlJc w:val="left"/>
      <w:pPr>
        <w:tabs>
          <w:tab w:val="num" w:pos="1440"/>
        </w:tabs>
        <w:ind w:left="1440" w:hanging="360"/>
      </w:pPr>
      <w:rPr>
        <w:rFonts w:cs="Times New Roman"/>
      </w:rPr>
    </w:lvl>
    <w:lvl w:ilvl="2" w:tplc="041B0005">
      <w:start w:val="1"/>
      <w:numFmt w:val="decimal"/>
      <w:lvlText w:val="%3."/>
      <w:lvlJc w:val="left"/>
      <w:pPr>
        <w:tabs>
          <w:tab w:val="num" w:pos="2160"/>
        </w:tabs>
        <w:ind w:left="2160" w:hanging="360"/>
      </w:pPr>
      <w:rPr>
        <w:rFonts w:cs="Times New Roman"/>
      </w:rPr>
    </w:lvl>
    <w:lvl w:ilvl="3" w:tplc="041B0001">
      <w:start w:val="1"/>
      <w:numFmt w:val="decimal"/>
      <w:lvlText w:val="%4."/>
      <w:lvlJc w:val="left"/>
      <w:pPr>
        <w:tabs>
          <w:tab w:val="num" w:pos="2880"/>
        </w:tabs>
        <w:ind w:left="2880" w:hanging="360"/>
      </w:pPr>
      <w:rPr>
        <w:rFonts w:cs="Times New Roman"/>
      </w:rPr>
    </w:lvl>
    <w:lvl w:ilvl="4" w:tplc="041B0003">
      <w:start w:val="1"/>
      <w:numFmt w:val="decimal"/>
      <w:lvlText w:val="%5."/>
      <w:lvlJc w:val="left"/>
      <w:pPr>
        <w:tabs>
          <w:tab w:val="num" w:pos="3600"/>
        </w:tabs>
        <w:ind w:left="3600" w:hanging="360"/>
      </w:pPr>
      <w:rPr>
        <w:rFonts w:cs="Times New Roman"/>
      </w:rPr>
    </w:lvl>
    <w:lvl w:ilvl="5" w:tplc="041B0005">
      <w:start w:val="1"/>
      <w:numFmt w:val="decimal"/>
      <w:lvlText w:val="%6."/>
      <w:lvlJc w:val="left"/>
      <w:pPr>
        <w:tabs>
          <w:tab w:val="num" w:pos="4320"/>
        </w:tabs>
        <w:ind w:left="4320" w:hanging="360"/>
      </w:pPr>
      <w:rPr>
        <w:rFonts w:cs="Times New Roman"/>
      </w:rPr>
    </w:lvl>
    <w:lvl w:ilvl="6" w:tplc="041B0001">
      <w:start w:val="1"/>
      <w:numFmt w:val="decimal"/>
      <w:lvlText w:val="%7."/>
      <w:lvlJc w:val="left"/>
      <w:pPr>
        <w:tabs>
          <w:tab w:val="num" w:pos="5040"/>
        </w:tabs>
        <w:ind w:left="5040" w:hanging="360"/>
      </w:pPr>
      <w:rPr>
        <w:rFonts w:cs="Times New Roman"/>
      </w:rPr>
    </w:lvl>
    <w:lvl w:ilvl="7" w:tplc="041B0003">
      <w:start w:val="1"/>
      <w:numFmt w:val="decimal"/>
      <w:lvlText w:val="%8."/>
      <w:lvlJc w:val="left"/>
      <w:pPr>
        <w:tabs>
          <w:tab w:val="num" w:pos="5760"/>
        </w:tabs>
        <w:ind w:left="5760" w:hanging="360"/>
      </w:pPr>
      <w:rPr>
        <w:rFonts w:cs="Times New Roman"/>
      </w:rPr>
    </w:lvl>
    <w:lvl w:ilvl="8" w:tplc="041B0005">
      <w:start w:val="1"/>
      <w:numFmt w:val="decimal"/>
      <w:lvlText w:val="%9."/>
      <w:lvlJc w:val="left"/>
      <w:pPr>
        <w:tabs>
          <w:tab w:val="num" w:pos="6480"/>
        </w:tabs>
        <w:ind w:left="6480" w:hanging="360"/>
      </w:pPr>
      <w:rPr>
        <w:rFonts w:cs="Times New Roman"/>
      </w:rPr>
    </w:lvl>
  </w:abstractNum>
  <w:abstractNum w:abstractNumId="1" w15:restartNumberingAfterBreak="0">
    <w:nsid w:val="5AE54E81"/>
    <w:multiLevelType w:val="hybridMultilevel"/>
    <w:tmpl w:val="6660FCA4"/>
    <w:lvl w:ilvl="0" w:tplc="FFFFFFFF">
      <w:start w:val="1"/>
      <w:numFmt w:val="lowerLetter"/>
      <w:lvlText w:val="%1)"/>
      <w:lvlJc w:val="left"/>
      <w:pPr>
        <w:tabs>
          <w:tab w:val="num" w:pos="720"/>
        </w:tabs>
        <w:ind w:left="72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1FC9"/>
    <w:rsid w:val="00000612"/>
    <w:rsid w:val="00002A66"/>
    <w:rsid w:val="00006CBA"/>
    <w:rsid w:val="00006CCC"/>
    <w:rsid w:val="00007867"/>
    <w:rsid w:val="00007B9C"/>
    <w:rsid w:val="00017AD4"/>
    <w:rsid w:val="00020C35"/>
    <w:rsid w:val="00021EDB"/>
    <w:rsid w:val="00027BE7"/>
    <w:rsid w:val="00027E19"/>
    <w:rsid w:val="0003014A"/>
    <w:rsid w:val="000302E4"/>
    <w:rsid w:val="00033B36"/>
    <w:rsid w:val="0003407A"/>
    <w:rsid w:val="00036EF8"/>
    <w:rsid w:val="0003744D"/>
    <w:rsid w:val="000408D3"/>
    <w:rsid w:val="00043346"/>
    <w:rsid w:val="00044B1E"/>
    <w:rsid w:val="000452E6"/>
    <w:rsid w:val="00056330"/>
    <w:rsid w:val="00064BB2"/>
    <w:rsid w:val="00066883"/>
    <w:rsid w:val="00086CEF"/>
    <w:rsid w:val="00086F68"/>
    <w:rsid w:val="00093A52"/>
    <w:rsid w:val="000A1CEB"/>
    <w:rsid w:val="000A3E80"/>
    <w:rsid w:val="000A6E8C"/>
    <w:rsid w:val="000A7B19"/>
    <w:rsid w:val="000C0D30"/>
    <w:rsid w:val="000C2CB3"/>
    <w:rsid w:val="000D59AB"/>
    <w:rsid w:val="000D634C"/>
    <w:rsid w:val="000D72B7"/>
    <w:rsid w:val="000E3C45"/>
    <w:rsid w:val="000E4D70"/>
    <w:rsid w:val="000E6E0C"/>
    <w:rsid w:val="000F04E1"/>
    <w:rsid w:val="000F1CF5"/>
    <w:rsid w:val="000F5FFA"/>
    <w:rsid w:val="000F60BE"/>
    <w:rsid w:val="001060CA"/>
    <w:rsid w:val="00120D46"/>
    <w:rsid w:val="0012354A"/>
    <w:rsid w:val="00125CC0"/>
    <w:rsid w:val="0014543D"/>
    <w:rsid w:val="0015006D"/>
    <w:rsid w:val="00151ABF"/>
    <w:rsid w:val="001608A1"/>
    <w:rsid w:val="001700C2"/>
    <w:rsid w:val="00174605"/>
    <w:rsid w:val="001754F4"/>
    <w:rsid w:val="00182F5E"/>
    <w:rsid w:val="001835A8"/>
    <w:rsid w:val="00184C49"/>
    <w:rsid w:val="001901B0"/>
    <w:rsid w:val="00196728"/>
    <w:rsid w:val="001A30A7"/>
    <w:rsid w:val="001A6F4C"/>
    <w:rsid w:val="001B2770"/>
    <w:rsid w:val="001B27CC"/>
    <w:rsid w:val="001B592A"/>
    <w:rsid w:val="001B7DD6"/>
    <w:rsid w:val="001C0C5E"/>
    <w:rsid w:val="001C72B9"/>
    <w:rsid w:val="001C7883"/>
    <w:rsid w:val="001D3F6E"/>
    <w:rsid w:val="001D555E"/>
    <w:rsid w:val="001D56BF"/>
    <w:rsid w:val="001E03CD"/>
    <w:rsid w:val="001E1BA4"/>
    <w:rsid w:val="001E1BFB"/>
    <w:rsid w:val="001E349F"/>
    <w:rsid w:val="001E6D44"/>
    <w:rsid w:val="001F3A77"/>
    <w:rsid w:val="001F7760"/>
    <w:rsid w:val="00201E42"/>
    <w:rsid w:val="002029B9"/>
    <w:rsid w:val="00224E98"/>
    <w:rsid w:val="00230D9D"/>
    <w:rsid w:val="002343C2"/>
    <w:rsid w:val="002370B8"/>
    <w:rsid w:val="00241EA0"/>
    <w:rsid w:val="00262774"/>
    <w:rsid w:val="00265190"/>
    <w:rsid w:val="0027166D"/>
    <w:rsid w:val="0027484D"/>
    <w:rsid w:val="00275E45"/>
    <w:rsid w:val="002810C8"/>
    <w:rsid w:val="00281864"/>
    <w:rsid w:val="00281A77"/>
    <w:rsid w:val="00286AD9"/>
    <w:rsid w:val="002911A1"/>
    <w:rsid w:val="0029589D"/>
    <w:rsid w:val="002962C8"/>
    <w:rsid w:val="0029681D"/>
    <w:rsid w:val="00297457"/>
    <w:rsid w:val="002A1666"/>
    <w:rsid w:val="002A554A"/>
    <w:rsid w:val="002A6E0E"/>
    <w:rsid w:val="002A7DC1"/>
    <w:rsid w:val="002A7EB0"/>
    <w:rsid w:val="002B2BAE"/>
    <w:rsid w:val="002B3113"/>
    <w:rsid w:val="002B3FE0"/>
    <w:rsid w:val="002B4966"/>
    <w:rsid w:val="002C3842"/>
    <w:rsid w:val="002D113E"/>
    <w:rsid w:val="002D5A43"/>
    <w:rsid w:val="002D7608"/>
    <w:rsid w:val="002E418F"/>
    <w:rsid w:val="002E4737"/>
    <w:rsid w:val="002F0181"/>
    <w:rsid w:val="002F7B13"/>
    <w:rsid w:val="00305973"/>
    <w:rsid w:val="003124AD"/>
    <w:rsid w:val="00330166"/>
    <w:rsid w:val="0033345B"/>
    <w:rsid w:val="00337F91"/>
    <w:rsid w:val="00341978"/>
    <w:rsid w:val="00342074"/>
    <w:rsid w:val="00346DD0"/>
    <w:rsid w:val="00351740"/>
    <w:rsid w:val="00355C19"/>
    <w:rsid w:val="003617D5"/>
    <w:rsid w:val="0036697D"/>
    <w:rsid w:val="00370B05"/>
    <w:rsid w:val="0037293D"/>
    <w:rsid w:val="003743B4"/>
    <w:rsid w:val="00376B71"/>
    <w:rsid w:val="00380BB3"/>
    <w:rsid w:val="00382F32"/>
    <w:rsid w:val="00385CC3"/>
    <w:rsid w:val="00386567"/>
    <w:rsid w:val="00390543"/>
    <w:rsid w:val="00393636"/>
    <w:rsid w:val="00396370"/>
    <w:rsid w:val="003969C7"/>
    <w:rsid w:val="003974F8"/>
    <w:rsid w:val="003A2683"/>
    <w:rsid w:val="003A666A"/>
    <w:rsid w:val="003B0DB0"/>
    <w:rsid w:val="003B2769"/>
    <w:rsid w:val="003B4B8C"/>
    <w:rsid w:val="003B7C63"/>
    <w:rsid w:val="003C1608"/>
    <w:rsid w:val="003C390F"/>
    <w:rsid w:val="003C7DE0"/>
    <w:rsid w:val="003D39F6"/>
    <w:rsid w:val="003D72EE"/>
    <w:rsid w:val="003E189E"/>
    <w:rsid w:val="003E7717"/>
    <w:rsid w:val="003F1FB8"/>
    <w:rsid w:val="003F2B13"/>
    <w:rsid w:val="003F6775"/>
    <w:rsid w:val="003F7C69"/>
    <w:rsid w:val="00400B05"/>
    <w:rsid w:val="00406353"/>
    <w:rsid w:val="004077BE"/>
    <w:rsid w:val="0041005C"/>
    <w:rsid w:val="0041200D"/>
    <w:rsid w:val="00425A7E"/>
    <w:rsid w:val="004353F6"/>
    <w:rsid w:val="004356CB"/>
    <w:rsid w:val="00436B11"/>
    <w:rsid w:val="00436F12"/>
    <w:rsid w:val="00440348"/>
    <w:rsid w:val="00444727"/>
    <w:rsid w:val="00456666"/>
    <w:rsid w:val="004574E2"/>
    <w:rsid w:val="0046210F"/>
    <w:rsid w:val="004622A7"/>
    <w:rsid w:val="00467A4F"/>
    <w:rsid w:val="00470031"/>
    <w:rsid w:val="00471CC0"/>
    <w:rsid w:val="004745B9"/>
    <w:rsid w:val="004769FD"/>
    <w:rsid w:val="00480ACA"/>
    <w:rsid w:val="004814CD"/>
    <w:rsid w:val="0048318F"/>
    <w:rsid w:val="0048490D"/>
    <w:rsid w:val="00484E9A"/>
    <w:rsid w:val="00487BD7"/>
    <w:rsid w:val="004921C0"/>
    <w:rsid w:val="004943A1"/>
    <w:rsid w:val="004A4ECD"/>
    <w:rsid w:val="004A5982"/>
    <w:rsid w:val="004B2E3A"/>
    <w:rsid w:val="004B52C9"/>
    <w:rsid w:val="004B7778"/>
    <w:rsid w:val="004C0A43"/>
    <w:rsid w:val="004C622E"/>
    <w:rsid w:val="004D06B2"/>
    <w:rsid w:val="004D375B"/>
    <w:rsid w:val="004E1201"/>
    <w:rsid w:val="004E365E"/>
    <w:rsid w:val="004E76D8"/>
    <w:rsid w:val="004F0286"/>
    <w:rsid w:val="004F62BE"/>
    <w:rsid w:val="005004E5"/>
    <w:rsid w:val="00500E5B"/>
    <w:rsid w:val="005049BF"/>
    <w:rsid w:val="00506487"/>
    <w:rsid w:val="00513651"/>
    <w:rsid w:val="0051566C"/>
    <w:rsid w:val="00524240"/>
    <w:rsid w:val="005248EF"/>
    <w:rsid w:val="0052540B"/>
    <w:rsid w:val="00525D81"/>
    <w:rsid w:val="00527B70"/>
    <w:rsid w:val="0053000B"/>
    <w:rsid w:val="00530ABE"/>
    <w:rsid w:val="00530C4E"/>
    <w:rsid w:val="00532963"/>
    <w:rsid w:val="00537B71"/>
    <w:rsid w:val="005455FC"/>
    <w:rsid w:val="00551311"/>
    <w:rsid w:val="00551726"/>
    <w:rsid w:val="005553D6"/>
    <w:rsid w:val="005610A0"/>
    <w:rsid w:val="0056264C"/>
    <w:rsid w:val="00565659"/>
    <w:rsid w:val="00580A56"/>
    <w:rsid w:val="00581B69"/>
    <w:rsid w:val="00585C8E"/>
    <w:rsid w:val="00586D59"/>
    <w:rsid w:val="00592AAA"/>
    <w:rsid w:val="0059489B"/>
    <w:rsid w:val="00597C9B"/>
    <w:rsid w:val="005A10A1"/>
    <w:rsid w:val="005A4BC4"/>
    <w:rsid w:val="005A5B5F"/>
    <w:rsid w:val="005A6FB0"/>
    <w:rsid w:val="005B24B0"/>
    <w:rsid w:val="005B7DFF"/>
    <w:rsid w:val="005C1373"/>
    <w:rsid w:val="005C13C9"/>
    <w:rsid w:val="005C1AE3"/>
    <w:rsid w:val="005C60A4"/>
    <w:rsid w:val="005C6518"/>
    <w:rsid w:val="005C7A90"/>
    <w:rsid w:val="005E17D9"/>
    <w:rsid w:val="005E73B4"/>
    <w:rsid w:val="005F2F35"/>
    <w:rsid w:val="005F363D"/>
    <w:rsid w:val="00604B96"/>
    <w:rsid w:val="006076EC"/>
    <w:rsid w:val="0061577B"/>
    <w:rsid w:val="00621B46"/>
    <w:rsid w:val="006224AC"/>
    <w:rsid w:val="006262C0"/>
    <w:rsid w:val="0063191E"/>
    <w:rsid w:val="00632848"/>
    <w:rsid w:val="00633C8B"/>
    <w:rsid w:val="00634950"/>
    <w:rsid w:val="006352A7"/>
    <w:rsid w:val="00635A27"/>
    <w:rsid w:val="00636F19"/>
    <w:rsid w:val="00643E9F"/>
    <w:rsid w:val="00644504"/>
    <w:rsid w:val="00647F22"/>
    <w:rsid w:val="006518FB"/>
    <w:rsid w:val="00652EF5"/>
    <w:rsid w:val="00654CAE"/>
    <w:rsid w:val="00661B0A"/>
    <w:rsid w:val="00662A4F"/>
    <w:rsid w:val="00670CC0"/>
    <w:rsid w:val="0067443A"/>
    <w:rsid w:val="0067457A"/>
    <w:rsid w:val="00682146"/>
    <w:rsid w:val="006879E8"/>
    <w:rsid w:val="00692430"/>
    <w:rsid w:val="006926DD"/>
    <w:rsid w:val="00694E9D"/>
    <w:rsid w:val="006A15E2"/>
    <w:rsid w:val="006A57B5"/>
    <w:rsid w:val="006B007B"/>
    <w:rsid w:val="006B3306"/>
    <w:rsid w:val="006B6594"/>
    <w:rsid w:val="006B7762"/>
    <w:rsid w:val="006B7FA2"/>
    <w:rsid w:val="006C1110"/>
    <w:rsid w:val="006D2F01"/>
    <w:rsid w:val="006D3055"/>
    <w:rsid w:val="006D5AC7"/>
    <w:rsid w:val="006D7292"/>
    <w:rsid w:val="006E24AF"/>
    <w:rsid w:val="006E6594"/>
    <w:rsid w:val="006F047D"/>
    <w:rsid w:val="006F54E2"/>
    <w:rsid w:val="006F78FA"/>
    <w:rsid w:val="007046C6"/>
    <w:rsid w:val="0071046E"/>
    <w:rsid w:val="00712F74"/>
    <w:rsid w:val="00713662"/>
    <w:rsid w:val="00713F43"/>
    <w:rsid w:val="0071416C"/>
    <w:rsid w:val="007144DD"/>
    <w:rsid w:val="0071474A"/>
    <w:rsid w:val="00715E4E"/>
    <w:rsid w:val="00721A54"/>
    <w:rsid w:val="007263E2"/>
    <w:rsid w:val="00726E00"/>
    <w:rsid w:val="00727019"/>
    <w:rsid w:val="007272F5"/>
    <w:rsid w:val="00731EF2"/>
    <w:rsid w:val="00732A8D"/>
    <w:rsid w:val="00737C21"/>
    <w:rsid w:val="00741D4C"/>
    <w:rsid w:val="0074443C"/>
    <w:rsid w:val="007520BA"/>
    <w:rsid w:val="007522C9"/>
    <w:rsid w:val="007529A2"/>
    <w:rsid w:val="00770BCC"/>
    <w:rsid w:val="00771B73"/>
    <w:rsid w:val="00775A83"/>
    <w:rsid w:val="00791E9B"/>
    <w:rsid w:val="00794312"/>
    <w:rsid w:val="007A38D4"/>
    <w:rsid w:val="007A77BB"/>
    <w:rsid w:val="007B3AE6"/>
    <w:rsid w:val="007C1305"/>
    <w:rsid w:val="007C7E32"/>
    <w:rsid w:val="007D0649"/>
    <w:rsid w:val="007E013C"/>
    <w:rsid w:val="007E0884"/>
    <w:rsid w:val="007E35FC"/>
    <w:rsid w:val="007E53D1"/>
    <w:rsid w:val="007E62D3"/>
    <w:rsid w:val="007F2438"/>
    <w:rsid w:val="007F53EF"/>
    <w:rsid w:val="008027F1"/>
    <w:rsid w:val="0080445F"/>
    <w:rsid w:val="008104F1"/>
    <w:rsid w:val="0081148E"/>
    <w:rsid w:val="008114C4"/>
    <w:rsid w:val="00812CD1"/>
    <w:rsid w:val="00812F2F"/>
    <w:rsid w:val="00813B0D"/>
    <w:rsid w:val="008169EF"/>
    <w:rsid w:val="0082333B"/>
    <w:rsid w:val="00827A32"/>
    <w:rsid w:val="0083163C"/>
    <w:rsid w:val="00831EE2"/>
    <w:rsid w:val="0084245C"/>
    <w:rsid w:val="00842DF1"/>
    <w:rsid w:val="00843E14"/>
    <w:rsid w:val="00853856"/>
    <w:rsid w:val="00853D86"/>
    <w:rsid w:val="0085462D"/>
    <w:rsid w:val="00854E7D"/>
    <w:rsid w:val="00855353"/>
    <w:rsid w:val="00855E7C"/>
    <w:rsid w:val="00856D3C"/>
    <w:rsid w:val="008571BF"/>
    <w:rsid w:val="00865569"/>
    <w:rsid w:val="008673D5"/>
    <w:rsid w:val="00867802"/>
    <w:rsid w:val="00874CB1"/>
    <w:rsid w:val="00877B4A"/>
    <w:rsid w:val="00877D98"/>
    <w:rsid w:val="0088145D"/>
    <w:rsid w:val="00885415"/>
    <w:rsid w:val="008869E1"/>
    <w:rsid w:val="00890F97"/>
    <w:rsid w:val="00894E7A"/>
    <w:rsid w:val="00896F80"/>
    <w:rsid w:val="008B1040"/>
    <w:rsid w:val="008B1A78"/>
    <w:rsid w:val="008B1DC1"/>
    <w:rsid w:val="008B26A8"/>
    <w:rsid w:val="008B6890"/>
    <w:rsid w:val="008B7C09"/>
    <w:rsid w:val="008C077F"/>
    <w:rsid w:val="008C67FC"/>
    <w:rsid w:val="008D1246"/>
    <w:rsid w:val="008D1F5E"/>
    <w:rsid w:val="008D2217"/>
    <w:rsid w:val="008D235F"/>
    <w:rsid w:val="008D27C4"/>
    <w:rsid w:val="008E00F8"/>
    <w:rsid w:val="008E0573"/>
    <w:rsid w:val="008E16CE"/>
    <w:rsid w:val="008E5DA6"/>
    <w:rsid w:val="008F47EC"/>
    <w:rsid w:val="008F58B3"/>
    <w:rsid w:val="008F5929"/>
    <w:rsid w:val="008F64B1"/>
    <w:rsid w:val="008F762E"/>
    <w:rsid w:val="00902387"/>
    <w:rsid w:val="009026CA"/>
    <w:rsid w:val="00910585"/>
    <w:rsid w:val="00910B3C"/>
    <w:rsid w:val="009308D5"/>
    <w:rsid w:val="00930975"/>
    <w:rsid w:val="00934F00"/>
    <w:rsid w:val="00936BB2"/>
    <w:rsid w:val="0094006C"/>
    <w:rsid w:val="00941BE1"/>
    <w:rsid w:val="0094409E"/>
    <w:rsid w:val="0097032B"/>
    <w:rsid w:val="00981842"/>
    <w:rsid w:val="00982C2A"/>
    <w:rsid w:val="00990F75"/>
    <w:rsid w:val="0099182D"/>
    <w:rsid w:val="00994F5C"/>
    <w:rsid w:val="009968D7"/>
    <w:rsid w:val="009A1EA8"/>
    <w:rsid w:val="009A218C"/>
    <w:rsid w:val="009A4489"/>
    <w:rsid w:val="009B053B"/>
    <w:rsid w:val="009B0CBD"/>
    <w:rsid w:val="009C6E07"/>
    <w:rsid w:val="009D29AC"/>
    <w:rsid w:val="009D2B3C"/>
    <w:rsid w:val="009D3AF9"/>
    <w:rsid w:val="009D4927"/>
    <w:rsid w:val="009E7E58"/>
    <w:rsid w:val="009F113F"/>
    <w:rsid w:val="009F2481"/>
    <w:rsid w:val="009F606A"/>
    <w:rsid w:val="009F6DCD"/>
    <w:rsid w:val="00A04427"/>
    <w:rsid w:val="00A07BA3"/>
    <w:rsid w:val="00A10D4A"/>
    <w:rsid w:val="00A10D51"/>
    <w:rsid w:val="00A15171"/>
    <w:rsid w:val="00A167DA"/>
    <w:rsid w:val="00A1708A"/>
    <w:rsid w:val="00A20826"/>
    <w:rsid w:val="00A21A87"/>
    <w:rsid w:val="00A30E06"/>
    <w:rsid w:val="00A31503"/>
    <w:rsid w:val="00A40ADC"/>
    <w:rsid w:val="00A41141"/>
    <w:rsid w:val="00A42116"/>
    <w:rsid w:val="00A47DA1"/>
    <w:rsid w:val="00A53AA4"/>
    <w:rsid w:val="00A55464"/>
    <w:rsid w:val="00A576CC"/>
    <w:rsid w:val="00A60162"/>
    <w:rsid w:val="00A61A76"/>
    <w:rsid w:val="00A67C79"/>
    <w:rsid w:val="00A731CE"/>
    <w:rsid w:val="00A77E65"/>
    <w:rsid w:val="00A87B1F"/>
    <w:rsid w:val="00A953F1"/>
    <w:rsid w:val="00A97E67"/>
    <w:rsid w:val="00AA0232"/>
    <w:rsid w:val="00AA6E89"/>
    <w:rsid w:val="00AA6F65"/>
    <w:rsid w:val="00AB002C"/>
    <w:rsid w:val="00AB01EE"/>
    <w:rsid w:val="00AB67C0"/>
    <w:rsid w:val="00AC1844"/>
    <w:rsid w:val="00AC6758"/>
    <w:rsid w:val="00AD137F"/>
    <w:rsid w:val="00AD5371"/>
    <w:rsid w:val="00AD54FF"/>
    <w:rsid w:val="00AD7168"/>
    <w:rsid w:val="00AE18AA"/>
    <w:rsid w:val="00AE3AD1"/>
    <w:rsid w:val="00AE7FE0"/>
    <w:rsid w:val="00AF53F3"/>
    <w:rsid w:val="00B01AE7"/>
    <w:rsid w:val="00B0420F"/>
    <w:rsid w:val="00B14AEA"/>
    <w:rsid w:val="00B20681"/>
    <w:rsid w:val="00B21A83"/>
    <w:rsid w:val="00B23910"/>
    <w:rsid w:val="00B25A51"/>
    <w:rsid w:val="00B26189"/>
    <w:rsid w:val="00B30EE7"/>
    <w:rsid w:val="00B341B2"/>
    <w:rsid w:val="00B34C19"/>
    <w:rsid w:val="00B37B85"/>
    <w:rsid w:val="00B4481D"/>
    <w:rsid w:val="00B51DB0"/>
    <w:rsid w:val="00B56814"/>
    <w:rsid w:val="00B70379"/>
    <w:rsid w:val="00B70498"/>
    <w:rsid w:val="00B74115"/>
    <w:rsid w:val="00B80A22"/>
    <w:rsid w:val="00B80FBD"/>
    <w:rsid w:val="00B8225B"/>
    <w:rsid w:val="00B82E38"/>
    <w:rsid w:val="00B90134"/>
    <w:rsid w:val="00B935F4"/>
    <w:rsid w:val="00B93C92"/>
    <w:rsid w:val="00B94702"/>
    <w:rsid w:val="00BA14F7"/>
    <w:rsid w:val="00BA2938"/>
    <w:rsid w:val="00BB3DF0"/>
    <w:rsid w:val="00BB56C3"/>
    <w:rsid w:val="00BB7BD5"/>
    <w:rsid w:val="00BC375F"/>
    <w:rsid w:val="00BC5AA7"/>
    <w:rsid w:val="00BD2D39"/>
    <w:rsid w:val="00BD3DC2"/>
    <w:rsid w:val="00BE3908"/>
    <w:rsid w:val="00BE46A3"/>
    <w:rsid w:val="00BE563A"/>
    <w:rsid w:val="00BE6E1B"/>
    <w:rsid w:val="00BF0776"/>
    <w:rsid w:val="00BF55A2"/>
    <w:rsid w:val="00BF56EC"/>
    <w:rsid w:val="00C0047E"/>
    <w:rsid w:val="00C00ACA"/>
    <w:rsid w:val="00C028EE"/>
    <w:rsid w:val="00C1345D"/>
    <w:rsid w:val="00C16A6E"/>
    <w:rsid w:val="00C17218"/>
    <w:rsid w:val="00C230F8"/>
    <w:rsid w:val="00C24E07"/>
    <w:rsid w:val="00C25424"/>
    <w:rsid w:val="00C32658"/>
    <w:rsid w:val="00C3510D"/>
    <w:rsid w:val="00C41144"/>
    <w:rsid w:val="00C44D9E"/>
    <w:rsid w:val="00C552F8"/>
    <w:rsid w:val="00C55475"/>
    <w:rsid w:val="00C557CB"/>
    <w:rsid w:val="00C608D0"/>
    <w:rsid w:val="00C62A8C"/>
    <w:rsid w:val="00C63688"/>
    <w:rsid w:val="00C6480E"/>
    <w:rsid w:val="00C707A1"/>
    <w:rsid w:val="00C7200D"/>
    <w:rsid w:val="00C72F9F"/>
    <w:rsid w:val="00C73A84"/>
    <w:rsid w:val="00C76B8E"/>
    <w:rsid w:val="00C773B2"/>
    <w:rsid w:val="00C83403"/>
    <w:rsid w:val="00C85D1A"/>
    <w:rsid w:val="00C87AAD"/>
    <w:rsid w:val="00C924F4"/>
    <w:rsid w:val="00C9418C"/>
    <w:rsid w:val="00C95AE3"/>
    <w:rsid w:val="00CA20B3"/>
    <w:rsid w:val="00CB29E1"/>
    <w:rsid w:val="00CC1FD0"/>
    <w:rsid w:val="00CC2CCF"/>
    <w:rsid w:val="00CD237B"/>
    <w:rsid w:val="00CD5E1F"/>
    <w:rsid w:val="00CE2724"/>
    <w:rsid w:val="00CE58FA"/>
    <w:rsid w:val="00CE6AC5"/>
    <w:rsid w:val="00CF224E"/>
    <w:rsid w:val="00CF7305"/>
    <w:rsid w:val="00D00763"/>
    <w:rsid w:val="00D029EB"/>
    <w:rsid w:val="00D06E59"/>
    <w:rsid w:val="00D14858"/>
    <w:rsid w:val="00D17D0A"/>
    <w:rsid w:val="00D316E1"/>
    <w:rsid w:val="00D325B8"/>
    <w:rsid w:val="00D3425F"/>
    <w:rsid w:val="00D34C6E"/>
    <w:rsid w:val="00D35BE8"/>
    <w:rsid w:val="00D47C1A"/>
    <w:rsid w:val="00D503AE"/>
    <w:rsid w:val="00D612C4"/>
    <w:rsid w:val="00D67E43"/>
    <w:rsid w:val="00D70B3A"/>
    <w:rsid w:val="00D75BDC"/>
    <w:rsid w:val="00D81CAB"/>
    <w:rsid w:val="00D82CF0"/>
    <w:rsid w:val="00D8747C"/>
    <w:rsid w:val="00D90F73"/>
    <w:rsid w:val="00D95EA8"/>
    <w:rsid w:val="00DA4B57"/>
    <w:rsid w:val="00DA55F9"/>
    <w:rsid w:val="00DA5DFF"/>
    <w:rsid w:val="00DB1674"/>
    <w:rsid w:val="00DB1811"/>
    <w:rsid w:val="00DB1FC9"/>
    <w:rsid w:val="00DB352C"/>
    <w:rsid w:val="00DB5848"/>
    <w:rsid w:val="00DB5AE5"/>
    <w:rsid w:val="00DC081F"/>
    <w:rsid w:val="00DC30DA"/>
    <w:rsid w:val="00DC34FE"/>
    <w:rsid w:val="00DC3F3B"/>
    <w:rsid w:val="00DC61A2"/>
    <w:rsid w:val="00DC663B"/>
    <w:rsid w:val="00DC74FB"/>
    <w:rsid w:val="00DD09C1"/>
    <w:rsid w:val="00DD33CB"/>
    <w:rsid w:val="00DD3754"/>
    <w:rsid w:val="00DE0D23"/>
    <w:rsid w:val="00DE3622"/>
    <w:rsid w:val="00DE6A61"/>
    <w:rsid w:val="00DF011E"/>
    <w:rsid w:val="00DF418B"/>
    <w:rsid w:val="00DF480D"/>
    <w:rsid w:val="00E032E5"/>
    <w:rsid w:val="00E07D8F"/>
    <w:rsid w:val="00E11944"/>
    <w:rsid w:val="00E1743E"/>
    <w:rsid w:val="00E2114B"/>
    <w:rsid w:val="00E22B60"/>
    <w:rsid w:val="00E26469"/>
    <w:rsid w:val="00E27B07"/>
    <w:rsid w:val="00E3005E"/>
    <w:rsid w:val="00E36C33"/>
    <w:rsid w:val="00E41444"/>
    <w:rsid w:val="00E4155B"/>
    <w:rsid w:val="00E42923"/>
    <w:rsid w:val="00E449B2"/>
    <w:rsid w:val="00E466DA"/>
    <w:rsid w:val="00E512F1"/>
    <w:rsid w:val="00E55670"/>
    <w:rsid w:val="00E563FB"/>
    <w:rsid w:val="00E600B3"/>
    <w:rsid w:val="00E607BA"/>
    <w:rsid w:val="00E61CBF"/>
    <w:rsid w:val="00E63EB4"/>
    <w:rsid w:val="00E72B76"/>
    <w:rsid w:val="00E755A4"/>
    <w:rsid w:val="00E918D0"/>
    <w:rsid w:val="00E95D34"/>
    <w:rsid w:val="00EA29FC"/>
    <w:rsid w:val="00EA55CC"/>
    <w:rsid w:val="00EB31CF"/>
    <w:rsid w:val="00EB7969"/>
    <w:rsid w:val="00EC06AE"/>
    <w:rsid w:val="00EC342D"/>
    <w:rsid w:val="00EE0209"/>
    <w:rsid w:val="00EE268A"/>
    <w:rsid w:val="00EE2B4C"/>
    <w:rsid w:val="00EE3238"/>
    <w:rsid w:val="00EF18E2"/>
    <w:rsid w:val="00EF3456"/>
    <w:rsid w:val="00F06D23"/>
    <w:rsid w:val="00F31322"/>
    <w:rsid w:val="00F31DB7"/>
    <w:rsid w:val="00F32E4B"/>
    <w:rsid w:val="00F3372A"/>
    <w:rsid w:val="00F36B82"/>
    <w:rsid w:val="00F41204"/>
    <w:rsid w:val="00F43900"/>
    <w:rsid w:val="00F514F1"/>
    <w:rsid w:val="00F53E54"/>
    <w:rsid w:val="00F54095"/>
    <w:rsid w:val="00F56E70"/>
    <w:rsid w:val="00F63D31"/>
    <w:rsid w:val="00F6530D"/>
    <w:rsid w:val="00F66637"/>
    <w:rsid w:val="00F66933"/>
    <w:rsid w:val="00F66CDB"/>
    <w:rsid w:val="00F67F50"/>
    <w:rsid w:val="00F71C50"/>
    <w:rsid w:val="00F72994"/>
    <w:rsid w:val="00F74041"/>
    <w:rsid w:val="00F74DC0"/>
    <w:rsid w:val="00F7540D"/>
    <w:rsid w:val="00F80D7B"/>
    <w:rsid w:val="00F828AF"/>
    <w:rsid w:val="00F954B0"/>
    <w:rsid w:val="00F95AC9"/>
    <w:rsid w:val="00FA07B8"/>
    <w:rsid w:val="00FA4F88"/>
    <w:rsid w:val="00FA68AF"/>
    <w:rsid w:val="00FB288A"/>
    <w:rsid w:val="00FB4ECC"/>
    <w:rsid w:val="00FC210F"/>
    <w:rsid w:val="00FC37B6"/>
    <w:rsid w:val="00FC7E01"/>
    <w:rsid w:val="00FD0CA1"/>
    <w:rsid w:val="00FE1D22"/>
    <w:rsid w:val="00FE22D4"/>
    <w:rsid w:val="00FE3074"/>
    <w:rsid w:val="00FF3791"/>
    <w:rsid w:val="00FF774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15667106-46D7-4143-91A0-4B97A1484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Pr>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link w:val="ZkladntextChar"/>
    <w:uiPriority w:val="99"/>
    <w:pPr>
      <w:spacing w:after="120"/>
    </w:pPr>
    <w:rPr>
      <w:sz w:val="20"/>
      <w:szCs w:val="20"/>
      <w:lang w:eastAsia="cs-CZ"/>
    </w:rPr>
  </w:style>
  <w:style w:type="character" w:customStyle="1" w:styleId="ZkladntextChar">
    <w:name w:val="Základný text Char"/>
    <w:basedOn w:val="Predvolenpsmoodseku"/>
    <w:link w:val="Zkladntext"/>
    <w:uiPriority w:val="99"/>
    <w:semiHidden/>
    <w:locked/>
    <w:rPr>
      <w:rFonts w:cs="Times New Roman"/>
      <w:sz w:val="24"/>
      <w:szCs w:val="24"/>
    </w:rPr>
  </w:style>
  <w:style w:type="paragraph" w:styleId="Zarkazkladnhotextu">
    <w:name w:val="Body Text Indent"/>
    <w:basedOn w:val="Normlny"/>
    <w:link w:val="ZarkazkladnhotextuChar"/>
    <w:uiPriority w:val="99"/>
    <w:pPr>
      <w:ind w:left="284" w:hanging="284"/>
      <w:jc w:val="both"/>
    </w:pPr>
    <w:rPr>
      <w:szCs w:val="20"/>
      <w:lang w:eastAsia="cs-CZ"/>
    </w:rPr>
  </w:style>
  <w:style w:type="character" w:customStyle="1" w:styleId="ZarkazkladnhotextuChar">
    <w:name w:val="Zarážka základného textu Char"/>
    <w:basedOn w:val="Predvolenpsmoodseku"/>
    <w:link w:val="Zarkazkladnhotextu"/>
    <w:uiPriority w:val="99"/>
    <w:semiHidden/>
    <w:locked/>
    <w:rPr>
      <w:rFonts w:cs="Times New Roman"/>
      <w:sz w:val="24"/>
      <w:szCs w:val="24"/>
    </w:rPr>
  </w:style>
  <w:style w:type="paragraph" w:styleId="Zarkazkladnhotextu3">
    <w:name w:val="Body Text Indent 3"/>
    <w:basedOn w:val="Normlny"/>
    <w:link w:val="Zarkazkladnhotextu3Char"/>
    <w:uiPriority w:val="99"/>
    <w:pPr>
      <w:spacing w:line="360" w:lineRule="auto"/>
      <w:ind w:firstLine="540"/>
      <w:jc w:val="both"/>
    </w:pPr>
    <w:rPr>
      <w:rFonts w:ascii="Arial" w:hAnsi="Arial" w:cs="Arial"/>
      <w:sz w:val="16"/>
    </w:rPr>
  </w:style>
  <w:style w:type="character" w:customStyle="1" w:styleId="Zarkazkladnhotextu3Char">
    <w:name w:val="Zarážka základného textu 3 Char"/>
    <w:basedOn w:val="Predvolenpsmoodseku"/>
    <w:link w:val="Zarkazkladnhotextu3"/>
    <w:uiPriority w:val="99"/>
    <w:semiHidden/>
    <w:locked/>
    <w:rPr>
      <w:rFonts w:cs="Times New Roman"/>
      <w:sz w:val="16"/>
      <w:szCs w:val="16"/>
    </w:rPr>
  </w:style>
  <w:style w:type="paragraph" w:customStyle="1" w:styleId="Zkladntext0">
    <w:name w:val="Základní text"/>
    <w:pPr>
      <w:widowControl w:val="0"/>
      <w:snapToGrid w:val="0"/>
    </w:pPr>
    <w:rPr>
      <w:color w:val="000000"/>
      <w:sz w:val="24"/>
    </w:rPr>
  </w:style>
  <w:style w:type="paragraph" w:styleId="Pta">
    <w:name w:val="footer"/>
    <w:basedOn w:val="Normlny"/>
    <w:link w:val="PtaChar"/>
    <w:uiPriority w:val="99"/>
    <w:pPr>
      <w:tabs>
        <w:tab w:val="center" w:pos="4536"/>
        <w:tab w:val="right" w:pos="9072"/>
      </w:tabs>
    </w:pPr>
  </w:style>
  <w:style w:type="character" w:customStyle="1" w:styleId="PtaChar">
    <w:name w:val="Päta Char"/>
    <w:basedOn w:val="Predvolenpsmoodseku"/>
    <w:link w:val="Pta"/>
    <w:uiPriority w:val="99"/>
    <w:locked/>
    <w:rPr>
      <w:rFonts w:cs="Times New Roman"/>
      <w:sz w:val="24"/>
      <w:szCs w:val="24"/>
    </w:rPr>
  </w:style>
  <w:style w:type="character" w:styleId="slostrany">
    <w:name w:val="page number"/>
    <w:basedOn w:val="Predvolenpsmoodseku"/>
    <w:uiPriority w:val="99"/>
    <w:rPr>
      <w:rFonts w:cs="Times New Roman"/>
    </w:rPr>
  </w:style>
  <w:style w:type="paragraph" w:styleId="Hlavika">
    <w:name w:val="header"/>
    <w:basedOn w:val="Normlny"/>
    <w:link w:val="HlavikaChar"/>
    <w:uiPriority w:val="99"/>
    <w:unhideWhenUsed/>
    <w:rsid w:val="00BB7BD5"/>
    <w:pPr>
      <w:tabs>
        <w:tab w:val="center" w:pos="4536"/>
        <w:tab w:val="right" w:pos="9072"/>
      </w:tabs>
    </w:pPr>
  </w:style>
  <w:style w:type="character" w:customStyle="1" w:styleId="HlavikaChar">
    <w:name w:val="Hlavička Char"/>
    <w:basedOn w:val="Predvolenpsmoodseku"/>
    <w:link w:val="Hlavika"/>
    <w:uiPriority w:val="99"/>
    <w:locked/>
    <w:rsid w:val="00BB7BD5"/>
    <w:rPr>
      <w:rFonts w:cs="Times New Roman"/>
      <w:sz w:val="24"/>
      <w:szCs w:val="24"/>
    </w:rPr>
  </w:style>
  <w:style w:type="paragraph" w:styleId="Normlnywebov">
    <w:name w:val="Normal (Web)"/>
    <w:basedOn w:val="Normlny"/>
    <w:uiPriority w:val="99"/>
    <w:unhideWhenUsed/>
    <w:rsid w:val="00393636"/>
    <w:pPr>
      <w:spacing w:before="100" w:beforeAutospacing="1" w:after="100" w:afterAutospacing="1"/>
    </w:pPr>
  </w:style>
  <w:style w:type="paragraph" w:styleId="Textbubliny">
    <w:name w:val="Balloon Text"/>
    <w:basedOn w:val="Normlny"/>
    <w:link w:val="TextbublinyChar"/>
    <w:uiPriority w:val="99"/>
    <w:rsid w:val="000F5FFA"/>
    <w:rPr>
      <w:rFonts w:ascii="Segoe UI" w:hAnsi="Segoe UI" w:cs="Segoe UI"/>
      <w:sz w:val="18"/>
      <w:szCs w:val="18"/>
    </w:rPr>
  </w:style>
  <w:style w:type="character" w:customStyle="1" w:styleId="TextbublinyChar">
    <w:name w:val="Text bubliny Char"/>
    <w:basedOn w:val="Predvolenpsmoodseku"/>
    <w:link w:val="Textbubliny"/>
    <w:uiPriority w:val="99"/>
    <w:rsid w:val="000F5FFA"/>
    <w:rPr>
      <w:rFonts w:ascii="Segoe UI" w:hAnsi="Segoe UI" w:cs="Segoe UI"/>
      <w:sz w:val="18"/>
      <w:szCs w:val="18"/>
    </w:rPr>
  </w:style>
  <w:style w:type="character" w:styleId="Siln">
    <w:name w:val="Strong"/>
    <w:basedOn w:val="Predvolenpsmoodseku"/>
    <w:uiPriority w:val="22"/>
    <w:qFormat/>
    <w:rsid w:val="00843E1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1608864">
      <w:bodyDiv w:val="1"/>
      <w:marLeft w:val="0"/>
      <w:marRight w:val="0"/>
      <w:marTop w:val="0"/>
      <w:marBottom w:val="0"/>
      <w:divBdr>
        <w:top w:val="none" w:sz="0" w:space="0" w:color="auto"/>
        <w:left w:val="none" w:sz="0" w:space="0" w:color="auto"/>
        <w:bottom w:val="none" w:sz="0" w:space="0" w:color="auto"/>
        <w:right w:val="none" w:sz="0" w:space="0" w:color="auto"/>
      </w:divBdr>
    </w:div>
    <w:div w:id="565337580">
      <w:marLeft w:val="0"/>
      <w:marRight w:val="0"/>
      <w:marTop w:val="0"/>
      <w:marBottom w:val="0"/>
      <w:divBdr>
        <w:top w:val="none" w:sz="0" w:space="0" w:color="auto"/>
        <w:left w:val="none" w:sz="0" w:space="0" w:color="auto"/>
        <w:bottom w:val="none" w:sz="0" w:space="0" w:color="auto"/>
        <w:right w:val="none" w:sz="0" w:space="0" w:color="auto"/>
      </w:divBdr>
    </w:div>
    <w:div w:id="565337581">
      <w:marLeft w:val="0"/>
      <w:marRight w:val="0"/>
      <w:marTop w:val="0"/>
      <w:marBottom w:val="0"/>
      <w:divBdr>
        <w:top w:val="none" w:sz="0" w:space="0" w:color="auto"/>
        <w:left w:val="none" w:sz="0" w:space="0" w:color="auto"/>
        <w:bottom w:val="none" w:sz="0" w:space="0" w:color="auto"/>
        <w:right w:val="none" w:sz="0" w:space="0" w:color="auto"/>
      </w:divBdr>
    </w:div>
    <w:div w:id="565337582">
      <w:marLeft w:val="0"/>
      <w:marRight w:val="0"/>
      <w:marTop w:val="0"/>
      <w:marBottom w:val="0"/>
      <w:divBdr>
        <w:top w:val="none" w:sz="0" w:space="0" w:color="auto"/>
        <w:left w:val="none" w:sz="0" w:space="0" w:color="auto"/>
        <w:bottom w:val="none" w:sz="0" w:space="0" w:color="auto"/>
        <w:right w:val="none" w:sz="0" w:space="0" w:color="auto"/>
      </w:divBdr>
    </w:div>
    <w:div w:id="565337583">
      <w:marLeft w:val="0"/>
      <w:marRight w:val="0"/>
      <w:marTop w:val="0"/>
      <w:marBottom w:val="0"/>
      <w:divBdr>
        <w:top w:val="none" w:sz="0" w:space="0" w:color="auto"/>
        <w:left w:val="none" w:sz="0" w:space="0" w:color="auto"/>
        <w:bottom w:val="none" w:sz="0" w:space="0" w:color="auto"/>
        <w:right w:val="none" w:sz="0" w:space="0" w:color="auto"/>
      </w:divBdr>
    </w:div>
    <w:div w:id="565337584">
      <w:marLeft w:val="0"/>
      <w:marRight w:val="0"/>
      <w:marTop w:val="0"/>
      <w:marBottom w:val="0"/>
      <w:divBdr>
        <w:top w:val="none" w:sz="0" w:space="0" w:color="auto"/>
        <w:left w:val="none" w:sz="0" w:space="0" w:color="auto"/>
        <w:bottom w:val="none" w:sz="0" w:space="0" w:color="auto"/>
        <w:right w:val="none" w:sz="0" w:space="0" w:color="auto"/>
      </w:divBdr>
    </w:div>
    <w:div w:id="565337585">
      <w:marLeft w:val="0"/>
      <w:marRight w:val="0"/>
      <w:marTop w:val="0"/>
      <w:marBottom w:val="0"/>
      <w:divBdr>
        <w:top w:val="none" w:sz="0" w:space="0" w:color="auto"/>
        <w:left w:val="none" w:sz="0" w:space="0" w:color="auto"/>
        <w:bottom w:val="none" w:sz="0" w:space="0" w:color="auto"/>
        <w:right w:val="none" w:sz="0" w:space="0" w:color="auto"/>
      </w:divBdr>
    </w:div>
    <w:div w:id="565337586">
      <w:marLeft w:val="0"/>
      <w:marRight w:val="0"/>
      <w:marTop w:val="0"/>
      <w:marBottom w:val="0"/>
      <w:divBdr>
        <w:top w:val="none" w:sz="0" w:space="0" w:color="auto"/>
        <w:left w:val="none" w:sz="0" w:space="0" w:color="auto"/>
        <w:bottom w:val="none" w:sz="0" w:space="0" w:color="auto"/>
        <w:right w:val="none" w:sz="0" w:space="0" w:color="auto"/>
      </w:divBdr>
    </w:div>
    <w:div w:id="565337587">
      <w:marLeft w:val="0"/>
      <w:marRight w:val="0"/>
      <w:marTop w:val="0"/>
      <w:marBottom w:val="0"/>
      <w:divBdr>
        <w:top w:val="none" w:sz="0" w:space="0" w:color="auto"/>
        <w:left w:val="none" w:sz="0" w:space="0" w:color="auto"/>
        <w:bottom w:val="none" w:sz="0" w:space="0" w:color="auto"/>
        <w:right w:val="none" w:sz="0" w:space="0" w:color="auto"/>
      </w:divBdr>
    </w:div>
    <w:div w:id="767576808">
      <w:bodyDiv w:val="1"/>
      <w:marLeft w:val="0"/>
      <w:marRight w:val="0"/>
      <w:marTop w:val="0"/>
      <w:marBottom w:val="0"/>
      <w:divBdr>
        <w:top w:val="none" w:sz="0" w:space="0" w:color="auto"/>
        <w:left w:val="none" w:sz="0" w:space="0" w:color="auto"/>
        <w:bottom w:val="none" w:sz="0" w:space="0" w:color="auto"/>
        <w:right w:val="none" w:sz="0" w:space="0" w:color="auto"/>
      </w:divBdr>
    </w:div>
    <w:div w:id="854882789">
      <w:bodyDiv w:val="1"/>
      <w:marLeft w:val="0"/>
      <w:marRight w:val="0"/>
      <w:marTop w:val="0"/>
      <w:marBottom w:val="0"/>
      <w:divBdr>
        <w:top w:val="none" w:sz="0" w:space="0" w:color="auto"/>
        <w:left w:val="none" w:sz="0" w:space="0" w:color="auto"/>
        <w:bottom w:val="none" w:sz="0" w:space="0" w:color="auto"/>
        <w:right w:val="none" w:sz="0" w:space="0" w:color="auto"/>
      </w:divBdr>
    </w:div>
    <w:div w:id="903175082">
      <w:bodyDiv w:val="1"/>
      <w:marLeft w:val="0"/>
      <w:marRight w:val="0"/>
      <w:marTop w:val="0"/>
      <w:marBottom w:val="0"/>
      <w:divBdr>
        <w:top w:val="none" w:sz="0" w:space="0" w:color="auto"/>
        <w:left w:val="none" w:sz="0" w:space="0" w:color="auto"/>
        <w:bottom w:val="none" w:sz="0" w:space="0" w:color="auto"/>
        <w:right w:val="none" w:sz="0" w:space="0" w:color="auto"/>
      </w:divBdr>
    </w:div>
    <w:div w:id="1875771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C77137-E92C-4A9A-98F7-545040023B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1093</Words>
  <Characters>6233</Characters>
  <Application>Microsoft Office Word</Application>
  <DocSecurity>0</DocSecurity>
  <Lines>51</Lines>
  <Paragraphs>14</Paragraphs>
  <ScaleCrop>false</ScaleCrop>
  <HeadingPairs>
    <vt:vector size="2" baseType="variant">
      <vt:variant>
        <vt:lpstr>Názov</vt:lpstr>
      </vt:variant>
      <vt:variant>
        <vt:i4>1</vt:i4>
      </vt:variant>
    </vt:vector>
  </HeadingPairs>
  <TitlesOfParts>
    <vt:vector size="1" baseType="lpstr">
      <vt:lpstr>D ô v o d o v á  s p r á v a</vt:lpstr>
    </vt:vector>
  </TitlesOfParts>
  <Company>MFSR</Company>
  <LinksUpToDate>false</LinksUpToDate>
  <CharactersWithSpaces>7312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 ô v o d o v á  s p r á v a</dc:title>
  <dc:subject/>
  <dc:creator>obartko</dc:creator>
  <cp:keywords/>
  <dc:description/>
  <cp:lastModifiedBy>Sulakova Iveta</cp:lastModifiedBy>
  <cp:revision>7</cp:revision>
  <cp:lastPrinted>2023-12-11T13:41:00Z</cp:lastPrinted>
  <dcterms:created xsi:type="dcterms:W3CDTF">2024-09-18T12:44:00Z</dcterms:created>
  <dcterms:modified xsi:type="dcterms:W3CDTF">2024-10-14T12:47:00Z</dcterms:modified>
</cp:coreProperties>
</file>