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E4E05" w14:textId="77777777" w:rsidR="00FC1CA1" w:rsidRDefault="00CC2BE2">
      <w:pPr>
        <w:widowControl/>
        <w:spacing w:line="276" w:lineRule="auto"/>
        <w:jc w:val="center"/>
        <w:rPr>
          <w:rFonts w:ascii="Calibri" w:eastAsia="Calibri" w:hAnsi="Calibri" w:cs="Calibri"/>
          <w:sz w:val="22"/>
          <w:szCs w:val="22"/>
        </w:rPr>
      </w:pPr>
      <w:r>
        <w:rPr>
          <w:b/>
          <w:smallCaps/>
        </w:rPr>
        <w:t>DOLOŽKA ZLUČITEĽNOSTI</w:t>
      </w:r>
    </w:p>
    <w:p w14:paraId="79641005" w14:textId="77777777" w:rsidR="00FC1CA1" w:rsidRDefault="00CC2BE2">
      <w:pPr>
        <w:jc w:val="center"/>
        <w:rPr>
          <w:rFonts w:ascii="Calibri" w:eastAsia="Calibri" w:hAnsi="Calibri" w:cs="Calibri"/>
          <w:sz w:val="22"/>
          <w:szCs w:val="22"/>
        </w:rPr>
      </w:pPr>
      <w:r>
        <w:rPr>
          <w:b/>
        </w:rPr>
        <w:t>právneho predpisu s právom Európskej únie</w:t>
      </w:r>
    </w:p>
    <w:p w14:paraId="0EC799D6" w14:textId="77777777" w:rsidR="00FC1CA1" w:rsidRDefault="00FC1CA1">
      <w:pPr>
        <w:rPr>
          <w:rFonts w:ascii="Calibri" w:eastAsia="Calibri" w:hAnsi="Calibri" w:cs="Calibri"/>
          <w:sz w:val="22"/>
          <w:szCs w:val="22"/>
        </w:rPr>
      </w:pPr>
    </w:p>
    <w:p w14:paraId="026A8C7B" w14:textId="77777777" w:rsidR="00E011EB" w:rsidRDefault="00CC2BE2">
      <w:pPr>
        <w:ind w:left="3828" w:hanging="3828"/>
        <w:jc w:val="both"/>
      </w:pPr>
      <w:r>
        <w:rPr>
          <w:b/>
        </w:rPr>
        <w:t>1. Predkladateľ právneho predpisu:</w:t>
      </w:r>
      <w:r>
        <w:t xml:space="preserve"> </w:t>
      </w:r>
      <w:r>
        <w:tab/>
        <w:t>poslan</w:t>
      </w:r>
      <w:r w:rsidR="00E011EB">
        <w:t>ci</w:t>
      </w:r>
      <w:r>
        <w:t xml:space="preserve"> Národnej rady Slovenskej republiky </w:t>
      </w:r>
    </w:p>
    <w:p w14:paraId="1A6570B3" w14:textId="6276054D" w:rsidR="00FC1CA1" w:rsidRDefault="00E011EB" w:rsidP="00E011EB">
      <w:pPr>
        <w:ind w:left="3828"/>
        <w:jc w:val="both"/>
        <w:rPr>
          <w:rFonts w:ascii="Calibri" w:eastAsia="Calibri" w:hAnsi="Calibri" w:cs="Calibri"/>
          <w:sz w:val="22"/>
          <w:szCs w:val="22"/>
        </w:rPr>
      </w:pPr>
      <w:r>
        <w:t xml:space="preserve">Samuel </w:t>
      </w:r>
      <w:proofErr w:type="spellStart"/>
      <w:r>
        <w:t>Migaľ</w:t>
      </w:r>
      <w:proofErr w:type="spellEnd"/>
      <w:r>
        <w:t xml:space="preserve">, Radomír </w:t>
      </w:r>
      <w:proofErr w:type="spellStart"/>
      <w:r>
        <w:t>Šalitroš</w:t>
      </w:r>
      <w:proofErr w:type="spellEnd"/>
      <w:r>
        <w:t xml:space="preserve">, Roman </w:t>
      </w:r>
      <w:proofErr w:type="spellStart"/>
      <w:r>
        <w:t>Malatinec</w:t>
      </w:r>
      <w:proofErr w:type="spellEnd"/>
    </w:p>
    <w:p w14:paraId="40A14138" w14:textId="77777777" w:rsidR="00FC1CA1" w:rsidRDefault="00CC2BE2">
      <w:pPr>
        <w:tabs>
          <w:tab w:val="left" w:pos="360"/>
        </w:tabs>
        <w:ind w:left="360"/>
        <w:jc w:val="both"/>
        <w:rPr>
          <w:rFonts w:ascii="Calibri" w:eastAsia="Calibri" w:hAnsi="Calibri" w:cs="Calibri"/>
          <w:sz w:val="22"/>
          <w:szCs w:val="22"/>
        </w:rPr>
      </w:pPr>
      <w:r>
        <w:t xml:space="preserve"> </w:t>
      </w:r>
    </w:p>
    <w:p w14:paraId="054FD20C" w14:textId="4876CFAD" w:rsidR="00D128F4" w:rsidRDefault="00CC2BE2">
      <w:pPr>
        <w:ind w:left="3828" w:hanging="3828"/>
        <w:jc w:val="both"/>
      </w:pPr>
      <w:r>
        <w:rPr>
          <w:b/>
        </w:rPr>
        <w:t>2. Názov návrhu právneho predpisu:</w:t>
      </w:r>
      <w:r>
        <w:t xml:space="preserve"> </w:t>
      </w:r>
      <w:r w:rsidR="00C77588">
        <w:t>n</w:t>
      </w:r>
      <w:r>
        <w:t xml:space="preserve">ávrh zákona, ktorým sa mení a dopĺňa zákon </w:t>
      </w:r>
    </w:p>
    <w:p w14:paraId="6239BB86" w14:textId="36941F48" w:rsidR="00FC1CA1" w:rsidRDefault="00D128F4">
      <w:pPr>
        <w:ind w:left="3828" w:hanging="3828"/>
        <w:jc w:val="both"/>
      </w:pPr>
      <w:r>
        <w:rPr>
          <w:b/>
        </w:rPr>
        <w:t xml:space="preserve">                                                                </w:t>
      </w:r>
      <w:r w:rsidR="00CC2BE2">
        <w:t xml:space="preserve">č. </w:t>
      </w:r>
      <w:r>
        <w:t xml:space="preserve">372/1990 Zb. </w:t>
      </w:r>
      <w:r w:rsidR="00E011EB">
        <w:t xml:space="preserve">o priestupkoch </w:t>
      </w:r>
      <w:r>
        <w:t>v znení</w:t>
      </w:r>
      <w:r w:rsidR="00CC2BE2">
        <w:t xml:space="preserve"> neskorších predpisov</w:t>
      </w:r>
      <w:r w:rsidR="00E011EB">
        <w:t xml:space="preserve"> a ktorým sa mení a dopĺňa zákon č. 305/2005 </w:t>
      </w:r>
      <w:proofErr w:type="spellStart"/>
      <w:r w:rsidR="00E011EB">
        <w:t>Z.z</w:t>
      </w:r>
      <w:proofErr w:type="spellEnd"/>
      <w:r w:rsidR="00E011EB">
        <w:t>. o sociálnoprávnej ochrane detí a sociálnej kuratele a o zmene a doplnení niektorých zákonov v znení neskorších predpisov</w:t>
      </w:r>
    </w:p>
    <w:p w14:paraId="1D5802C8" w14:textId="77777777" w:rsidR="00FC1CA1" w:rsidRDefault="00FC1CA1" w:rsidP="00CF74D9">
      <w:pPr>
        <w:jc w:val="both"/>
      </w:pPr>
    </w:p>
    <w:p w14:paraId="1A43A017" w14:textId="77777777" w:rsidR="00CF74D9" w:rsidRPr="00E60B63" w:rsidRDefault="00CF74D9" w:rsidP="00CF74D9">
      <w:pPr>
        <w:spacing w:after="240"/>
        <w:jc w:val="both"/>
        <w:rPr>
          <w:rFonts w:eastAsia="Times New Roman" w:cs="Times New Roman"/>
          <w:lang w:eastAsia="sk-SK"/>
        </w:rPr>
      </w:pPr>
      <w:r w:rsidRPr="00E60B63">
        <w:rPr>
          <w:rFonts w:cs="Times New Roman"/>
        </w:rPr>
        <w:t>3.</w:t>
      </w:r>
      <w:r w:rsidRPr="00E60B63">
        <w:rPr>
          <w:rFonts w:cs="Times New Roman"/>
          <w:b/>
        </w:rPr>
        <w:t xml:space="preserve"> </w:t>
      </w:r>
      <w:r w:rsidRPr="00E60B63">
        <w:rPr>
          <w:rFonts w:eastAsia="Times New Roman" w:cs="Times New Roman"/>
          <w:b/>
          <w:bCs/>
          <w:lang w:eastAsia="sk-SK"/>
        </w:rPr>
        <w:t>Predmet návrhu právneho predpisu</w:t>
      </w:r>
      <w:r w:rsidRPr="00E60B63">
        <w:rPr>
          <w:rFonts w:eastAsia="Times New Roman" w:cs="Times New Roman"/>
          <w:bCs/>
          <w:lang w:eastAsia="sk-SK"/>
        </w:rPr>
        <w:t xml:space="preserve"> nie </w:t>
      </w:r>
      <w:r w:rsidRPr="00E60B63">
        <w:rPr>
          <w:rFonts w:eastAsia="Times New Roman" w:cs="Times New Roman"/>
          <w:lang w:eastAsia="sk-SK"/>
        </w:rPr>
        <w:t>je upravený v práve Európskej únie:</w:t>
      </w:r>
    </w:p>
    <w:p w14:paraId="2F61423C" w14:textId="77777777" w:rsidR="00CF74D9" w:rsidRDefault="00CF74D9" w:rsidP="00CF74D9">
      <w:pPr>
        <w:pStyle w:val="Odsekzoznamu"/>
        <w:widowControl/>
        <w:numPr>
          <w:ilvl w:val="0"/>
          <w:numId w:val="1"/>
        </w:numPr>
        <w:suppressAutoHyphens w:val="0"/>
        <w:spacing w:after="240"/>
        <w:ind w:left="567" w:hanging="283"/>
        <w:contextualSpacing w:val="0"/>
        <w:jc w:val="both"/>
        <w:rPr>
          <w:rFonts w:cs="Times New Roman"/>
          <w:szCs w:val="24"/>
        </w:rPr>
      </w:pPr>
      <w:r w:rsidRPr="002A123A">
        <w:rPr>
          <w:rFonts w:cs="Times New Roman"/>
          <w:szCs w:val="24"/>
        </w:rPr>
        <w:t>v primárnom práve</w:t>
      </w:r>
      <w:r>
        <w:rPr>
          <w:rFonts w:cs="Times New Roman"/>
          <w:szCs w:val="24"/>
        </w:rPr>
        <w:t>,</w:t>
      </w:r>
    </w:p>
    <w:p w14:paraId="4136D442" w14:textId="77777777" w:rsidR="00CF74D9" w:rsidRDefault="00CF74D9" w:rsidP="00CF74D9">
      <w:pPr>
        <w:pStyle w:val="Odsekzoznamu"/>
        <w:widowControl/>
        <w:numPr>
          <w:ilvl w:val="0"/>
          <w:numId w:val="1"/>
        </w:numPr>
        <w:suppressAutoHyphens w:val="0"/>
        <w:spacing w:after="240"/>
        <w:ind w:left="567" w:hanging="283"/>
        <w:contextualSpacing w:val="0"/>
        <w:rPr>
          <w:rFonts w:cs="Times New Roman"/>
          <w:szCs w:val="24"/>
        </w:rPr>
      </w:pPr>
      <w:r>
        <w:rPr>
          <w:rFonts w:cs="Times New Roman"/>
          <w:szCs w:val="24"/>
        </w:rPr>
        <w:t>v sekundárnom práve,</w:t>
      </w:r>
    </w:p>
    <w:p w14:paraId="6F79C75C" w14:textId="77777777" w:rsidR="00CF74D9" w:rsidRPr="002926AB" w:rsidRDefault="00CF74D9" w:rsidP="00CF74D9">
      <w:pPr>
        <w:pStyle w:val="Odsekzoznamu"/>
        <w:widowControl/>
        <w:numPr>
          <w:ilvl w:val="0"/>
          <w:numId w:val="1"/>
        </w:numPr>
        <w:tabs>
          <w:tab w:val="left" w:pos="993"/>
        </w:tabs>
        <w:suppressAutoHyphens w:val="0"/>
        <w:spacing w:after="360"/>
        <w:ind w:left="568" w:hanging="284"/>
        <w:contextualSpacing w:val="0"/>
        <w:jc w:val="both"/>
        <w:rPr>
          <w:rFonts w:cs="Times New Roman"/>
          <w:szCs w:val="24"/>
        </w:rPr>
      </w:pPr>
      <w:r>
        <w:rPr>
          <w:rFonts w:cs="Times New Roman"/>
          <w:szCs w:val="24"/>
        </w:rPr>
        <w:t xml:space="preserve">v judikatúre Súdneho dvora Európskej únie. </w:t>
      </w:r>
    </w:p>
    <w:p w14:paraId="2DE1F707" w14:textId="77777777" w:rsidR="00CF74D9" w:rsidRPr="00D66E4D" w:rsidRDefault="00CF74D9" w:rsidP="00CF74D9">
      <w:pPr>
        <w:ind w:left="284"/>
        <w:jc w:val="both"/>
        <w:rPr>
          <w:rFonts w:cs="Times New Roman"/>
          <w:b/>
          <w:bCs/>
        </w:rPr>
      </w:pPr>
      <w:r w:rsidRPr="00D66E4D">
        <w:rPr>
          <w:rFonts w:cs="Times New Roman"/>
          <w:b/>
          <w:bCs/>
        </w:rPr>
        <w:t xml:space="preserve">Vzhľadom na to, že problematika návrhu </w:t>
      </w:r>
      <w:r>
        <w:rPr>
          <w:rFonts w:cs="Times New Roman"/>
          <w:b/>
          <w:bCs/>
        </w:rPr>
        <w:t>právneho predpisu</w:t>
      </w:r>
      <w:r w:rsidRPr="00D66E4D">
        <w:rPr>
          <w:rFonts w:cs="Times New Roman"/>
          <w:b/>
          <w:bCs/>
        </w:rPr>
        <w:t xml:space="preserve"> nie je upravená v práve Európskej únie, je bezpredmetné vyjadrovať sa k bodom 4. a 5.</w:t>
      </w:r>
    </w:p>
    <w:p w14:paraId="50CEA2E1" w14:textId="77777777" w:rsidR="00CF74D9" w:rsidRDefault="00CF74D9" w:rsidP="00CF74D9">
      <w:pPr>
        <w:spacing w:after="240"/>
        <w:ind w:left="284" w:hanging="284"/>
        <w:jc w:val="both"/>
        <w:rPr>
          <w:rFonts w:eastAsia="Times New Roman" w:cs="Times New Roman"/>
          <w:b/>
        </w:rPr>
      </w:pPr>
      <w:r>
        <w:rPr>
          <w:rFonts w:eastAsia="Times New Roman" w:cs="Times New Roman"/>
          <w:b/>
        </w:rPr>
        <w:br w:type="page"/>
      </w:r>
    </w:p>
    <w:p w14:paraId="224B7BB0" w14:textId="77777777" w:rsidR="00CF74D9" w:rsidRPr="00465E29" w:rsidRDefault="00CF74D9" w:rsidP="00CF74D9">
      <w:pPr>
        <w:spacing w:after="240"/>
        <w:jc w:val="center"/>
        <w:rPr>
          <w:rFonts w:eastAsia="Times New Roman" w:cs="Times New Roman"/>
          <w:b/>
        </w:rPr>
      </w:pPr>
      <w:r w:rsidRPr="00A95A96">
        <w:rPr>
          <w:rFonts w:eastAsia="Times New Roman" w:cs="Times New Roman"/>
          <w:b/>
        </w:rPr>
        <w:lastRenderedPageBreak/>
        <w:t>Doložka</w:t>
      </w:r>
      <w:r>
        <w:rPr>
          <w:rFonts w:eastAsia="Times New Roman" w:cs="Times New Roman"/>
          <w:b/>
        </w:rPr>
        <w:t xml:space="preserve"> </w:t>
      </w:r>
      <w:r w:rsidRPr="00A95A96">
        <w:rPr>
          <w:rFonts w:eastAsia="Times New Roman" w:cs="Times New Roman"/>
          <w:b/>
        </w:rPr>
        <w:t>vybraných vplyvov</w:t>
      </w:r>
    </w:p>
    <w:p w14:paraId="44D4E2A2" w14:textId="77777777" w:rsidR="00CF74D9" w:rsidRDefault="00CF74D9" w:rsidP="00CF74D9">
      <w:pPr>
        <w:spacing w:after="240"/>
        <w:jc w:val="both"/>
        <w:rPr>
          <w:rFonts w:eastAsia="Times New Roman" w:cs="Times New Roman"/>
          <w:b/>
        </w:rPr>
      </w:pPr>
      <w:r>
        <w:rPr>
          <w:rFonts w:eastAsia="Times New Roman" w:cs="Times New Roman"/>
          <w:b/>
        </w:rPr>
        <w:t>A.1. Názov materiálu</w:t>
      </w:r>
      <w:r w:rsidRPr="00A95A96">
        <w:rPr>
          <w:rFonts w:eastAsia="Times New Roman" w:cs="Times New Roman"/>
        </w:rPr>
        <w:t xml:space="preserve">: </w:t>
      </w:r>
    </w:p>
    <w:p w14:paraId="36073692" w14:textId="77777777" w:rsidR="00CF74D9" w:rsidRPr="00A95A96" w:rsidRDefault="00CF74D9" w:rsidP="00CF74D9">
      <w:pPr>
        <w:spacing w:after="240"/>
        <w:jc w:val="both"/>
        <w:rPr>
          <w:rFonts w:cs="Times New Roman"/>
        </w:rPr>
      </w:pPr>
      <w:r>
        <w:rPr>
          <w:rFonts w:cs="Times New Roman"/>
        </w:rPr>
        <w:t>Návrh zákona</w:t>
      </w:r>
      <w:r w:rsidRPr="001662A3">
        <w:rPr>
          <w:rFonts w:cs="Times New Roman"/>
        </w:rPr>
        <w:t>, ktorým sa mení a dopĺňa</w:t>
      </w:r>
      <w:r>
        <w:rPr>
          <w:rFonts w:cs="Times New Roman"/>
        </w:rPr>
        <w:t xml:space="preserve"> zákon Slovenskej národnej rady </w:t>
      </w:r>
      <w:r w:rsidRPr="001662A3">
        <w:rPr>
          <w:rFonts w:cs="Times New Roman"/>
        </w:rPr>
        <w:t xml:space="preserve">č. 372/1990 Zb. o priestupkoch v znení </w:t>
      </w:r>
      <w:r w:rsidRPr="00533B6B">
        <w:rPr>
          <w:rFonts w:cs="Times New Roman"/>
        </w:rPr>
        <w:t>neskorších predpisov a ktorým sa dopĺňa zákon č. 305/2005 Z. z. o sociálnoprávnej ochrane detí a o sociálnej kuratele a o zmene a doplnení niektorých zákonov v znení neskorších predpisov</w:t>
      </w:r>
      <w:r>
        <w:rPr>
          <w:rFonts w:cs="Times New Roman"/>
        </w:rPr>
        <w:t xml:space="preserve"> </w:t>
      </w:r>
    </w:p>
    <w:p w14:paraId="4DC55116" w14:textId="77777777" w:rsidR="00CF74D9" w:rsidRDefault="00CF74D9" w:rsidP="00CF74D9">
      <w:pPr>
        <w:spacing w:after="240"/>
        <w:jc w:val="both"/>
        <w:rPr>
          <w:rFonts w:eastAsia="Times New Roman" w:cs="Times New Roman"/>
          <w:b/>
        </w:rPr>
      </w:pPr>
      <w:r>
        <w:rPr>
          <w:rFonts w:eastAsia="Times New Roman" w:cs="Times New Roman"/>
          <w:b/>
        </w:rPr>
        <w:t>A.2. Vplyvy</w:t>
      </w:r>
      <w:r w:rsidRPr="00A95A96">
        <w:rPr>
          <w:rFonts w:eastAsia="Times New Roman" w:cs="Times New Roman"/>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CF74D9" w14:paraId="6AB756A6" w14:textId="77777777" w:rsidTr="00C0356C">
        <w:trPr>
          <w:trHeight w:val="285"/>
        </w:trPr>
        <w:tc>
          <w:tcPr>
            <w:tcW w:w="546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5C48EDD" w14:textId="77777777" w:rsidR="00CF74D9" w:rsidRDefault="00CF74D9" w:rsidP="00C0356C">
            <w:pPr>
              <w:spacing w:after="240"/>
              <w:jc w:val="both"/>
              <w:rPr>
                <w:rFonts w:eastAsia="Times New Roman" w:cs="Times New Roman"/>
              </w:rPr>
            </w:pPr>
            <w:r>
              <w:rPr>
                <w:rFonts w:eastAsia="Times New Roman" w:cs="Times New Roman"/>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0A96DE9" w14:textId="77777777" w:rsidR="00CF74D9" w:rsidRDefault="00CF74D9" w:rsidP="00C0356C">
            <w:pPr>
              <w:spacing w:after="240"/>
              <w:jc w:val="center"/>
              <w:rPr>
                <w:rFonts w:eastAsia="Times New Roman" w:cs="Times New Roman"/>
              </w:rPr>
            </w:pPr>
            <w:r>
              <w:rPr>
                <w:rFonts w:eastAsia="Times New Roman" w:cs="Times New Roman"/>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EEA2AE7" w14:textId="77777777" w:rsidR="00CF74D9" w:rsidRDefault="00CF74D9" w:rsidP="00C0356C">
            <w:pPr>
              <w:spacing w:after="240"/>
              <w:jc w:val="center"/>
              <w:rPr>
                <w:rFonts w:eastAsia="Times New Roman" w:cs="Times New Roman"/>
              </w:rPr>
            </w:pPr>
            <w:r>
              <w:rPr>
                <w:rFonts w:eastAsia="Times New Roman" w:cs="Times New Roman"/>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87CE703" w14:textId="77777777" w:rsidR="00CF74D9" w:rsidRDefault="00CF74D9" w:rsidP="00C0356C">
            <w:pPr>
              <w:spacing w:after="240"/>
              <w:jc w:val="center"/>
              <w:rPr>
                <w:rFonts w:eastAsia="Times New Roman" w:cs="Times New Roman"/>
              </w:rPr>
            </w:pPr>
            <w:r>
              <w:rPr>
                <w:rFonts w:eastAsia="Times New Roman" w:cs="Times New Roman"/>
              </w:rPr>
              <w:t>Negatívne</w:t>
            </w:r>
          </w:p>
        </w:tc>
      </w:tr>
      <w:tr w:rsidR="00CF74D9" w14:paraId="2239835A"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840230" w14:textId="77777777" w:rsidR="00CF74D9" w:rsidRDefault="00CF74D9" w:rsidP="00C0356C">
            <w:pPr>
              <w:spacing w:after="240"/>
              <w:jc w:val="both"/>
              <w:rPr>
                <w:rFonts w:eastAsia="Times New Roman" w:cs="Times New Roman"/>
              </w:rPr>
            </w:pPr>
            <w:r>
              <w:rPr>
                <w:rFonts w:eastAsia="Times New Roman" w:cs="Times New Roman"/>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154A3C8" w14:textId="77777777" w:rsidR="00CF74D9" w:rsidRDefault="00CF74D9" w:rsidP="00C0356C">
            <w:pPr>
              <w:spacing w:after="240"/>
              <w:jc w:val="center"/>
              <w:rPr>
                <w:rFonts w:eastAsia="Times New Roman" w:cs="Times New Roman"/>
              </w:rPr>
            </w:pPr>
            <w:r>
              <w:rPr>
                <w:rFonts w:eastAsia="Times New Roman" w:cs="Times New Roman"/>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071C2047" w14:textId="77777777" w:rsidR="00CF74D9" w:rsidRDefault="00CF74D9" w:rsidP="00C0356C">
            <w:pPr>
              <w:spacing w:after="240"/>
              <w:jc w:val="center"/>
              <w:rPr>
                <w:rFonts w:eastAsia="Times New Roman" w:cs="Times New Roman"/>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D0EF77E" w14:textId="77777777" w:rsidR="00CF74D9" w:rsidRDefault="00CF74D9" w:rsidP="00C0356C">
            <w:pPr>
              <w:spacing w:after="240"/>
              <w:jc w:val="center"/>
              <w:rPr>
                <w:rFonts w:eastAsia="Times New Roman" w:cs="Times New Roman"/>
              </w:rPr>
            </w:pPr>
            <w:r>
              <w:rPr>
                <w:rFonts w:eastAsia="Times New Roman" w:cs="Times New Roman"/>
              </w:rPr>
              <w:t>x</w:t>
            </w:r>
          </w:p>
        </w:tc>
      </w:tr>
      <w:tr w:rsidR="00CF74D9" w14:paraId="4F4E3E30" w14:textId="77777777" w:rsidTr="00C0356C">
        <w:trPr>
          <w:trHeight w:val="570"/>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70E0BA" w14:textId="77777777" w:rsidR="00CF74D9" w:rsidRDefault="00CF74D9" w:rsidP="00C0356C">
            <w:pPr>
              <w:spacing w:after="240"/>
              <w:ind w:left="308" w:hanging="308"/>
              <w:jc w:val="both"/>
              <w:rPr>
                <w:rFonts w:eastAsia="Times New Roman" w:cs="Times New Roman"/>
              </w:rPr>
            </w:pPr>
            <w:r>
              <w:rPr>
                <w:rFonts w:eastAsia="Times New Roman" w:cs="Times New Roman"/>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C69E88E"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60B7723"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0E654C0" w14:textId="77777777" w:rsidR="00CF74D9" w:rsidRDefault="00CF74D9" w:rsidP="00C0356C">
            <w:pPr>
              <w:spacing w:after="240"/>
              <w:jc w:val="center"/>
              <w:rPr>
                <w:rFonts w:eastAsia="Times New Roman" w:cs="Times New Roman"/>
              </w:rPr>
            </w:pPr>
          </w:p>
        </w:tc>
      </w:tr>
      <w:tr w:rsidR="00CF74D9" w14:paraId="25884253"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B49BC5" w14:textId="77777777" w:rsidR="00CF74D9" w:rsidRDefault="00CF74D9" w:rsidP="00C0356C">
            <w:pPr>
              <w:spacing w:after="240"/>
              <w:jc w:val="both"/>
              <w:rPr>
                <w:rFonts w:eastAsia="Times New Roman" w:cs="Times New Roman"/>
              </w:rPr>
            </w:pPr>
            <w:r>
              <w:rPr>
                <w:rFonts w:eastAsia="Times New Roman" w:cs="Times New Roman"/>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6C8905C"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4756F150" w14:textId="77777777" w:rsidR="00CF74D9" w:rsidRDefault="00CF74D9" w:rsidP="00C0356C">
            <w:pPr>
              <w:spacing w:after="240"/>
              <w:jc w:val="center"/>
              <w:rPr>
                <w:rFonts w:eastAsia="Times New Roman" w:cs="Times New Roman"/>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D74665F" w14:textId="77777777" w:rsidR="00CF74D9" w:rsidRDefault="00CF74D9" w:rsidP="00C0356C">
            <w:pPr>
              <w:spacing w:after="240"/>
              <w:jc w:val="center"/>
              <w:rPr>
                <w:rFonts w:eastAsia="Times New Roman" w:cs="Times New Roman"/>
              </w:rPr>
            </w:pPr>
          </w:p>
        </w:tc>
      </w:tr>
      <w:tr w:rsidR="00CF74D9" w14:paraId="293CC9ED"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652EB5" w14:textId="77777777" w:rsidR="00CF74D9" w:rsidRDefault="00CF74D9" w:rsidP="00C0356C">
            <w:pPr>
              <w:spacing w:after="240"/>
              <w:jc w:val="both"/>
              <w:rPr>
                <w:rFonts w:eastAsia="Times New Roman" w:cs="Times New Roman"/>
              </w:rPr>
            </w:pPr>
            <w:r>
              <w:rPr>
                <w:rFonts w:eastAsia="Times New Roman" w:cs="Times New Roman"/>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FBDDDAC" w14:textId="77777777" w:rsidR="00CF74D9" w:rsidRDefault="00CF74D9" w:rsidP="00C0356C">
            <w:pPr>
              <w:spacing w:after="240"/>
              <w:jc w:val="center"/>
              <w:rPr>
                <w:rFonts w:eastAsia="Times New Roman" w:cs="Times New Roman"/>
              </w:rPr>
            </w:pPr>
            <w:r>
              <w:rPr>
                <w:rFonts w:eastAsia="Times New Roman" w:cs="Times New Roman"/>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1EDFC82" w14:textId="77777777" w:rsidR="00CF74D9" w:rsidRDefault="00CF74D9" w:rsidP="00C0356C">
            <w:pPr>
              <w:spacing w:after="240"/>
              <w:jc w:val="center"/>
              <w:rPr>
                <w:rFonts w:eastAsia="Times New Roman" w:cs="Times New Roman"/>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1FCC5CB" w14:textId="77777777" w:rsidR="00CF74D9" w:rsidRDefault="00CF74D9" w:rsidP="00C0356C">
            <w:pPr>
              <w:spacing w:after="240"/>
              <w:jc w:val="center"/>
              <w:rPr>
                <w:rFonts w:eastAsia="Times New Roman" w:cs="Times New Roman"/>
              </w:rPr>
            </w:pPr>
            <w:r>
              <w:rPr>
                <w:rFonts w:eastAsia="Times New Roman" w:cs="Times New Roman"/>
              </w:rPr>
              <w:t>x</w:t>
            </w:r>
          </w:p>
        </w:tc>
      </w:tr>
      <w:tr w:rsidR="00CF74D9" w14:paraId="5CB69AAF"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1B4006" w14:textId="77777777" w:rsidR="00CF74D9" w:rsidRDefault="00CF74D9" w:rsidP="00C0356C">
            <w:pPr>
              <w:spacing w:after="240"/>
              <w:jc w:val="both"/>
              <w:rPr>
                <w:rFonts w:eastAsia="Times New Roman" w:cs="Times New Roman"/>
              </w:rPr>
            </w:pPr>
            <w:r>
              <w:rPr>
                <w:rFonts w:eastAsia="Times New Roman" w:cs="Times New Roman"/>
              </w:rPr>
              <w:t xml:space="preserve">– sociálnu </w:t>
            </w:r>
            <w:proofErr w:type="spellStart"/>
            <w:r>
              <w:rPr>
                <w:rFonts w:eastAsia="Times New Roman" w:cs="Times New Roman"/>
              </w:rPr>
              <w:t>exklúziu</w:t>
            </w:r>
            <w:proofErr w:type="spellEnd"/>
            <w:r>
              <w:rPr>
                <w:rFonts w:eastAsia="Times New Roman" w:cs="Times New Roman"/>
              </w:rPr>
              <w:t>,</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C73DF20"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443AA43"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2E7ABCD" w14:textId="77777777" w:rsidR="00CF74D9" w:rsidRDefault="00CF74D9" w:rsidP="00C0356C">
            <w:pPr>
              <w:spacing w:after="240"/>
              <w:jc w:val="center"/>
              <w:rPr>
                <w:rFonts w:eastAsia="Times New Roman" w:cs="Times New Roman"/>
              </w:rPr>
            </w:pPr>
          </w:p>
        </w:tc>
      </w:tr>
      <w:tr w:rsidR="00CF74D9" w14:paraId="4871EE52"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5902CA" w14:textId="77777777" w:rsidR="00CF74D9" w:rsidRDefault="00CF74D9" w:rsidP="00C0356C">
            <w:pPr>
              <w:spacing w:after="240"/>
              <w:ind w:left="280" w:hanging="284"/>
              <w:jc w:val="both"/>
              <w:rPr>
                <w:rFonts w:eastAsia="Times New Roman" w:cs="Times New Roman"/>
              </w:rPr>
            </w:pPr>
            <w:r>
              <w:rPr>
                <w:rFonts w:eastAsia="Times New Roman" w:cs="Times New Roman"/>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5CCE9B5"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12E94ED"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3142F93" w14:textId="77777777" w:rsidR="00CF74D9" w:rsidRDefault="00CF74D9" w:rsidP="00C0356C">
            <w:pPr>
              <w:spacing w:after="240"/>
              <w:jc w:val="center"/>
              <w:rPr>
                <w:rFonts w:eastAsia="Times New Roman" w:cs="Times New Roman"/>
              </w:rPr>
            </w:pPr>
          </w:p>
        </w:tc>
      </w:tr>
      <w:tr w:rsidR="00CF74D9" w14:paraId="06CDF4CC"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D0AA69" w14:textId="77777777" w:rsidR="00CF74D9" w:rsidRDefault="00CF74D9" w:rsidP="00C0356C">
            <w:pPr>
              <w:spacing w:after="240"/>
              <w:jc w:val="both"/>
              <w:rPr>
                <w:rFonts w:eastAsia="Times New Roman" w:cs="Times New Roman"/>
              </w:rPr>
            </w:pPr>
            <w:r>
              <w:rPr>
                <w:rFonts w:eastAsia="Times New Roman" w:cs="Times New Roman"/>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1266A31"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79C4B0CA"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9BF312B" w14:textId="77777777" w:rsidR="00CF74D9" w:rsidRDefault="00CF74D9" w:rsidP="00C0356C">
            <w:pPr>
              <w:spacing w:after="240"/>
              <w:jc w:val="center"/>
              <w:rPr>
                <w:rFonts w:eastAsia="Times New Roman" w:cs="Times New Roman"/>
              </w:rPr>
            </w:pPr>
          </w:p>
        </w:tc>
      </w:tr>
      <w:tr w:rsidR="00CF74D9" w14:paraId="7C2EDAC7"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34F61A" w14:textId="77777777" w:rsidR="00CF74D9" w:rsidRDefault="00CF74D9" w:rsidP="00C0356C">
            <w:pPr>
              <w:spacing w:after="240"/>
              <w:jc w:val="both"/>
              <w:rPr>
                <w:rFonts w:eastAsia="Times New Roman" w:cs="Times New Roman"/>
              </w:rPr>
            </w:pPr>
            <w:r>
              <w:rPr>
                <w:rFonts w:eastAsia="Times New Roman" w:cs="Times New Roman"/>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8D1FB91"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0AACC564"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11D4D65" w14:textId="77777777" w:rsidR="00CF74D9" w:rsidRDefault="00CF74D9" w:rsidP="00C0356C">
            <w:pPr>
              <w:spacing w:after="240"/>
              <w:jc w:val="center"/>
              <w:rPr>
                <w:rFonts w:eastAsia="Times New Roman" w:cs="Times New Roman"/>
              </w:rPr>
            </w:pPr>
          </w:p>
        </w:tc>
      </w:tr>
      <w:tr w:rsidR="00CF74D9" w14:paraId="48462684"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8C0240" w14:textId="77777777" w:rsidR="00CF74D9" w:rsidRDefault="00CF74D9" w:rsidP="00C0356C">
            <w:pPr>
              <w:spacing w:after="240"/>
              <w:jc w:val="both"/>
              <w:rPr>
                <w:rFonts w:eastAsia="Times New Roman" w:cs="Times New Roman"/>
              </w:rPr>
            </w:pPr>
            <w:r>
              <w:rPr>
                <w:rFonts w:eastAsia="Times New Roman" w:cs="Times New Roman"/>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23F11C4"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8994EBE"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C6E8DE3" w14:textId="77777777" w:rsidR="00CF74D9" w:rsidRDefault="00CF74D9" w:rsidP="00C0356C">
            <w:pPr>
              <w:spacing w:after="240"/>
              <w:jc w:val="center"/>
              <w:rPr>
                <w:rFonts w:eastAsia="Times New Roman" w:cs="Times New Roman"/>
              </w:rPr>
            </w:pPr>
          </w:p>
        </w:tc>
      </w:tr>
      <w:tr w:rsidR="00CF74D9" w14:paraId="4D77DE5F" w14:textId="77777777" w:rsidTr="00C0356C">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062C1" w14:textId="77777777" w:rsidR="00CF74D9" w:rsidRDefault="00CF74D9" w:rsidP="00C0356C">
            <w:pPr>
              <w:spacing w:after="240"/>
              <w:jc w:val="both"/>
              <w:rPr>
                <w:rFonts w:eastAsia="Times New Roman" w:cs="Times New Roman"/>
              </w:rPr>
            </w:pPr>
            <w:r>
              <w:rPr>
                <w:rFonts w:eastAsia="Times New Roman" w:cs="Times New Roman"/>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F1966EC" w14:textId="77777777" w:rsidR="00CF74D9" w:rsidRDefault="00CF74D9" w:rsidP="00C0356C">
            <w:pPr>
              <w:spacing w:after="240"/>
              <w:jc w:val="center"/>
              <w:rPr>
                <w:rFonts w:eastAsia="Times New Roman" w:cs="Times New Roman"/>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7C8E3948" w14:textId="77777777" w:rsidR="00CF74D9" w:rsidRDefault="00CF74D9" w:rsidP="00C0356C">
            <w:pPr>
              <w:spacing w:after="240"/>
              <w:jc w:val="center"/>
              <w:rPr>
                <w:rFonts w:eastAsia="Times New Roman" w:cs="Times New Roman"/>
              </w:rPr>
            </w:pPr>
            <w:r>
              <w:rPr>
                <w:rFonts w:eastAsia="Times New Roman" w:cs="Times New Roman"/>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7387F48" w14:textId="77777777" w:rsidR="00CF74D9" w:rsidRDefault="00CF74D9" w:rsidP="00C0356C">
            <w:pPr>
              <w:spacing w:after="240"/>
              <w:jc w:val="center"/>
              <w:rPr>
                <w:rFonts w:eastAsia="Times New Roman" w:cs="Times New Roman"/>
              </w:rPr>
            </w:pPr>
          </w:p>
        </w:tc>
      </w:tr>
    </w:tbl>
    <w:p w14:paraId="0A9ACE0A" w14:textId="77777777" w:rsidR="00CF74D9" w:rsidRDefault="00CF74D9" w:rsidP="00CF74D9">
      <w:pPr>
        <w:jc w:val="both"/>
        <w:rPr>
          <w:rFonts w:eastAsia="Times New Roman" w:cs="Times New Roman"/>
        </w:rPr>
      </w:pPr>
    </w:p>
    <w:p w14:paraId="6FDEFBD8" w14:textId="77777777" w:rsidR="00CF74D9" w:rsidRDefault="00CF74D9" w:rsidP="00CF74D9">
      <w:pPr>
        <w:jc w:val="both"/>
        <w:rPr>
          <w:rFonts w:eastAsia="Times New Roman" w:cs="Times New Roman"/>
          <w:b/>
        </w:rPr>
      </w:pPr>
      <w:r>
        <w:rPr>
          <w:rFonts w:eastAsia="Times New Roman" w:cs="Times New Roman"/>
          <w:b/>
        </w:rPr>
        <w:t>A.3. Poznámky</w:t>
      </w:r>
    </w:p>
    <w:p w14:paraId="58707FBC" w14:textId="77777777" w:rsidR="00CF74D9" w:rsidRDefault="00CF74D9" w:rsidP="00CF74D9">
      <w:pPr>
        <w:spacing w:before="225" w:after="225"/>
        <w:ind w:firstLine="284"/>
        <w:jc w:val="both"/>
        <w:rPr>
          <w:rFonts w:cs="Times New Roman"/>
        </w:rPr>
      </w:pPr>
      <w:r>
        <w:rPr>
          <w:rFonts w:cs="Times New Roman"/>
        </w:rPr>
        <w:t xml:space="preserve">Predkladaný návrh zákona bude mať podľa vyššie uvedenej tabuľky A.2 pozitívny aj negatívny vplyv na rozpočet verejnej správy. </w:t>
      </w:r>
    </w:p>
    <w:p w14:paraId="6EE12949" w14:textId="77777777" w:rsidR="00CF74D9" w:rsidRDefault="00CF74D9" w:rsidP="00CF74D9">
      <w:pPr>
        <w:spacing w:before="225" w:after="225"/>
        <w:ind w:firstLine="284"/>
        <w:jc w:val="both"/>
        <w:rPr>
          <w:rFonts w:cs="Times New Roman"/>
        </w:rPr>
      </w:pPr>
      <w:r>
        <w:rPr>
          <w:rFonts w:cs="Times New Roman"/>
        </w:rPr>
        <w:t xml:space="preserve">Pozitívny vplyv, konkrétne na štátny rozpočet, možno očakávať najmä v súvislosti so zvýšením horných hraníc pokút za priestupky proti majetku. </w:t>
      </w:r>
    </w:p>
    <w:p w14:paraId="4EF9B521" w14:textId="77777777" w:rsidR="00CF74D9" w:rsidRDefault="00CF74D9" w:rsidP="00CF74D9">
      <w:pPr>
        <w:spacing w:before="225" w:after="225"/>
        <w:ind w:firstLine="284"/>
        <w:jc w:val="both"/>
        <w:rPr>
          <w:rFonts w:cs="Times New Roman"/>
        </w:rPr>
      </w:pPr>
      <w:r>
        <w:rPr>
          <w:rFonts w:cs="Times New Roman"/>
        </w:rPr>
        <w:t xml:space="preserve">Negatívne vplyvy sa môžu odraziť na rozpočte celej verejnej správy (nielen štátneho rozpočtu), a to v súvislosti so zavedením nového druhu sankcie, menších obecných </w:t>
      </w:r>
      <w:r w:rsidRPr="00533B6B">
        <w:rPr>
          <w:rFonts w:cs="Times New Roman"/>
        </w:rPr>
        <w:t>služieb</w:t>
      </w:r>
      <w:r>
        <w:rPr>
          <w:rFonts w:cs="Times New Roman"/>
        </w:rPr>
        <w:t xml:space="preserve">, keďže možno predpokladať, že v niektorých prípadoch správne orgány pristúpia k uloženiu tejto alternatívnej formy sankcie namiesto peňažnej pokuty.  </w:t>
      </w:r>
    </w:p>
    <w:p w14:paraId="5CA68422" w14:textId="77777777" w:rsidR="00CF74D9" w:rsidRDefault="00CF74D9" w:rsidP="00CF74D9">
      <w:pPr>
        <w:spacing w:before="225" w:after="225"/>
        <w:ind w:firstLine="284"/>
        <w:jc w:val="both"/>
        <w:rPr>
          <w:rFonts w:cs="Times New Roman"/>
        </w:rPr>
      </w:pPr>
      <w:r>
        <w:rPr>
          <w:rFonts w:cs="Times New Roman"/>
        </w:rPr>
        <w:t xml:space="preserve">Priestupky proti majetku prejednávajú výlučne okresné úrady a v blokovom konaní aj orgány Policajného zboru a pokuty uložené za tieto priestupky sú príjmom štátneho rozpočtu. </w:t>
      </w:r>
    </w:p>
    <w:p w14:paraId="7B2801B0" w14:textId="77777777" w:rsidR="00CF74D9" w:rsidRDefault="00CF74D9" w:rsidP="00CF74D9">
      <w:pPr>
        <w:spacing w:before="225" w:after="225"/>
        <w:ind w:firstLine="284"/>
        <w:jc w:val="both"/>
        <w:rPr>
          <w:rFonts w:eastAsia="Times New Roman" w:cs="Times New Roman"/>
          <w:lang w:eastAsia="sk-SK"/>
        </w:rPr>
      </w:pPr>
      <w:r>
        <w:rPr>
          <w:rFonts w:eastAsia="Times New Roman" w:cs="Times New Roman"/>
          <w:lang w:eastAsia="sk-SK"/>
        </w:rPr>
        <w:t xml:space="preserve">V roku 2021 bolo okresnými úradmi </w:t>
      </w:r>
      <w:proofErr w:type="spellStart"/>
      <w:r>
        <w:rPr>
          <w:rFonts w:eastAsia="Times New Roman" w:cs="Times New Roman"/>
          <w:lang w:eastAsia="sk-SK"/>
        </w:rPr>
        <w:t>prejednaných</w:t>
      </w:r>
      <w:proofErr w:type="spellEnd"/>
      <w:r>
        <w:rPr>
          <w:rFonts w:eastAsia="Times New Roman" w:cs="Times New Roman"/>
          <w:lang w:eastAsia="sk-SK"/>
        </w:rPr>
        <w:t xml:space="preserve"> 4 791 priestupkov proti majetku, z toho </w:t>
      </w:r>
      <w:r>
        <w:rPr>
          <w:rFonts w:eastAsia="Times New Roman" w:cs="Times New Roman"/>
          <w:lang w:eastAsia="sk-SK"/>
        </w:rPr>
        <w:lastRenderedPageBreak/>
        <w:t>1 475 v </w:t>
      </w:r>
      <w:proofErr w:type="spellStart"/>
      <w:r>
        <w:rPr>
          <w:rFonts w:eastAsia="Times New Roman" w:cs="Times New Roman"/>
          <w:lang w:eastAsia="sk-SK"/>
        </w:rPr>
        <w:t>rozkaznom</w:t>
      </w:r>
      <w:proofErr w:type="spellEnd"/>
      <w:r>
        <w:rPr>
          <w:rFonts w:eastAsia="Times New Roman" w:cs="Times New Roman"/>
          <w:lang w:eastAsia="sk-SK"/>
        </w:rPr>
        <w:t xml:space="preserve"> konaní. V roku 2022 to bolo 4 991 priestupkov proti majetku, z toho 1 467 v </w:t>
      </w:r>
      <w:proofErr w:type="spellStart"/>
      <w:r>
        <w:rPr>
          <w:rFonts w:eastAsia="Times New Roman" w:cs="Times New Roman"/>
          <w:lang w:eastAsia="sk-SK"/>
        </w:rPr>
        <w:t>rozkaznom</w:t>
      </w:r>
      <w:proofErr w:type="spellEnd"/>
      <w:r>
        <w:rPr>
          <w:rFonts w:eastAsia="Times New Roman" w:cs="Times New Roman"/>
          <w:lang w:eastAsia="sk-SK"/>
        </w:rPr>
        <w:t xml:space="preserve"> konaní a v roku 2023 bolo </w:t>
      </w:r>
      <w:proofErr w:type="spellStart"/>
      <w:r>
        <w:rPr>
          <w:rFonts w:eastAsia="Times New Roman" w:cs="Times New Roman"/>
          <w:lang w:eastAsia="sk-SK"/>
        </w:rPr>
        <w:t>prejednaných</w:t>
      </w:r>
      <w:proofErr w:type="spellEnd"/>
      <w:r>
        <w:rPr>
          <w:rFonts w:eastAsia="Times New Roman" w:cs="Times New Roman"/>
          <w:lang w:eastAsia="sk-SK"/>
        </w:rPr>
        <w:t xml:space="preserve"> 5 556 priestupkov proti majetku, z toho 1 763 v </w:t>
      </w:r>
      <w:proofErr w:type="spellStart"/>
      <w:r>
        <w:rPr>
          <w:rFonts w:eastAsia="Times New Roman" w:cs="Times New Roman"/>
          <w:lang w:eastAsia="sk-SK"/>
        </w:rPr>
        <w:t>rozkaznom</w:t>
      </w:r>
      <w:proofErr w:type="spellEnd"/>
      <w:r>
        <w:rPr>
          <w:rFonts w:eastAsia="Times New Roman" w:cs="Times New Roman"/>
          <w:lang w:eastAsia="sk-SK"/>
        </w:rPr>
        <w:t xml:space="preserve"> konaní.</w:t>
      </w:r>
    </w:p>
    <w:p w14:paraId="48D5A803" w14:textId="77777777" w:rsidR="00CF74D9" w:rsidRDefault="00CF74D9" w:rsidP="00CF74D9">
      <w:pPr>
        <w:spacing w:before="225" w:after="225"/>
        <w:ind w:firstLine="284"/>
        <w:jc w:val="both"/>
        <w:rPr>
          <w:rFonts w:eastAsia="Times New Roman" w:cs="Times New Roman"/>
          <w:lang w:eastAsia="sk-SK"/>
        </w:rPr>
      </w:pPr>
      <w:r>
        <w:rPr>
          <w:rFonts w:eastAsia="Times New Roman" w:cs="Times New Roman"/>
          <w:lang w:eastAsia="sk-SK"/>
        </w:rPr>
        <w:t xml:space="preserve">Orgány Policajného zboru udelili v roku 2021 za priestupky proti majetku blokové pokuty v počte 10 122, v roku 2022 v počte 13 213 a v roku 2023 v počte 13 890. </w:t>
      </w:r>
    </w:p>
    <w:p w14:paraId="479B444B" w14:textId="77777777" w:rsidR="00CF74D9" w:rsidRDefault="00CF74D9" w:rsidP="00CF74D9">
      <w:pPr>
        <w:spacing w:before="225" w:after="225"/>
        <w:ind w:firstLine="284"/>
        <w:jc w:val="both"/>
        <w:rPr>
          <w:rFonts w:eastAsia="Times New Roman" w:cs="Times New Roman"/>
          <w:lang w:eastAsia="sk-SK"/>
        </w:rPr>
      </w:pPr>
      <w:r>
        <w:rPr>
          <w:rFonts w:eastAsia="Times New Roman" w:cs="Times New Roman"/>
          <w:lang w:eastAsia="sk-SK"/>
        </w:rPr>
        <w:t>Celková suma uložených pokút okresnými úradmi a orgánmi Policajného zboru bola v roku 2021 vo výške 278 525 eur, v roku 2022 vo výške 343 205 eur a v roku 2023 vo výške 354 652 eur.</w:t>
      </w:r>
    </w:p>
    <w:p w14:paraId="2A97DCD8" w14:textId="77777777" w:rsidR="00CF74D9" w:rsidRDefault="00CF74D9" w:rsidP="00CF74D9">
      <w:pPr>
        <w:spacing w:before="225" w:after="225"/>
        <w:ind w:firstLine="284"/>
        <w:jc w:val="both"/>
        <w:rPr>
          <w:rFonts w:eastAsia="Times New Roman" w:cs="Times New Roman"/>
          <w:lang w:eastAsia="sk-SK"/>
        </w:rPr>
      </w:pPr>
      <w:r>
        <w:rPr>
          <w:rFonts w:eastAsia="Times New Roman" w:cs="Times New Roman"/>
          <w:lang w:eastAsia="sk-SK"/>
        </w:rPr>
        <w:t>Podľa aktuálne účinnej právnej úpravy možno za priestupok proti majetku uložiť pokutu v blokovom konaní najviac do výšky 33 eur, v </w:t>
      </w:r>
      <w:proofErr w:type="spellStart"/>
      <w:r>
        <w:rPr>
          <w:rFonts w:eastAsia="Times New Roman" w:cs="Times New Roman"/>
          <w:lang w:eastAsia="sk-SK"/>
        </w:rPr>
        <w:t>rozkaznom</w:t>
      </w:r>
      <w:proofErr w:type="spellEnd"/>
      <w:r>
        <w:rPr>
          <w:rFonts w:eastAsia="Times New Roman" w:cs="Times New Roman"/>
          <w:lang w:eastAsia="sk-SK"/>
        </w:rPr>
        <w:t xml:space="preserve"> konaní do 250 eur a v neskrátenom konaní najviac do výšky 331 eur. S ohľadom na zmenu výšky malej škody, na základe ktorej dochádza ku kvalifikovaniu protiprávneho konania, ktorým bola spôsobená škoda vo výške menšej ako 700 eur, za priestupok, sa úmerne navrhuje zvýšiť peňažné sankcie, ktoré možno za tieto priestupky uložiť. V blokovom konaní, pokiaľ je spoľahlivo zistený skutkový stav a páchateľ je ochotný zaplatiť pokutu, sa navrhuje horná hranica pokuty vo výške 500 eur, v </w:t>
      </w:r>
      <w:proofErr w:type="spellStart"/>
      <w:r>
        <w:rPr>
          <w:rFonts w:eastAsia="Times New Roman" w:cs="Times New Roman"/>
          <w:lang w:eastAsia="sk-SK"/>
        </w:rPr>
        <w:t>rozkaznom</w:t>
      </w:r>
      <w:proofErr w:type="spellEnd"/>
      <w:r>
        <w:rPr>
          <w:rFonts w:eastAsia="Times New Roman" w:cs="Times New Roman"/>
          <w:lang w:eastAsia="sk-SK"/>
        </w:rPr>
        <w:t xml:space="preserve"> konaní 1 000 eur a v neskrátenom konaní do výšky 1 400 eur. </w:t>
      </w:r>
    </w:p>
    <w:p w14:paraId="1F001E04" w14:textId="77777777" w:rsidR="00CF74D9" w:rsidRDefault="00CF74D9" w:rsidP="00CF74D9">
      <w:pPr>
        <w:spacing w:before="225" w:after="225"/>
        <w:ind w:firstLine="284"/>
        <w:jc w:val="both"/>
        <w:rPr>
          <w:rFonts w:eastAsia="Times New Roman" w:cs="Times New Roman"/>
          <w:lang w:eastAsia="sk-SK"/>
        </w:rPr>
      </w:pPr>
      <w:r>
        <w:rPr>
          <w:rFonts w:eastAsia="Times New Roman" w:cs="Times New Roman"/>
          <w:lang w:eastAsia="sk-SK"/>
        </w:rPr>
        <w:t>Zároveň sa návrhom zavádza sprísnená peňažná penalizácia pre páchateľov, ktorí sa priestupku proti majetku dopustia opakovane v priebehu 12 mesiacov. Horná hranica pokuty v </w:t>
      </w:r>
      <w:proofErr w:type="spellStart"/>
      <w:r>
        <w:rPr>
          <w:rFonts w:eastAsia="Times New Roman" w:cs="Times New Roman"/>
          <w:lang w:eastAsia="sk-SK"/>
        </w:rPr>
        <w:t>rozkaznom</w:t>
      </w:r>
      <w:proofErr w:type="spellEnd"/>
      <w:r>
        <w:rPr>
          <w:rFonts w:eastAsia="Times New Roman" w:cs="Times New Roman"/>
          <w:lang w:eastAsia="sk-SK"/>
        </w:rPr>
        <w:t xml:space="preserve"> konaní bude v tomto prípade 1 500 eur a v neskrátenom konaní 2 000 eur. Správny orgán je schopný si za účelom posúdenia opakovanej delikvencie páchateľa zabezpečiť údaje z evidencie priestupkov. </w:t>
      </w:r>
    </w:p>
    <w:p w14:paraId="628C473C" w14:textId="77777777" w:rsidR="00CF74D9" w:rsidRDefault="00CF74D9" w:rsidP="00CF74D9">
      <w:pPr>
        <w:ind w:firstLine="284"/>
        <w:jc w:val="both"/>
        <w:rPr>
          <w:rFonts w:eastAsia="Times New Roman" w:cs="Times New Roman"/>
          <w:lang w:eastAsia="sk-SK"/>
        </w:rPr>
      </w:pPr>
      <w:r w:rsidRPr="009F4B38">
        <w:rPr>
          <w:rFonts w:eastAsia="Times New Roman" w:cs="Times New Roman"/>
          <w:lang w:eastAsia="sk-SK"/>
        </w:rPr>
        <w:t>Vzhľadom na</w:t>
      </w:r>
      <w:r>
        <w:rPr>
          <w:rFonts w:eastAsia="Times New Roman" w:cs="Times New Roman"/>
          <w:lang w:eastAsia="sk-SK"/>
        </w:rPr>
        <w:t xml:space="preserve"> vyššie</w:t>
      </w:r>
      <w:r w:rsidRPr="009F4B38">
        <w:rPr>
          <w:rFonts w:eastAsia="Times New Roman" w:cs="Times New Roman"/>
          <w:lang w:eastAsia="sk-SK"/>
        </w:rPr>
        <w:t xml:space="preserve"> uvedené </w:t>
      </w:r>
      <w:r>
        <w:rPr>
          <w:rFonts w:eastAsia="Times New Roman" w:cs="Times New Roman"/>
          <w:lang w:eastAsia="sk-SK"/>
        </w:rPr>
        <w:t>možno predpokladať</w:t>
      </w:r>
      <w:r w:rsidRPr="00870074">
        <w:rPr>
          <w:rFonts w:eastAsia="Times New Roman" w:cs="Times New Roman"/>
          <w:lang w:eastAsia="sk-SK"/>
        </w:rPr>
        <w:t xml:space="preserve"> pozitívny vplyv na štátny rozpočet</w:t>
      </w:r>
      <w:r>
        <w:rPr>
          <w:rFonts w:eastAsia="Times New Roman" w:cs="Times New Roman"/>
          <w:lang w:eastAsia="sk-SK"/>
        </w:rPr>
        <w:t>. Presný výpočet vplyvov na štátny rozpočet však nie je možné určiť.</w:t>
      </w:r>
    </w:p>
    <w:p w14:paraId="3A95A316" w14:textId="77777777" w:rsidR="00CF74D9" w:rsidRDefault="00CF74D9" w:rsidP="00CF74D9">
      <w:pPr>
        <w:ind w:firstLine="284"/>
        <w:jc w:val="both"/>
        <w:rPr>
          <w:rFonts w:eastAsia="Times New Roman" w:cs="Times New Roman"/>
          <w:lang w:eastAsia="sk-SK"/>
        </w:rPr>
      </w:pPr>
      <w:r>
        <w:rPr>
          <w:rFonts w:eastAsia="Times New Roman" w:cs="Times New Roman"/>
          <w:lang w:eastAsia="sk-SK"/>
        </w:rPr>
        <w:t xml:space="preserve">S ohľadom na zavedenie nového druhu sankcie však na druhej strane možno predpokladať zároveň negatívny vplyv na rozpočet verejnej správy spočívajúci v úbytku potenciálnych príjmov verejných rozpočtov v prípadoch, ak správny orgán v konaní o priestupku vyhodnotí, že je vhodnejšie uložiť namiesto peňažnej sankcie sankciu výkonu menších obecných služieb. Tu je potrebné zdôrazniť, že sankciu výkonu menších obecných služieb bude možné uložiť pri prejednávaní ktoréhokoľvek druhu priestupku a v pôsobnosti všetkých správnych orgánov </w:t>
      </w:r>
      <w:proofErr w:type="spellStart"/>
      <w:r>
        <w:rPr>
          <w:rFonts w:eastAsia="Times New Roman" w:cs="Times New Roman"/>
          <w:lang w:eastAsia="sk-SK"/>
        </w:rPr>
        <w:t>prejednávajúcich</w:t>
      </w:r>
      <w:proofErr w:type="spellEnd"/>
      <w:r>
        <w:rPr>
          <w:rFonts w:eastAsia="Times New Roman" w:cs="Times New Roman"/>
          <w:lang w:eastAsia="sk-SK"/>
        </w:rPr>
        <w:t xml:space="preserve"> priestupky.  </w:t>
      </w:r>
    </w:p>
    <w:p w14:paraId="199E581D" w14:textId="77777777" w:rsidR="00CF74D9" w:rsidRDefault="00CF74D9" w:rsidP="00CF74D9">
      <w:pPr>
        <w:spacing w:before="225" w:after="225"/>
        <w:ind w:firstLine="284"/>
        <w:jc w:val="both"/>
        <w:rPr>
          <w:rFonts w:cs="Times New Roman"/>
        </w:rPr>
      </w:pPr>
      <w:r>
        <w:rPr>
          <w:rFonts w:cs="Times New Roman"/>
        </w:rPr>
        <w:t>Podľa vyššie uvedenej tabuľky A.2 bude mať predkladaný návrh zákona tiež pozitívne aj negatívne sociálne vplyvy vo vzťahu k hospodáreniu obyvateľstva.</w:t>
      </w:r>
    </w:p>
    <w:p w14:paraId="6AA71132" w14:textId="77777777" w:rsidR="00CF74D9" w:rsidRDefault="00CF74D9" w:rsidP="00CF74D9">
      <w:pPr>
        <w:spacing w:before="225" w:after="225"/>
        <w:ind w:firstLine="284"/>
        <w:jc w:val="both"/>
        <w:rPr>
          <w:rFonts w:cs="Times New Roman"/>
        </w:rPr>
      </w:pPr>
      <w:r>
        <w:rPr>
          <w:rFonts w:cs="Times New Roman"/>
        </w:rPr>
        <w:t xml:space="preserve">Pozitívne a negatívne vplyvy na hospodárenie obyvateľstva sa prejavia výlučne u tej skupiny obyvateľstva, ktorá sa dopustí protiprávneho konania. Vo vzťahu k zvýšeniu sadzby pokút sa predpokladá, že uložená pokuta bude mať negatívny vplyv na majetkovú sféru páchateľa priestupku. V prípadoch, kedy správny orgán uloží sankciu menších obecných služieb, sa naopak predpokladá pozitívny vplyv na hospodárenie páchateľa, nakoľko bude táto </w:t>
      </w:r>
      <w:r w:rsidRPr="00F1382D">
        <w:rPr>
          <w:rFonts w:cs="Times New Roman"/>
        </w:rPr>
        <w:t>sankcia</w:t>
      </w:r>
      <w:r>
        <w:rPr>
          <w:rFonts w:cs="Times New Roman"/>
        </w:rPr>
        <w:t xml:space="preserve"> páchateľovi uložená namiesto pokuty, ktorá by mala bezpochyby negatívny vplyv na jeho majetkovú sféru. Zároveň však páchateľ vykoná verejnoprospešnú činnosť pre spoločnosť v podobe menších obecných služieb. </w:t>
      </w:r>
      <w:r>
        <w:rPr>
          <w:rFonts w:eastAsia="Times New Roman" w:cs="Times New Roman"/>
          <w:lang w:eastAsia="sk-SK"/>
        </w:rPr>
        <w:t>Presný výpočet vplyvov na rozpočet verejnej správy však nie je možné určiť.</w:t>
      </w:r>
    </w:p>
    <w:p w14:paraId="264BA201" w14:textId="77777777" w:rsidR="00CF74D9" w:rsidRDefault="00CF74D9" w:rsidP="00CF74D9">
      <w:pPr>
        <w:spacing w:before="225" w:after="240"/>
        <w:jc w:val="both"/>
        <w:rPr>
          <w:rFonts w:eastAsia="Times New Roman" w:cs="Times New Roman"/>
          <w:b/>
        </w:rPr>
      </w:pPr>
      <w:r>
        <w:rPr>
          <w:rFonts w:eastAsia="Times New Roman" w:cs="Times New Roman"/>
          <w:b/>
        </w:rPr>
        <w:t>A.4. Alternatívne riešenia</w:t>
      </w:r>
    </w:p>
    <w:p w14:paraId="3E92B6FD" w14:textId="77777777" w:rsidR="00CF74D9" w:rsidRDefault="00CF74D9" w:rsidP="00CF74D9">
      <w:pPr>
        <w:spacing w:after="240"/>
        <w:jc w:val="both"/>
        <w:rPr>
          <w:rFonts w:eastAsia="Times New Roman" w:cs="Times New Roman"/>
        </w:rPr>
      </w:pPr>
      <w:r>
        <w:rPr>
          <w:rFonts w:eastAsia="Times New Roman" w:cs="Times New Roman"/>
        </w:rPr>
        <w:t>Nepredkladajú sa</w:t>
      </w:r>
    </w:p>
    <w:p w14:paraId="1D82CB59" w14:textId="77777777" w:rsidR="00CF74D9" w:rsidRDefault="00CF74D9" w:rsidP="00CF74D9">
      <w:pPr>
        <w:spacing w:after="240"/>
        <w:jc w:val="both"/>
        <w:rPr>
          <w:rFonts w:eastAsia="Times New Roman" w:cs="Times New Roman"/>
          <w:b/>
        </w:rPr>
      </w:pPr>
      <w:r>
        <w:rPr>
          <w:rFonts w:eastAsia="Times New Roman" w:cs="Times New Roman"/>
          <w:b/>
        </w:rPr>
        <w:lastRenderedPageBreak/>
        <w:t>A.5. Stanovisko gestorov</w:t>
      </w:r>
    </w:p>
    <w:p w14:paraId="1854BFFD" w14:textId="77777777" w:rsidR="00FC1CA1" w:rsidRDefault="00CC2BE2">
      <w:pPr>
        <w:widowControl/>
        <w:jc w:val="both"/>
      </w:pPr>
      <w:r>
        <w:t>Návrh zákona bol zaslaný na vyjadrenie Ministerstvu financií Slovenskej republiky a Ministerstvu hospodárstva Slovenskej republiky a ich stanoviská tvoria súčasť predkladaného materiálu.</w:t>
      </w:r>
    </w:p>
    <w:p w14:paraId="0655FE5E" w14:textId="77777777" w:rsidR="00FC1CA1" w:rsidRDefault="00FC1CA1">
      <w:pPr>
        <w:pBdr>
          <w:top w:val="nil"/>
          <w:left w:val="nil"/>
          <w:bottom w:val="nil"/>
          <w:right w:val="nil"/>
          <w:between w:val="nil"/>
        </w:pBdr>
        <w:spacing w:line="276" w:lineRule="auto"/>
        <w:jc w:val="both"/>
      </w:pPr>
    </w:p>
    <w:sectPr w:rsidR="00FC1CA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F16A9" w14:textId="77777777" w:rsidR="000E35B6" w:rsidRDefault="000E35B6">
      <w:r>
        <w:separator/>
      </w:r>
    </w:p>
  </w:endnote>
  <w:endnote w:type="continuationSeparator" w:id="0">
    <w:p w14:paraId="4432599B" w14:textId="77777777" w:rsidR="000E35B6" w:rsidRDefault="000E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altName w:val="Times New Roman"/>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7F7A3" w14:textId="77777777" w:rsidR="00FC1CA1" w:rsidRDefault="00FC1CA1">
    <w:pPr>
      <w:widowControl/>
      <w:pBdr>
        <w:top w:val="nil"/>
        <w:left w:val="nil"/>
        <w:bottom w:val="nil"/>
        <w:right w:val="nil"/>
        <w:between w:val="nil"/>
      </w:pBdr>
      <w:tabs>
        <w:tab w:val="center" w:pos="4536"/>
        <w:tab w:val="right" w:pos="9072"/>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34167" w14:textId="77777777" w:rsidR="00FC1CA1" w:rsidRDefault="00FC1CA1">
    <w:pPr>
      <w:widowControl/>
      <w:pBdr>
        <w:top w:val="nil"/>
        <w:left w:val="nil"/>
        <w:bottom w:val="nil"/>
        <w:right w:val="nil"/>
        <w:between w:val="nil"/>
      </w:pBdr>
      <w:tabs>
        <w:tab w:val="center" w:pos="4536"/>
        <w:tab w:val="right" w:pos="9072"/>
      </w:tabs>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C97B3" w14:textId="77777777" w:rsidR="00FC1CA1" w:rsidRDefault="00FC1CA1">
    <w:pPr>
      <w:widowControl/>
      <w:pBdr>
        <w:top w:val="nil"/>
        <w:left w:val="nil"/>
        <w:bottom w:val="nil"/>
        <w:right w:val="nil"/>
        <w:between w:val="nil"/>
      </w:pBdr>
      <w:tabs>
        <w:tab w:val="center" w:pos="4536"/>
        <w:tab w:val="right" w:pos="9072"/>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E8B4A" w14:textId="77777777" w:rsidR="000E35B6" w:rsidRDefault="000E35B6">
      <w:r>
        <w:separator/>
      </w:r>
    </w:p>
  </w:footnote>
  <w:footnote w:type="continuationSeparator" w:id="0">
    <w:p w14:paraId="7371053F" w14:textId="77777777" w:rsidR="000E35B6" w:rsidRDefault="000E3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B5BB2" w14:textId="77777777" w:rsidR="00FC1CA1" w:rsidRDefault="00FC1CA1">
    <w:pPr>
      <w:pBdr>
        <w:top w:val="nil"/>
        <w:left w:val="nil"/>
        <w:bottom w:val="nil"/>
        <w:right w:val="nil"/>
        <w:between w:val="nil"/>
      </w:pBdr>
      <w:tabs>
        <w:tab w:val="center" w:pos="4536"/>
        <w:tab w:val="right" w:pos="9072"/>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7BBD8" w14:textId="77777777" w:rsidR="00FC1CA1" w:rsidRDefault="00FC1CA1">
    <w:pPr>
      <w:pBdr>
        <w:top w:val="nil"/>
        <w:left w:val="nil"/>
        <w:bottom w:val="nil"/>
        <w:right w:val="nil"/>
        <w:between w:val="nil"/>
      </w:pBdr>
      <w:tabs>
        <w:tab w:val="center" w:pos="4536"/>
        <w:tab w:val="right" w:pos="9072"/>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A7754" w14:textId="77777777" w:rsidR="00FC1CA1" w:rsidRDefault="00FC1CA1">
    <w:pPr>
      <w:pBdr>
        <w:top w:val="nil"/>
        <w:left w:val="nil"/>
        <w:bottom w:val="nil"/>
        <w:right w:val="nil"/>
        <w:between w:val="nil"/>
      </w:pBdr>
      <w:tabs>
        <w:tab w:val="center" w:pos="4536"/>
        <w:tab w:val="right" w:pos="9072"/>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776C4A"/>
    <w:multiLevelType w:val="hybridMultilevel"/>
    <w:tmpl w:val="522CE2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62978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A1"/>
    <w:rsid w:val="000E35B6"/>
    <w:rsid w:val="001D70D7"/>
    <w:rsid w:val="00426EEF"/>
    <w:rsid w:val="006140EE"/>
    <w:rsid w:val="00930CFD"/>
    <w:rsid w:val="00C77588"/>
    <w:rsid w:val="00CC2BE2"/>
    <w:rsid w:val="00CF74D9"/>
    <w:rsid w:val="00D128F4"/>
    <w:rsid w:val="00E011EB"/>
    <w:rsid w:val="00FC1C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47C0"/>
  <w15:docId w15:val="{8292F69C-16BB-4A25-8549-BA4D6F16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05E"/>
    <w:pPr>
      <w:suppressAutoHyphens/>
    </w:pPr>
    <w:rPr>
      <w:rFonts w:eastAsia="SimSun" w:cs="Mangal"/>
      <w:kern w:val="1"/>
      <w:lang w:eastAsia="hi-IN" w:bidi="hi-IN"/>
    </w:rPr>
  </w:style>
  <w:style w:type="paragraph" w:styleId="Nadpis1">
    <w:name w:val="heading 1"/>
    <w:basedOn w:val="Normlny"/>
    <w:link w:val="Nadpis1Char"/>
    <w:uiPriority w:val="9"/>
    <w:qFormat/>
    <w:rsid w:val="0017622F"/>
    <w:pPr>
      <w:widowControl/>
      <w:suppressAutoHyphens w:val="0"/>
      <w:spacing w:before="100" w:beforeAutospacing="1" w:after="100" w:afterAutospacing="1"/>
      <w:outlineLvl w:val="0"/>
    </w:pPr>
    <w:rPr>
      <w:rFonts w:eastAsia="Times New Roman" w:cs="Times New Roman"/>
      <w:b/>
      <w:bCs/>
      <w:kern w:val="36"/>
      <w:sz w:val="48"/>
      <w:szCs w:val="48"/>
      <w:lang w:val="en-US" w:eastAsia="en-US" w:bidi="ar-SA"/>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Nadpis1Char">
    <w:name w:val="Nadpis 1 Char"/>
    <w:basedOn w:val="Predvolenpsmoodseku"/>
    <w:link w:val="Nadpis1"/>
    <w:uiPriority w:val="9"/>
    <w:locked/>
    <w:rsid w:val="0017622F"/>
    <w:rPr>
      <w:rFonts w:ascii="Times New Roman" w:hAnsi="Times New Roman" w:cs="Times New Roman"/>
      <w:b/>
      <w:bCs/>
      <w:kern w:val="36"/>
      <w:sz w:val="48"/>
      <w:szCs w:val="48"/>
      <w:rtl w:val="0"/>
      <w:cs w:val="0"/>
      <w:lang w:val="en-US" w:eastAsia="x-none"/>
    </w:rPr>
  </w:style>
  <w:style w:type="table" w:styleId="Mriekatabuky">
    <w:name w:val="Table Grid"/>
    <w:basedOn w:val="Normlnatabuka"/>
    <w:uiPriority w:val="59"/>
    <w:rsid w:val="00F60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0548E"/>
    <w:rPr>
      <w:rFonts w:cs="Times New Roman"/>
      <w:color w:val="0000FF"/>
      <w:u w:val="single"/>
      <w:rtl w:val="0"/>
      <w:cs w:val="0"/>
    </w:rPr>
  </w:style>
  <w:style w:type="paragraph" w:styleId="Pta">
    <w:name w:val="footer"/>
    <w:basedOn w:val="Normlny"/>
    <w:link w:val="PtaChar"/>
    <w:uiPriority w:val="99"/>
    <w:rsid w:val="0090548E"/>
    <w:pPr>
      <w:widowControl/>
      <w:tabs>
        <w:tab w:val="center" w:pos="4536"/>
        <w:tab w:val="right" w:pos="9072"/>
      </w:tabs>
      <w:suppressAutoHyphens w:val="0"/>
    </w:pPr>
    <w:rPr>
      <w:rFonts w:ascii="Arial" w:eastAsia="Times New Roman" w:hAnsi="Arial" w:cs="Arial"/>
      <w:kern w:val="0"/>
      <w:sz w:val="20"/>
      <w:szCs w:val="20"/>
      <w:lang w:eastAsia="sk-SK" w:bidi="ar-SA"/>
    </w:rPr>
  </w:style>
  <w:style w:type="character" w:customStyle="1" w:styleId="PtaChar">
    <w:name w:val="Päta Char"/>
    <w:basedOn w:val="Predvolenpsmoodseku"/>
    <w:link w:val="Pta"/>
    <w:uiPriority w:val="99"/>
    <w:locked/>
    <w:rsid w:val="0090548E"/>
    <w:rPr>
      <w:rFonts w:ascii="Arial" w:hAnsi="Arial" w:cs="Arial"/>
      <w:sz w:val="20"/>
      <w:szCs w:val="20"/>
      <w:rtl w:val="0"/>
      <w:cs w:val="0"/>
      <w:lang w:val="x-none" w:eastAsia="sk-SK"/>
    </w:rPr>
  </w:style>
  <w:style w:type="character" w:styleId="slostrany">
    <w:name w:val="page number"/>
    <w:basedOn w:val="Predvolenpsmoodseku"/>
    <w:uiPriority w:val="99"/>
    <w:rsid w:val="0090548E"/>
    <w:rPr>
      <w:rFonts w:cs="Times New Roman"/>
      <w:rtl w:val="0"/>
      <w:cs w:val="0"/>
    </w:rPr>
  </w:style>
  <w:style w:type="paragraph" w:styleId="Hlavika">
    <w:name w:val="header"/>
    <w:basedOn w:val="Normlny"/>
    <w:link w:val="HlavikaChar"/>
    <w:uiPriority w:val="99"/>
    <w:semiHidden/>
    <w:unhideWhenUsed/>
    <w:rsid w:val="0090548E"/>
    <w:pPr>
      <w:tabs>
        <w:tab w:val="center" w:pos="4536"/>
        <w:tab w:val="right" w:pos="9072"/>
      </w:tabs>
    </w:pPr>
    <w:rPr>
      <w:szCs w:val="21"/>
    </w:rPr>
  </w:style>
  <w:style w:type="character" w:customStyle="1" w:styleId="HlavikaChar">
    <w:name w:val="Hlavička Char"/>
    <w:basedOn w:val="Predvolenpsmoodseku"/>
    <w:link w:val="Hlavika"/>
    <w:uiPriority w:val="99"/>
    <w:semiHidden/>
    <w:locked/>
    <w:rsid w:val="0090548E"/>
    <w:rPr>
      <w:rFonts w:ascii="Times New Roman" w:eastAsia="SimSun" w:hAnsi="Times New Roman" w:cs="Mangal"/>
      <w:kern w:val="1"/>
      <w:sz w:val="21"/>
      <w:szCs w:val="21"/>
      <w:rtl w:val="0"/>
      <w:cs w:val="0"/>
      <w:lang w:val="x-none" w:eastAsia="hi-IN" w:bidi="hi-IN"/>
    </w:rPr>
  </w:style>
  <w:style w:type="paragraph" w:styleId="Normlnywebov">
    <w:name w:val="Normal (Web)"/>
    <w:aliases w:val="webb"/>
    <w:basedOn w:val="Normlny"/>
    <w:uiPriority w:val="99"/>
    <w:unhideWhenUsed/>
    <w:rsid w:val="0017622F"/>
    <w:pPr>
      <w:widowControl/>
      <w:suppressAutoHyphens w:val="0"/>
      <w:spacing w:before="100" w:beforeAutospacing="1" w:after="100" w:afterAutospacing="1"/>
    </w:pPr>
    <w:rPr>
      <w:rFonts w:eastAsia="Times New Roman" w:cs="Times New Roman"/>
      <w:kern w:val="0"/>
      <w:lang w:eastAsia="sk-SK" w:bidi="ar-SA"/>
    </w:rPr>
  </w:style>
  <w:style w:type="paragraph" w:styleId="Textpoznmkypodiarou">
    <w:name w:val="footnote text"/>
    <w:basedOn w:val="Normlny"/>
    <w:link w:val="TextpoznmkypodiarouChar"/>
    <w:uiPriority w:val="99"/>
    <w:unhideWhenUsed/>
    <w:rsid w:val="0017622F"/>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locked/>
    <w:rsid w:val="0017622F"/>
    <w:rPr>
      <w:rFonts w:ascii="Times New Roman" w:hAnsi="Times New Roman" w:cs="Times New Roman"/>
      <w:sz w:val="20"/>
      <w:szCs w:val="20"/>
      <w:rtl w:val="0"/>
      <w:cs w:val="0"/>
      <w:lang w:val="x-none" w:eastAsia="sk-SK"/>
    </w:rPr>
  </w:style>
  <w:style w:type="character" w:styleId="Odkaznapoznmkupodiarou">
    <w:name w:val="footnote reference"/>
    <w:basedOn w:val="Predvolenpsmoodseku"/>
    <w:uiPriority w:val="99"/>
    <w:unhideWhenUsed/>
    <w:rsid w:val="0017622F"/>
    <w:rPr>
      <w:rFonts w:cs="Times New Roman"/>
      <w:vertAlign w:val="superscript"/>
      <w:rtl w:val="0"/>
      <w:cs w:val="0"/>
    </w:rPr>
  </w:style>
  <w:style w:type="character" w:customStyle="1" w:styleId="apple-converted-space">
    <w:name w:val="apple-converted-space"/>
    <w:basedOn w:val="Predvolenpsmoodseku"/>
    <w:rsid w:val="0017622F"/>
    <w:rPr>
      <w:rFonts w:cs="Times New Roman"/>
      <w:rtl w:val="0"/>
      <w:cs w:val="0"/>
    </w:rPr>
  </w:style>
  <w:style w:type="character" w:customStyle="1" w:styleId="h1a">
    <w:name w:val="h1a"/>
    <w:basedOn w:val="Predvolenpsmoodseku"/>
    <w:rsid w:val="0017622F"/>
    <w:rPr>
      <w:rFonts w:cs="Times New Roman"/>
      <w:rtl w:val="0"/>
      <w:cs w:val="0"/>
    </w:rPr>
  </w:style>
  <w:style w:type="paragraph" w:customStyle="1" w:styleId="Vchodzie">
    <w:name w:val="Vchodzie"/>
    <w:rsid w:val="00BB30C7"/>
    <w:pPr>
      <w:autoSpaceDN w:val="0"/>
      <w:adjustRightInd w:val="0"/>
      <w:spacing w:after="200" w:line="276" w:lineRule="auto"/>
    </w:pPr>
    <w:rPr>
      <w:rFonts w:ascii="Calibri" w:eastAsiaTheme="minorEastAsia" w:hAnsi="Calibri" w:cs="Calibri"/>
      <w:kern w:val="1"/>
      <w:szCs w:val="22"/>
      <w:lang w:val="en-US"/>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B27D05"/>
    <w:pPr>
      <w:ind w:left="720"/>
      <w:contextualSpacing/>
    </w:pPr>
    <w:rPr>
      <w:szCs w:val="21"/>
    </w:rPr>
  </w:style>
  <w:style w:type="paragraph" w:styleId="Textbubliny">
    <w:name w:val="Balloon Text"/>
    <w:basedOn w:val="Normlny"/>
    <w:link w:val="TextbublinyChar"/>
    <w:uiPriority w:val="99"/>
    <w:semiHidden/>
    <w:unhideWhenUsed/>
    <w:rsid w:val="00B6575B"/>
    <w:rPr>
      <w:rFonts w:ascii="Tahoma" w:hAnsi="Tahoma"/>
      <w:sz w:val="16"/>
      <w:szCs w:val="14"/>
    </w:rPr>
  </w:style>
  <w:style w:type="character" w:customStyle="1" w:styleId="TextbublinyChar">
    <w:name w:val="Text bubliny Char"/>
    <w:basedOn w:val="Predvolenpsmoodseku"/>
    <w:link w:val="Textbubliny"/>
    <w:uiPriority w:val="99"/>
    <w:semiHidden/>
    <w:locked/>
    <w:rsid w:val="00B6575B"/>
    <w:rPr>
      <w:rFonts w:ascii="Tahoma" w:eastAsia="SimSun" w:hAnsi="Tahoma" w:cs="Mangal"/>
      <w:kern w:val="1"/>
      <w:sz w:val="14"/>
      <w:szCs w:val="14"/>
      <w:rtl w:val="0"/>
      <w:cs w:val="0"/>
      <w:lang w:val="x-none" w:eastAsia="hi-IN" w:bidi="hi-IN"/>
    </w:rPr>
  </w:style>
  <w:style w:type="character" w:styleId="Odkaznakomentr">
    <w:name w:val="annotation reference"/>
    <w:basedOn w:val="Predvolenpsmoodseku"/>
    <w:uiPriority w:val="99"/>
    <w:rsid w:val="0014165A"/>
    <w:rPr>
      <w:sz w:val="16"/>
      <w:szCs w:val="16"/>
    </w:rPr>
  </w:style>
  <w:style w:type="paragraph" w:styleId="Textkomentra">
    <w:name w:val="annotation text"/>
    <w:basedOn w:val="Normlny"/>
    <w:link w:val="TextkomentraChar"/>
    <w:uiPriority w:val="99"/>
    <w:rsid w:val="0014165A"/>
    <w:rPr>
      <w:sz w:val="20"/>
      <w:szCs w:val="18"/>
    </w:rPr>
  </w:style>
  <w:style w:type="character" w:customStyle="1" w:styleId="TextkomentraChar">
    <w:name w:val="Text komentára Char"/>
    <w:basedOn w:val="Predvolenpsmoodseku"/>
    <w:link w:val="Textkomentra"/>
    <w:uiPriority w:val="99"/>
    <w:rsid w:val="0014165A"/>
    <w:rPr>
      <w:rFonts w:ascii="Times New Roman" w:eastAsia="SimSun" w:hAnsi="Times New Roman" w:cs="Mangal"/>
      <w:kern w:val="1"/>
      <w:sz w:val="20"/>
      <w:szCs w:val="18"/>
      <w:lang w:eastAsia="hi-IN" w:bidi="hi-IN"/>
    </w:rPr>
  </w:style>
  <w:style w:type="paragraph" w:styleId="Predmetkomentra">
    <w:name w:val="annotation subject"/>
    <w:basedOn w:val="Textkomentra"/>
    <w:next w:val="Textkomentra"/>
    <w:link w:val="PredmetkomentraChar"/>
    <w:uiPriority w:val="99"/>
    <w:rsid w:val="0014165A"/>
    <w:rPr>
      <w:b/>
      <w:bCs/>
    </w:rPr>
  </w:style>
  <w:style w:type="character" w:customStyle="1" w:styleId="PredmetkomentraChar">
    <w:name w:val="Predmet komentára Char"/>
    <w:basedOn w:val="TextkomentraChar"/>
    <w:link w:val="Predmetkomentra"/>
    <w:uiPriority w:val="99"/>
    <w:rsid w:val="0014165A"/>
    <w:rPr>
      <w:rFonts w:ascii="Times New Roman" w:eastAsia="SimSun" w:hAnsi="Times New Roman" w:cs="Mangal"/>
      <w:b/>
      <w:bCs/>
      <w:kern w:val="1"/>
      <w:sz w:val="20"/>
      <w:szCs w:val="18"/>
      <w:lang w:eastAsia="hi-IN" w:bidi="hi-IN"/>
    </w:rPr>
  </w:style>
  <w:style w:type="paragraph" w:styleId="Revzia">
    <w:name w:val="Revision"/>
    <w:hidden/>
    <w:uiPriority w:val="99"/>
    <w:semiHidden/>
    <w:rsid w:val="00335383"/>
    <w:rPr>
      <w:rFonts w:eastAsia="SimSun" w:cs="Mangal"/>
      <w:kern w:val="1"/>
      <w:szCs w:val="21"/>
      <w:lang w:eastAsia="hi-IN" w:bidi="hi-IN"/>
    </w:r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5" w:type="dxa"/>
        <w:left w:w="15" w:type="dxa"/>
        <w:bottom w:w="15" w:type="dxa"/>
        <w:right w:w="15"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3"/>
    <w:tblPr>
      <w:tblStyleRowBandSize w:val="1"/>
      <w:tblStyleColBandSize w:val="1"/>
      <w:tblCellMar>
        <w:top w:w="15" w:type="dxa"/>
        <w:left w:w="15" w:type="dxa"/>
        <w:bottom w:w="15" w:type="dxa"/>
        <w:right w:w="15" w:type="dxa"/>
      </w:tblCellMar>
    </w:tbl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CF74D9"/>
    <w:rPr>
      <w:rFonts w:eastAsia="SimSun" w:cs="Mangal"/>
      <w:kern w:val="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d1EmtZyYqAIqdnFwKNjp6M0woA==">CgMxLjA4AGopChRzdWdnZXN0LjJ6bWptZTdmNjB0OBIRRMOhxaFhIEJsYcWha292w6FqKAoTc3VnZ2VzdC4zZXF3aHhvMmloeBIRRMOhxaFhIEJsYcWha292w6FqKQoUc3VnZ2VzdC50c2VrcWl3NzN6YmcSEUTDocWhYSBCbGHFoWtvdsOhciExTUhRWkRnaHN5eGVhVEMyRHY0VlBmN3lDa2ZQWWpHTkE=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951</Words>
  <Characters>5139</Characters>
  <Application>Microsoft Office Word</Application>
  <DocSecurity>0</DocSecurity>
  <Lines>104</Lines>
  <Paragraphs>32</Paragraphs>
  <ScaleCrop>false</ScaleCrop>
  <HeadingPairs>
    <vt:vector size="2" baseType="variant">
      <vt:variant>
        <vt:lpstr>Názov</vt:lpstr>
      </vt:variant>
      <vt:variant>
        <vt:i4>1</vt:i4>
      </vt:variant>
    </vt:vector>
  </HeadingPairs>
  <TitlesOfParts>
    <vt:vector size="1" baseType="lpstr">
      <vt:lpstr/>
    </vt:vector>
  </TitlesOfParts>
  <Manager/>
  <Company>Kancelária Národnej rady Slovenskej republiky</Company>
  <LinksUpToDate>false</LinksUpToDate>
  <CharactersWithSpaces>6058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Migaľ</dc:creator>
  <cp:keywords/>
  <dc:description/>
  <cp:lastModifiedBy>peter lukasek</cp:lastModifiedBy>
  <cp:revision>2</cp:revision>
  <dcterms:created xsi:type="dcterms:W3CDTF">2024-10-04T06:59:00Z</dcterms:created>
  <dcterms:modified xsi:type="dcterms:W3CDTF">2024-10-04T06:59:00Z</dcterms:modified>
  <cp:category/>
</cp:coreProperties>
</file>