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BFB" w:rsidRPr="006E0B8D" w:rsidRDefault="006E0B8D" w:rsidP="006E0B8D">
      <w:pPr>
        <w:numPr>
          <w:ilvl w:val="0"/>
          <w:numId w:val="0"/>
        </w:numPr>
        <w:spacing w:after="0"/>
        <w:jc w:val="center"/>
        <w:rPr>
          <w:b/>
        </w:rPr>
      </w:pPr>
      <w:r w:rsidRPr="006E0B8D">
        <w:rPr>
          <w:b/>
        </w:rPr>
        <w:t>TABUĽKA ZHODY</w:t>
      </w:r>
    </w:p>
    <w:p w:rsidR="006E0B8D" w:rsidRPr="006E0B8D" w:rsidRDefault="00EB23C9" w:rsidP="006E0B8D">
      <w:pPr>
        <w:numPr>
          <w:ilvl w:val="0"/>
          <w:numId w:val="0"/>
        </w:numPr>
        <w:jc w:val="center"/>
        <w:rPr>
          <w:b/>
        </w:rPr>
      </w:pPr>
      <w:r>
        <w:rPr>
          <w:b/>
        </w:rPr>
        <w:t>n</w:t>
      </w:r>
      <w:r w:rsidR="006E0B8D" w:rsidRPr="006E0B8D">
        <w:rPr>
          <w:b/>
        </w:rPr>
        <w:t>ávrhu právneho predpisu s právom Európskej únie</w:t>
      </w:r>
    </w:p>
    <w:tbl>
      <w:tblPr>
        <w:tblStyle w:val="Mriekatabuky"/>
        <w:tblW w:w="15019" w:type="dxa"/>
        <w:tblLayout w:type="fixed"/>
        <w:tblLook w:val="04A0" w:firstRow="1" w:lastRow="0" w:firstColumn="1" w:lastColumn="0" w:noHBand="0" w:noVBand="1"/>
      </w:tblPr>
      <w:tblGrid>
        <w:gridCol w:w="846"/>
        <w:gridCol w:w="2410"/>
        <w:gridCol w:w="992"/>
        <w:gridCol w:w="1134"/>
        <w:gridCol w:w="954"/>
        <w:gridCol w:w="3298"/>
        <w:gridCol w:w="851"/>
        <w:gridCol w:w="1530"/>
        <w:gridCol w:w="776"/>
        <w:gridCol w:w="2228"/>
      </w:tblGrid>
      <w:tr w:rsidR="006E0B8D" w:rsidRPr="00843CC8" w:rsidTr="00DC0D77">
        <w:trPr>
          <w:trHeight w:val="789"/>
        </w:trPr>
        <w:tc>
          <w:tcPr>
            <w:tcW w:w="4248" w:type="dxa"/>
            <w:gridSpan w:val="3"/>
            <w:vAlign w:val="center"/>
          </w:tcPr>
          <w:p w:rsidR="006E0B8D" w:rsidRPr="007252CC" w:rsidRDefault="007252CC" w:rsidP="00843CC8">
            <w:pPr>
              <w:numPr>
                <w:ilvl w:val="0"/>
                <w:numId w:val="0"/>
              </w:numPr>
              <w:rPr>
                <w:szCs w:val="24"/>
              </w:rPr>
            </w:pPr>
            <w:r w:rsidRPr="007252CC">
              <w:rPr>
                <w:szCs w:val="24"/>
              </w:rPr>
              <w:t>Smernica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(Ú. v. ES L 212, 7.8.2001)</w:t>
            </w:r>
          </w:p>
        </w:tc>
        <w:tc>
          <w:tcPr>
            <w:tcW w:w="10771" w:type="dxa"/>
            <w:gridSpan w:val="7"/>
            <w:vAlign w:val="center"/>
          </w:tcPr>
          <w:p w:rsidR="00C21804" w:rsidRDefault="00C21804" w:rsidP="0099388A">
            <w:r w:rsidRPr="007252CC">
              <w:t>Návrh zákona, ktorým sa mení a dopĺňa zákon č. 153/2013 Z. z. o národnom zdravotníckom informačnom systéme a o zmene a doplnení niektorých zákonov v znení neskorších predpisov a ktorým sa menia a dopĺňajú niektoré zákony</w:t>
            </w:r>
          </w:p>
          <w:p w:rsidR="007252CC" w:rsidRDefault="007252CC" w:rsidP="0099388A">
            <w:r w:rsidRPr="00F20E89">
              <w:t>Z</w:t>
            </w:r>
            <w:r w:rsidR="00116B2D">
              <w:t>á</w:t>
            </w:r>
            <w:r w:rsidRPr="00F20E89">
              <w:t xml:space="preserve">kon č. 576/2004 Z. z. o zdravotnej starostlivosti, službách súvisiacich s poskytovaním zdravotnej starostlivosti a o zmene a doplnení niektorých zákonov v znení </w:t>
            </w:r>
            <w:r w:rsidRPr="00957C0D">
              <w:t xml:space="preserve">neskorších predpisov </w:t>
            </w:r>
          </w:p>
          <w:p w:rsidR="0099388A" w:rsidRPr="00707EC1" w:rsidRDefault="0099388A" w:rsidP="0099388A">
            <w:r w:rsidRPr="00707EC1">
              <w:t>Zákon č. 480/2002 Z. z. o azyle a o zmene a doplnení niektorých zákonov</w:t>
            </w:r>
            <w:r>
              <w:t xml:space="preserve"> v znení neskorších predpisov</w:t>
            </w:r>
          </w:p>
          <w:p w:rsidR="0099388A" w:rsidRDefault="0099388A" w:rsidP="0099388A">
            <w:pPr>
              <w:numPr>
                <w:ilvl w:val="0"/>
                <w:numId w:val="0"/>
              </w:numPr>
              <w:ind w:left="720"/>
            </w:pPr>
          </w:p>
          <w:p w:rsidR="00747A1F" w:rsidRPr="007252CC" w:rsidRDefault="00747A1F" w:rsidP="00C21804">
            <w:pPr>
              <w:numPr>
                <w:ilvl w:val="0"/>
                <w:numId w:val="0"/>
              </w:numPr>
              <w:ind w:left="720" w:hanging="360"/>
            </w:pPr>
          </w:p>
        </w:tc>
      </w:tr>
      <w:tr w:rsidR="006E0B8D" w:rsidRPr="00843CC8" w:rsidTr="007252CC">
        <w:trPr>
          <w:trHeight w:val="275"/>
        </w:trPr>
        <w:tc>
          <w:tcPr>
            <w:tcW w:w="846"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1</w:t>
            </w:r>
          </w:p>
        </w:tc>
        <w:tc>
          <w:tcPr>
            <w:tcW w:w="2410"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2</w:t>
            </w:r>
          </w:p>
        </w:tc>
        <w:tc>
          <w:tcPr>
            <w:tcW w:w="992"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3</w:t>
            </w:r>
          </w:p>
        </w:tc>
        <w:tc>
          <w:tcPr>
            <w:tcW w:w="1134"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4</w:t>
            </w:r>
          </w:p>
        </w:tc>
        <w:tc>
          <w:tcPr>
            <w:tcW w:w="954"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5</w:t>
            </w:r>
          </w:p>
        </w:tc>
        <w:tc>
          <w:tcPr>
            <w:tcW w:w="3298"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6</w:t>
            </w:r>
          </w:p>
        </w:tc>
        <w:tc>
          <w:tcPr>
            <w:tcW w:w="851"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7</w:t>
            </w:r>
          </w:p>
        </w:tc>
        <w:tc>
          <w:tcPr>
            <w:tcW w:w="1530"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8</w:t>
            </w:r>
          </w:p>
        </w:tc>
        <w:tc>
          <w:tcPr>
            <w:tcW w:w="776"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9</w:t>
            </w:r>
          </w:p>
        </w:tc>
        <w:tc>
          <w:tcPr>
            <w:tcW w:w="2228"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10</w:t>
            </w:r>
          </w:p>
        </w:tc>
      </w:tr>
      <w:tr w:rsidR="006E0B8D" w:rsidRPr="00843CC8" w:rsidTr="007252CC">
        <w:tc>
          <w:tcPr>
            <w:tcW w:w="846" w:type="dxa"/>
          </w:tcPr>
          <w:p w:rsidR="006E0B8D" w:rsidRPr="00843CC8" w:rsidRDefault="001A2C99" w:rsidP="001A2C99">
            <w:pPr>
              <w:numPr>
                <w:ilvl w:val="0"/>
                <w:numId w:val="0"/>
              </w:numPr>
              <w:spacing w:after="0" w:line="240" w:lineRule="auto"/>
              <w:rPr>
                <w:sz w:val="20"/>
                <w:szCs w:val="20"/>
              </w:rPr>
            </w:pPr>
            <w:r w:rsidRPr="00843CC8">
              <w:rPr>
                <w:sz w:val="20"/>
                <w:szCs w:val="20"/>
              </w:rPr>
              <w:t>Článok (Č, O, V, P)</w:t>
            </w:r>
          </w:p>
        </w:tc>
        <w:tc>
          <w:tcPr>
            <w:tcW w:w="2410" w:type="dxa"/>
          </w:tcPr>
          <w:p w:rsidR="006E0B8D" w:rsidRPr="00843CC8" w:rsidRDefault="001A2C99" w:rsidP="001A2C99">
            <w:pPr>
              <w:numPr>
                <w:ilvl w:val="0"/>
                <w:numId w:val="0"/>
              </w:numPr>
              <w:spacing w:after="0" w:line="240" w:lineRule="auto"/>
              <w:rPr>
                <w:sz w:val="20"/>
                <w:szCs w:val="20"/>
              </w:rPr>
            </w:pPr>
            <w:r w:rsidRPr="00843CC8">
              <w:rPr>
                <w:sz w:val="20"/>
                <w:szCs w:val="20"/>
              </w:rPr>
              <w:t>Text</w:t>
            </w:r>
          </w:p>
        </w:tc>
        <w:tc>
          <w:tcPr>
            <w:tcW w:w="992" w:type="dxa"/>
          </w:tcPr>
          <w:p w:rsidR="006E0B8D" w:rsidRPr="00843CC8" w:rsidRDefault="001A2C99" w:rsidP="001A2C99">
            <w:pPr>
              <w:numPr>
                <w:ilvl w:val="0"/>
                <w:numId w:val="0"/>
              </w:numPr>
              <w:spacing w:after="0" w:line="240" w:lineRule="auto"/>
              <w:rPr>
                <w:sz w:val="20"/>
                <w:szCs w:val="20"/>
              </w:rPr>
            </w:pPr>
            <w:r w:rsidRPr="00843CC8">
              <w:rPr>
                <w:sz w:val="20"/>
                <w:szCs w:val="20"/>
              </w:rPr>
              <w:t>Spôsob transpozície</w:t>
            </w:r>
          </w:p>
        </w:tc>
        <w:tc>
          <w:tcPr>
            <w:tcW w:w="1134" w:type="dxa"/>
          </w:tcPr>
          <w:p w:rsidR="006E0B8D" w:rsidRPr="00843CC8" w:rsidRDefault="001A2C99" w:rsidP="001A2C99">
            <w:pPr>
              <w:numPr>
                <w:ilvl w:val="0"/>
                <w:numId w:val="0"/>
              </w:numPr>
              <w:spacing w:after="0" w:line="240" w:lineRule="auto"/>
              <w:rPr>
                <w:sz w:val="20"/>
                <w:szCs w:val="20"/>
              </w:rPr>
            </w:pPr>
            <w:r w:rsidRPr="00843CC8">
              <w:rPr>
                <w:sz w:val="20"/>
                <w:szCs w:val="20"/>
              </w:rPr>
              <w:t>Číslo</w:t>
            </w:r>
          </w:p>
        </w:tc>
        <w:tc>
          <w:tcPr>
            <w:tcW w:w="954" w:type="dxa"/>
          </w:tcPr>
          <w:p w:rsidR="006E0B8D" w:rsidRPr="00843CC8" w:rsidRDefault="001A2C99" w:rsidP="001A2C99">
            <w:pPr>
              <w:numPr>
                <w:ilvl w:val="0"/>
                <w:numId w:val="0"/>
              </w:numPr>
              <w:spacing w:after="0" w:line="240" w:lineRule="auto"/>
              <w:rPr>
                <w:sz w:val="20"/>
                <w:szCs w:val="20"/>
              </w:rPr>
            </w:pPr>
            <w:r w:rsidRPr="00843CC8">
              <w:rPr>
                <w:sz w:val="20"/>
                <w:szCs w:val="20"/>
              </w:rPr>
              <w:t>Článok (Č, §, O, V, P)</w:t>
            </w:r>
          </w:p>
        </w:tc>
        <w:tc>
          <w:tcPr>
            <w:tcW w:w="3298" w:type="dxa"/>
          </w:tcPr>
          <w:p w:rsidR="006E0B8D" w:rsidRPr="00843CC8" w:rsidRDefault="001A2C99" w:rsidP="001A2C99">
            <w:pPr>
              <w:numPr>
                <w:ilvl w:val="0"/>
                <w:numId w:val="0"/>
              </w:numPr>
              <w:spacing w:after="0" w:line="240" w:lineRule="auto"/>
              <w:rPr>
                <w:sz w:val="20"/>
                <w:szCs w:val="20"/>
              </w:rPr>
            </w:pPr>
            <w:r w:rsidRPr="00843CC8">
              <w:rPr>
                <w:sz w:val="20"/>
                <w:szCs w:val="20"/>
              </w:rPr>
              <w:t>Text</w:t>
            </w:r>
          </w:p>
        </w:tc>
        <w:tc>
          <w:tcPr>
            <w:tcW w:w="851" w:type="dxa"/>
          </w:tcPr>
          <w:p w:rsidR="006E0B8D" w:rsidRPr="00843CC8" w:rsidRDefault="001A2C99" w:rsidP="001A2C99">
            <w:pPr>
              <w:numPr>
                <w:ilvl w:val="0"/>
                <w:numId w:val="0"/>
              </w:numPr>
              <w:spacing w:after="0" w:line="240" w:lineRule="auto"/>
              <w:rPr>
                <w:sz w:val="20"/>
                <w:szCs w:val="20"/>
              </w:rPr>
            </w:pPr>
            <w:r w:rsidRPr="00843CC8">
              <w:rPr>
                <w:sz w:val="20"/>
                <w:szCs w:val="20"/>
              </w:rPr>
              <w:t>Zhoda</w:t>
            </w:r>
          </w:p>
        </w:tc>
        <w:tc>
          <w:tcPr>
            <w:tcW w:w="1530" w:type="dxa"/>
          </w:tcPr>
          <w:p w:rsidR="006E0B8D" w:rsidRPr="00843CC8" w:rsidRDefault="001A2C99" w:rsidP="001A2C99">
            <w:pPr>
              <w:numPr>
                <w:ilvl w:val="0"/>
                <w:numId w:val="0"/>
              </w:numPr>
              <w:spacing w:after="0" w:line="240" w:lineRule="auto"/>
              <w:rPr>
                <w:sz w:val="20"/>
                <w:szCs w:val="20"/>
              </w:rPr>
            </w:pPr>
            <w:r w:rsidRPr="00843CC8">
              <w:rPr>
                <w:sz w:val="20"/>
                <w:szCs w:val="20"/>
              </w:rPr>
              <w:t>Poznámky</w:t>
            </w:r>
          </w:p>
        </w:tc>
        <w:tc>
          <w:tcPr>
            <w:tcW w:w="776" w:type="dxa"/>
          </w:tcPr>
          <w:p w:rsidR="006E0B8D" w:rsidRPr="00843CC8" w:rsidRDefault="001A2C99" w:rsidP="001A2C99">
            <w:pPr>
              <w:numPr>
                <w:ilvl w:val="0"/>
                <w:numId w:val="0"/>
              </w:numPr>
              <w:spacing w:after="0" w:line="240" w:lineRule="auto"/>
              <w:rPr>
                <w:sz w:val="20"/>
                <w:szCs w:val="20"/>
              </w:rPr>
            </w:pPr>
            <w:r w:rsidRPr="00843CC8">
              <w:rPr>
                <w:sz w:val="20"/>
                <w:szCs w:val="20"/>
              </w:rPr>
              <w:t>Identifikácia goldplatingu</w:t>
            </w:r>
          </w:p>
        </w:tc>
        <w:tc>
          <w:tcPr>
            <w:tcW w:w="2228" w:type="dxa"/>
          </w:tcPr>
          <w:p w:rsidR="006E0B8D" w:rsidRPr="00843CC8" w:rsidRDefault="001A2C99" w:rsidP="001A2C99">
            <w:pPr>
              <w:numPr>
                <w:ilvl w:val="0"/>
                <w:numId w:val="0"/>
              </w:numPr>
              <w:spacing w:after="0" w:line="240" w:lineRule="auto"/>
              <w:rPr>
                <w:sz w:val="20"/>
                <w:szCs w:val="20"/>
              </w:rPr>
            </w:pPr>
            <w:r w:rsidRPr="00843CC8">
              <w:rPr>
                <w:sz w:val="20"/>
                <w:szCs w:val="20"/>
              </w:rPr>
              <w:t>Identifikácia oblasti goldplatingu a vyjadrenie k opodstatnenosti goldplatingu</w:t>
            </w:r>
          </w:p>
        </w:tc>
      </w:tr>
      <w:tr w:rsidR="007252CC" w:rsidRPr="00843CC8" w:rsidTr="007252CC">
        <w:tc>
          <w:tcPr>
            <w:tcW w:w="846" w:type="dxa"/>
          </w:tcPr>
          <w:p w:rsidR="007252CC" w:rsidRPr="007252CC" w:rsidRDefault="007252CC" w:rsidP="007252CC">
            <w:pPr>
              <w:numPr>
                <w:ilvl w:val="0"/>
                <w:numId w:val="0"/>
              </w:numPr>
              <w:spacing w:after="0" w:line="240" w:lineRule="auto"/>
              <w:rPr>
                <w:sz w:val="20"/>
                <w:szCs w:val="20"/>
              </w:rPr>
            </w:pPr>
            <w:r w:rsidRPr="007252CC">
              <w:rPr>
                <w:sz w:val="20"/>
                <w:szCs w:val="20"/>
              </w:rPr>
              <w:t>Č 13</w:t>
            </w:r>
          </w:p>
          <w:p w:rsidR="007252CC" w:rsidRPr="00843CC8" w:rsidRDefault="007252CC" w:rsidP="007252CC">
            <w:pPr>
              <w:numPr>
                <w:ilvl w:val="0"/>
                <w:numId w:val="0"/>
              </w:numPr>
              <w:spacing w:after="0" w:line="240" w:lineRule="auto"/>
              <w:rPr>
                <w:sz w:val="20"/>
                <w:szCs w:val="20"/>
              </w:rPr>
            </w:pPr>
            <w:r w:rsidRPr="007252CC">
              <w:rPr>
                <w:sz w:val="20"/>
                <w:szCs w:val="20"/>
              </w:rPr>
              <w:t>O 2</w:t>
            </w:r>
          </w:p>
        </w:tc>
        <w:tc>
          <w:tcPr>
            <w:tcW w:w="2410" w:type="dxa"/>
          </w:tcPr>
          <w:p w:rsidR="007252CC" w:rsidRPr="00843CC8" w:rsidRDefault="007252CC" w:rsidP="007252CC">
            <w:pPr>
              <w:numPr>
                <w:ilvl w:val="0"/>
                <w:numId w:val="0"/>
              </w:numPr>
              <w:spacing w:after="0" w:line="240" w:lineRule="auto"/>
              <w:rPr>
                <w:sz w:val="20"/>
                <w:szCs w:val="20"/>
              </w:rPr>
            </w:pPr>
            <w:r w:rsidRPr="007252CC">
              <w:rPr>
                <w:sz w:val="20"/>
                <w:szCs w:val="20"/>
              </w:rPr>
              <w:t>Členské štáty vydajú opatrenie, aby osoby požívajúce dočasnú ochranu dostali potrebnú pomoc pokiaľ ide o sociálnu starostlivosť a existenčné prostriedky, ak nemajú dostatok prostriedkov, a taktiež pokiaľ ide o lekársku starostlivosť. Bez toho, aby bol dotknutý odsek 4, bude lekárska starostlivosti zahrnovať prinajmenšom akútne ošetrenie a základnú liečbu ochorenia.</w:t>
            </w:r>
          </w:p>
        </w:tc>
        <w:tc>
          <w:tcPr>
            <w:tcW w:w="992" w:type="dxa"/>
          </w:tcPr>
          <w:p w:rsidR="007252CC" w:rsidRPr="00843CC8" w:rsidRDefault="007252CC" w:rsidP="007252CC">
            <w:pPr>
              <w:numPr>
                <w:ilvl w:val="0"/>
                <w:numId w:val="0"/>
              </w:numPr>
              <w:spacing w:after="0" w:line="240" w:lineRule="auto"/>
              <w:jc w:val="center"/>
              <w:rPr>
                <w:sz w:val="20"/>
                <w:szCs w:val="20"/>
              </w:rPr>
            </w:pPr>
            <w:r w:rsidRPr="00843CC8">
              <w:rPr>
                <w:sz w:val="20"/>
                <w:szCs w:val="20"/>
              </w:rPr>
              <w:t>N</w:t>
            </w: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Default="007252CC"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147F5D" w:rsidRDefault="0099388A" w:rsidP="00147F5D">
            <w:pPr>
              <w:numPr>
                <w:ilvl w:val="0"/>
                <w:numId w:val="0"/>
              </w:numPr>
              <w:spacing w:after="0" w:line="240" w:lineRule="auto"/>
              <w:jc w:val="center"/>
              <w:rPr>
                <w:sz w:val="20"/>
                <w:szCs w:val="20"/>
              </w:rPr>
            </w:pPr>
            <w:r>
              <w:rPr>
                <w:sz w:val="20"/>
                <w:szCs w:val="20"/>
              </w:rPr>
              <w:t>N</w:t>
            </w: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147F5D">
            <w:pPr>
              <w:numPr>
                <w:ilvl w:val="0"/>
                <w:numId w:val="0"/>
              </w:numPr>
              <w:spacing w:after="0" w:line="240" w:lineRule="auto"/>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r>
              <w:rPr>
                <w:sz w:val="20"/>
                <w:szCs w:val="20"/>
              </w:rPr>
              <w:lastRenderedPageBreak/>
              <w:t>N</w:t>
            </w: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Default="00147F5D" w:rsidP="007252CC">
            <w:pPr>
              <w:numPr>
                <w:ilvl w:val="0"/>
                <w:numId w:val="0"/>
              </w:numPr>
              <w:spacing w:after="0" w:line="240" w:lineRule="auto"/>
              <w:jc w:val="center"/>
              <w:rPr>
                <w:sz w:val="20"/>
                <w:szCs w:val="20"/>
              </w:rPr>
            </w:pPr>
          </w:p>
          <w:p w:rsidR="00147F5D" w:rsidRPr="00843CC8" w:rsidRDefault="00147F5D"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tc>
        <w:tc>
          <w:tcPr>
            <w:tcW w:w="1134" w:type="dxa"/>
          </w:tcPr>
          <w:p w:rsidR="007252CC" w:rsidRDefault="00116B2D" w:rsidP="00C21804">
            <w:pPr>
              <w:numPr>
                <w:ilvl w:val="0"/>
                <w:numId w:val="0"/>
              </w:numPr>
              <w:spacing w:after="0" w:line="240" w:lineRule="auto"/>
              <w:rPr>
                <w:sz w:val="20"/>
                <w:szCs w:val="20"/>
              </w:rPr>
            </w:pPr>
            <w:r w:rsidRPr="00DA68BB">
              <w:rPr>
                <w:sz w:val="20"/>
                <w:szCs w:val="20"/>
              </w:rPr>
              <w:lastRenderedPageBreak/>
              <w:t xml:space="preserve">Návrh zákona, ktorým sa mení a dopĺňa zákon č. 153/2013 Z. z. </w:t>
            </w:r>
            <w:r w:rsidR="00C21804">
              <w:rPr>
                <w:sz w:val="20"/>
                <w:szCs w:val="20"/>
              </w:rPr>
              <w:t xml:space="preserve">a </w:t>
            </w:r>
            <w:r w:rsidR="00DA68BB" w:rsidRPr="00DA68BB">
              <w:rPr>
                <w:sz w:val="20"/>
                <w:szCs w:val="20"/>
              </w:rPr>
              <w:t xml:space="preserve">Zákon č. 576/2004 Z. z. </w:t>
            </w:r>
          </w:p>
          <w:p w:rsidR="0099388A" w:rsidRDefault="0099388A" w:rsidP="00C21804">
            <w:pPr>
              <w:numPr>
                <w:ilvl w:val="0"/>
                <w:numId w:val="0"/>
              </w:numPr>
              <w:spacing w:after="0" w:line="240" w:lineRule="auto"/>
              <w:rPr>
                <w:sz w:val="20"/>
                <w:szCs w:val="20"/>
              </w:rPr>
            </w:pPr>
          </w:p>
          <w:p w:rsidR="0099388A" w:rsidRDefault="0099388A" w:rsidP="00C21804">
            <w:pPr>
              <w:numPr>
                <w:ilvl w:val="0"/>
                <w:numId w:val="0"/>
              </w:numPr>
              <w:spacing w:after="0" w:line="240" w:lineRule="auto"/>
              <w:rPr>
                <w:sz w:val="20"/>
                <w:szCs w:val="20"/>
              </w:rPr>
            </w:pPr>
          </w:p>
          <w:p w:rsidR="0099388A" w:rsidRDefault="0099388A" w:rsidP="00C21804">
            <w:pPr>
              <w:numPr>
                <w:ilvl w:val="0"/>
                <w:numId w:val="0"/>
              </w:numPr>
              <w:spacing w:after="0" w:line="240" w:lineRule="auto"/>
              <w:rPr>
                <w:sz w:val="20"/>
                <w:szCs w:val="20"/>
              </w:rPr>
            </w:pPr>
          </w:p>
          <w:p w:rsidR="0099388A" w:rsidRDefault="0099388A" w:rsidP="00C21804">
            <w:pPr>
              <w:numPr>
                <w:ilvl w:val="0"/>
                <w:numId w:val="0"/>
              </w:numPr>
              <w:spacing w:after="0" w:line="240" w:lineRule="auto"/>
              <w:rPr>
                <w:sz w:val="20"/>
                <w:szCs w:val="20"/>
              </w:rPr>
            </w:pPr>
          </w:p>
          <w:p w:rsidR="0099388A" w:rsidRDefault="0099388A" w:rsidP="00C21804">
            <w:pPr>
              <w:numPr>
                <w:ilvl w:val="0"/>
                <w:numId w:val="0"/>
              </w:numPr>
              <w:spacing w:after="0" w:line="240" w:lineRule="auto"/>
              <w:rPr>
                <w:sz w:val="20"/>
                <w:szCs w:val="20"/>
              </w:rPr>
            </w:pPr>
          </w:p>
          <w:p w:rsidR="0099388A" w:rsidRDefault="0099388A" w:rsidP="00C21804">
            <w:pPr>
              <w:numPr>
                <w:ilvl w:val="0"/>
                <w:numId w:val="0"/>
              </w:numPr>
              <w:spacing w:after="0" w:line="240" w:lineRule="auto"/>
              <w:rPr>
                <w:sz w:val="20"/>
                <w:szCs w:val="20"/>
              </w:rPr>
            </w:pPr>
          </w:p>
          <w:p w:rsidR="0099388A" w:rsidRDefault="0099388A" w:rsidP="00C21804">
            <w:pPr>
              <w:numPr>
                <w:ilvl w:val="0"/>
                <w:numId w:val="0"/>
              </w:numPr>
              <w:spacing w:after="0" w:line="240" w:lineRule="auto"/>
              <w:rPr>
                <w:sz w:val="20"/>
                <w:szCs w:val="20"/>
              </w:rPr>
            </w:pPr>
          </w:p>
          <w:p w:rsidR="0099388A" w:rsidRDefault="0099388A" w:rsidP="00C21804">
            <w:pPr>
              <w:numPr>
                <w:ilvl w:val="0"/>
                <w:numId w:val="0"/>
              </w:numPr>
              <w:spacing w:after="0" w:line="240" w:lineRule="auto"/>
              <w:rPr>
                <w:sz w:val="20"/>
                <w:szCs w:val="20"/>
              </w:rPr>
            </w:pPr>
          </w:p>
          <w:p w:rsidR="0099388A" w:rsidRDefault="0099388A" w:rsidP="00C21804">
            <w:pPr>
              <w:numPr>
                <w:ilvl w:val="0"/>
                <w:numId w:val="0"/>
              </w:numPr>
              <w:spacing w:after="0" w:line="240" w:lineRule="auto"/>
              <w:rPr>
                <w:sz w:val="20"/>
                <w:szCs w:val="20"/>
              </w:rPr>
            </w:pPr>
          </w:p>
          <w:p w:rsidR="0099388A" w:rsidRDefault="0099388A" w:rsidP="00C21804">
            <w:pPr>
              <w:numPr>
                <w:ilvl w:val="0"/>
                <w:numId w:val="0"/>
              </w:numPr>
              <w:spacing w:after="0" w:line="240" w:lineRule="auto"/>
              <w:rPr>
                <w:sz w:val="20"/>
                <w:szCs w:val="20"/>
              </w:rPr>
            </w:pPr>
          </w:p>
          <w:p w:rsidR="0099388A" w:rsidRDefault="0099388A" w:rsidP="00C21804">
            <w:pPr>
              <w:numPr>
                <w:ilvl w:val="0"/>
                <w:numId w:val="0"/>
              </w:numPr>
              <w:spacing w:after="0" w:line="240" w:lineRule="auto"/>
              <w:rPr>
                <w:sz w:val="20"/>
                <w:szCs w:val="20"/>
              </w:rPr>
            </w:pPr>
          </w:p>
          <w:p w:rsidR="00147F5D" w:rsidRDefault="0099388A" w:rsidP="0099388A">
            <w:pPr>
              <w:numPr>
                <w:ilvl w:val="0"/>
                <w:numId w:val="0"/>
              </w:numPr>
              <w:spacing w:after="0" w:line="240" w:lineRule="auto"/>
              <w:rPr>
                <w:sz w:val="20"/>
                <w:szCs w:val="20"/>
              </w:rPr>
            </w:pPr>
            <w:r w:rsidRPr="00B340F4">
              <w:rPr>
                <w:sz w:val="20"/>
                <w:szCs w:val="20"/>
              </w:rPr>
              <w:t>Zákon č. 480/2002 Z. z.</w:t>
            </w: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99388A" w:rsidRDefault="0099388A" w:rsidP="0099388A">
            <w:pPr>
              <w:numPr>
                <w:ilvl w:val="0"/>
                <w:numId w:val="0"/>
              </w:numPr>
              <w:spacing w:after="0" w:line="240" w:lineRule="auto"/>
              <w:rPr>
                <w:sz w:val="20"/>
                <w:szCs w:val="20"/>
              </w:rPr>
            </w:pPr>
          </w:p>
          <w:p w:rsidR="0099388A" w:rsidRDefault="0099388A" w:rsidP="0099388A">
            <w:pPr>
              <w:numPr>
                <w:ilvl w:val="0"/>
                <w:numId w:val="0"/>
              </w:numPr>
              <w:spacing w:after="0" w:line="240" w:lineRule="auto"/>
              <w:rPr>
                <w:sz w:val="20"/>
                <w:szCs w:val="20"/>
              </w:rPr>
            </w:pPr>
          </w:p>
          <w:p w:rsidR="0099388A" w:rsidRDefault="0099388A" w:rsidP="0099388A">
            <w:pPr>
              <w:numPr>
                <w:ilvl w:val="0"/>
                <w:numId w:val="0"/>
              </w:numPr>
              <w:spacing w:after="0" w:line="240" w:lineRule="auto"/>
              <w:rPr>
                <w:sz w:val="20"/>
                <w:szCs w:val="20"/>
              </w:rPr>
            </w:pPr>
          </w:p>
          <w:p w:rsidR="0099388A" w:rsidRDefault="0099388A" w:rsidP="0099388A">
            <w:pPr>
              <w:numPr>
                <w:ilvl w:val="0"/>
                <w:numId w:val="0"/>
              </w:numPr>
              <w:spacing w:after="0" w:line="240" w:lineRule="auto"/>
              <w:rPr>
                <w:sz w:val="20"/>
                <w:szCs w:val="20"/>
              </w:rPr>
            </w:pPr>
          </w:p>
          <w:p w:rsidR="0099388A" w:rsidRDefault="0099388A" w:rsidP="0099388A">
            <w:pPr>
              <w:numPr>
                <w:ilvl w:val="0"/>
                <w:numId w:val="0"/>
              </w:numPr>
              <w:spacing w:after="0" w:line="240" w:lineRule="auto"/>
              <w:rPr>
                <w:sz w:val="20"/>
                <w:szCs w:val="20"/>
              </w:rPr>
            </w:pPr>
          </w:p>
          <w:p w:rsidR="0099388A" w:rsidRDefault="0099388A"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99388A" w:rsidRDefault="0099388A"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99388A" w:rsidRDefault="0099388A" w:rsidP="0099388A">
            <w:pPr>
              <w:numPr>
                <w:ilvl w:val="0"/>
                <w:numId w:val="0"/>
              </w:numPr>
              <w:spacing w:after="0" w:line="240" w:lineRule="auto"/>
              <w:rPr>
                <w:sz w:val="20"/>
                <w:szCs w:val="20"/>
              </w:rPr>
            </w:pPr>
            <w:r w:rsidRPr="00B340F4">
              <w:rPr>
                <w:sz w:val="20"/>
                <w:szCs w:val="20"/>
              </w:rPr>
              <w:lastRenderedPageBreak/>
              <w:t>Zákon č. 480/2002 Z. z.</w:t>
            </w:r>
          </w:p>
          <w:p w:rsidR="0099388A" w:rsidRDefault="0099388A" w:rsidP="0099388A">
            <w:pPr>
              <w:numPr>
                <w:ilvl w:val="0"/>
                <w:numId w:val="0"/>
              </w:numPr>
              <w:spacing w:after="0" w:line="240" w:lineRule="auto"/>
              <w:rPr>
                <w:sz w:val="20"/>
                <w:szCs w:val="20"/>
              </w:rPr>
            </w:pPr>
          </w:p>
          <w:p w:rsidR="0099388A" w:rsidRPr="00DA68BB" w:rsidRDefault="0099388A" w:rsidP="00C21804">
            <w:pPr>
              <w:numPr>
                <w:ilvl w:val="0"/>
                <w:numId w:val="0"/>
              </w:numPr>
              <w:spacing w:after="0" w:line="240" w:lineRule="auto"/>
              <w:rPr>
                <w:sz w:val="20"/>
                <w:szCs w:val="20"/>
              </w:rPr>
            </w:pPr>
          </w:p>
        </w:tc>
        <w:tc>
          <w:tcPr>
            <w:tcW w:w="954" w:type="dxa"/>
          </w:tcPr>
          <w:p w:rsidR="00037DC2" w:rsidRDefault="00037DC2" w:rsidP="007252CC">
            <w:pPr>
              <w:numPr>
                <w:ilvl w:val="0"/>
                <w:numId w:val="0"/>
              </w:numPr>
              <w:spacing w:after="0" w:line="240" w:lineRule="auto"/>
              <w:rPr>
                <w:sz w:val="20"/>
                <w:szCs w:val="20"/>
              </w:rPr>
            </w:pPr>
            <w:r>
              <w:rPr>
                <w:sz w:val="20"/>
                <w:szCs w:val="20"/>
              </w:rPr>
              <w:lastRenderedPageBreak/>
              <w:t>Č 4</w:t>
            </w:r>
          </w:p>
          <w:p w:rsidR="007252CC" w:rsidRPr="007252CC" w:rsidRDefault="007252CC" w:rsidP="007252CC">
            <w:pPr>
              <w:numPr>
                <w:ilvl w:val="0"/>
                <w:numId w:val="0"/>
              </w:numPr>
              <w:spacing w:after="0" w:line="240" w:lineRule="auto"/>
              <w:rPr>
                <w:sz w:val="20"/>
                <w:szCs w:val="20"/>
              </w:rPr>
            </w:pPr>
            <w:r w:rsidRPr="007252CC">
              <w:rPr>
                <w:sz w:val="20"/>
                <w:szCs w:val="20"/>
              </w:rPr>
              <w:t xml:space="preserve">§ 12 </w:t>
            </w:r>
          </w:p>
          <w:p w:rsidR="007252CC" w:rsidRPr="00843CC8" w:rsidRDefault="007252CC" w:rsidP="007252CC">
            <w:pPr>
              <w:numPr>
                <w:ilvl w:val="0"/>
                <w:numId w:val="0"/>
              </w:numPr>
              <w:spacing w:after="0" w:line="240" w:lineRule="auto"/>
              <w:rPr>
                <w:sz w:val="20"/>
                <w:szCs w:val="20"/>
              </w:rPr>
            </w:pPr>
            <w:r w:rsidRPr="007252CC">
              <w:rPr>
                <w:sz w:val="20"/>
                <w:szCs w:val="20"/>
              </w:rPr>
              <w:t>O 11</w:t>
            </w: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Default="007252CC"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r>
              <w:rPr>
                <w:sz w:val="20"/>
                <w:szCs w:val="20"/>
              </w:rPr>
              <w:t>§ 22 O</w:t>
            </w:r>
            <w:r w:rsidR="00147F5D">
              <w:rPr>
                <w:sz w:val="20"/>
                <w:szCs w:val="20"/>
              </w:rPr>
              <w:t> </w:t>
            </w:r>
            <w:r>
              <w:rPr>
                <w:sz w:val="20"/>
                <w:szCs w:val="20"/>
              </w:rPr>
              <w:t>4</w:t>
            </w: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147F5D" w:rsidP="007252CC">
            <w:pPr>
              <w:numPr>
                <w:ilvl w:val="0"/>
                <w:numId w:val="0"/>
              </w:numPr>
              <w:spacing w:after="0" w:line="240" w:lineRule="auto"/>
              <w:rPr>
                <w:sz w:val="20"/>
                <w:szCs w:val="20"/>
              </w:rPr>
            </w:pPr>
            <w:r>
              <w:rPr>
                <w:sz w:val="20"/>
                <w:szCs w:val="20"/>
              </w:rPr>
              <w:t>O: 5</w:t>
            </w: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r>
              <w:rPr>
                <w:sz w:val="20"/>
                <w:szCs w:val="20"/>
              </w:rPr>
              <w:t>O: 6</w:t>
            </w: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r>
              <w:rPr>
                <w:sz w:val="20"/>
                <w:szCs w:val="20"/>
              </w:rPr>
              <w:t>O: 7</w:t>
            </w:r>
          </w:p>
          <w:p w:rsidR="0099388A" w:rsidRDefault="0099388A"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99388A" w:rsidRPr="00843CC8" w:rsidRDefault="0099388A" w:rsidP="007252CC">
            <w:pPr>
              <w:numPr>
                <w:ilvl w:val="0"/>
                <w:numId w:val="0"/>
              </w:numPr>
              <w:spacing w:after="0" w:line="240" w:lineRule="auto"/>
              <w:rPr>
                <w:sz w:val="20"/>
                <w:szCs w:val="20"/>
              </w:rPr>
            </w:pPr>
            <w:r>
              <w:rPr>
                <w:sz w:val="20"/>
                <w:szCs w:val="20"/>
              </w:rPr>
              <w:lastRenderedPageBreak/>
              <w:t>§ 36 O 1</w:t>
            </w:r>
          </w:p>
        </w:tc>
        <w:tc>
          <w:tcPr>
            <w:tcW w:w="3298" w:type="dxa"/>
          </w:tcPr>
          <w:p w:rsidR="007252CC" w:rsidRDefault="007252CC" w:rsidP="007252CC">
            <w:pPr>
              <w:numPr>
                <w:ilvl w:val="0"/>
                <w:numId w:val="0"/>
              </w:numPr>
              <w:spacing w:after="0" w:line="240" w:lineRule="auto"/>
              <w:rPr>
                <w:sz w:val="20"/>
                <w:szCs w:val="20"/>
              </w:rPr>
            </w:pPr>
            <w:r w:rsidRPr="007252CC">
              <w:rPr>
                <w:sz w:val="20"/>
                <w:szCs w:val="20"/>
              </w:rPr>
              <w:lastRenderedPageBreak/>
              <w:t xml:space="preserve">Dôvod ustanovený v odseku 9 písm. a) sa nevzťahuje na osobu, ktorá má trvalý pobyt, prechodný pobyt, tolerovaný pobyt, alebo ak osoba preukáže poskytovateľovi užívacie právo k nehnuteľnosti, v určenom zdravotnom obvode poskytovateľa ambulantnej starostlivosti podľa § 7 ods. 1 písm. a) bodov jeden a dva. Tento dôvod sa nevzťahuje ani na osobu, ktorej bolo v Slovenskej republike poskytnuté dočasné útočisko,14aab) na osobu žiadajúcu o poskytnutie dočasného útočiska,14aac) na osobu s poskytnutou doplnkovou </w:t>
            </w:r>
            <w:r w:rsidRPr="007252CC">
              <w:rPr>
                <w:sz w:val="20"/>
                <w:szCs w:val="20"/>
              </w:rPr>
              <w:lastRenderedPageBreak/>
              <w:t>ochranou,14aad) na azylanta14aad) a na osobu s tolerovaným pobytom,14aae) ktorá bola zaradená do programu ochrany obetí.</w:t>
            </w: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r w:rsidRPr="0099388A">
              <w:rPr>
                <w:sz w:val="20"/>
                <w:szCs w:val="20"/>
              </w:rPr>
              <w:t xml:space="preserve">Žiadateľovi sa počas pobytu v azylovom zariadení alebo  integračnom stredisku  poskytuje, </w:t>
            </w:r>
          </w:p>
          <w:p w:rsidR="0099388A" w:rsidRDefault="0099388A" w:rsidP="007252CC">
            <w:pPr>
              <w:numPr>
                <w:ilvl w:val="0"/>
                <w:numId w:val="0"/>
              </w:numPr>
              <w:spacing w:after="0" w:line="240" w:lineRule="auto"/>
              <w:rPr>
                <w:sz w:val="20"/>
                <w:szCs w:val="20"/>
              </w:rPr>
            </w:pPr>
            <w:r w:rsidRPr="0099388A">
              <w:rPr>
                <w:sz w:val="20"/>
                <w:szCs w:val="20"/>
              </w:rPr>
              <w:t>a)  ubytovanie,</w:t>
            </w:r>
          </w:p>
          <w:p w:rsidR="0099388A" w:rsidRDefault="0099388A" w:rsidP="007252CC">
            <w:pPr>
              <w:numPr>
                <w:ilvl w:val="0"/>
                <w:numId w:val="0"/>
              </w:numPr>
              <w:spacing w:after="0" w:line="240" w:lineRule="auto"/>
              <w:rPr>
                <w:sz w:val="20"/>
                <w:szCs w:val="20"/>
              </w:rPr>
            </w:pPr>
            <w:r w:rsidRPr="0099388A">
              <w:rPr>
                <w:sz w:val="20"/>
                <w:szCs w:val="20"/>
              </w:rPr>
              <w:t>b) stravovanie alebo stravné,</w:t>
            </w:r>
          </w:p>
          <w:p w:rsidR="0099388A" w:rsidRDefault="0099388A" w:rsidP="007252CC">
            <w:pPr>
              <w:numPr>
                <w:ilvl w:val="0"/>
                <w:numId w:val="0"/>
              </w:numPr>
              <w:spacing w:after="0" w:line="240" w:lineRule="auto"/>
              <w:rPr>
                <w:sz w:val="20"/>
                <w:szCs w:val="20"/>
              </w:rPr>
            </w:pPr>
            <w:r w:rsidRPr="0099388A">
              <w:rPr>
                <w:sz w:val="20"/>
                <w:szCs w:val="20"/>
              </w:rPr>
              <w:t xml:space="preserve">c) základné hygienické potreby a iné veci, ktoré nevyhnutne potrebuje na prežitie, </w:t>
            </w:r>
          </w:p>
          <w:p w:rsidR="0099388A" w:rsidRDefault="0099388A" w:rsidP="007252CC">
            <w:pPr>
              <w:numPr>
                <w:ilvl w:val="0"/>
                <w:numId w:val="0"/>
              </w:numPr>
              <w:spacing w:after="0" w:line="240" w:lineRule="auto"/>
              <w:rPr>
                <w:sz w:val="20"/>
                <w:szCs w:val="20"/>
              </w:rPr>
            </w:pPr>
            <w:r w:rsidRPr="0099388A">
              <w:rPr>
                <w:sz w:val="20"/>
                <w:szCs w:val="20"/>
              </w:rPr>
              <w:t>d) vreckové</w:t>
            </w:r>
          </w:p>
          <w:p w:rsidR="0099388A" w:rsidRDefault="0099388A" w:rsidP="007252CC">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Default="00147F5D" w:rsidP="00147F5D">
            <w:pPr>
              <w:numPr>
                <w:ilvl w:val="0"/>
                <w:numId w:val="0"/>
              </w:numPr>
              <w:spacing w:after="0" w:line="240" w:lineRule="auto"/>
              <w:rPr>
                <w:sz w:val="20"/>
                <w:szCs w:val="20"/>
              </w:rPr>
            </w:pPr>
            <w:r w:rsidRPr="00147F5D">
              <w:rPr>
                <w:sz w:val="20"/>
                <w:szCs w:val="20"/>
              </w:rPr>
              <w:t>Žiadateľovi sa počas pobytu v azylovom zariadení alebo integračnom stredisku poskytuje vreckové, ak tento zákon neustanovuje inak.</w:t>
            </w:r>
          </w:p>
          <w:p w:rsidR="00147F5D" w:rsidRDefault="00147F5D" w:rsidP="0099388A">
            <w:pPr>
              <w:numPr>
                <w:ilvl w:val="0"/>
                <w:numId w:val="0"/>
              </w:numPr>
              <w:spacing w:after="0" w:line="240" w:lineRule="auto"/>
              <w:rPr>
                <w:sz w:val="20"/>
                <w:szCs w:val="20"/>
              </w:rPr>
            </w:pPr>
          </w:p>
          <w:p w:rsidR="00147F5D" w:rsidRPr="00147F5D" w:rsidRDefault="00147F5D" w:rsidP="00147F5D">
            <w:pPr>
              <w:numPr>
                <w:ilvl w:val="0"/>
                <w:numId w:val="0"/>
              </w:numPr>
              <w:spacing w:after="0" w:line="240" w:lineRule="auto"/>
              <w:rPr>
                <w:sz w:val="20"/>
                <w:szCs w:val="20"/>
              </w:rPr>
            </w:pPr>
          </w:p>
          <w:p w:rsidR="00147F5D" w:rsidRDefault="00147F5D" w:rsidP="00147F5D">
            <w:pPr>
              <w:numPr>
                <w:ilvl w:val="0"/>
                <w:numId w:val="0"/>
              </w:numPr>
              <w:spacing w:after="0" w:line="240" w:lineRule="auto"/>
              <w:rPr>
                <w:sz w:val="20"/>
                <w:szCs w:val="20"/>
              </w:rPr>
            </w:pPr>
            <w:r w:rsidRPr="00147F5D">
              <w:rPr>
                <w:sz w:val="20"/>
                <w:szCs w:val="20"/>
              </w:rPr>
              <w:t>Počas pobytu v pobytovom tábore žiadateľ môže navštevovať kurz slovenského jazyka; kurz zabezpečí ministerstvo.</w:t>
            </w:r>
          </w:p>
          <w:p w:rsidR="00147F5D" w:rsidRDefault="00147F5D" w:rsidP="0099388A">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p>
          <w:p w:rsidR="00147F5D" w:rsidRPr="00147F5D" w:rsidRDefault="00147F5D" w:rsidP="00147F5D">
            <w:pPr>
              <w:numPr>
                <w:ilvl w:val="0"/>
                <w:numId w:val="0"/>
              </w:numPr>
              <w:spacing w:after="0" w:line="240" w:lineRule="auto"/>
              <w:rPr>
                <w:sz w:val="20"/>
                <w:szCs w:val="20"/>
              </w:rPr>
            </w:pPr>
          </w:p>
          <w:p w:rsidR="00147F5D" w:rsidRDefault="00147F5D" w:rsidP="0099388A">
            <w:pPr>
              <w:numPr>
                <w:ilvl w:val="0"/>
                <w:numId w:val="0"/>
              </w:numPr>
              <w:spacing w:after="0" w:line="240" w:lineRule="auto"/>
              <w:rPr>
                <w:sz w:val="20"/>
                <w:szCs w:val="20"/>
              </w:rPr>
            </w:pPr>
            <w:r w:rsidRPr="00147F5D">
              <w:rPr>
                <w:sz w:val="20"/>
                <w:szCs w:val="20"/>
              </w:rPr>
              <w:t>Ministerstvo zabezpečí žiadateľovi psychologické poradenstvo,11ad) sociálne poradenstvo11ae) alebo iné poradenstvo a kurz kultúrnej orientácie na základe jeho individuálnych potrieb; v prípade maloletého dieťaťa, aj ak je to potrebné pre jeho priaznivý vývin.</w:t>
            </w:r>
          </w:p>
          <w:p w:rsidR="0099388A" w:rsidRPr="00843CC8" w:rsidRDefault="0099388A" w:rsidP="0099388A">
            <w:pPr>
              <w:numPr>
                <w:ilvl w:val="0"/>
                <w:numId w:val="0"/>
              </w:numPr>
              <w:spacing w:after="0" w:line="240" w:lineRule="auto"/>
              <w:rPr>
                <w:sz w:val="20"/>
                <w:szCs w:val="20"/>
              </w:rPr>
            </w:pPr>
            <w:r w:rsidRPr="0099388A">
              <w:rPr>
                <w:sz w:val="20"/>
                <w:szCs w:val="20"/>
              </w:rPr>
              <w:lastRenderedPageBreak/>
              <w:t>Na odídenca sa primerane vzťahujú § 22 ods. 1, 2, 4 až 9, § 23 ods. 1 až 5 a § 23d ods. 1 s tým, že ubytovanie v azylovom zariadení sa mu poskytuje za podmienok uvedených v odsekoch 2 až 7. Vreckové a základné hygienické potreby nepatria odídencovi ani v prípade, ak je členom domácnosti, ktorej sa poskytuje pomoc v hmotnej núdzi,13bb) alebo poberá obdobnú finančnú pomoc; odídenec je povinný túto skutočnosť bezodkladne oznámiť ministerstvu.</w:t>
            </w:r>
          </w:p>
        </w:tc>
        <w:tc>
          <w:tcPr>
            <w:tcW w:w="851" w:type="dxa"/>
          </w:tcPr>
          <w:p w:rsidR="007252CC" w:rsidRDefault="007252CC" w:rsidP="007252CC">
            <w:pPr>
              <w:numPr>
                <w:ilvl w:val="0"/>
                <w:numId w:val="0"/>
              </w:numPr>
              <w:spacing w:after="0" w:line="240" w:lineRule="auto"/>
              <w:jc w:val="center"/>
              <w:rPr>
                <w:sz w:val="20"/>
                <w:szCs w:val="20"/>
              </w:rPr>
            </w:pPr>
            <w:r>
              <w:rPr>
                <w:sz w:val="20"/>
                <w:szCs w:val="20"/>
              </w:rPr>
              <w:lastRenderedPageBreak/>
              <w:t>Ú</w:t>
            </w: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7252CC">
            <w:pPr>
              <w:numPr>
                <w:ilvl w:val="0"/>
                <w:numId w:val="0"/>
              </w:numPr>
              <w:spacing w:after="0" w:line="240" w:lineRule="auto"/>
              <w:jc w:val="center"/>
              <w:rPr>
                <w:sz w:val="20"/>
                <w:szCs w:val="20"/>
              </w:rPr>
            </w:pPr>
          </w:p>
          <w:p w:rsidR="0099388A" w:rsidRDefault="0099388A" w:rsidP="0099388A">
            <w:pPr>
              <w:numPr>
                <w:ilvl w:val="0"/>
                <w:numId w:val="0"/>
              </w:numPr>
              <w:spacing w:after="0" w:line="240" w:lineRule="auto"/>
              <w:jc w:val="center"/>
              <w:rPr>
                <w:sz w:val="20"/>
                <w:szCs w:val="20"/>
              </w:rPr>
            </w:pPr>
            <w:r>
              <w:rPr>
                <w:sz w:val="20"/>
                <w:szCs w:val="20"/>
              </w:rPr>
              <w:t>Ú</w:t>
            </w:r>
          </w:p>
          <w:p w:rsidR="00147F5D" w:rsidRDefault="00147F5D" w:rsidP="0099388A">
            <w:pPr>
              <w:numPr>
                <w:ilvl w:val="0"/>
                <w:numId w:val="0"/>
              </w:numPr>
              <w:spacing w:after="0" w:line="240" w:lineRule="auto"/>
              <w:jc w:val="center"/>
              <w:rPr>
                <w:sz w:val="20"/>
                <w:szCs w:val="20"/>
              </w:rPr>
            </w:pPr>
          </w:p>
          <w:p w:rsidR="00147F5D" w:rsidRDefault="00147F5D" w:rsidP="0099388A">
            <w:pPr>
              <w:numPr>
                <w:ilvl w:val="0"/>
                <w:numId w:val="0"/>
              </w:numPr>
              <w:spacing w:after="0" w:line="240" w:lineRule="auto"/>
              <w:jc w:val="center"/>
              <w:rPr>
                <w:sz w:val="20"/>
                <w:szCs w:val="20"/>
              </w:rPr>
            </w:pPr>
          </w:p>
          <w:p w:rsidR="00147F5D" w:rsidRDefault="00147F5D" w:rsidP="0099388A">
            <w:pPr>
              <w:numPr>
                <w:ilvl w:val="0"/>
                <w:numId w:val="0"/>
              </w:numPr>
              <w:spacing w:after="0" w:line="240" w:lineRule="auto"/>
              <w:jc w:val="center"/>
              <w:rPr>
                <w:sz w:val="20"/>
                <w:szCs w:val="20"/>
              </w:rPr>
            </w:pPr>
          </w:p>
          <w:p w:rsidR="00147F5D" w:rsidRDefault="00147F5D" w:rsidP="0099388A">
            <w:pPr>
              <w:numPr>
                <w:ilvl w:val="0"/>
                <w:numId w:val="0"/>
              </w:numPr>
              <w:spacing w:after="0" w:line="240" w:lineRule="auto"/>
              <w:jc w:val="center"/>
              <w:rPr>
                <w:sz w:val="20"/>
                <w:szCs w:val="20"/>
              </w:rPr>
            </w:pPr>
          </w:p>
          <w:p w:rsidR="00147F5D" w:rsidRDefault="00147F5D" w:rsidP="0099388A">
            <w:pPr>
              <w:numPr>
                <w:ilvl w:val="0"/>
                <w:numId w:val="0"/>
              </w:numPr>
              <w:spacing w:after="0" w:line="240" w:lineRule="auto"/>
              <w:jc w:val="center"/>
              <w:rPr>
                <w:sz w:val="20"/>
                <w:szCs w:val="20"/>
              </w:rPr>
            </w:pPr>
          </w:p>
          <w:p w:rsidR="00147F5D" w:rsidRDefault="00147F5D" w:rsidP="0099388A">
            <w:pPr>
              <w:numPr>
                <w:ilvl w:val="0"/>
                <w:numId w:val="0"/>
              </w:numPr>
              <w:spacing w:after="0" w:line="240" w:lineRule="auto"/>
              <w:jc w:val="center"/>
              <w:rPr>
                <w:sz w:val="20"/>
                <w:szCs w:val="20"/>
              </w:rPr>
            </w:pPr>
          </w:p>
          <w:p w:rsidR="00147F5D" w:rsidRDefault="00147F5D" w:rsidP="0099388A">
            <w:pPr>
              <w:numPr>
                <w:ilvl w:val="0"/>
                <w:numId w:val="0"/>
              </w:numPr>
              <w:spacing w:after="0" w:line="240" w:lineRule="auto"/>
              <w:jc w:val="center"/>
              <w:rPr>
                <w:sz w:val="20"/>
                <w:szCs w:val="20"/>
              </w:rPr>
            </w:pPr>
          </w:p>
          <w:p w:rsidR="00147F5D" w:rsidRDefault="00147F5D" w:rsidP="0099388A">
            <w:pPr>
              <w:numPr>
                <w:ilvl w:val="0"/>
                <w:numId w:val="0"/>
              </w:numPr>
              <w:spacing w:after="0" w:line="240" w:lineRule="auto"/>
              <w:jc w:val="center"/>
              <w:rPr>
                <w:sz w:val="20"/>
                <w:szCs w:val="20"/>
              </w:rPr>
            </w:pPr>
          </w:p>
          <w:p w:rsidR="00147F5D" w:rsidRDefault="00147F5D"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147F5D" w:rsidRDefault="00147F5D" w:rsidP="0099388A">
            <w:pPr>
              <w:numPr>
                <w:ilvl w:val="0"/>
                <w:numId w:val="0"/>
              </w:numPr>
              <w:spacing w:after="0" w:line="240" w:lineRule="auto"/>
              <w:jc w:val="center"/>
              <w:rPr>
                <w:sz w:val="20"/>
                <w:szCs w:val="20"/>
              </w:rPr>
            </w:pPr>
            <w:r>
              <w:rPr>
                <w:sz w:val="20"/>
                <w:szCs w:val="20"/>
              </w:rPr>
              <w:t>Ú</w:t>
            </w: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r>
              <w:rPr>
                <w:sz w:val="20"/>
                <w:szCs w:val="20"/>
              </w:rPr>
              <w:t>Ú</w:t>
            </w: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r>
              <w:rPr>
                <w:sz w:val="20"/>
                <w:szCs w:val="20"/>
              </w:rPr>
              <w:t>Ú</w:t>
            </w: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Default="00AD4525" w:rsidP="0099388A">
            <w:pPr>
              <w:numPr>
                <w:ilvl w:val="0"/>
                <w:numId w:val="0"/>
              </w:numPr>
              <w:spacing w:after="0" w:line="240" w:lineRule="auto"/>
              <w:jc w:val="center"/>
              <w:rPr>
                <w:sz w:val="20"/>
                <w:szCs w:val="20"/>
              </w:rPr>
            </w:pPr>
          </w:p>
          <w:p w:rsidR="00AD4525" w:rsidRPr="00843CC8" w:rsidRDefault="00AD4525" w:rsidP="00AD4525">
            <w:pPr>
              <w:numPr>
                <w:ilvl w:val="0"/>
                <w:numId w:val="0"/>
              </w:numPr>
              <w:spacing w:after="0" w:line="240" w:lineRule="auto"/>
              <w:jc w:val="center"/>
              <w:rPr>
                <w:sz w:val="20"/>
                <w:szCs w:val="20"/>
              </w:rPr>
            </w:pPr>
            <w:r>
              <w:rPr>
                <w:sz w:val="20"/>
                <w:szCs w:val="20"/>
              </w:rPr>
              <w:lastRenderedPageBreak/>
              <w:t>Ú</w:t>
            </w:r>
          </w:p>
        </w:tc>
        <w:tc>
          <w:tcPr>
            <w:tcW w:w="1530" w:type="dxa"/>
          </w:tcPr>
          <w:p w:rsidR="007252CC" w:rsidRPr="00843CC8" w:rsidRDefault="007252CC" w:rsidP="007252CC">
            <w:pPr>
              <w:numPr>
                <w:ilvl w:val="0"/>
                <w:numId w:val="0"/>
              </w:numPr>
              <w:spacing w:after="0" w:line="240" w:lineRule="auto"/>
              <w:rPr>
                <w:sz w:val="20"/>
                <w:szCs w:val="20"/>
              </w:rPr>
            </w:pPr>
          </w:p>
        </w:tc>
        <w:tc>
          <w:tcPr>
            <w:tcW w:w="776" w:type="dxa"/>
          </w:tcPr>
          <w:p w:rsidR="007252CC" w:rsidRDefault="007252CC" w:rsidP="007252CC">
            <w:pPr>
              <w:numPr>
                <w:ilvl w:val="0"/>
                <w:numId w:val="0"/>
              </w:numPr>
              <w:spacing w:after="0" w:line="240" w:lineRule="auto"/>
              <w:rPr>
                <w:sz w:val="20"/>
                <w:szCs w:val="20"/>
              </w:rPr>
            </w:pPr>
            <w:r>
              <w:rPr>
                <w:sz w:val="20"/>
                <w:szCs w:val="20"/>
              </w:rPr>
              <w:t>GP - N</w:t>
            </w: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p>
          <w:p w:rsidR="0099388A" w:rsidRDefault="0099388A" w:rsidP="007252CC">
            <w:pPr>
              <w:numPr>
                <w:ilvl w:val="0"/>
                <w:numId w:val="0"/>
              </w:numPr>
              <w:spacing w:after="0" w:line="240" w:lineRule="auto"/>
              <w:rPr>
                <w:sz w:val="20"/>
                <w:szCs w:val="20"/>
              </w:rPr>
            </w:pPr>
            <w:r>
              <w:rPr>
                <w:sz w:val="20"/>
                <w:szCs w:val="20"/>
              </w:rPr>
              <w:t>GP - N</w:t>
            </w: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p>
          <w:p w:rsidR="00147F5D" w:rsidRDefault="00147F5D" w:rsidP="007252CC">
            <w:pPr>
              <w:numPr>
                <w:ilvl w:val="0"/>
                <w:numId w:val="0"/>
              </w:numPr>
              <w:spacing w:after="0" w:line="240" w:lineRule="auto"/>
              <w:rPr>
                <w:sz w:val="20"/>
                <w:szCs w:val="20"/>
              </w:rPr>
            </w:pPr>
            <w:r>
              <w:rPr>
                <w:sz w:val="20"/>
                <w:szCs w:val="20"/>
              </w:rPr>
              <w:t>GP - N</w:t>
            </w: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r>
              <w:rPr>
                <w:sz w:val="20"/>
                <w:szCs w:val="20"/>
              </w:rPr>
              <w:t>GP - N</w:t>
            </w: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r>
              <w:rPr>
                <w:sz w:val="20"/>
                <w:szCs w:val="20"/>
              </w:rPr>
              <w:t>GP –N</w:t>
            </w: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Default="00AD4525" w:rsidP="007252CC">
            <w:pPr>
              <w:numPr>
                <w:ilvl w:val="0"/>
                <w:numId w:val="0"/>
              </w:numPr>
              <w:spacing w:after="0" w:line="240" w:lineRule="auto"/>
              <w:rPr>
                <w:sz w:val="20"/>
                <w:szCs w:val="20"/>
              </w:rPr>
            </w:pPr>
          </w:p>
          <w:p w:rsidR="00AD4525" w:rsidRPr="00843CC8" w:rsidRDefault="00AD4525" w:rsidP="007252CC">
            <w:pPr>
              <w:numPr>
                <w:ilvl w:val="0"/>
                <w:numId w:val="0"/>
              </w:numPr>
              <w:spacing w:after="0" w:line="240" w:lineRule="auto"/>
              <w:rPr>
                <w:sz w:val="20"/>
                <w:szCs w:val="20"/>
              </w:rPr>
            </w:pPr>
            <w:r>
              <w:rPr>
                <w:sz w:val="20"/>
                <w:szCs w:val="20"/>
              </w:rPr>
              <w:lastRenderedPageBreak/>
              <w:t>GP - N</w:t>
            </w:r>
            <w:bookmarkStart w:id="0" w:name="_GoBack"/>
            <w:bookmarkEnd w:id="0"/>
          </w:p>
        </w:tc>
        <w:tc>
          <w:tcPr>
            <w:tcW w:w="2228" w:type="dxa"/>
          </w:tcPr>
          <w:p w:rsidR="007252CC" w:rsidRPr="00843CC8" w:rsidRDefault="007252CC" w:rsidP="007252CC">
            <w:pPr>
              <w:numPr>
                <w:ilvl w:val="0"/>
                <w:numId w:val="0"/>
              </w:numPr>
              <w:spacing w:after="0" w:line="240" w:lineRule="auto"/>
              <w:rPr>
                <w:sz w:val="20"/>
                <w:szCs w:val="20"/>
              </w:rPr>
            </w:pPr>
          </w:p>
        </w:tc>
      </w:tr>
      <w:tr w:rsidR="00116B2D" w:rsidRPr="00843CC8" w:rsidTr="007252CC">
        <w:tc>
          <w:tcPr>
            <w:tcW w:w="846" w:type="dxa"/>
          </w:tcPr>
          <w:p w:rsidR="00116B2D" w:rsidRPr="007252CC" w:rsidRDefault="00116B2D" w:rsidP="00116B2D">
            <w:pPr>
              <w:numPr>
                <w:ilvl w:val="0"/>
                <w:numId w:val="0"/>
              </w:numPr>
              <w:spacing w:after="0" w:line="240" w:lineRule="auto"/>
              <w:rPr>
                <w:sz w:val="20"/>
                <w:szCs w:val="20"/>
              </w:rPr>
            </w:pPr>
            <w:r w:rsidRPr="007252CC">
              <w:rPr>
                <w:sz w:val="20"/>
                <w:szCs w:val="20"/>
              </w:rPr>
              <w:lastRenderedPageBreak/>
              <w:t>Č.13</w:t>
            </w:r>
          </w:p>
          <w:p w:rsidR="00116B2D" w:rsidRPr="007252CC" w:rsidRDefault="00116B2D" w:rsidP="00116B2D">
            <w:pPr>
              <w:numPr>
                <w:ilvl w:val="0"/>
                <w:numId w:val="0"/>
              </w:numPr>
              <w:spacing w:after="0" w:line="240" w:lineRule="auto"/>
              <w:rPr>
                <w:sz w:val="20"/>
                <w:szCs w:val="20"/>
              </w:rPr>
            </w:pPr>
            <w:r w:rsidRPr="007252CC">
              <w:rPr>
                <w:sz w:val="20"/>
                <w:szCs w:val="20"/>
              </w:rPr>
              <w:t>O 4</w:t>
            </w:r>
          </w:p>
        </w:tc>
        <w:tc>
          <w:tcPr>
            <w:tcW w:w="2410" w:type="dxa"/>
          </w:tcPr>
          <w:p w:rsidR="00116B2D" w:rsidRPr="007252CC" w:rsidRDefault="00116B2D" w:rsidP="00116B2D">
            <w:pPr>
              <w:numPr>
                <w:ilvl w:val="0"/>
                <w:numId w:val="0"/>
              </w:numPr>
              <w:spacing w:after="0" w:line="240" w:lineRule="auto"/>
              <w:rPr>
                <w:sz w:val="20"/>
                <w:szCs w:val="20"/>
              </w:rPr>
            </w:pPr>
            <w:r w:rsidRPr="007252CC">
              <w:rPr>
                <w:sz w:val="20"/>
                <w:szCs w:val="20"/>
              </w:rPr>
              <w:t>Členské štáty poskytnú nevyhnutnú lekársku alebo inú pomoc osobám požívajúcim dočasnú ochranu, ktoré majú špecifické potreby, ako sú neplnoletí bez sprievodu alebo osoby, ktoré sa stali obeťami mučenia, znásilnenia, alebo inej vážnej formy psychického, fyzického alebo sexuálneho násilia.</w:t>
            </w:r>
          </w:p>
        </w:tc>
        <w:tc>
          <w:tcPr>
            <w:tcW w:w="992" w:type="dxa"/>
          </w:tcPr>
          <w:p w:rsidR="00116B2D" w:rsidRDefault="00116B2D" w:rsidP="00116B2D">
            <w:pPr>
              <w:numPr>
                <w:ilvl w:val="0"/>
                <w:numId w:val="0"/>
              </w:numPr>
              <w:spacing w:after="0" w:line="240" w:lineRule="auto"/>
              <w:jc w:val="center"/>
              <w:rPr>
                <w:sz w:val="20"/>
                <w:szCs w:val="20"/>
              </w:rPr>
            </w:pPr>
            <w:r w:rsidRPr="007252CC">
              <w:rPr>
                <w:sz w:val="20"/>
                <w:szCs w:val="20"/>
              </w:rPr>
              <w:t>N</w:t>
            </w: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116B2D">
            <w:pPr>
              <w:numPr>
                <w:ilvl w:val="0"/>
                <w:numId w:val="0"/>
              </w:numPr>
              <w:spacing w:after="0" w:line="240" w:lineRule="auto"/>
              <w:jc w:val="center"/>
              <w:rPr>
                <w:sz w:val="20"/>
                <w:szCs w:val="20"/>
              </w:rPr>
            </w:pPr>
          </w:p>
          <w:p w:rsidR="0099388A" w:rsidRDefault="0099388A" w:rsidP="0099388A">
            <w:pPr>
              <w:numPr>
                <w:ilvl w:val="0"/>
                <w:numId w:val="0"/>
              </w:numPr>
              <w:spacing w:after="0" w:line="240" w:lineRule="auto"/>
              <w:jc w:val="center"/>
              <w:rPr>
                <w:sz w:val="20"/>
                <w:szCs w:val="20"/>
              </w:rPr>
            </w:pPr>
          </w:p>
          <w:p w:rsidR="0099388A" w:rsidRPr="00843CC8" w:rsidRDefault="0099388A" w:rsidP="0099388A">
            <w:pPr>
              <w:numPr>
                <w:ilvl w:val="0"/>
                <w:numId w:val="0"/>
              </w:numPr>
              <w:spacing w:after="0" w:line="240" w:lineRule="auto"/>
              <w:jc w:val="center"/>
              <w:rPr>
                <w:sz w:val="20"/>
                <w:szCs w:val="20"/>
              </w:rPr>
            </w:pPr>
            <w:r>
              <w:rPr>
                <w:sz w:val="20"/>
                <w:szCs w:val="20"/>
              </w:rPr>
              <w:t>N</w:t>
            </w:r>
          </w:p>
        </w:tc>
        <w:tc>
          <w:tcPr>
            <w:tcW w:w="1134" w:type="dxa"/>
          </w:tcPr>
          <w:p w:rsidR="00116B2D" w:rsidRDefault="00C21804" w:rsidP="00116B2D">
            <w:pPr>
              <w:numPr>
                <w:ilvl w:val="0"/>
                <w:numId w:val="0"/>
              </w:numPr>
              <w:spacing w:after="0" w:line="240" w:lineRule="auto"/>
              <w:rPr>
                <w:sz w:val="20"/>
                <w:szCs w:val="20"/>
              </w:rPr>
            </w:pPr>
            <w:r w:rsidRPr="00DA68BB">
              <w:rPr>
                <w:sz w:val="20"/>
                <w:szCs w:val="20"/>
              </w:rPr>
              <w:t xml:space="preserve">Návrh zákona, ktorým sa mení a dopĺňa zákon č. 153/2013 Z. z. </w:t>
            </w:r>
            <w:r>
              <w:rPr>
                <w:sz w:val="20"/>
                <w:szCs w:val="20"/>
              </w:rPr>
              <w:t xml:space="preserve">a </w:t>
            </w:r>
            <w:r w:rsidRPr="00DA68BB">
              <w:rPr>
                <w:sz w:val="20"/>
                <w:szCs w:val="20"/>
              </w:rPr>
              <w:t>Zákon č. 576/2004 Z. z.</w:t>
            </w: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99388A">
            <w:pPr>
              <w:numPr>
                <w:ilvl w:val="0"/>
                <w:numId w:val="0"/>
              </w:numPr>
              <w:spacing w:after="0" w:line="240" w:lineRule="auto"/>
              <w:rPr>
                <w:sz w:val="20"/>
                <w:szCs w:val="20"/>
              </w:rPr>
            </w:pPr>
            <w:r w:rsidRPr="00B340F4">
              <w:rPr>
                <w:sz w:val="20"/>
                <w:szCs w:val="20"/>
              </w:rPr>
              <w:t>Zákon č. 480/2002 Z. z.</w:t>
            </w:r>
          </w:p>
          <w:p w:rsidR="0099388A" w:rsidRPr="00DA68BB" w:rsidRDefault="0099388A" w:rsidP="00116B2D">
            <w:pPr>
              <w:numPr>
                <w:ilvl w:val="0"/>
                <w:numId w:val="0"/>
              </w:numPr>
              <w:spacing w:after="0" w:line="240" w:lineRule="auto"/>
              <w:rPr>
                <w:sz w:val="20"/>
                <w:szCs w:val="20"/>
              </w:rPr>
            </w:pPr>
          </w:p>
        </w:tc>
        <w:tc>
          <w:tcPr>
            <w:tcW w:w="954" w:type="dxa"/>
          </w:tcPr>
          <w:p w:rsidR="00DA68BB" w:rsidRDefault="00DA68BB" w:rsidP="00116B2D">
            <w:pPr>
              <w:numPr>
                <w:ilvl w:val="0"/>
                <w:numId w:val="0"/>
              </w:numPr>
              <w:spacing w:after="0" w:line="240" w:lineRule="auto"/>
              <w:rPr>
                <w:sz w:val="20"/>
                <w:szCs w:val="20"/>
              </w:rPr>
            </w:pPr>
            <w:r>
              <w:rPr>
                <w:sz w:val="20"/>
                <w:szCs w:val="20"/>
              </w:rPr>
              <w:lastRenderedPageBreak/>
              <w:t>Č 4</w:t>
            </w:r>
          </w:p>
          <w:p w:rsidR="00116B2D" w:rsidRPr="00116B2D" w:rsidRDefault="00116B2D" w:rsidP="00116B2D">
            <w:pPr>
              <w:numPr>
                <w:ilvl w:val="0"/>
                <w:numId w:val="0"/>
              </w:numPr>
              <w:spacing w:after="0" w:line="240" w:lineRule="auto"/>
              <w:rPr>
                <w:sz w:val="20"/>
                <w:szCs w:val="20"/>
              </w:rPr>
            </w:pPr>
            <w:r w:rsidRPr="00116B2D">
              <w:rPr>
                <w:sz w:val="20"/>
                <w:szCs w:val="20"/>
              </w:rPr>
              <w:t xml:space="preserve">§ 12 </w:t>
            </w:r>
          </w:p>
          <w:p w:rsidR="00116B2D" w:rsidRDefault="00116B2D" w:rsidP="00116B2D">
            <w:pPr>
              <w:numPr>
                <w:ilvl w:val="0"/>
                <w:numId w:val="0"/>
              </w:numPr>
              <w:spacing w:after="0" w:line="240" w:lineRule="auto"/>
              <w:rPr>
                <w:sz w:val="20"/>
                <w:szCs w:val="20"/>
              </w:rPr>
            </w:pPr>
            <w:r w:rsidRPr="00116B2D">
              <w:rPr>
                <w:sz w:val="20"/>
                <w:szCs w:val="20"/>
              </w:rPr>
              <w:t>O</w:t>
            </w:r>
            <w:r w:rsidR="0099388A">
              <w:rPr>
                <w:sz w:val="20"/>
                <w:szCs w:val="20"/>
              </w:rPr>
              <w:t> </w:t>
            </w:r>
            <w:r w:rsidRPr="00116B2D">
              <w:rPr>
                <w:sz w:val="20"/>
                <w:szCs w:val="20"/>
              </w:rPr>
              <w:t>11</w:t>
            </w: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Default="0099388A" w:rsidP="00116B2D">
            <w:pPr>
              <w:numPr>
                <w:ilvl w:val="0"/>
                <w:numId w:val="0"/>
              </w:numPr>
              <w:spacing w:after="0" w:line="240" w:lineRule="auto"/>
              <w:rPr>
                <w:sz w:val="20"/>
                <w:szCs w:val="20"/>
              </w:rPr>
            </w:pPr>
          </w:p>
          <w:p w:rsidR="0099388A" w:rsidRPr="007252CC" w:rsidRDefault="0099388A" w:rsidP="00147F5D">
            <w:pPr>
              <w:numPr>
                <w:ilvl w:val="0"/>
                <w:numId w:val="0"/>
              </w:numPr>
              <w:spacing w:after="0" w:line="240" w:lineRule="auto"/>
              <w:rPr>
                <w:sz w:val="20"/>
                <w:szCs w:val="20"/>
              </w:rPr>
            </w:pPr>
            <w:r>
              <w:rPr>
                <w:sz w:val="20"/>
                <w:szCs w:val="20"/>
              </w:rPr>
              <w:t xml:space="preserve">§ </w:t>
            </w:r>
            <w:r w:rsidR="00147F5D">
              <w:rPr>
                <w:sz w:val="20"/>
                <w:szCs w:val="20"/>
              </w:rPr>
              <w:t>39</w:t>
            </w:r>
            <w:r>
              <w:rPr>
                <w:sz w:val="20"/>
                <w:szCs w:val="20"/>
              </w:rPr>
              <w:t xml:space="preserve"> O </w:t>
            </w:r>
            <w:r w:rsidR="00147F5D">
              <w:rPr>
                <w:sz w:val="20"/>
                <w:szCs w:val="20"/>
              </w:rPr>
              <w:t>1</w:t>
            </w:r>
          </w:p>
        </w:tc>
        <w:tc>
          <w:tcPr>
            <w:tcW w:w="3298" w:type="dxa"/>
          </w:tcPr>
          <w:p w:rsidR="00116B2D" w:rsidRDefault="00116B2D" w:rsidP="00116B2D">
            <w:pPr>
              <w:numPr>
                <w:ilvl w:val="0"/>
                <w:numId w:val="0"/>
              </w:numPr>
              <w:spacing w:after="0" w:line="240" w:lineRule="auto"/>
              <w:rPr>
                <w:sz w:val="20"/>
                <w:szCs w:val="20"/>
              </w:rPr>
            </w:pPr>
            <w:r w:rsidRPr="007252CC">
              <w:rPr>
                <w:sz w:val="20"/>
                <w:szCs w:val="20"/>
              </w:rPr>
              <w:t>Dôvod ustanovený v odseku 9 písm. a) sa nevzťahuje na osobu, ktorá má trvalý pobyt, prechodný pobyt, tolerovaný pobyt, alebo ak osoba preukáže poskytovateľovi užívacie právo k nehnuteľnosti, v určenom zdravotnom obvode poskytovateľa ambulantnej starostlivosti podľa § 7 ods. 1 písm. a) bodov jeden a dva. Tento dôvod sa nevzťahuje ani na osobu, ktorej bolo v Slovenskej republike poskytnuté dočasné útočisko,14aab) na osobu žiadajúcu o poskytnutie dočasného útočiska,14aac) na osobu s poskytnutou doplnkovou ochranou,14aad) na azylanta14aad) a na osobu s tolerovaným pobytom,14aae) ktorá bola zaradená do programu ochrany obetí.</w:t>
            </w: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Pr="00843CC8" w:rsidRDefault="00147F5D" w:rsidP="00116B2D">
            <w:pPr>
              <w:numPr>
                <w:ilvl w:val="0"/>
                <w:numId w:val="0"/>
              </w:numPr>
              <w:spacing w:after="0" w:line="240" w:lineRule="auto"/>
              <w:rPr>
                <w:sz w:val="20"/>
                <w:szCs w:val="20"/>
              </w:rPr>
            </w:pPr>
            <w:r w:rsidRPr="00147F5D">
              <w:rPr>
                <w:sz w:val="20"/>
                <w:szCs w:val="20"/>
              </w:rPr>
              <w:t xml:space="preserve">Ministerstvo vytvára v azylových zariadeniach vhodné podmienky na </w:t>
            </w:r>
            <w:r w:rsidRPr="00147F5D">
              <w:rPr>
                <w:sz w:val="20"/>
                <w:szCs w:val="20"/>
              </w:rPr>
              <w:lastRenderedPageBreak/>
              <w:t>ubytovanie cudzincov a starostlivosť o nich, pritom zohľadňuje osobitné potreby zraniteľných osôb zistené na základe individuálneho posúdenia ich stavu; vhodnými podmienkami sa rozumie aj prijímanie primeraných opatrení na zabránenie útokom a násiliu, ako aj poskytnutie ochrany obetiam obchodovania s ľuďmi. Zraniteľnými osobami sa na účely tohto ustanovenia rozumejú najmä maloleté osoby, zdravotne postihnuté osoby, staršie osoby, tehotné ženy, osamelí rodičia s maloletými deťmi, obete obchodovania s ľuďmi, osoby so závažným ochorením, osoby s duševnou poruchou a osoby, ktoré boli podrobené mučeniu, znásilneniu alebo iným závažným formám psychického násilia, fyzického násilia alebo sexuálneho násilia.</w:t>
            </w:r>
          </w:p>
        </w:tc>
        <w:tc>
          <w:tcPr>
            <w:tcW w:w="851" w:type="dxa"/>
          </w:tcPr>
          <w:p w:rsidR="00116B2D" w:rsidRDefault="00116B2D" w:rsidP="00116B2D">
            <w:pPr>
              <w:numPr>
                <w:ilvl w:val="0"/>
                <w:numId w:val="0"/>
              </w:numPr>
              <w:spacing w:after="0" w:line="240" w:lineRule="auto"/>
              <w:jc w:val="center"/>
              <w:rPr>
                <w:sz w:val="20"/>
                <w:szCs w:val="20"/>
              </w:rPr>
            </w:pPr>
            <w:r>
              <w:rPr>
                <w:sz w:val="20"/>
                <w:szCs w:val="20"/>
              </w:rPr>
              <w:lastRenderedPageBreak/>
              <w:t>Ú</w:t>
            </w: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Default="00147F5D" w:rsidP="00116B2D">
            <w:pPr>
              <w:numPr>
                <w:ilvl w:val="0"/>
                <w:numId w:val="0"/>
              </w:numPr>
              <w:spacing w:after="0" w:line="240" w:lineRule="auto"/>
              <w:jc w:val="center"/>
              <w:rPr>
                <w:sz w:val="20"/>
                <w:szCs w:val="20"/>
              </w:rPr>
            </w:pPr>
          </w:p>
          <w:p w:rsidR="00147F5D" w:rsidRPr="00843CC8" w:rsidRDefault="00147F5D" w:rsidP="00116B2D">
            <w:pPr>
              <w:numPr>
                <w:ilvl w:val="0"/>
                <w:numId w:val="0"/>
              </w:numPr>
              <w:spacing w:after="0" w:line="240" w:lineRule="auto"/>
              <w:jc w:val="center"/>
              <w:rPr>
                <w:sz w:val="20"/>
                <w:szCs w:val="20"/>
              </w:rPr>
            </w:pPr>
            <w:r>
              <w:rPr>
                <w:sz w:val="20"/>
                <w:szCs w:val="20"/>
              </w:rPr>
              <w:t>Ú</w:t>
            </w:r>
          </w:p>
        </w:tc>
        <w:tc>
          <w:tcPr>
            <w:tcW w:w="1530" w:type="dxa"/>
          </w:tcPr>
          <w:p w:rsidR="00116B2D" w:rsidRPr="007252CC" w:rsidRDefault="00116B2D" w:rsidP="00116B2D">
            <w:pPr>
              <w:numPr>
                <w:ilvl w:val="0"/>
                <w:numId w:val="0"/>
              </w:numPr>
              <w:spacing w:after="0" w:line="240" w:lineRule="auto"/>
              <w:rPr>
                <w:sz w:val="20"/>
                <w:szCs w:val="20"/>
              </w:rPr>
            </w:pPr>
          </w:p>
        </w:tc>
        <w:tc>
          <w:tcPr>
            <w:tcW w:w="776" w:type="dxa"/>
          </w:tcPr>
          <w:p w:rsidR="00116B2D" w:rsidRDefault="00147F5D" w:rsidP="00116B2D">
            <w:pPr>
              <w:numPr>
                <w:ilvl w:val="0"/>
                <w:numId w:val="0"/>
              </w:numPr>
              <w:spacing w:after="0" w:line="240" w:lineRule="auto"/>
              <w:rPr>
                <w:sz w:val="20"/>
                <w:szCs w:val="20"/>
              </w:rPr>
            </w:pPr>
            <w:r>
              <w:rPr>
                <w:sz w:val="20"/>
                <w:szCs w:val="20"/>
              </w:rPr>
              <w:t>GP</w:t>
            </w:r>
            <w:r w:rsidR="00116B2D">
              <w:rPr>
                <w:sz w:val="20"/>
                <w:szCs w:val="20"/>
              </w:rPr>
              <w:t xml:space="preserve"> - N</w:t>
            </w: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Default="00147F5D" w:rsidP="00116B2D">
            <w:pPr>
              <w:numPr>
                <w:ilvl w:val="0"/>
                <w:numId w:val="0"/>
              </w:numPr>
              <w:spacing w:after="0" w:line="240" w:lineRule="auto"/>
              <w:rPr>
                <w:sz w:val="20"/>
                <w:szCs w:val="20"/>
              </w:rPr>
            </w:pPr>
          </w:p>
          <w:p w:rsidR="00147F5D" w:rsidRPr="00843CC8" w:rsidRDefault="00147F5D" w:rsidP="00116B2D">
            <w:pPr>
              <w:numPr>
                <w:ilvl w:val="0"/>
                <w:numId w:val="0"/>
              </w:numPr>
              <w:spacing w:after="0" w:line="240" w:lineRule="auto"/>
              <w:rPr>
                <w:sz w:val="20"/>
                <w:szCs w:val="20"/>
              </w:rPr>
            </w:pPr>
            <w:r>
              <w:rPr>
                <w:sz w:val="20"/>
                <w:szCs w:val="20"/>
              </w:rPr>
              <w:t>GP - N</w:t>
            </w:r>
          </w:p>
        </w:tc>
        <w:tc>
          <w:tcPr>
            <w:tcW w:w="2228" w:type="dxa"/>
          </w:tcPr>
          <w:p w:rsidR="00116B2D" w:rsidRPr="00843CC8" w:rsidRDefault="00116B2D" w:rsidP="00116B2D">
            <w:pPr>
              <w:numPr>
                <w:ilvl w:val="0"/>
                <w:numId w:val="0"/>
              </w:numPr>
              <w:spacing w:after="0" w:line="240" w:lineRule="auto"/>
              <w:rPr>
                <w:sz w:val="20"/>
                <w:szCs w:val="20"/>
              </w:rPr>
            </w:pPr>
          </w:p>
        </w:tc>
      </w:tr>
    </w:tbl>
    <w:p w:rsidR="006E0B8D" w:rsidRPr="00843CC8" w:rsidRDefault="006E0B8D" w:rsidP="006D5697">
      <w:pPr>
        <w:numPr>
          <w:ilvl w:val="0"/>
          <w:numId w:val="0"/>
        </w:numPr>
        <w:spacing w:after="0"/>
        <w:rPr>
          <w:sz w:val="20"/>
          <w:szCs w:val="20"/>
        </w:rPr>
      </w:pPr>
    </w:p>
    <w:sectPr w:rsidR="006E0B8D" w:rsidRPr="00843CC8" w:rsidSect="006E0B8D">
      <w:pgSz w:w="16839" w:h="11907" w:orient="landscape" w:code="9"/>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953" w:rsidRDefault="00A95953" w:rsidP="00627D80">
      <w:pPr>
        <w:spacing w:after="0" w:line="240" w:lineRule="auto"/>
      </w:pPr>
      <w:r>
        <w:separator/>
      </w:r>
    </w:p>
  </w:endnote>
  <w:endnote w:type="continuationSeparator" w:id="0">
    <w:p w:rsidR="00A95953" w:rsidRDefault="00A95953" w:rsidP="0062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953" w:rsidRDefault="00A95953" w:rsidP="00627D80">
      <w:pPr>
        <w:spacing w:after="0" w:line="240" w:lineRule="auto"/>
      </w:pPr>
      <w:r>
        <w:separator/>
      </w:r>
    </w:p>
  </w:footnote>
  <w:footnote w:type="continuationSeparator" w:id="0">
    <w:p w:rsidR="00A95953" w:rsidRDefault="00A95953" w:rsidP="00627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E60"/>
    <w:multiLevelType w:val="hybridMultilevel"/>
    <w:tmpl w:val="96641D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6F476A"/>
    <w:multiLevelType w:val="hybridMultilevel"/>
    <w:tmpl w:val="2C7CF7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BE4B46"/>
    <w:multiLevelType w:val="hybridMultilevel"/>
    <w:tmpl w:val="E380607A"/>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 w15:restartNumberingAfterBreak="0">
    <w:nsid w:val="14262AA8"/>
    <w:multiLevelType w:val="hybridMultilevel"/>
    <w:tmpl w:val="5596B3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C84886"/>
    <w:multiLevelType w:val="hybridMultilevel"/>
    <w:tmpl w:val="20A4AFC4"/>
    <w:lvl w:ilvl="0" w:tplc="A5287448">
      <w:start w:val="1"/>
      <w:numFmt w:val="lowerLetter"/>
      <w:lvlText w:val="%1)"/>
      <w:lvlJc w:val="left"/>
      <w:pPr>
        <w:ind w:left="786" w:hanging="360"/>
      </w:pPr>
      <w:rPr>
        <w:rFonts w:hint="default"/>
        <w:i w:val="0"/>
        <w:color w:val="494949"/>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E850442"/>
    <w:multiLevelType w:val="hybridMultilevel"/>
    <w:tmpl w:val="37424BB0"/>
    <w:lvl w:ilvl="0" w:tplc="8460EA72">
      <w:start w:val="1"/>
      <w:numFmt w:val="lowerLetter"/>
      <w:lvlText w:val="%1)"/>
      <w:lvlJc w:val="left"/>
      <w:pPr>
        <w:ind w:left="720" w:hanging="360"/>
      </w:pPr>
      <w:rPr>
        <w:rFonts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4E74A8"/>
    <w:multiLevelType w:val="hybridMultilevel"/>
    <w:tmpl w:val="8DBA8D32"/>
    <w:lvl w:ilvl="0" w:tplc="417CB6B8">
      <w:start w:val="1"/>
      <w:numFmt w:val="decimal"/>
      <w:lvlText w:val="(%1)"/>
      <w:lvlJc w:val="left"/>
      <w:pPr>
        <w:ind w:left="720" w:hanging="360"/>
      </w:pPr>
      <w:rPr>
        <w:rFonts w:hint="default"/>
        <w:color w:val="auto"/>
      </w:rPr>
    </w:lvl>
    <w:lvl w:ilvl="1" w:tplc="C102F376">
      <w:start w:val="1"/>
      <w:numFmt w:val="lowerLetter"/>
      <w:lvlText w:val="%2)"/>
      <w:lvlJc w:val="left"/>
      <w:pPr>
        <w:ind w:left="644"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3A1D67"/>
    <w:multiLevelType w:val="hybridMultilevel"/>
    <w:tmpl w:val="21C28C7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28F8146E">
      <w:start w:val="1"/>
      <w:numFmt w:val="decimal"/>
      <w:lvlText w:val="%3."/>
      <w:lvlJc w:val="left"/>
      <w:pPr>
        <w:ind w:left="2766" w:hanging="360"/>
      </w:pPr>
      <w:rPr>
        <w:rFonts w:hint="default"/>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3D3425C9"/>
    <w:multiLevelType w:val="hybridMultilevel"/>
    <w:tmpl w:val="99B40580"/>
    <w:lvl w:ilvl="0" w:tplc="5840147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0867530"/>
    <w:multiLevelType w:val="hybridMultilevel"/>
    <w:tmpl w:val="96641D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40E522E"/>
    <w:multiLevelType w:val="hybridMultilevel"/>
    <w:tmpl w:val="2A3C97B4"/>
    <w:lvl w:ilvl="0" w:tplc="A2A65AEC">
      <w:start w:val="1"/>
      <w:numFmt w:val="decimal"/>
      <w:lvlText w:val="%1."/>
      <w:lvlJc w:val="left"/>
      <w:pPr>
        <w:tabs>
          <w:tab w:val="num" w:pos="502"/>
        </w:tabs>
        <w:ind w:left="502" w:hanging="360"/>
      </w:pPr>
      <w:rPr>
        <w:rFonts w:hint="default"/>
        <w:color w:val="000000"/>
      </w:rPr>
    </w:lvl>
    <w:lvl w:ilvl="1" w:tplc="BEE01EDE">
      <w:start w:val="1"/>
      <w:numFmt w:val="lowerLetter"/>
      <w:lvlText w:val="%2)"/>
      <w:lvlJc w:val="left"/>
      <w:pPr>
        <w:tabs>
          <w:tab w:val="num" w:pos="1380"/>
        </w:tabs>
        <w:ind w:left="1380" w:hanging="360"/>
      </w:pPr>
      <w:rPr>
        <w:rFonts w:hint="default"/>
        <w:color w:val="auto"/>
      </w:rPr>
    </w:lvl>
    <w:lvl w:ilvl="2" w:tplc="041B001B">
      <w:start w:val="1"/>
      <w:numFmt w:val="lowerRoman"/>
      <w:lvlText w:val="%3."/>
      <w:lvlJc w:val="right"/>
      <w:pPr>
        <w:tabs>
          <w:tab w:val="num" w:pos="2100"/>
        </w:tabs>
        <w:ind w:left="2100" w:hanging="180"/>
      </w:pPr>
    </w:lvl>
    <w:lvl w:ilvl="3" w:tplc="041B000F">
      <w:start w:val="1"/>
      <w:numFmt w:val="decimal"/>
      <w:lvlText w:val="%4."/>
      <w:lvlJc w:val="left"/>
      <w:pPr>
        <w:tabs>
          <w:tab w:val="num" w:pos="2820"/>
        </w:tabs>
        <w:ind w:left="2820" w:hanging="360"/>
      </w:pPr>
      <w:rPr>
        <w:rFonts w:hint="default"/>
      </w:r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11" w15:restartNumberingAfterBreak="0">
    <w:nsid w:val="5482350C"/>
    <w:multiLevelType w:val="hybridMultilevel"/>
    <w:tmpl w:val="189C7D7E"/>
    <w:lvl w:ilvl="0" w:tplc="EB164EC8">
      <w:start w:val="1"/>
      <w:numFmt w:val="decimal"/>
      <w:pStyle w:val="Normlny"/>
      <w:lvlText w:val="%1."/>
      <w:lvlJc w:val="righ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FB3262"/>
    <w:multiLevelType w:val="hybridMultilevel"/>
    <w:tmpl w:val="48020A30"/>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0F">
      <w:start w:val="1"/>
      <w:numFmt w:val="decimal"/>
      <w:lvlText w:val="%3."/>
      <w:lvlJc w:val="lef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3" w15:restartNumberingAfterBreak="0">
    <w:nsid w:val="58F90A54"/>
    <w:multiLevelType w:val="hybridMultilevel"/>
    <w:tmpl w:val="B502BF46"/>
    <w:lvl w:ilvl="0" w:tplc="041B000F">
      <w:start w:val="1"/>
      <w:numFmt w:val="decimal"/>
      <w:lvlText w:val="%1."/>
      <w:lvlJc w:val="left"/>
      <w:pPr>
        <w:ind w:left="358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97495E"/>
    <w:multiLevelType w:val="hybridMultilevel"/>
    <w:tmpl w:val="CB4EF6C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60F02E87"/>
    <w:multiLevelType w:val="hybridMultilevel"/>
    <w:tmpl w:val="9AEE016C"/>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68CC2463"/>
    <w:multiLevelType w:val="hybridMultilevel"/>
    <w:tmpl w:val="BEF8D836"/>
    <w:lvl w:ilvl="0" w:tplc="0494ED7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6EF626DC"/>
    <w:multiLevelType w:val="hybridMultilevel"/>
    <w:tmpl w:val="7B0AC11C"/>
    <w:lvl w:ilvl="0" w:tplc="5840147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59A6CD0"/>
    <w:multiLevelType w:val="hybridMultilevel"/>
    <w:tmpl w:val="E5E043EC"/>
    <w:lvl w:ilvl="0" w:tplc="D838647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76961A2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7AEC04F4"/>
    <w:multiLevelType w:val="hybridMultilevel"/>
    <w:tmpl w:val="F416A6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B705C7F"/>
    <w:multiLevelType w:val="hybridMultilevel"/>
    <w:tmpl w:val="626EB2C0"/>
    <w:lvl w:ilvl="0" w:tplc="BEE01EDE">
      <w:start w:val="1"/>
      <w:numFmt w:val="lowerLetter"/>
      <w:lvlText w:val="%1)"/>
      <w:lvlJc w:val="left"/>
      <w:pPr>
        <w:tabs>
          <w:tab w:val="num" w:pos="1380"/>
        </w:tabs>
        <w:ind w:left="138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DA16AFC"/>
    <w:multiLevelType w:val="hybridMultilevel"/>
    <w:tmpl w:val="32E8703C"/>
    <w:lvl w:ilvl="0" w:tplc="3984093A">
      <w:start w:val="1"/>
      <w:numFmt w:val="lowerLetter"/>
      <w:lvlText w:val="%1)"/>
      <w:lvlJc w:val="left"/>
      <w:pPr>
        <w:ind w:left="1146" w:hanging="360"/>
      </w:pPr>
      <w:rPr>
        <w:rFonts w:ascii="Times New Roman" w:hAnsi="Times New Roman"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11"/>
  </w:num>
  <w:num w:numId="2">
    <w:abstractNumId w:val="11"/>
  </w:num>
  <w:num w:numId="3">
    <w:abstractNumId w:val="3"/>
  </w:num>
  <w:num w:numId="4">
    <w:abstractNumId w:val="17"/>
  </w:num>
  <w:num w:numId="5">
    <w:abstractNumId w:val="8"/>
  </w:num>
  <w:num w:numId="6">
    <w:abstractNumId w:val="10"/>
  </w:num>
  <w:num w:numId="7">
    <w:abstractNumId w:val="18"/>
  </w:num>
  <w:num w:numId="8">
    <w:abstractNumId w:val="5"/>
  </w:num>
  <w:num w:numId="9">
    <w:abstractNumId w:val="16"/>
  </w:num>
  <w:num w:numId="10">
    <w:abstractNumId w:val="2"/>
  </w:num>
  <w:num w:numId="11">
    <w:abstractNumId w:val="20"/>
  </w:num>
  <w:num w:numId="12">
    <w:abstractNumId w:val="22"/>
  </w:num>
  <w:num w:numId="13">
    <w:abstractNumId w:val="0"/>
  </w:num>
  <w:num w:numId="14">
    <w:abstractNumId w:val="14"/>
  </w:num>
  <w:num w:numId="15">
    <w:abstractNumId w:val="13"/>
  </w:num>
  <w:num w:numId="16">
    <w:abstractNumId w:val="21"/>
  </w:num>
  <w:num w:numId="17">
    <w:abstractNumId w:val="9"/>
  </w:num>
  <w:num w:numId="18">
    <w:abstractNumId w:val="1"/>
  </w:num>
  <w:num w:numId="19">
    <w:abstractNumId w:val="6"/>
  </w:num>
  <w:num w:numId="20">
    <w:abstractNumId w:val="4"/>
  </w:num>
  <w:num w:numId="21">
    <w:abstractNumId w:val="15"/>
  </w:num>
  <w:num w:numId="22">
    <w:abstractNumId w:val="7"/>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8D"/>
    <w:rsid w:val="00005070"/>
    <w:rsid w:val="000327C3"/>
    <w:rsid w:val="00037DC2"/>
    <w:rsid w:val="001059E1"/>
    <w:rsid w:val="00116B2D"/>
    <w:rsid w:val="00142ED8"/>
    <w:rsid w:val="00147F5D"/>
    <w:rsid w:val="001A2C99"/>
    <w:rsid w:val="001B217D"/>
    <w:rsid w:val="002236BF"/>
    <w:rsid w:val="00230075"/>
    <w:rsid w:val="004462C5"/>
    <w:rsid w:val="004E19B8"/>
    <w:rsid w:val="005D4EC3"/>
    <w:rsid w:val="00627D80"/>
    <w:rsid w:val="006A1245"/>
    <w:rsid w:val="006D5697"/>
    <w:rsid w:val="006E0B8D"/>
    <w:rsid w:val="00701242"/>
    <w:rsid w:val="007146BD"/>
    <w:rsid w:val="007252CC"/>
    <w:rsid w:val="00747A1F"/>
    <w:rsid w:val="007610A8"/>
    <w:rsid w:val="00776016"/>
    <w:rsid w:val="00790BFB"/>
    <w:rsid w:val="007A014B"/>
    <w:rsid w:val="00843CC8"/>
    <w:rsid w:val="00884C14"/>
    <w:rsid w:val="008A37D8"/>
    <w:rsid w:val="00904C99"/>
    <w:rsid w:val="0091212A"/>
    <w:rsid w:val="0099388A"/>
    <w:rsid w:val="00A95953"/>
    <w:rsid w:val="00AD4525"/>
    <w:rsid w:val="00B009FE"/>
    <w:rsid w:val="00B958FE"/>
    <w:rsid w:val="00C16E95"/>
    <w:rsid w:val="00C21804"/>
    <w:rsid w:val="00C234B6"/>
    <w:rsid w:val="00C32F28"/>
    <w:rsid w:val="00DA68BB"/>
    <w:rsid w:val="00DC0D77"/>
    <w:rsid w:val="00EB23C9"/>
    <w:rsid w:val="00F912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F17C"/>
  <w15:docId w15:val="{DBB8FE95-DC94-4A4B-9807-3BC62DE3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6E95"/>
    <w:pPr>
      <w:numPr>
        <w:numId w:val="2"/>
      </w:numPr>
      <w:spacing w:after="120" w:line="276" w:lineRule="auto"/>
      <w:jc w:val="both"/>
    </w:pPr>
    <w:rPr>
      <w:rFonts w:ascii="Times New Roman" w:hAnsi="Times New Roman"/>
      <w:sz w:val="24"/>
    </w:rPr>
  </w:style>
  <w:style w:type="paragraph" w:styleId="Nadpis1">
    <w:name w:val="heading 1"/>
    <w:basedOn w:val="Normlny"/>
    <w:next w:val="Normlny"/>
    <w:link w:val="Nadpis1Char"/>
    <w:uiPriority w:val="9"/>
    <w:qFormat/>
    <w:rsid w:val="002236BF"/>
    <w:pPr>
      <w:keepNext/>
      <w:keepLines/>
      <w:numPr>
        <w:numId w:val="0"/>
      </w:numPr>
      <w:spacing w:before="240" w:after="0"/>
      <w:jc w:val="center"/>
      <w:outlineLvl w:val="0"/>
    </w:pPr>
    <w:rPr>
      <w:rFonts w:eastAsiaTheme="majorEastAsia" w:cstheme="majorBidi"/>
      <w:b/>
      <w:szCs w:val="32"/>
    </w:rPr>
  </w:style>
  <w:style w:type="paragraph" w:styleId="Nadpis2">
    <w:name w:val="heading 2"/>
    <w:basedOn w:val="Normlny"/>
    <w:next w:val="Normlny"/>
    <w:link w:val="Nadpis2Char"/>
    <w:uiPriority w:val="9"/>
    <w:qFormat/>
    <w:rsid w:val="007252CC"/>
    <w:pPr>
      <w:keepNext/>
      <w:numPr>
        <w:numId w:val="0"/>
      </w:numPr>
      <w:autoSpaceDE w:val="0"/>
      <w:autoSpaceDN w:val="0"/>
      <w:spacing w:after="0" w:line="240" w:lineRule="auto"/>
      <w:jc w:val="center"/>
      <w:outlineLvl w:val="1"/>
    </w:pPr>
    <w:rPr>
      <w:rFonts w:eastAsia="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236BF"/>
    <w:rPr>
      <w:rFonts w:ascii="Times New Roman" w:eastAsiaTheme="majorEastAsia" w:hAnsi="Times New Roman" w:cstheme="majorBidi"/>
      <w:b/>
      <w:sz w:val="24"/>
      <w:szCs w:val="32"/>
    </w:rPr>
  </w:style>
  <w:style w:type="table" w:styleId="Mriekatabuky">
    <w:name w:val="Table Grid"/>
    <w:basedOn w:val="Normlnatabuka"/>
    <w:uiPriority w:val="39"/>
    <w:rsid w:val="006E0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EB23C9"/>
    <w:pPr>
      <w:contextualSpacing/>
    </w:pPr>
  </w:style>
  <w:style w:type="paragraph" w:styleId="Textbubliny">
    <w:name w:val="Balloon Text"/>
    <w:basedOn w:val="Normlny"/>
    <w:link w:val="TextbublinyChar"/>
    <w:uiPriority w:val="99"/>
    <w:semiHidden/>
    <w:unhideWhenUsed/>
    <w:rsid w:val="00EB23C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23C9"/>
    <w:rPr>
      <w:rFonts w:ascii="Segoe UI" w:hAnsi="Segoe UI" w:cs="Segoe UI"/>
      <w:sz w:val="18"/>
      <w:szCs w:val="18"/>
    </w:rPr>
  </w:style>
  <w:style w:type="character" w:styleId="Hypertextovprepojenie">
    <w:name w:val="Hyperlink"/>
    <w:basedOn w:val="Predvolenpsmoodseku"/>
    <w:uiPriority w:val="99"/>
    <w:unhideWhenUsed/>
    <w:rsid w:val="00884C14"/>
    <w:rPr>
      <w:color w:val="0000FF"/>
      <w:u w:val="single"/>
    </w:rPr>
  </w:style>
  <w:style w:type="paragraph" w:styleId="Hlavika">
    <w:name w:val="header"/>
    <w:basedOn w:val="Normlny"/>
    <w:link w:val="HlavikaChar"/>
    <w:uiPriority w:val="99"/>
    <w:unhideWhenUsed/>
    <w:rsid w:val="00627D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D80"/>
    <w:rPr>
      <w:rFonts w:ascii="Times New Roman" w:hAnsi="Times New Roman"/>
      <w:sz w:val="24"/>
    </w:rPr>
  </w:style>
  <w:style w:type="paragraph" w:styleId="Pta">
    <w:name w:val="footer"/>
    <w:basedOn w:val="Normlny"/>
    <w:link w:val="PtaChar"/>
    <w:uiPriority w:val="99"/>
    <w:unhideWhenUsed/>
    <w:rsid w:val="00627D80"/>
    <w:pPr>
      <w:tabs>
        <w:tab w:val="center" w:pos="4536"/>
        <w:tab w:val="right" w:pos="9072"/>
      </w:tabs>
      <w:spacing w:after="0" w:line="240" w:lineRule="auto"/>
    </w:pPr>
  </w:style>
  <w:style w:type="character" w:customStyle="1" w:styleId="PtaChar">
    <w:name w:val="Päta Char"/>
    <w:basedOn w:val="Predvolenpsmoodseku"/>
    <w:link w:val="Pta"/>
    <w:uiPriority w:val="99"/>
    <w:rsid w:val="00627D80"/>
    <w:rPr>
      <w:rFonts w:ascii="Times New Roman" w:hAnsi="Times New Roman"/>
      <w:sz w:val="24"/>
    </w:rPr>
  </w:style>
  <w:style w:type="character" w:customStyle="1" w:styleId="markedcontent">
    <w:name w:val="markedcontent"/>
    <w:rsid w:val="007252CC"/>
  </w:style>
  <w:style w:type="paragraph" w:styleId="Zkladntext2">
    <w:name w:val="Body Text 2"/>
    <w:basedOn w:val="Normlny"/>
    <w:link w:val="Zkladntext2Char"/>
    <w:uiPriority w:val="99"/>
    <w:rsid w:val="007252CC"/>
    <w:pPr>
      <w:numPr>
        <w:numId w:val="0"/>
      </w:numPr>
      <w:autoSpaceDE w:val="0"/>
      <w:autoSpaceDN w:val="0"/>
      <w:spacing w:after="0" w:line="240" w:lineRule="auto"/>
      <w:ind w:right="-516"/>
    </w:pPr>
    <w:rPr>
      <w:rFonts w:eastAsia="Times New Roman" w:cs="Times New Roman"/>
      <w:szCs w:val="24"/>
      <w:lang w:eastAsia="sk-SK"/>
    </w:rPr>
  </w:style>
  <w:style w:type="character" w:customStyle="1" w:styleId="Zkladntext2Char">
    <w:name w:val="Základný text 2 Char"/>
    <w:basedOn w:val="Predvolenpsmoodseku"/>
    <w:link w:val="Zkladntext2"/>
    <w:uiPriority w:val="99"/>
    <w:rsid w:val="007252CC"/>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7252CC"/>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rsid w:val="007252CC"/>
    <w:pPr>
      <w:numPr>
        <w:numId w:val="0"/>
      </w:numPr>
      <w:autoSpaceDE w:val="0"/>
      <w:autoSpaceDN w:val="0"/>
      <w:spacing w:after="0" w:line="240" w:lineRule="auto"/>
    </w:pPr>
    <w:rPr>
      <w:rFonts w:eastAsia="Times New Roman" w:cs="Times New Roman"/>
      <w:szCs w:val="24"/>
      <w:lang w:eastAsia="sk-SK"/>
    </w:rPr>
  </w:style>
  <w:style w:type="character" w:customStyle="1" w:styleId="ZkladntextChar">
    <w:name w:val="Základný text Char"/>
    <w:basedOn w:val="Predvolenpsmoodseku"/>
    <w:link w:val="Zkladntext"/>
    <w:uiPriority w:val="99"/>
    <w:rsid w:val="007252CC"/>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029909">
      <w:bodyDiv w:val="1"/>
      <w:marLeft w:val="0"/>
      <w:marRight w:val="0"/>
      <w:marTop w:val="0"/>
      <w:marBottom w:val="0"/>
      <w:divBdr>
        <w:top w:val="none" w:sz="0" w:space="0" w:color="auto"/>
        <w:left w:val="none" w:sz="0" w:space="0" w:color="auto"/>
        <w:bottom w:val="none" w:sz="0" w:space="0" w:color="auto"/>
        <w:right w:val="none" w:sz="0" w:space="0" w:color="auto"/>
      </w:divBdr>
      <w:divsChild>
        <w:div w:id="29693179">
          <w:marLeft w:val="0"/>
          <w:marRight w:val="0"/>
          <w:marTop w:val="0"/>
          <w:marBottom w:val="0"/>
          <w:divBdr>
            <w:top w:val="none" w:sz="0" w:space="0" w:color="auto"/>
            <w:left w:val="none" w:sz="0" w:space="0" w:color="auto"/>
            <w:bottom w:val="none" w:sz="0" w:space="0" w:color="auto"/>
            <w:right w:val="none" w:sz="0" w:space="0" w:color="auto"/>
          </w:divBdr>
          <w:divsChild>
            <w:div w:id="753280099">
              <w:marLeft w:val="0"/>
              <w:marRight w:val="0"/>
              <w:marTop w:val="0"/>
              <w:marBottom w:val="0"/>
              <w:divBdr>
                <w:top w:val="none" w:sz="0" w:space="0" w:color="auto"/>
                <w:left w:val="none" w:sz="0" w:space="0" w:color="auto"/>
                <w:bottom w:val="none" w:sz="0" w:space="0" w:color="auto"/>
                <w:right w:val="none" w:sz="0" w:space="0" w:color="auto"/>
              </w:divBdr>
            </w:div>
          </w:divsChild>
        </w:div>
        <w:div w:id="1033841240">
          <w:marLeft w:val="0"/>
          <w:marRight w:val="0"/>
          <w:marTop w:val="0"/>
          <w:marBottom w:val="0"/>
          <w:divBdr>
            <w:top w:val="none" w:sz="0" w:space="0" w:color="auto"/>
            <w:left w:val="none" w:sz="0" w:space="0" w:color="auto"/>
            <w:bottom w:val="none" w:sz="0" w:space="0" w:color="auto"/>
            <w:right w:val="none" w:sz="0" w:space="0" w:color="auto"/>
          </w:divBdr>
          <w:divsChild>
            <w:div w:id="1755317788">
              <w:marLeft w:val="0"/>
              <w:marRight w:val="0"/>
              <w:marTop w:val="0"/>
              <w:marBottom w:val="0"/>
              <w:divBdr>
                <w:top w:val="none" w:sz="0" w:space="0" w:color="auto"/>
                <w:left w:val="none" w:sz="0" w:space="0" w:color="auto"/>
                <w:bottom w:val="none" w:sz="0" w:space="0" w:color="auto"/>
                <w:right w:val="none" w:sz="0" w:space="0" w:color="auto"/>
              </w:divBdr>
            </w:div>
            <w:div w:id="1895195071">
              <w:marLeft w:val="0"/>
              <w:marRight w:val="0"/>
              <w:marTop w:val="0"/>
              <w:marBottom w:val="0"/>
              <w:divBdr>
                <w:top w:val="none" w:sz="0" w:space="0" w:color="auto"/>
                <w:left w:val="none" w:sz="0" w:space="0" w:color="auto"/>
                <w:bottom w:val="none" w:sz="0" w:space="0" w:color="auto"/>
                <w:right w:val="none" w:sz="0" w:space="0" w:color="auto"/>
              </w:divBdr>
            </w:div>
            <w:div w:id="160900577">
              <w:marLeft w:val="0"/>
              <w:marRight w:val="0"/>
              <w:marTop w:val="0"/>
              <w:marBottom w:val="0"/>
              <w:divBdr>
                <w:top w:val="none" w:sz="0" w:space="0" w:color="auto"/>
                <w:left w:val="none" w:sz="0" w:space="0" w:color="auto"/>
                <w:bottom w:val="none" w:sz="0" w:space="0" w:color="auto"/>
                <w:right w:val="none" w:sz="0" w:space="0" w:color="auto"/>
              </w:divBdr>
            </w:div>
            <w:div w:id="1297642608">
              <w:marLeft w:val="0"/>
              <w:marRight w:val="0"/>
              <w:marTop w:val="0"/>
              <w:marBottom w:val="0"/>
              <w:divBdr>
                <w:top w:val="none" w:sz="0" w:space="0" w:color="auto"/>
                <w:left w:val="none" w:sz="0" w:space="0" w:color="auto"/>
                <w:bottom w:val="none" w:sz="0" w:space="0" w:color="auto"/>
                <w:right w:val="none" w:sz="0" w:space="0" w:color="auto"/>
              </w:divBdr>
            </w:div>
            <w:div w:id="3871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4908</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Bradáčová</dc:creator>
  <cp:keywords/>
  <dc:description/>
  <cp:lastModifiedBy>Stacho Marek, Mgr.</cp:lastModifiedBy>
  <cp:revision>3</cp:revision>
  <cp:lastPrinted>2024-05-30T08:11:00Z</cp:lastPrinted>
  <dcterms:created xsi:type="dcterms:W3CDTF">2024-09-27T08:36:00Z</dcterms:created>
  <dcterms:modified xsi:type="dcterms:W3CDTF">2024-09-27T09:01:00Z</dcterms:modified>
</cp:coreProperties>
</file>