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1E25A8" w:rsidRPr="00356C4C" w:rsidP="00864E41">
            <w:pPr>
              <w:numPr>
                <w:ilvl w:val="0"/>
                <w:numId w:val="28"/>
              </w:numPr>
              <w:spacing w:line="240" w:lineRule="auto"/>
              <w:rPr>
                <w:sz w:val="22"/>
                <w:szCs w:val="22"/>
              </w:rPr>
            </w:pPr>
            <w:r w:rsidRPr="00356C4C" w:rsidR="00864E41">
              <w:rPr>
                <w:sz w:val="22"/>
                <w:szCs w:val="22"/>
              </w:rPr>
              <w:t>Žiadanka</w:t>
            </w:r>
            <w:r w:rsidRPr="00356C4C">
              <w:rPr>
                <w:sz w:val="22"/>
                <w:szCs w:val="22"/>
              </w:rPr>
              <w:t xml:space="preserve"> vyšetrenie spoločných vyšetrovacích a liečebných zložiek (ďalej len „</w:t>
            </w:r>
            <w:r w:rsidRPr="00356C4C" w:rsidR="00864E41">
              <w:rPr>
                <w:sz w:val="22"/>
                <w:szCs w:val="22"/>
              </w:rPr>
              <w:t>laboratórne vyšetrenie</w:t>
            </w:r>
            <w:r w:rsidRPr="00356C4C">
              <w:rPr>
                <w:sz w:val="22"/>
                <w:szCs w:val="22"/>
              </w:rPr>
              <w:t>“)</w:t>
            </w:r>
            <w:r w:rsidRPr="00356C4C" w:rsidR="00864E41">
              <w:rPr>
                <w:sz w:val="22"/>
                <w:szCs w:val="22"/>
              </w:rPr>
              <w:t xml:space="preserve"> sa v súčasnom režime vybavuje najmä papierovou formou. Tak vznikajú mnohokrát duplicitné požiadavky na vyšetrenie tých istých alebo podobných indikácií zdravotného stavu a s tým aj nevedomosť </w:t>
            </w:r>
            <w:r w:rsidRPr="00356C4C" w:rsidR="001275CE">
              <w:rPr>
                <w:sz w:val="22"/>
                <w:szCs w:val="22"/>
              </w:rPr>
              <w:t xml:space="preserve">vyšetrujúcich lekárov o požadovaných výsledkoch (napr. sa stávajú prípady, kedy lekár špecialista </w:t>
            </w:r>
            <w:r w:rsidRPr="00356C4C">
              <w:rPr>
                <w:sz w:val="22"/>
                <w:szCs w:val="22"/>
              </w:rPr>
              <w:t>duplicitne</w:t>
            </w:r>
            <w:r w:rsidRPr="00356C4C" w:rsidR="001275CE">
              <w:rPr>
                <w:sz w:val="22"/>
                <w:szCs w:val="22"/>
              </w:rPr>
              <w:t xml:space="preserve"> požiada o</w:t>
            </w:r>
            <w:r w:rsidRPr="00356C4C">
              <w:rPr>
                <w:sz w:val="22"/>
                <w:szCs w:val="22"/>
              </w:rPr>
              <w:t xml:space="preserve"> to isté </w:t>
            </w:r>
            <w:r w:rsidRPr="00356C4C" w:rsidR="001275CE">
              <w:rPr>
                <w:sz w:val="22"/>
                <w:szCs w:val="22"/>
              </w:rPr>
              <w:t>vyšetrenie pacienta</w:t>
            </w:r>
            <w:r w:rsidRPr="00356C4C">
              <w:rPr>
                <w:sz w:val="22"/>
                <w:szCs w:val="22"/>
              </w:rPr>
              <w:t>, aké žiadal všeobecný lekár).</w:t>
            </w:r>
          </w:p>
          <w:p w:rsidR="00337789" w:rsidRPr="00356C4C" w:rsidP="00864E41">
            <w:pPr>
              <w:numPr>
                <w:ilvl w:val="0"/>
                <w:numId w:val="28"/>
              </w:numPr>
              <w:spacing w:line="240" w:lineRule="auto"/>
              <w:rPr>
                <w:sz w:val="22"/>
                <w:szCs w:val="22"/>
              </w:rPr>
            </w:pPr>
            <w:r w:rsidRPr="00356C4C" w:rsidR="001E25A8">
              <w:rPr>
                <w:sz w:val="22"/>
                <w:szCs w:val="22"/>
              </w:rPr>
              <w:t>Dohody o</w:t>
            </w:r>
            <w:r w:rsidRPr="00356C4C" w:rsidR="001E25A8">
              <w:rPr>
                <w:sz w:val="22"/>
                <w:szCs w:val="22"/>
              </w:rPr>
              <w:t xml:space="preserve"> poskytovaní zdravotnej starostlivosti </w:t>
            </w:r>
            <w:r w:rsidRPr="00356C4C" w:rsidR="00356C4C">
              <w:rPr>
                <w:sz w:val="22"/>
                <w:szCs w:val="22"/>
              </w:rPr>
              <w:t xml:space="preserve">(ďalej len „dohoda“) </w:t>
            </w:r>
            <w:r w:rsidRPr="00356C4C" w:rsidR="001E25A8">
              <w:rPr>
                <w:sz w:val="22"/>
                <w:szCs w:val="22"/>
              </w:rPr>
              <w:t xml:space="preserve">sú v súčasnosti uzatvárané v listinnej podobe, čo je nežiadúce vzhľadom na prebiehajúcu elektronizáciu zdravotníctva nežiadúce. </w:t>
            </w:r>
            <w:r w:rsidRPr="00356C4C" w:rsidR="001275CE">
              <w:rPr>
                <w:sz w:val="22"/>
                <w:szCs w:val="22"/>
              </w:rPr>
              <w:t xml:space="preserve"> </w:t>
            </w:r>
          </w:p>
          <w:p w:rsidR="001E25A8" w:rsidRPr="00356C4C" w:rsidP="00864E41">
            <w:pPr>
              <w:numPr>
                <w:ilvl w:val="0"/>
                <w:numId w:val="28"/>
              </w:numPr>
              <w:spacing w:line="240" w:lineRule="auto"/>
              <w:rPr>
                <w:i/>
                <w:sz w:val="22"/>
                <w:szCs w:val="22"/>
              </w:rPr>
            </w:pPr>
            <w:r w:rsidRPr="00356C4C">
              <w:rPr>
                <w:sz w:val="22"/>
                <w:szCs w:val="22"/>
              </w:rPr>
              <w:t>Služba eobjednanie je síce plne funkčná, ale málo využívaná zo strany ako poskytovateľov, tak aj príjemcov zdravotnej starostlivosti</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356C4C" w:rsidP="007C7F8B">
            <w:pPr>
              <w:spacing w:line="240" w:lineRule="auto"/>
              <w:rPr>
                <w:i/>
                <w:sz w:val="22"/>
                <w:szCs w:val="22"/>
              </w:rPr>
            </w:pPr>
            <w:r w:rsidRPr="00356C4C">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337789" w:rsidRPr="00356C4C" w:rsidP="001E25A8">
            <w:pPr>
              <w:numPr>
                <w:ilvl w:val="0"/>
                <w:numId w:val="30"/>
              </w:numPr>
              <w:spacing w:line="240" w:lineRule="auto"/>
              <w:rPr>
                <w:sz w:val="22"/>
                <w:szCs w:val="22"/>
              </w:rPr>
            </w:pPr>
            <w:r w:rsidRPr="00356C4C" w:rsidR="001E25A8">
              <w:rPr>
                <w:sz w:val="22"/>
                <w:szCs w:val="22"/>
              </w:rPr>
              <w:t xml:space="preserve"> V súvislosti s elektronizáciou žiadanky na vyšetrenie spoločných vyšetrovacích a liečebných zložiek sa navrhuje kompetencia určených zdravotníckych pracovníkov vytvoriť elektronicky žiadanku na vyšetrenie spoločných vyšetrovacích a liečebných zložiek, jej rozsah a podmienky zápisu.  </w:t>
            </w:r>
          </w:p>
          <w:p w:rsidR="001E25A8" w:rsidRPr="00356C4C" w:rsidP="001E25A8">
            <w:pPr>
              <w:numPr>
                <w:ilvl w:val="0"/>
                <w:numId w:val="30"/>
              </w:numPr>
              <w:spacing w:line="240" w:lineRule="auto"/>
              <w:rPr>
                <w:sz w:val="22"/>
                <w:szCs w:val="22"/>
              </w:rPr>
            </w:pPr>
            <w:r w:rsidRPr="00356C4C">
              <w:rPr>
                <w:sz w:val="22"/>
                <w:szCs w:val="22"/>
              </w:rPr>
              <w:t>Pre poskytovateľov  zdravotnej starostlivosti sa zavádza povinnosť uzatvárať dohodu v elektronickej forme s poskytovateľom všeobecnej ambulantnej starostlivosti pre dospelých, všeobecnej ambulantnej starostlivosti pre deti a dorast a špecializovanej gynekologickej zdravotnej starostlivosti a povinnosť registrácie takejto dohody do registra dohôd</w:t>
            </w:r>
            <w:r w:rsidRPr="00356C4C" w:rsidR="00335A28">
              <w:rPr>
                <w:sz w:val="22"/>
                <w:szCs w:val="22"/>
              </w:rPr>
              <w:t xml:space="preserve"> o poskytovaní zdravotnej st</w:t>
            </w:r>
            <w:r w:rsidRPr="00356C4C" w:rsidR="00335A28">
              <w:rPr>
                <w:sz w:val="22"/>
                <w:szCs w:val="22"/>
              </w:rPr>
              <w:t>arostlivosti, ktorý sa v tejto súvislosti tiež vytvára</w:t>
            </w:r>
            <w:r w:rsidRPr="00356C4C">
              <w:rPr>
                <w:sz w:val="22"/>
                <w:szCs w:val="22"/>
              </w:rPr>
              <w:t>. Pripúšťa sa aj alternatívna listinná podoba dohody v prípadoch hodných osobitného zreteľa.</w:t>
            </w:r>
          </w:p>
          <w:p w:rsidR="001E25A8" w:rsidRPr="00356C4C" w:rsidP="001E25A8">
            <w:pPr>
              <w:numPr>
                <w:ilvl w:val="0"/>
                <w:numId w:val="30"/>
              </w:numPr>
              <w:spacing w:line="240" w:lineRule="auto"/>
              <w:rPr>
                <w:i/>
                <w:sz w:val="22"/>
                <w:szCs w:val="22"/>
              </w:rPr>
            </w:pPr>
            <w:r w:rsidRPr="00356C4C">
              <w:rPr>
                <w:sz w:val="22"/>
                <w:szCs w:val="22"/>
              </w:rPr>
              <w:t>Navrhované znenie pripravuje riešenia pre zlepšenie služby eobjenanie do budúcnosti</w:t>
            </w:r>
            <w:r w:rsidRPr="00356C4C" w:rsidR="00335A28">
              <w:rPr>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337789" w:rsidRPr="00356C4C" w:rsidP="00335A28">
            <w:pPr>
              <w:numPr>
                <w:ilvl w:val="0"/>
                <w:numId w:val="31"/>
              </w:numPr>
              <w:spacing w:line="240" w:lineRule="auto"/>
              <w:rPr>
                <w:sz w:val="22"/>
                <w:szCs w:val="22"/>
              </w:rPr>
            </w:pPr>
            <w:r w:rsidRPr="00356C4C" w:rsidR="00335A28">
              <w:rPr>
                <w:sz w:val="22"/>
                <w:szCs w:val="22"/>
              </w:rPr>
              <w:t>elektronická žiadanka na laboratórne vyšetrenie</w:t>
            </w:r>
          </w:p>
          <w:p w:rsidR="00335A28" w:rsidRPr="00356C4C" w:rsidP="00335A28">
            <w:pPr>
              <w:numPr>
                <w:ilvl w:val="0"/>
                <w:numId w:val="31"/>
              </w:numPr>
              <w:spacing w:line="240" w:lineRule="auto"/>
              <w:rPr>
                <w:sz w:val="22"/>
                <w:szCs w:val="22"/>
              </w:rPr>
            </w:pPr>
            <w:r w:rsidRPr="00356C4C">
              <w:rPr>
                <w:sz w:val="22"/>
                <w:szCs w:val="22"/>
              </w:rPr>
              <w:t>eDohody</w:t>
            </w:r>
          </w:p>
          <w:p w:rsidR="00335A28" w:rsidRPr="00D3615C" w:rsidP="00335A28">
            <w:pPr>
              <w:numPr>
                <w:ilvl w:val="0"/>
                <w:numId w:val="31"/>
              </w:numPr>
              <w:spacing w:line="240" w:lineRule="auto"/>
              <w:rPr>
                <w:i/>
                <w:sz w:val="22"/>
                <w:szCs w:val="22"/>
              </w:rPr>
            </w:pPr>
            <w:r w:rsidRPr="00356C4C">
              <w:rPr>
                <w:sz w:val="22"/>
                <w:szCs w:val="22"/>
              </w:rPr>
              <w:t>eObjednanie</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w:t>
            </w:r>
            <w:r w:rsidR="00335A28">
              <w:rPr>
                <w:i/>
                <w:sz w:val="22"/>
                <w:szCs w:val="22"/>
              </w:rPr>
              <w:t> </w:t>
            </w:r>
            <w:r>
              <w:rPr>
                <w:i/>
                <w:sz w:val="22"/>
                <w:szCs w:val="22"/>
              </w:rPr>
              <w:t>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356C4C" w:rsidP="00335A28">
            <w:pPr>
              <w:numPr>
                <w:ilvl w:val="0"/>
                <w:numId w:val="32"/>
              </w:numPr>
              <w:spacing w:line="240" w:lineRule="auto"/>
              <w:rPr>
                <w:sz w:val="22"/>
                <w:szCs w:val="22"/>
              </w:rPr>
            </w:pPr>
            <w:r w:rsidRPr="00356C4C" w:rsidR="00335A28">
              <w:rPr>
                <w:sz w:val="22"/>
                <w:szCs w:val="22"/>
              </w:rPr>
              <w:t>Zákon č. 576/2004 Z. z. o </w:t>
            </w:r>
            <w:r w:rsidRPr="00356C4C" w:rsidR="00335A28">
              <w:rPr>
                <w:sz w:val="22"/>
                <w:szCs w:val="22"/>
              </w:rPr>
              <w:t>zdravotnej starostlivosti, službách súvisiacich s poskytovaním zdravotnej starostlivosti a o zmene a doplnení niektorých zákonov v znení neskorších predpisov (ďalej len „zákon č. 576/2004 Z. z.“),</w:t>
            </w:r>
          </w:p>
          <w:p w:rsidR="00335A28" w:rsidRPr="00356C4C" w:rsidP="00335A28">
            <w:pPr>
              <w:numPr>
                <w:ilvl w:val="0"/>
                <w:numId w:val="32"/>
              </w:numPr>
              <w:spacing w:line="240" w:lineRule="auto"/>
              <w:rPr>
                <w:sz w:val="22"/>
                <w:szCs w:val="22"/>
              </w:rPr>
            </w:pPr>
            <w:r w:rsidRPr="00356C4C">
              <w:rPr>
                <w:sz w:val="22"/>
                <w:szCs w:val="22"/>
              </w:rPr>
              <w:t>Zákon č. 576/2004 Z. z.</w:t>
            </w:r>
          </w:p>
          <w:p w:rsidR="00335A28" w:rsidRPr="00335A28" w:rsidP="00335A28">
            <w:pPr>
              <w:numPr>
                <w:ilvl w:val="0"/>
                <w:numId w:val="32"/>
              </w:numPr>
              <w:spacing w:line="240" w:lineRule="auto"/>
              <w:rPr>
                <w:i/>
                <w:sz w:val="22"/>
                <w:szCs w:val="22"/>
              </w:rPr>
            </w:pPr>
            <w:r w:rsidRPr="00356C4C">
              <w:rPr>
                <w:sz w:val="22"/>
                <w:szCs w:val="22"/>
              </w:rPr>
              <w:t xml:space="preserve">Zákon č. 153/2013 Z. z. o národnom </w:t>
            </w:r>
            <w:r w:rsidRPr="00356C4C">
              <w:rPr>
                <w:sz w:val="22"/>
                <w:szCs w:val="22"/>
              </w:rPr>
              <w:t>zdravotníckom informačnom systéme a o zmene a doplnení niektorých zákonov v znení neskorších predpisov (ďalej len „zákon č. 153/2013 Z. z.“)</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F36EF9" w:rsidP="007C7F8B">
            <w:pPr>
              <w:spacing w:line="240" w:lineRule="auto"/>
              <w:rPr>
                <w:b/>
                <w:i/>
                <w:sz w:val="22"/>
                <w:szCs w:val="22"/>
              </w:rPr>
            </w:pPr>
            <w:r>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356C4C" w:rsidP="00335A28">
            <w:pPr>
              <w:numPr>
                <w:ilvl w:val="0"/>
                <w:numId w:val="33"/>
              </w:numPr>
              <w:spacing w:line="240" w:lineRule="auto"/>
              <w:rPr>
                <w:sz w:val="22"/>
                <w:szCs w:val="22"/>
              </w:rPr>
            </w:pPr>
            <w:r w:rsidRPr="00356C4C" w:rsidR="00335A28">
              <w:rPr>
                <w:sz w:val="22"/>
                <w:szCs w:val="22"/>
              </w:rPr>
              <w:t>Ministerstvo zdravotníctva Slove</w:t>
            </w:r>
            <w:r w:rsidRPr="00356C4C" w:rsidR="00335A28">
              <w:rPr>
                <w:sz w:val="22"/>
                <w:szCs w:val="22"/>
              </w:rPr>
              <w:t>nskej republiky, Národné centrum zdravotníckych informácií</w:t>
            </w:r>
          </w:p>
          <w:p w:rsidR="00335A28" w:rsidRPr="00356C4C" w:rsidP="00335A28">
            <w:pPr>
              <w:numPr>
                <w:ilvl w:val="0"/>
                <w:numId w:val="33"/>
              </w:numPr>
              <w:spacing w:line="240" w:lineRule="auto"/>
              <w:rPr>
                <w:sz w:val="22"/>
                <w:szCs w:val="22"/>
              </w:rPr>
            </w:pPr>
            <w:r w:rsidRPr="00356C4C">
              <w:rPr>
                <w:sz w:val="22"/>
                <w:szCs w:val="22"/>
              </w:rPr>
              <w:t>Ministerstvo zdravotníctva Slovenskej republiky, Národné centrum zdravotníckych informácií</w:t>
            </w:r>
          </w:p>
          <w:p w:rsidR="00335A28" w:rsidRPr="00B1031A" w:rsidP="00335A28">
            <w:pPr>
              <w:numPr>
                <w:ilvl w:val="0"/>
                <w:numId w:val="33"/>
              </w:numPr>
              <w:spacing w:line="240" w:lineRule="auto"/>
              <w:rPr>
                <w:sz w:val="22"/>
                <w:szCs w:val="22"/>
              </w:rPr>
            </w:pPr>
            <w:r w:rsidRPr="00356C4C">
              <w:rPr>
                <w:sz w:val="22"/>
                <w:szCs w:val="22"/>
              </w:rPr>
              <w:t>Ministerstvo zdravotníctva Slovenskej republiky, Národné centrum zdravotníckych informácií</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356C4C" w:rsidP="00356C4C">
            <w:pPr>
              <w:numPr>
                <w:ilvl w:val="0"/>
                <w:numId w:val="34"/>
              </w:numPr>
              <w:spacing w:line="240" w:lineRule="auto"/>
              <w:rPr>
                <w:sz w:val="22"/>
                <w:szCs w:val="22"/>
              </w:rPr>
            </w:pPr>
            <w:r w:rsidRPr="00356C4C" w:rsidR="00356C4C">
              <w:rPr>
                <w:sz w:val="22"/>
                <w:szCs w:val="22"/>
              </w:rPr>
              <w:t>zmena zákona 576/2004 Z. z.</w:t>
            </w:r>
          </w:p>
          <w:p w:rsidR="00356C4C" w:rsidRPr="00356C4C" w:rsidP="00356C4C">
            <w:pPr>
              <w:numPr>
                <w:ilvl w:val="0"/>
                <w:numId w:val="34"/>
              </w:numPr>
              <w:spacing w:line="240" w:lineRule="auto"/>
              <w:rPr>
                <w:sz w:val="22"/>
                <w:szCs w:val="22"/>
              </w:rPr>
            </w:pPr>
            <w:r w:rsidRPr="00356C4C">
              <w:rPr>
                <w:sz w:val="22"/>
                <w:szCs w:val="22"/>
              </w:rPr>
              <w:t>zmena zákona 576/2004 Z. z., zmena zákona č. 153/2013 Z. z.,</w:t>
            </w:r>
          </w:p>
          <w:p w:rsidR="00356C4C" w:rsidRPr="00335A28" w:rsidP="00356C4C">
            <w:pPr>
              <w:numPr>
                <w:ilvl w:val="0"/>
                <w:numId w:val="34"/>
              </w:numPr>
              <w:spacing w:line="240" w:lineRule="auto"/>
              <w:rPr>
                <w:i/>
                <w:sz w:val="22"/>
                <w:szCs w:val="22"/>
              </w:rPr>
            </w:pPr>
            <w:r w:rsidRPr="00356C4C">
              <w:rPr>
                <w:sz w:val="22"/>
                <w:szCs w:val="22"/>
              </w:rPr>
              <w:t>zmena zákona 153/2013 Z. z.</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337789" w:rsidRPr="005C4B9C" w:rsidP="007C7F8B">
            <w:pPr>
              <w:spacing w:line="240" w:lineRule="auto"/>
              <w:rPr>
                <w:b/>
                <w:i/>
                <w:sz w:val="2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Pr>
                <w:b/>
              </w:rPr>
              <w:t>7.2</w:t>
            </w:r>
            <w:r w:rsidRPr="00B1784E">
              <w:rPr>
                <w:b/>
              </w:rPr>
              <w:t>.</w:t>
            </w:r>
            <w:r>
              <w:rPr>
                <w:b/>
              </w:rPr>
              <w:t>1</w:t>
            </w:r>
            <w:r>
              <w:rPr>
                <w:b/>
              </w:rPr>
              <w:t xml:space="preserve">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P="007C7F8B">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337789"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E43AA2" w:rsidP="007C7F8B">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337789" w:rsidRPr="00E43AA2"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E43AA2" w:rsidP="007C7F8B">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E43AA2" w:rsidP="007C7F8B">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337789" w:rsidRPr="00E43AA2"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337789" w:rsidRPr="003C3251" w:rsidP="007C7F8B">
            <w:pPr>
              <w:spacing w:line="240" w:lineRule="auto"/>
              <w:rPr>
                <w:b/>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Zníženie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RPr="00356C4C" w:rsidP="00356C4C">
            <w:pPr>
              <w:numPr>
                <w:ilvl w:val="0"/>
                <w:numId w:val="35"/>
              </w:numPr>
              <w:spacing w:line="240" w:lineRule="auto"/>
            </w:pPr>
            <w:r w:rsidRPr="00356C4C" w:rsidR="00356C4C">
              <w:t>očakáva sa zníženie času na vybavenie laboratórnej žiadanky pre občana, vzhľadom na flexibilitu elektronickej formy,</w:t>
            </w:r>
          </w:p>
          <w:p w:rsidR="00356C4C" w:rsidRPr="00356C4C" w:rsidP="00356C4C">
            <w:pPr>
              <w:numPr>
                <w:ilvl w:val="0"/>
                <w:numId w:val="35"/>
              </w:numPr>
              <w:spacing w:line="240" w:lineRule="auto"/>
            </w:pPr>
            <w:r w:rsidRPr="00356C4C">
              <w:t>očakáva sa zníženie času stráveného v ambulancii pri uzatváraní dohody pre občana, vzhľadom na flex</w:t>
            </w:r>
            <w:r w:rsidRPr="00356C4C">
              <w:t>ibilitu elektronickej formy,</w:t>
            </w:r>
          </w:p>
          <w:p w:rsidR="00356C4C" w:rsidRPr="003C3251" w:rsidP="00356C4C">
            <w:pPr>
              <w:numPr>
                <w:ilvl w:val="0"/>
                <w:numId w:val="35"/>
              </w:numPr>
              <w:spacing w:line="240" w:lineRule="auto"/>
              <w:rPr>
                <w:b/>
              </w:rPr>
            </w:pPr>
            <w:r w:rsidRPr="00356C4C">
              <w:t>možno v budúcnosti očakávať zníženie času pri vybavení objednania na vyšetrenie pre občania v prípade využívania elektronického systému</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P="00356C4C">
            <w:pPr>
              <w:numPr>
                <w:ilvl w:val="0"/>
                <w:numId w:val="37"/>
              </w:numPr>
              <w:spacing w:line="240" w:lineRule="auto"/>
              <w:rPr>
                <w:iCs/>
              </w:rPr>
            </w:pPr>
            <w:r w:rsidR="00356C4C">
              <w:rPr>
                <w:iCs/>
              </w:rPr>
              <w:t>všetci občania ktorým je poskytovaná zdravotná starostlivosť</w:t>
            </w:r>
          </w:p>
          <w:p w:rsidR="00356C4C" w:rsidP="00356C4C">
            <w:pPr>
              <w:numPr>
                <w:ilvl w:val="0"/>
                <w:numId w:val="37"/>
              </w:numPr>
              <w:spacing w:line="240" w:lineRule="auto"/>
              <w:rPr>
                <w:iCs/>
              </w:rPr>
            </w:pPr>
            <w:r>
              <w:rPr>
                <w:iCs/>
              </w:rPr>
              <w:t>všetci občania ktorým je poskytovaná zdravotná starostlivosť</w:t>
            </w:r>
          </w:p>
          <w:p w:rsidR="00356C4C" w:rsidRPr="00356C4C" w:rsidP="00356C4C">
            <w:pPr>
              <w:numPr>
                <w:ilvl w:val="0"/>
                <w:numId w:val="37"/>
              </w:numPr>
              <w:spacing w:line="240" w:lineRule="auto"/>
              <w:rPr>
                <w:iCs/>
              </w:rPr>
            </w:pPr>
            <w:r>
              <w:rPr>
                <w:iCs/>
              </w:rPr>
              <w:t>všetci občania ktorým je p</w:t>
            </w:r>
            <w:r>
              <w:rPr>
                <w:iCs/>
              </w:rPr>
              <w:t>oskytovaná zdravotná starostlivosť</w:t>
            </w:r>
          </w:p>
          <w:p w:rsidR="00356C4C" w:rsidRPr="00356C4C" w:rsidP="00356C4C">
            <w:pPr>
              <w:spacing w:line="240" w:lineRule="auto"/>
              <w:rPr>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337789" w:rsidP="00356C4C">
            <w:pPr>
              <w:numPr>
                <w:ilvl w:val="0"/>
                <w:numId w:val="38"/>
              </w:numPr>
              <w:spacing w:line="240" w:lineRule="auto"/>
              <w:rPr>
                <w:i/>
                <w:iCs/>
              </w:rPr>
            </w:pPr>
            <w:r w:rsidR="00356C4C">
              <w:rPr>
                <w:i/>
                <w:iCs/>
              </w:rPr>
              <w:t>nie</w:t>
            </w:r>
          </w:p>
          <w:p w:rsidR="00356C4C" w:rsidP="00356C4C">
            <w:pPr>
              <w:numPr>
                <w:ilvl w:val="0"/>
                <w:numId w:val="38"/>
              </w:numPr>
              <w:spacing w:line="240" w:lineRule="auto"/>
              <w:rPr>
                <w:i/>
                <w:iCs/>
              </w:rPr>
            </w:pPr>
            <w:r>
              <w:rPr>
                <w:i/>
                <w:iCs/>
              </w:rPr>
              <w:t xml:space="preserve">mať k dispozícii </w:t>
            </w:r>
            <w:r w:rsidR="00EA5529">
              <w:rPr>
                <w:i/>
                <w:iCs/>
              </w:rPr>
              <w:t xml:space="preserve">občiansky preukaz s čipom alebo jeho </w:t>
            </w:r>
            <w:r w:rsidR="00EA5529">
              <w:rPr>
                <w:i/>
                <w:iCs/>
              </w:rPr>
              <w:t>ekvivalent (eID)</w:t>
            </w:r>
          </w:p>
          <w:p w:rsidR="00EA5529" w:rsidRPr="005C4B9C" w:rsidP="00356C4C">
            <w:pPr>
              <w:numPr>
                <w:ilvl w:val="0"/>
                <w:numId w:val="38"/>
              </w:numPr>
              <w:spacing w:line="240" w:lineRule="auto"/>
              <w:rPr>
                <w:i/>
                <w:iCs/>
              </w:rPr>
            </w:pPr>
            <w:r>
              <w:rPr>
                <w:i/>
                <w:iCs/>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337789" w:rsidP="007C7F8B">
            <w:pPr>
              <w:spacing w:line="240" w:lineRule="auto"/>
              <w:rPr>
                <w:i/>
                <w:iCs/>
              </w:rPr>
            </w:pPr>
          </w:p>
          <w:p w:rsidR="00CD477A" w:rsidP="007C7F8B">
            <w:pPr>
              <w:spacing w:line="240" w:lineRule="auto"/>
              <w:rPr>
                <w:i/>
                <w:iCs/>
              </w:rPr>
            </w:pPr>
          </w:p>
          <w:p w:rsidR="00CD477A" w:rsidP="007C7F8B">
            <w:pPr>
              <w:spacing w:line="240" w:lineRule="auto"/>
              <w:rPr>
                <w:i/>
                <w:iCs/>
              </w:rPr>
            </w:pPr>
          </w:p>
          <w:p w:rsidR="00CD477A"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337789" w:rsidRPr="00B1784E"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P="007C7F8B">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EA5529" w:rsidP="00EA5529">
            <w:pPr>
              <w:numPr>
                <w:ilvl w:val="0"/>
                <w:numId w:val="39"/>
              </w:numPr>
              <w:spacing w:line="240" w:lineRule="auto"/>
              <w:rPr>
                <w:sz w:val="22"/>
                <w:szCs w:val="22"/>
              </w:rPr>
            </w:pPr>
            <w:r w:rsidRPr="00356C4C">
              <w:rPr>
                <w:sz w:val="22"/>
                <w:szCs w:val="22"/>
              </w:rPr>
              <w:t>Ministerstvo zdrav</w:t>
            </w:r>
            <w:r w:rsidRPr="00356C4C">
              <w:rPr>
                <w:sz w:val="22"/>
                <w:szCs w:val="22"/>
              </w:rPr>
              <w:t>otníctva Slovenskej republiky, Národné centrum zdravotníckych informácií</w:t>
            </w:r>
            <w:r>
              <w:rPr>
                <w:sz w:val="22"/>
                <w:szCs w:val="22"/>
              </w:rPr>
              <w:t>, zdravotné poisťovne, poskytovatelia štátnej zdravotnej starostlivosti,</w:t>
            </w:r>
          </w:p>
          <w:p w:rsidR="00EA5529" w:rsidP="00EA5529">
            <w:pPr>
              <w:numPr>
                <w:ilvl w:val="0"/>
                <w:numId w:val="39"/>
              </w:numPr>
              <w:spacing w:line="240" w:lineRule="auto"/>
              <w:rPr>
                <w:sz w:val="22"/>
                <w:szCs w:val="22"/>
              </w:rPr>
            </w:pPr>
            <w:r w:rsidRPr="00356C4C">
              <w:rPr>
                <w:sz w:val="22"/>
                <w:szCs w:val="22"/>
              </w:rPr>
              <w:t>Ministerstvo zdravotníctva Slovenskej republiky, Národné centrum zdravotníckych informácií</w:t>
            </w:r>
            <w:r>
              <w:rPr>
                <w:sz w:val="22"/>
                <w:szCs w:val="22"/>
              </w:rPr>
              <w:t>, zdravotné poisťovne</w:t>
            </w:r>
            <w:r>
              <w:rPr>
                <w:sz w:val="22"/>
                <w:szCs w:val="22"/>
              </w:rPr>
              <w:t>, poskytovatelia štátnej zdravotnej starostlivosti,</w:t>
            </w:r>
          </w:p>
          <w:p w:rsidR="00337789" w:rsidRPr="00EA5529" w:rsidP="00EA5529">
            <w:pPr>
              <w:numPr>
                <w:ilvl w:val="0"/>
                <w:numId w:val="39"/>
              </w:numPr>
              <w:spacing w:line="240" w:lineRule="auto"/>
              <w:rPr>
                <w:sz w:val="22"/>
                <w:szCs w:val="22"/>
              </w:rPr>
            </w:pPr>
            <w:r w:rsidRPr="00356C4C" w:rsidR="00EA5529">
              <w:rPr>
                <w:sz w:val="22"/>
                <w:szCs w:val="22"/>
              </w:rPr>
              <w:t>Ministerstvo zdravotníctva Slovenskej republiky, Národné centrum zdravotníckych informácií</w:t>
            </w:r>
            <w:r w:rsidR="00EA5529">
              <w:rPr>
                <w:sz w:val="22"/>
                <w:szCs w:val="22"/>
              </w:rPr>
              <w:t>, zdravotné poisťovne, poskytovatelia štátnej zdravotnej starostlivosti,</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Pr>
                <w:b/>
              </w:rPr>
              <w:t xml:space="preserve">7.3.2 </w:t>
            </w:r>
            <w:r w:rsidRPr="00B1784E">
              <w:rPr>
                <w:b/>
              </w:rPr>
              <w:t xml:space="preserve">Vyplývajú z návrhu pre orgán </w:t>
            </w:r>
            <w:r>
              <w:rPr>
                <w:b/>
              </w:rPr>
              <w:t>verej</w:t>
            </w:r>
            <w:r>
              <w:rPr>
                <w:b/>
              </w:rPr>
              <w:t>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337789" w:rsidP="00EA5529">
            <w:pPr>
              <w:numPr>
                <w:ilvl w:val="0"/>
                <w:numId w:val="40"/>
              </w:numPr>
              <w:spacing w:line="240" w:lineRule="auto"/>
              <w:rPr>
                <w:i/>
                <w:iCs/>
              </w:rPr>
            </w:pPr>
            <w:r w:rsidR="00EA5529">
              <w:rPr>
                <w:i/>
                <w:iCs/>
              </w:rPr>
              <w:t>viesť a udržiavať informačný systém a zabezpečiť jeho kompatibilitu,</w:t>
            </w:r>
          </w:p>
          <w:p w:rsidR="00EA5529" w:rsidP="00EA5529">
            <w:pPr>
              <w:numPr>
                <w:ilvl w:val="0"/>
                <w:numId w:val="40"/>
              </w:numPr>
              <w:spacing w:line="240" w:lineRule="auto"/>
              <w:rPr>
                <w:i/>
                <w:iCs/>
              </w:rPr>
            </w:pPr>
            <w:r>
              <w:rPr>
                <w:i/>
                <w:iCs/>
              </w:rPr>
              <w:t>viesť a udržiavať informačný systém a zabezpečiť jeho komp</w:t>
            </w:r>
            <w:r>
              <w:rPr>
                <w:i/>
                <w:iCs/>
              </w:rPr>
              <w:t xml:space="preserve">atibilitu, viesť </w:t>
            </w:r>
            <w:r w:rsidRPr="00EA5529">
              <w:rPr>
                <w:i/>
                <w:iCs/>
              </w:rPr>
              <w:t>register dohôd o poskytovaní zdravotnej starostlivosti</w:t>
            </w:r>
            <w:r>
              <w:rPr>
                <w:i/>
                <w:iCs/>
              </w:rPr>
              <w:t>,</w:t>
            </w:r>
          </w:p>
          <w:p w:rsidR="00EA5529" w:rsidRPr="00EA5529" w:rsidP="00EA5529">
            <w:pPr>
              <w:numPr>
                <w:ilvl w:val="0"/>
                <w:numId w:val="40"/>
              </w:numPr>
              <w:spacing w:line="240" w:lineRule="auto"/>
              <w:rPr>
                <w:i/>
                <w:iCs/>
              </w:rPr>
            </w:pPr>
            <w:r>
              <w:rPr>
                <w:i/>
                <w:iCs/>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337789" w:rsidRPr="00B1784E" w:rsidP="007C7F8B">
            <w:pPr>
              <w:spacing w:line="240" w:lineRule="auto"/>
              <w:rPr>
                <w:i/>
                <w:iCs/>
              </w:rPr>
            </w:pPr>
          </w:p>
        </w:tc>
      </w:tr>
    </w:tbl>
    <w:p w:rsidR="00337789" w:rsidP="007C7F8B">
      <w:pPr>
        <w:autoSpaceDE w:val="0"/>
        <w:autoSpaceDN w:val="0"/>
        <w:spacing w:line="240" w:lineRule="auto"/>
        <w:jc w:val="center"/>
        <w:rPr>
          <w:rFonts w:eastAsia="Calibri"/>
          <w:b/>
          <w:bCs/>
          <w:color w:val="000000"/>
          <w:sz w:val="36"/>
          <w:szCs w:val="28"/>
          <w:lang w:eastAsia="en-US"/>
        </w:rPr>
      </w:pPr>
    </w:p>
    <w:p w:rsidR="006821D1" w:rsidP="007C7F8B">
      <w:pPr>
        <w:pStyle w:val="ListParagraph"/>
        <w:autoSpaceDE w:val="0"/>
        <w:autoSpaceDN w:val="0"/>
        <w:spacing w:line="240" w:lineRule="auto"/>
        <w:contextualSpacing/>
        <w:rPr>
          <w:rFonts w:eastAsia="Calibri"/>
          <w:bCs/>
          <w:color w:val="000000"/>
          <w:lang w:eastAsia="en-US"/>
        </w:rPr>
      </w:pPr>
    </w:p>
    <w:p w:rsidR="00096C3F" w:rsidRPr="008325CD" w:rsidP="00096C3F">
      <w:pPr>
        <w:autoSpaceDE w:val="0"/>
        <w:autoSpaceDN w:val="0"/>
        <w:spacing w:line="240" w:lineRule="auto"/>
        <w:jc w:val="center"/>
        <w:rPr>
          <w:rFonts w:eastAsia="Calibri"/>
          <w:b/>
          <w:bCs/>
          <w:color w:val="000000"/>
          <w:sz w:val="36"/>
          <w:szCs w:val="28"/>
          <w:lang w:eastAsia="en-US"/>
        </w:rPr>
      </w:pPr>
      <w:r w:rsidRPr="008325CD">
        <w:rPr>
          <w:rFonts w:eastAsia="Calibri"/>
          <w:b/>
          <w:bCs/>
          <w:color w:val="000000"/>
          <w:sz w:val="36"/>
          <w:szCs w:val="28"/>
          <w:lang w:eastAsia="en-US"/>
        </w:rPr>
        <w:t>Metodický postup pre analýzu vplyvov</w:t>
      </w:r>
      <w:r w:rsidRPr="008325CD">
        <w:rPr>
          <w:b/>
          <w:bCs/>
          <w:sz w:val="36"/>
          <w:szCs w:val="28"/>
        </w:rPr>
        <w:t xml:space="preserve"> </w:t>
      </w:r>
      <w:r>
        <w:rPr>
          <w:b/>
          <w:bCs/>
          <w:sz w:val="36"/>
          <w:szCs w:val="28"/>
        </w:rPr>
        <w:t>na služby verejnej správy pre občana</w:t>
      </w:r>
      <w:r w:rsidRPr="008325CD">
        <w:rPr>
          <w:b/>
          <w:bCs/>
          <w:sz w:val="36"/>
          <w:szCs w:val="28"/>
        </w:rPr>
        <w:t xml:space="preserve"> </w:t>
      </w:r>
    </w:p>
    <w:p w:rsidR="00096C3F" w:rsidP="00096C3F">
      <w:pPr>
        <w:autoSpaceDE w:val="0"/>
        <w:autoSpaceDN w:val="0"/>
        <w:spacing w:line="240" w:lineRule="auto"/>
        <w:rPr>
          <w:rFonts w:eastAsia="Calibri"/>
          <w:color w:val="000000"/>
          <w:lang w:eastAsia="en-US"/>
        </w:rPr>
      </w:pPr>
    </w:p>
    <w:p w:rsidR="00096C3F" w:rsidRPr="00C803A5" w:rsidP="00096C3F">
      <w:pPr>
        <w:autoSpaceDE w:val="0"/>
        <w:autoSpaceDN w:val="0"/>
        <w:spacing w:after="200" w:line="240" w:lineRule="auto"/>
        <w:rPr>
          <w:rFonts w:eastAsia="Calibri"/>
          <w:color w:val="000000"/>
          <w:lang w:eastAsia="en-US"/>
        </w:rPr>
      </w:pPr>
      <w:r w:rsidRPr="00DF0A83">
        <w:rPr>
          <w:rFonts w:eastAsia="Calibri"/>
          <w:color w:val="000000"/>
          <w:lang w:eastAsia="en-US"/>
        </w:rPr>
        <w:t>Cieľom služieb je u</w:t>
      </w:r>
      <w:r>
        <w:rPr>
          <w:rFonts w:eastAsia="Calibri"/>
          <w:color w:val="000000"/>
          <w:lang w:eastAsia="en-US"/>
        </w:rPr>
        <w:t xml:space="preserve">spokojovať ľudské potreby, a preto je nevyhnutné organizovať výkon verejnej správy a jej služieb tak, aby bol stredobodom pozornosti občan a uspokojenie jeho životných potrieb. </w:t>
      </w:r>
      <w:r w:rsidRPr="009F2D8E">
        <w:rPr>
          <w:rFonts w:eastAsia="Calibri"/>
          <w:color w:val="000000"/>
          <w:lang w:eastAsia="en-US"/>
        </w:rPr>
        <w:t xml:space="preserve">Občanom je v kontexte tejto analýzy </w:t>
      </w:r>
      <w:r w:rsidRPr="009F2D8E">
        <w:rPr>
          <w:rFonts w:eastAsia="Calibri"/>
          <w:bCs/>
          <w:color w:val="000000"/>
          <w:lang w:eastAsia="en-US"/>
        </w:rPr>
        <w:t>fyzická osoba, ktorá nevykonáva podnikateľskú činnosť</w:t>
      </w:r>
      <w:r>
        <w:rPr>
          <w:rFonts w:eastAsia="Calibri"/>
          <w:bCs/>
          <w:color w:val="000000"/>
          <w:lang w:eastAsia="en-US"/>
        </w:rPr>
        <w:t xml:space="preserve"> </w:t>
      </w:r>
      <w:r>
        <w:t>alebo inú činnosť ako samostatne zárobkovo činná osoba</w:t>
      </w:r>
      <w:r w:rsidRPr="009F2D8E">
        <w:rPr>
          <w:rFonts w:eastAsia="Calibri"/>
          <w:bCs/>
          <w:color w:val="000000"/>
          <w:lang w:eastAsia="en-US"/>
        </w:rPr>
        <w:t>.</w:t>
      </w:r>
      <w:r>
        <w:rPr>
          <w:rFonts w:eastAsia="Calibri"/>
          <w:bCs/>
          <w:color w:val="000000"/>
          <w:lang w:eastAsia="en-US"/>
        </w:rPr>
        <w:t xml:space="preserve"> </w:t>
      </w:r>
      <w:r>
        <w:rPr>
          <w:rFonts w:eastAsia="Calibri"/>
          <w:color w:val="000000"/>
          <w:lang w:eastAsia="en-US"/>
        </w:rPr>
        <w:t xml:space="preserve">Hlavným </w:t>
      </w:r>
      <w:r>
        <w:t>očakávaným</w:t>
      </w:r>
      <w:r w:rsidRPr="00D33326">
        <w:t xml:space="preserve"> </w:t>
      </w:r>
      <w:r>
        <w:t>prínosom</w:t>
      </w:r>
      <w:r w:rsidRPr="00D33326">
        <w:t xml:space="preserve"> </w:t>
      </w:r>
      <w:r>
        <w:t xml:space="preserve">modernej, efektívnej a občanovi dobre slúžiacej verejnej správy </w:t>
      </w:r>
      <w:r w:rsidRPr="00D33326">
        <w:t>je odbremenenie občana od zbytočnej záťaže</w:t>
      </w:r>
      <w:r>
        <w:t xml:space="preserve"> a zabezpečenie komfortných, rýchlych a nákladovo efektívnych služieb</w:t>
      </w:r>
      <w:r w:rsidRPr="00D33326">
        <w:t xml:space="preserve">. </w:t>
      </w:r>
      <w:r>
        <w:t>Na</w:t>
      </w:r>
      <w:r w:rsidRPr="00D33326">
        <w:t xml:space="preserve"> t</w:t>
      </w:r>
      <w:r>
        <w:t>en</w:t>
      </w:r>
      <w:r w:rsidRPr="00D33326">
        <w:t xml:space="preserve">to účel </w:t>
      </w:r>
      <w:r>
        <w:t>je potrebné realizovať</w:t>
      </w:r>
      <w:r w:rsidRPr="00D33326">
        <w:t xml:space="preserve"> </w:t>
      </w:r>
      <w:r>
        <w:t>v</w:t>
      </w:r>
      <w:r w:rsidRPr="00D33326">
        <w:t xml:space="preserve">iacero </w:t>
      </w:r>
      <w:r>
        <w:t>opatrení</w:t>
      </w:r>
      <w:r w:rsidRPr="00D33326">
        <w:t xml:space="preserve"> na technologickej, logistickej a optimalizačnej úrovni</w:t>
      </w:r>
      <w:r>
        <w:t xml:space="preserve">. </w:t>
      </w:r>
      <w:r w:rsidRPr="009F2D8E">
        <w:t xml:space="preserve">Primárnym cieľom tejto analýzy je </w:t>
      </w:r>
      <w:r w:rsidRPr="009F2D8E">
        <w:rPr>
          <w:rFonts w:eastAsia="Calibri"/>
          <w:color w:val="000000"/>
          <w:lang w:eastAsia="en-US"/>
        </w:rPr>
        <w:t>preto posudzovať vplyvy každého predkladaného návrhu na služby verejnej správy pre občana (skrátene aj „služba pre občana“) v tomto kontexte.</w:t>
      </w:r>
      <w:r>
        <w:rPr>
          <w:rFonts w:eastAsia="Calibri"/>
          <w:color w:val="000000"/>
          <w:lang w:eastAsia="en-US"/>
        </w:rPr>
        <w:t xml:space="preserve"> </w:t>
      </w:r>
    </w:p>
    <w:p w:rsidR="00096C3F" w:rsidRPr="006C2CEE" w:rsidP="00096C3F">
      <w:pPr>
        <w:autoSpaceDE w:val="0"/>
        <w:autoSpaceDN w:val="0"/>
        <w:spacing w:after="200" w:line="240" w:lineRule="auto"/>
      </w:pPr>
      <w:r w:rsidRPr="00C803A5">
        <w:rPr>
          <w:rFonts w:eastAsia="Calibri"/>
          <w:color w:val="000000"/>
          <w:lang w:eastAsia="en-US"/>
        </w:rPr>
        <w:t xml:space="preserve">Službou verejnej správy </w:t>
      </w:r>
      <w:r>
        <w:rPr>
          <w:rFonts w:eastAsia="Calibri"/>
          <w:color w:val="000000"/>
          <w:lang w:eastAsia="en-US"/>
        </w:rPr>
        <w:t xml:space="preserve">v kontexte tejto analýzy </w:t>
      </w:r>
      <w:r w:rsidRPr="00C803A5">
        <w:rPr>
          <w:rFonts w:eastAsia="Calibri"/>
          <w:color w:val="000000"/>
          <w:lang w:eastAsia="en-US"/>
        </w:rPr>
        <w:t xml:space="preserve">je potrebné chápať </w:t>
      </w:r>
      <w:r>
        <w:rPr>
          <w:rFonts w:eastAsia="Calibri"/>
          <w:color w:val="000000"/>
          <w:lang w:eastAsia="en-US"/>
        </w:rPr>
        <w:t>úkony, ktoré sú realizované a poskytované občanom v rámci jednotlivých segmentov verejnej správy</w:t>
      </w:r>
      <w:r w:rsidRPr="00DF0A83">
        <w:rPr>
          <w:rFonts w:eastAsia="Calibri"/>
          <w:color w:val="000000"/>
          <w:lang w:eastAsia="en-US"/>
        </w:rPr>
        <w:t xml:space="preserve">. </w:t>
      </w:r>
      <w:r>
        <w:rPr>
          <w:rFonts w:eastAsia="Calibri"/>
          <w:bCs/>
          <w:color w:val="000000"/>
          <w:lang w:eastAsia="en-US"/>
        </w:rPr>
        <w:t xml:space="preserve">Uspokojovanie životných potrieb občanov pri kontakte s orgánmi verejnej správy sa premieta </w:t>
      </w:r>
      <w:r w:rsidRPr="00147BE8">
        <w:rPr>
          <w:rFonts w:eastAsia="Calibri"/>
          <w:bCs/>
          <w:color w:val="000000"/>
          <w:lang w:eastAsia="en-US"/>
        </w:rPr>
        <w:t>do tzv. životných situácií</w:t>
      </w:r>
      <w:r>
        <w:rPr>
          <w:rStyle w:val="FootnoteReference"/>
          <w:rFonts w:eastAsia="Calibri"/>
          <w:bCs/>
          <w:color w:val="000000"/>
          <w:lang w:eastAsia="en-US"/>
        </w:rPr>
        <w:footnoteReference w:id="2"/>
      </w:r>
      <w:r>
        <w:rPr>
          <w:rFonts w:eastAsia="Calibri"/>
          <w:bCs/>
          <w:color w:val="000000"/>
          <w:lang w:eastAsia="en-US"/>
        </w:rPr>
        <w:t xml:space="preserve"> (napr. narodenie dieťaťa, sobáš, presťahovanie), ktoré </w:t>
      </w:r>
      <w:r w:rsidRPr="006C2CEE">
        <w:rPr>
          <w:rFonts w:eastAsia="Calibri"/>
          <w:bCs/>
          <w:color w:val="000000"/>
          <w:lang w:eastAsia="en-US"/>
        </w:rPr>
        <w:t>sú chápané ako situácie</w:t>
      </w:r>
      <w:r>
        <w:t>, v ktorých sa občan môže</w:t>
      </w:r>
      <w:r w:rsidRPr="006C2CEE">
        <w:t xml:space="preserve"> počas svojich životných etáp ocitnúť</w:t>
      </w:r>
      <w:r>
        <w:rPr>
          <w:rStyle w:val="FootnoteReference"/>
        </w:rPr>
        <w:footnoteReference w:id="3"/>
      </w:r>
      <w:r w:rsidRPr="006C2CEE">
        <w:t>, t.j. životné situácie týkajúce sa</w:t>
      </w:r>
      <w:r>
        <w:t xml:space="preserve"> interakcie občana a verejnej správy. </w:t>
      </w:r>
    </w:p>
    <w:p w:rsidR="00096C3F" w:rsidP="00096C3F">
      <w:pPr>
        <w:autoSpaceDE w:val="0"/>
        <w:autoSpaceDN w:val="0"/>
        <w:spacing w:line="240" w:lineRule="auto"/>
        <w:rPr>
          <w:rFonts w:eastAsia="Calibri"/>
          <w:color w:val="000000"/>
          <w:lang w:eastAsia="en-US"/>
        </w:rPr>
      </w:pPr>
      <w:r w:rsidRPr="004F0421">
        <w:t>Posud</w:t>
      </w:r>
      <w:r w:rsidRPr="004F0421">
        <w:t xml:space="preserve">zovanie </w:t>
      </w:r>
      <w:r>
        <w:t>vplyvov</w:t>
      </w:r>
      <w:r w:rsidRPr="004F0421">
        <w:t xml:space="preserve"> na procesy verejnej správy je </w:t>
      </w:r>
      <w:r w:rsidRPr="004F0421">
        <w:rPr>
          <w:rFonts w:eastAsia="Calibri"/>
          <w:color w:val="000000"/>
          <w:lang w:eastAsia="en-US"/>
        </w:rPr>
        <w:t>v kontexte tejto analýzy</w:t>
      </w:r>
      <w:r w:rsidRPr="004F0421">
        <w:t xml:space="preserve"> sekundárnym cieľom, </w:t>
      </w:r>
      <w:r>
        <w:t>nakoľko</w:t>
      </w:r>
      <w:r w:rsidRPr="004F0421">
        <w:t xml:space="preserve"> efektívne nastavené procesy predpokladajú poskytovanie kvalitných služieb. Preto každý nový návrh alebo novela existujúceho zákona sa musí zohľadniť do poskytovania služby, ktorá je realizovaná prostredníctvom procesu.</w:t>
      </w:r>
      <w:r w:rsidRPr="0095420F">
        <w:t xml:space="preserve"> </w:t>
      </w:r>
      <w:r>
        <w:t>Vplyv</w:t>
      </w:r>
      <w:r w:rsidRPr="0095420F">
        <w:t xml:space="preserve"> na procesy realizované verejnou správou je možné sledovať na úrovni vzniku požiadaviek (typ a frekvencia) a dobe realizácie požiadaviek (často dané konkrétnym zákonom alebo, ak nie je uvedené inak, podľa zákona č.</w:t>
      </w:r>
      <w:r>
        <w:t> </w:t>
      </w:r>
      <w:r w:rsidRPr="0095420F">
        <w:t xml:space="preserve">71/1967 Zb. o </w:t>
      </w:r>
      <w:r>
        <w:t>s</w:t>
      </w:r>
      <w:r w:rsidRPr="0095420F">
        <w:t xml:space="preserve">právnom </w:t>
      </w:r>
      <w:r>
        <w:t xml:space="preserve">konaní /správny </w:t>
      </w:r>
      <w:r w:rsidRPr="0095420F">
        <w:t>poriad</w:t>
      </w:r>
      <w:r>
        <w:t>ok/ v znení neskorších predpisov)</w:t>
      </w:r>
      <w:r w:rsidRPr="0095420F">
        <w:t xml:space="preserve">.  </w:t>
      </w:r>
    </w:p>
    <w:p w:rsidR="00943B4F" w:rsidP="00096C3F">
      <w:pPr>
        <w:autoSpaceDE w:val="0"/>
        <w:autoSpaceDN w:val="0"/>
        <w:spacing w:after="200" w:line="240" w:lineRule="auto"/>
        <w:rPr>
          <w:rFonts w:eastAsia="Calibri"/>
          <w:b/>
          <w:bCs/>
          <w:color w:val="000000"/>
          <w:u w:val="single"/>
          <w:lang w:eastAsia="en-US"/>
        </w:rPr>
      </w:pPr>
    </w:p>
    <w:p w:rsidR="00096C3F" w:rsidRPr="00AB307C" w:rsidP="00096C3F">
      <w:pPr>
        <w:autoSpaceDE w:val="0"/>
        <w:autoSpaceDN w:val="0"/>
        <w:spacing w:after="200" w:line="240" w:lineRule="auto"/>
        <w:rPr>
          <w:b/>
          <w:u w:val="single"/>
        </w:rPr>
      </w:pPr>
      <w:r w:rsidRPr="00AB307C">
        <w:rPr>
          <w:rFonts w:eastAsia="Calibri"/>
          <w:b/>
          <w:bCs/>
          <w:color w:val="000000"/>
          <w:u w:val="single"/>
          <w:lang w:eastAsia="en-US"/>
        </w:rPr>
        <w:t xml:space="preserve">Bod 7.1. </w:t>
      </w:r>
      <w:r w:rsidRPr="00AB307C">
        <w:rPr>
          <w:b/>
          <w:u w:val="single"/>
        </w:rPr>
        <w:t xml:space="preserve">Identifikácia služby verejnej správy, ktorá je dotknutá návrhom </w:t>
      </w:r>
    </w:p>
    <w:p w:rsidR="00096C3F" w:rsidP="00096C3F">
      <w:pPr>
        <w:spacing w:line="240" w:lineRule="auto"/>
        <w:rPr>
          <w:b/>
        </w:rPr>
      </w:pPr>
      <w:r>
        <w:rPr>
          <w:b/>
        </w:rPr>
        <w:t xml:space="preserve">7.1.1 </w:t>
      </w:r>
      <w:r w:rsidRPr="00B1784E">
        <w:rPr>
          <w:b/>
        </w:rPr>
        <w:t>Predpokladá predložený návrh zmenu existujúcej služby verejnej správy alebo vytvorenie novej služby?</w:t>
      </w:r>
    </w:p>
    <w:p w:rsidR="00096C3F" w:rsidP="00096C3F">
      <w:pPr>
        <w:spacing w:line="240" w:lineRule="auto"/>
        <w:rPr>
          <w:b/>
        </w:rPr>
      </w:pPr>
    </w:p>
    <w:p w:rsidR="00096C3F"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Zmena existujúcej služby verejnej správy</w:t>
      </w:r>
      <w:r w:rsidRPr="004B5D63">
        <w:rPr>
          <w:rFonts w:eastAsia="Calibri"/>
          <w:bCs/>
          <w:color w:val="000000"/>
          <w:lang w:eastAsia="en-US"/>
        </w:rPr>
        <w:t xml:space="preserve"> - zmena v spôsobe a podmienkach poskytovania služby, ktorá je definovaná v platnej právnej úprave. Zmenou môže byť frekvencia poskytovania služby, počet potrebných dokumentov </w:t>
      </w:r>
      <w:r>
        <w:rPr>
          <w:rFonts w:eastAsia="Calibri"/>
          <w:bCs/>
          <w:color w:val="000000"/>
          <w:lang w:eastAsia="en-US"/>
        </w:rPr>
        <w:t>na</w:t>
      </w:r>
      <w:r w:rsidRPr="004B5D63">
        <w:rPr>
          <w:rFonts w:eastAsia="Calibri"/>
          <w:bCs/>
          <w:color w:val="000000"/>
          <w:lang w:eastAsia="en-US"/>
        </w:rPr>
        <w:t xml:space="preserve"> vy</w:t>
      </w:r>
      <w:r w:rsidRPr="004B5D63">
        <w:rPr>
          <w:rFonts w:eastAsia="Calibri"/>
          <w:bCs/>
          <w:color w:val="000000"/>
          <w:lang w:eastAsia="en-US"/>
        </w:rPr>
        <w:t>baveni</w:t>
      </w:r>
      <w:r>
        <w:rPr>
          <w:rFonts w:eastAsia="Calibri"/>
          <w:bCs/>
          <w:color w:val="000000"/>
          <w:lang w:eastAsia="en-US"/>
        </w:rPr>
        <w:t>e</w:t>
      </w:r>
      <w:r w:rsidRPr="004B5D63">
        <w:rPr>
          <w:rFonts w:eastAsia="Calibri"/>
          <w:bCs/>
          <w:color w:val="000000"/>
          <w:lang w:eastAsia="en-US"/>
        </w:rPr>
        <w:t xml:space="preserve">, počet </w:t>
      </w:r>
      <w:r w:rsidRPr="00A7218A">
        <w:rPr>
          <w:rFonts w:eastAsia="Calibri"/>
          <w:bCs/>
          <w:color w:val="000000"/>
          <w:lang w:eastAsia="en-US"/>
        </w:rPr>
        <w:t>subjektov verejnej správy</w:t>
      </w:r>
      <w:r>
        <w:rPr>
          <w:rFonts w:eastAsia="Calibri"/>
          <w:bCs/>
          <w:color w:val="000000"/>
          <w:lang w:eastAsia="en-US"/>
        </w:rPr>
        <w:t>,</w:t>
      </w:r>
      <w:r w:rsidRPr="004B5D63">
        <w:rPr>
          <w:rFonts w:eastAsia="Calibri"/>
          <w:bCs/>
          <w:color w:val="000000"/>
          <w:lang w:eastAsia="en-US"/>
        </w:rPr>
        <w:t xml:space="preserve"> ktoré potrebuje k vybaveniu služby občan kontaktovať, či spôsob </w:t>
      </w:r>
      <w:r>
        <w:rPr>
          <w:rFonts w:eastAsia="Calibri"/>
          <w:bCs/>
          <w:color w:val="000000"/>
          <w:lang w:eastAsia="en-US"/>
        </w:rPr>
        <w:t>poskytovania</w:t>
      </w:r>
      <w:r w:rsidRPr="004B5D63">
        <w:rPr>
          <w:rFonts w:eastAsia="Calibri"/>
          <w:bCs/>
          <w:color w:val="000000"/>
          <w:lang w:eastAsia="en-US"/>
        </w:rPr>
        <w:t xml:space="preserve"> informácií medzi subjektmi ktoré poskytujú službu</w:t>
      </w:r>
      <w:r>
        <w:rPr>
          <w:rFonts w:eastAsia="Calibri"/>
          <w:bCs/>
          <w:color w:val="000000"/>
          <w:lang w:eastAsia="en-US"/>
        </w:rPr>
        <w:t xml:space="preserve"> a iné</w:t>
      </w:r>
      <w:r w:rsidRPr="004B5D63">
        <w:rPr>
          <w:rFonts w:eastAsia="Calibri"/>
          <w:bCs/>
          <w:color w:val="000000"/>
          <w:lang w:eastAsia="en-US"/>
        </w:rPr>
        <w:t xml:space="preserve">. Napr. </w:t>
      </w:r>
      <w:r>
        <w:rPr>
          <w:rFonts w:eastAsia="Calibri"/>
          <w:bCs/>
          <w:color w:val="000000"/>
          <w:lang w:eastAsia="en-US"/>
        </w:rPr>
        <w:t xml:space="preserve">zavedenie služby </w:t>
      </w:r>
      <w:r w:rsidRPr="004B5D63">
        <w:rPr>
          <w:rFonts w:eastAsia="Calibri"/>
          <w:bCs/>
          <w:color w:val="000000"/>
          <w:lang w:eastAsia="en-US"/>
        </w:rPr>
        <w:t>IOM</w:t>
      </w:r>
      <w:r>
        <w:rPr>
          <w:rFonts w:eastAsia="Calibri"/>
          <w:bCs/>
          <w:color w:val="000000"/>
          <w:lang w:eastAsia="en-US"/>
        </w:rPr>
        <w:t>O</w:t>
      </w:r>
      <w:r w:rsidRPr="004B5D63">
        <w:rPr>
          <w:rFonts w:eastAsia="Calibri"/>
          <w:bCs/>
          <w:color w:val="000000"/>
          <w:lang w:eastAsia="en-US"/>
        </w:rPr>
        <w:t xml:space="preserve"> (integrované obslužné miesto</w:t>
      </w:r>
      <w:r>
        <w:rPr>
          <w:rFonts w:eastAsia="Calibri"/>
          <w:bCs/>
          <w:color w:val="000000"/>
          <w:lang w:eastAsia="en-US"/>
        </w:rPr>
        <w:t xml:space="preserve"> občana</w:t>
      </w:r>
      <w:r w:rsidRPr="004B5D63">
        <w:rPr>
          <w:rFonts w:eastAsia="Calibri"/>
          <w:bCs/>
          <w:color w:val="000000"/>
          <w:lang w:eastAsia="en-US"/>
        </w:rPr>
        <w:t>)</w:t>
      </w:r>
      <w:r>
        <w:rPr>
          <w:rFonts w:eastAsia="Calibri"/>
          <w:bCs/>
          <w:color w:val="000000"/>
          <w:lang w:eastAsia="en-US"/>
        </w:rPr>
        <w:t>,</w:t>
      </w:r>
      <w:r w:rsidRPr="004B5D63">
        <w:rPr>
          <w:rFonts w:eastAsia="Calibri"/>
          <w:bCs/>
          <w:color w:val="000000"/>
          <w:lang w:eastAsia="en-US"/>
        </w:rPr>
        <w:t xml:space="preserve"> v rámci ktorej</w:t>
      </w:r>
      <w:r w:rsidRPr="004B5D63">
        <w:rPr>
          <w:rFonts w:eastAsia="Calibri"/>
          <w:bCs/>
          <w:color w:val="000000"/>
          <w:lang w:eastAsia="en-US"/>
        </w:rPr>
        <w:t xml:space="preserve"> je poskytované vydávanie výpisov a odpisov z Registra trestov, výpisov z Obchodného registra a výpisov z listov vlastníctva</w:t>
      </w:r>
      <w:r>
        <w:rPr>
          <w:rFonts w:eastAsia="Calibri"/>
          <w:bCs/>
          <w:color w:val="000000"/>
          <w:lang w:eastAsia="en-US"/>
        </w:rPr>
        <w:t xml:space="preserve"> elektronicky. </w:t>
      </w:r>
      <w:r w:rsidRPr="004B5D63">
        <w:rPr>
          <w:rFonts w:eastAsia="Calibri"/>
          <w:bCs/>
          <w:color w:val="000000"/>
          <w:lang w:eastAsia="en-US"/>
        </w:rPr>
        <w:t xml:space="preserve"> </w:t>
      </w:r>
    </w:p>
    <w:p w:rsidR="00096C3F" w:rsidRPr="004D19BA"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Nová služba verejnej správy</w:t>
      </w:r>
      <w:r w:rsidRPr="004B5D63">
        <w:rPr>
          <w:rFonts w:eastAsia="Calibri"/>
          <w:bCs/>
          <w:color w:val="000000"/>
          <w:lang w:eastAsia="en-US"/>
        </w:rPr>
        <w:t xml:space="preserve"> - služba verejnej správy, ktorá v platnej právnej úprave doposiaľ nebola definovaná a návrh predpokladá jej zavedenie. </w:t>
      </w:r>
      <w:r>
        <w:rPr>
          <w:rFonts w:eastAsia="Calibri"/>
          <w:bCs/>
          <w:color w:val="000000"/>
          <w:lang w:eastAsia="en-US"/>
        </w:rPr>
        <w:t>Napríklad v minulosti</w:t>
      </w:r>
      <w:r w:rsidRPr="004B5D63">
        <w:rPr>
          <w:rFonts w:eastAsia="Calibri"/>
          <w:bCs/>
          <w:color w:val="000000"/>
          <w:lang w:eastAsia="en-US"/>
        </w:rPr>
        <w:t xml:space="preserve"> zavedenie možnosti podania žiadosti o </w:t>
      </w:r>
      <w:r>
        <w:rPr>
          <w:rFonts w:eastAsia="Calibri"/>
          <w:bCs/>
          <w:color w:val="000000"/>
          <w:lang w:eastAsia="en-US"/>
        </w:rPr>
        <w:t>rezerváciu</w:t>
      </w:r>
      <w:r w:rsidRPr="004B5D63">
        <w:rPr>
          <w:rFonts w:eastAsia="Calibri"/>
          <w:bCs/>
          <w:color w:val="000000"/>
          <w:lang w:eastAsia="en-US"/>
        </w:rPr>
        <w:t xml:space="preserve"> termínu na dopravnom inšpektoráte </w:t>
      </w:r>
      <w:r>
        <w:rPr>
          <w:rFonts w:eastAsia="Calibri"/>
          <w:bCs/>
          <w:color w:val="000000"/>
          <w:lang w:eastAsia="en-US"/>
        </w:rPr>
        <w:t>prostredníctvom</w:t>
      </w:r>
      <w:r w:rsidRPr="004B5D63">
        <w:rPr>
          <w:rFonts w:eastAsia="Calibri"/>
          <w:bCs/>
          <w:color w:val="000000"/>
          <w:lang w:eastAsia="en-US"/>
        </w:rPr>
        <w:t xml:space="preserve"> internet</w:t>
      </w:r>
      <w:r>
        <w:rPr>
          <w:rFonts w:eastAsia="Calibri"/>
          <w:bCs/>
          <w:color w:val="000000"/>
          <w:lang w:eastAsia="en-US"/>
        </w:rPr>
        <w:t>u</w:t>
      </w:r>
      <w:r w:rsidRPr="004B5D63">
        <w:rPr>
          <w:rFonts w:eastAsia="Calibri"/>
          <w:bCs/>
          <w:color w:val="000000"/>
          <w:lang w:eastAsia="en-US"/>
        </w:rPr>
        <w:t>; oznámenie o vyhotovení dokladu (občiansky preukaz, vodičský preukaz, cestovný pas) formo</w:t>
      </w:r>
      <w:r>
        <w:rPr>
          <w:rFonts w:eastAsia="Calibri"/>
          <w:bCs/>
          <w:color w:val="000000"/>
          <w:lang w:eastAsia="en-US"/>
        </w:rPr>
        <w:t>u SM</w:t>
      </w:r>
      <w:r>
        <w:rPr>
          <w:rFonts w:eastAsia="Calibri"/>
          <w:bCs/>
          <w:color w:val="000000"/>
          <w:lang w:eastAsia="en-US"/>
        </w:rPr>
        <w:t>S.</w:t>
      </w:r>
      <w:r w:rsidRPr="004B5D63">
        <w:rPr>
          <w:rFonts w:eastAsia="Calibri"/>
          <w:bCs/>
          <w:color w:val="000000"/>
          <w:lang w:eastAsia="en-US"/>
        </w:rPr>
        <w:t xml:space="preserve">   </w:t>
      </w:r>
    </w:p>
    <w:p w:rsidR="00096C3F" w:rsidRPr="00332290" w:rsidP="00096C3F">
      <w:pPr>
        <w:autoSpaceDE w:val="0"/>
        <w:autoSpaceDN w:val="0"/>
        <w:spacing w:after="200" w:line="240" w:lineRule="auto"/>
        <w:rPr>
          <w:rFonts w:eastAsia="Calibri"/>
          <w:bCs/>
          <w:color w:val="000000"/>
          <w:lang w:eastAsia="en-US"/>
        </w:rPr>
      </w:pPr>
      <w:r>
        <w:rPr>
          <w:b/>
        </w:rPr>
        <w:t>7.1.2 Špecifikácia</w:t>
      </w:r>
      <w:r w:rsidRPr="00332290">
        <w:rPr>
          <w:b/>
        </w:rPr>
        <w:t xml:space="preserve"> služby verejnej správy, ktorá je dotknutá návrhom</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Náz</w:t>
      </w:r>
      <w:r>
        <w:rPr>
          <w:rFonts w:eastAsia="Calibri"/>
          <w:bCs/>
          <w:i/>
          <w:color w:val="000000"/>
          <w:lang w:eastAsia="en-US"/>
        </w:rPr>
        <w:t>ov</w:t>
      </w:r>
      <w:r w:rsidRPr="00ED5761">
        <w:rPr>
          <w:rFonts w:eastAsia="Calibri"/>
          <w:bCs/>
          <w:i/>
          <w:color w:val="000000"/>
          <w:lang w:eastAsia="en-US"/>
        </w:rPr>
        <w:t xml:space="preserve"> služby </w:t>
      </w:r>
      <w:r>
        <w:rPr>
          <w:rFonts w:eastAsia="Calibri"/>
          <w:bCs/>
          <w:color w:val="000000"/>
          <w:lang w:eastAsia="en-US"/>
        </w:rPr>
        <w:t>- n</w:t>
      </w:r>
      <w:r w:rsidRPr="004B5D63">
        <w:rPr>
          <w:rFonts w:eastAsia="Calibri"/>
          <w:bCs/>
          <w:color w:val="000000"/>
          <w:lang w:eastAsia="en-US"/>
        </w:rPr>
        <w:t>apr. podanie žiadosti o vydanie výpisu z listu vlastníctva</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P</w:t>
      </w:r>
      <w:r>
        <w:rPr>
          <w:rFonts w:eastAsia="Calibri"/>
          <w:bCs/>
          <w:i/>
          <w:color w:val="000000"/>
          <w:lang w:eastAsia="en-US"/>
        </w:rPr>
        <w:t>latná právna úprava</w:t>
      </w:r>
      <w:r w:rsidRPr="004B5D63">
        <w:rPr>
          <w:rFonts w:eastAsia="Calibri"/>
          <w:bCs/>
          <w:i/>
          <w:color w:val="000000"/>
          <w:lang w:eastAsia="en-US"/>
        </w:rPr>
        <w:t>, na základe ktorej je služba poskytovaná</w:t>
      </w:r>
      <w:r>
        <w:rPr>
          <w:rFonts w:eastAsia="Calibri"/>
          <w:bCs/>
          <w:color w:val="000000"/>
          <w:lang w:eastAsia="en-US"/>
        </w:rPr>
        <w:t xml:space="preserve"> - n</w:t>
      </w:r>
      <w:r w:rsidRPr="004B5D63">
        <w:rPr>
          <w:rFonts w:eastAsia="Calibri"/>
          <w:bCs/>
          <w:color w:val="000000"/>
          <w:lang w:eastAsia="en-US"/>
        </w:rPr>
        <w:t xml:space="preserve">apr. </w:t>
      </w:r>
      <w:r>
        <w:rPr>
          <w:rFonts w:eastAsia="Calibri"/>
          <w:bCs/>
          <w:color w:val="000000"/>
          <w:lang w:eastAsia="en-US"/>
        </w:rPr>
        <w:t>z</w:t>
      </w:r>
      <w:r w:rsidRPr="004B5D63">
        <w:rPr>
          <w:rFonts w:eastAsia="Calibri"/>
          <w:bCs/>
          <w:color w:val="000000"/>
          <w:lang w:eastAsia="en-US"/>
        </w:rPr>
        <w:t>ákon č.</w:t>
      </w:r>
      <w:r>
        <w:rPr>
          <w:rFonts w:eastAsia="Calibri"/>
          <w:bCs/>
          <w:color w:val="000000"/>
          <w:lang w:eastAsia="en-US"/>
        </w:rPr>
        <w:t> </w:t>
      </w:r>
      <w:r w:rsidRPr="004B5D63">
        <w:rPr>
          <w:rFonts w:eastAsia="Calibri"/>
          <w:bCs/>
          <w:color w:val="000000"/>
          <w:lang w:eastAsia="en-US"/>
        </w:rPr>
        <w:t>162/1995 Z. z. o katastri nehnuteľností a o zápise vlastníckych a iných práv k</w:t>
      </w:r>
      <w:r>
        <w:rPr>
          <w:rFonts w:eastAsia="Calibri"/>
          <w:bCs/>
          <w:color w:val="000000"/>
          <w:lang w:eastAsia="en-US"/>
        </w:rPr>
        <w:t> </w:t>
      </w:r>
      <w:r w:rsidRPr="004B5D63">
        <w:rPr>
          <w:rFonts w:eastAsia="Calibri"/>
          <w:bCs/>
          <w:color w:val="000000"/>
          <w:lang w:eastAsia="en-US"/>
        </w:rPr>
        <w:t>nehnuteľnostiam (katastrálny zákon)</w:t>
      </w:r>
      <w:r>
        <w:rPr>
          <w:rFonts w:eastAsia="Calibri"/>
          <w:bCs/>
          <w:color w:val="000000"/>
          <w:lang w:eastAsia="en-US"/>
        </w:rPr>
        <w:t xml:space="preserve"> v znení neskorších predpisov</w:t>
      </w:r>
    </w:p>
    <w:p w:rsidR="00096C3F" w:rsidRPr="00821441"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Pr>
          <w:i/>
          <w:sz w:val="22"/>
          <w:szCs w:val="22"/>
        </w:rPr>
        <w:t xml:space="preserve">Subjekt, ktorý je na základe platnej právnej úpravy oprávnený službu poskytovať </w:t>
      </w:r>
      <w:r>
        <w:rPr>
          <w:rFonts w:eastAsia="Calibri"/>
          <w:bCs/>
          <w:color w:val="000000"/>
          <w:lang w:eastAsia="en-US"/>
        </w:rPr>
        <w:t>- n</w:t>
      </w:r>
      <w:r w:rsidRPr="00821441">
        <w:rPr>
          <w:rFonts w:eastAsia="Calibri"/>
          <w:bCs/>
          <w:color w:val="000000"/>
          <w:lang w:eastAsia="en-US"/>
        </w:rPr>
        <w:t xml:space="preserve">apr. </w:t>
      </w:r>
      <w:r>
        <w:rPr>
          <w:rFonts w:eastAsia="Calibri"/>
          <w:bCs/>
          <w:color w:val="000000"/>
          <w:lang w:eastAsia="en-US"/>
        </w:rPr>
        <w:t>o</w:t>
      </w:r>
      <w:r w:rsidRPr="00821441">
        <w:rPr>
          <w:rFonts w:eastAsia="Calibri"/>
          <w:bCs/>
          <w:color w:val="000000"/>
          <w:lang w:eastAsia="en-US"/>
        </w:rPr>
        <w:t xml:space="preserve">kresný úrad. </w:t>
      </w:r>
    </w:p>
    <w:p w:rsidR="00096C3F" w:rsidP="00096C3F">
      <w:pPr>
        <w:autoSpaceDE w:val="0"/>
        <w:autoSpaceDN w:val="0"/>
        <w:spacing w:after="200" w:line="240" w:lineRule="auto"/>
        <w:rPr>
          <w:b/>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w:t>
      </w:r>
    </w:p>
    <w:p w:rsidR="00096C3F" w:rsidRPr="00DD4B5D"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w:t>
      </w:r>
      <w:r w:rsidRPr="00A7218A">
        <w:rPr>
          <w:rFonts w:eastAsia="Calibri"/>
          <w:bCs/>
          <w:color w:val="000000"/>
          <w:lang w:eastAsia="en-US"/>
        </w:rPr>
        <w:t>sa posudzovaným ná</w:t>
      </w:r>
      <w:r>
        <w:rPr>
          <w:rFonts w:eastAsia="Calibri"/>
          <w:bCs/>
          <w:color w:val="000000"/>
          <w:lang w:eastAsia="en-US"/>
        </w:rPr>
        <w:t>vrhom zavádza alebo mení</w:t>
      </w:r>
      <w:r w:rsidRPr="00A7218A">
        <w:rPr>
          <w:rFonts w:eastAsia="Calibri"/>
          <w:bCs/>
          <w:color w:val="000000"/>
          <w:lang w:eastAsia="en-US"/>
        </w:rPr>
        <w:t xml:space="preserve"> </w:t>
      </w:r>
      <w:r w:rsidRPr="00DD4B5D">
        <w:rPr>
          <w:rFonts w:eastAsia="Calibri"/>
          <w:bCs/>
          <w:color w:val="000000"/>
          <w:lang w:eastAsia="en-US"/>
        </w:rPr>
        <w:t>. Napr. zmena Zákona č. 330/2007 Z.</w:t>
      </w:r>
      <w:r>
        <w:rPr>
          <w:rFonts w:eastAsia="Calibri"/>
          <w:bCs/>
          <w:color w:val="000000"/>
          <w:lang w:eastAsia="en-US"/>
        </w:rPr>
        <w:t xml:space="preserve"> </w:t>
      </w:r>
      <w:r w:rsidRPr="00DD4B5D">
        <w:rPr>
          <w:rFonts w:eastAsia="Calibri"/>
          <w:bCs/>
          <w:color w:val="000000"/>
          <w:lang w:eastAsia="en-US"/>
        </w:rPr>
        <w:t>z. o registri trestov</w:t>
      </w:r>
      <w:r>
        <w:rPr>
          <w:rFonts w:eastAsia="Calibri"/>
          <w:bCs/>
          <w:color w:val="000000"/>
          <w:lang w:eastAsia="en-US"/>
        </w:rPr>
        <w:t xml:space="preserve"> a o zmene a doplnení niektorých zákonov v znení neskorších predpisov</w:t>
      </w:r>
      <w:r w:rsidRPr="00DD4B5D">
        <w:rPr>
          <w:rFonts w:eastAsia="Calibri"/>
          <w:bCs/>
          <w:color w:val="000000"/>
          <w:lang w:eastAsia="en-US"/>
        </w:rPr>
        <w:t>, ktorý môže priamo meniť spôsob vydávania výpisov z Registra trestov.</w:t>
      </w:r>
    </w:p>
    <w:p w:rsidR="00096C3F"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Nepriamy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nie je priamo </w:t>
      </w:r>
      <w:r w:rsidRPr="00A7218A">
        <w:rPr>
          <w:rFonts w:eastAsia="Calibri"/>
          <w:bCs/>
          <w:color w:val="000000"/>
          <w:lang w:eastAsia="en-US"/>
        </w:rPr>
        <w:t xml:space="preserve">ustanovená v posudzovanom návrhu </w:t>
      </w:r>
      <w:r w:rsidRPr="00DD4B5D">
        <w:rPr>
          <w:rFonts w:eastAsia="Calibri"/>
          <w:bCs/>
          <w:color w:val="000000"/>
          <w:lang w:eastAsia="en-US"/>
        </w:rPr>
        <w:t>, ale má na ňu vplyv. Napr. zmena Zákona č. 145/1995 Zb. o správnych poplatkoch</w:t>
      </w:r>
      <w:r>
        <w:rPr>
          <w:rFonts w:eastAsia="Calibri"/>
          <w:bCs/>
          <w:color w:val="000000"/>
          <w:lang w:eastAsia="en-US"/>
        </w:rPr>
        <w:t xml:space="preserve"> v znení neskorších predpisov</w:t>
      </w:r>
      <w:r w:rsidRPr="00DD4B5D">
        <w:rPr>
          <w:rFonts w:eastAsia="Calibri"/>
          <w:bCs/>
          <w:color w:val="000000"/>
          <w:lang w:eastAsia="en-US"/>
        </w:rPr>
        <w:t xml:space="preserve">, ktorý upravuje výšku správneho poplatku za vyhotovenie výpisu z Registra trestov a tým nepriamo ovplyvňuje službu vydávania výpisov z Registra trestov.    </w:t>
      </w:r>
    </w:p>
    <w:p w:rsidR="00096C3F" w:rsidRPr="00DD4B5D" w:rsidP="00096C3F">
      <w:pPr>
        <w:pStyle w:val="ListParagraph"/>
        <w:widowControl/>
        <w:autoSpaceDE w:val="0"/>
        <w:autoSpaceDN w:val="0"/>
        <w:spacing w:after="200" w:line="240" w:lineRule="auto"/>
        <w:contextualSpacing/>
        <w:textAlignment w:val="auto"/>
        <w:rPr>
          <w:rFonts w:eastAsia="Calibri"/>
          <w:bCs/>
          <w:color w:val="000000"/>
          <w:lang w:eastAsia="en-US"/>
        </w:rPr>
      </w:pPr>
    </w:p>
    <w:p w:rsidR="00096C3F" w:rsidP="00096C3F">
      <w:pPr>
        <w:autoSpaceDE w:val="0"/>
        <w:autoSpaceDN w:val="0"/>
        <w:spacing w:after="200" w:line="240" w:lineRule="auto"/>
        <w:rPr>
          <w:rFonts w:eastAsia="Calibri"/>
          <w:bCs/>
          <w:u w:val="single"/>
          <w:lang w:eastAsia="en-US"/>
        </w:rPr>
      </w:pPr>
      <w:r w:rsidRPr="00AB307C">
        <w:rPr>
          <w:rFonts w:eastAsia="Calibri"/>
          <w:b/>
          <w:bCs/>
          <w:u w:val="single"/>
          <w:lang w:eastAsia="en-US"/>
        </w:rPr>
        <w:t xml:space="preserve">Bod 7.2 </w:t>
      </w:r>
      <w:r>
        <w:rPr>
          <w:b/>
          <w:u w:val="single"/>
        </w:rPr>
        <w:t>Vplyv</w:t>
      </w:r>
      <w:r w:rsidRPr="00AB307C">
        <w:rPr>
          <w:b/>
          <w:u w:val="single"/>
        </w:rPr>
        <w:t xml:space="preserve"> </w:t>
      </w:r>
      <w:r w:rsidR="009634B3">
        <w:rPr>
          <w:b/>
          <w:u w:val="single"/>
        </w:rPr>
        <w:t>služieb</w:t>
      </w:r>
      <w:r w:rsidRPr="00FF2F74" w:rsidR="00FF2F74">
        <w:rPr>
          <w:b/>
          <w:u w:val="single"/>
        </w:rPr>
        <w:t xml:space="preserve"> verejnej správy </w:t>
      </w:r>
      <w:r w:rsidR="005C1F40">
        <w:rPr>
          <w:b/>
          <w:u w:val="single"/>
        </w:rPr>
        <w:t>na</w:t>
      </w:r>
      <w:r w:rsidRPr="00AB307C">
        <w:rPr>
          <w:b/>
          <w:u w:val="single"/>
        </w:rPr>
        <w:t xml:space="preserve"> občana</w:t>
      </w:r>
    </w:p>
    <w:p w:rsidR="00096C3F" w:rsidRPr="002A02AB" w:rsidP="00096C3F">
      <w:pPr>
        <w:autoSpaceDE w:val="0"/>
        <w:autoSpaceDN w:val="0"/>
        <w:spacing w:after="200" w:line="240" w:lineRule="auto"/>
        <w:rPr>
          <w:rFonts w:eastAsia="Calibri"/>
          <w:b/>
          <w:bCs/>
          <w:lang w:eastAsia="en-US"/>
        </w:rPr>
      </w:pPr>
      <w:r w:rsidRPr="002A02AB">
        <w:rPr>
          <w:rFonts w:eastAsia="Calibri"/>
          <w:b/>
          <w:bCs/>
          <w:lang w:eastAsia="en-US"/>
        </w:rPr>
        <w:t>7.2.1 Náklady</w:t>
      </w:r>
    </w:p>
    <w:p w:rsidR="00096C3F" w:rsidP="00096C3F">
      <w:pPr>
        <w:pStyle w:val="ListParagraph"/>
        <w:widowControl/>
        <w:numPr>
          <w:ilvl w:val="0"/>
          <w:numId w:val="11"/>
        </w:numPr>
        <w:adjustRightInd/>
        <w:spacing w:after="120" w:line="240" w:lineRule="auto"/>
        <w:textAlignment w:val="auto"/>
      </w:pPr>
      <w:r w:rsidRPr="00042C66">
        <w:rPr>
          <w:i/>
        </w:rPr>
        <w:t>Priame finančné náklady</w:t>
      </w:r>
      <w:r w:rsidRPr="00042C66">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priamych finančných nákladov</w:t>
      </w:r>
      <w:r w:rsidRPr="00ED5761">
        <w:t xml:space="preserve"> na vybavenie požiadavky</w:t>
      </w:r>
      <w:r>
        <w:t xml:space="preserve"> </w:t>
      </w:r>
      <w:r w:rsidRPr="00ED5761">
        <w:t>– v</w:t>
      </w:r>
      <w:r w:rsidR="00FF2F74">
        <w:t> </w:t>
      </w:r>
      <w:r w:rsidRPr="00ED5761">
        <w:t>porovnaní so súčasnosťou</w:t>
      </w:r>
    </w:p>
    <w:p w:rsidR="000054C3" w:rsidP="00096C3F">
      <w:pPr>
        <w:spacing w:after="120" w:line="240" w:lineRule="auto"/>
        <w:rPr>
          <w:i/>
        </w:rPr>
      </w:pPr>
    </w:p>
    <w:p w:rsidR="00096C3F" w:rsidP="000054C3">
      <w:pPr>
        <w:spacing w:after="120" w:line="240" w:lineRule="auto"/>
        <w:rPr>
          <w:i/>
        </w:rPr>
      </w:pPr>
      <w:r w:rsidRPr="00783C14">
        <w:rPr>
          <w:i/>
        </w:rPr>
        <w:t>Príklad</w:t>
      </w:r>
    </w:p>
    <w:p w:rsidR="00096C3F" w:rsidRPr="007A213D" w:rsidP="000054C3">
      <w:pPr>
        <w:spacing w:after="120" w:line="240" w:lineRule="auto"/>
        <w:rPr>
          <w:i/>
        </w:rPr>
      </w:pPr>
      <w:r>
        <w:rPr>
          <w:i/>
        </w:rPr>
        <w:t>Zvýšenie správneho poplatku (t.j. zvýšenie priamych finančných nákladov) predstavuje</w:t>
      </w:r>
      <w:r w:rsidR="000054C3">
        <w:rPr>
          <w:i/>
        </w:rPr>
        <w:t xml:space="preserve"> </w:t>
      </w:r>
      <w:r>
        <w:rPr>
          <w:i/>
        </w:rPr>
        <w:t>negatívny vplyv na dostupnosť služby.</w:t>
      </w:r>
      <w:r w:rsidRPr="00783C14">
        <w:rPr>
          <w:i/>
        </w:rPr>
        <w:t xml:space="preserve"> </w:t>
      </w:r>
      <w:r>
        <w:rPr>
          <w:i/>
        </w:rPr>
        <w:t xml:space="preserve">Zníženie </w:t>
      </w:r>
      <w:r w:rsidRPr="007A213D">
        <w:rPr>
          <w:i/>
        </w:rPr>
        <w:t>správneho poplatku (t.j. z</w:t>
      </w:r>
      <w:r>
        <w:rPr>
          <w:i/>
        </w:rPr>
        <w:t>nížen</w:t>
      </w:r>
      <w:r w:rsidRPr="007A213D">
        <w:rPr>
          <w:i/>
        </w:rPr>
        <w:t xml:space="preserve">ie priamych finančných nákladov) predstavuje    </w:t>
      </w:r>
    </w:p>
    <w:p w:rsidR="00096C3F" w:rsidP="000054C3">
      <w:pPr>
        <w:spacing w:after="120" w:line="240" w:lineRule="auto"/>
        <w:rPr>
          <w:i/>
        </w:rPr>
      </w:pPr>
      <w:r>
        <w:rPr>
          <w:i/>
        </w:rPr>
        <w:t>pozitívn</w:t>
      </w:r>
      <w:r w:rsidRPr="007A213D">
        <w:rPr>
          <w:i/>
        </w:rPr>
        <w:t>y vplyv na dostupnosť služby.</w:t>
      </w:r>
    </w:p>
    <w:p w:rsidR="00096C3F" w:rsidRPr="00090C1A" w:rsidP="00096C3F">
      <w:pPr>
        <w:pStyle w:val="ListParagraph"/>
        <w:widowControl/>
        <w:numPr>
          <w:ilvl w:val="0"/>
          <w:numId w:val="11"/>
        </w:numPr>
        <w:adjustRightInd/>
        <w:spacing w:after="120" w:line="240" w:lineRule="auto"/>
        <w:textAlignment w:val="auto"/>
      </w:pPr>
      <w:r w:rsidRPr="00090C1A">
        <w:rPr>
          <w:i/>
        </w:rPr>
        <w:t>Nepriame finančné náklady</w:t>
      </w:r>
      <w:r w:rsidRPr="00090C1A">
        <w:t xml:space="preserve"> – sú náklady, ktoré musí občan vynaložiť </w:t>
      </w:r>
      <w:r w:rsidRPr="00090C1A">
        <w:rPr>
          <w:rFonts w:eastAsia="Calibri"/>
          <w:bCs/>
          <w:color w:val="000000"/>
          <w:lang w:eastAsia="en-US"/>
        </w:rPr>
        <w:t xml:space="preserve">na vybavenie </w:t>
      </w:r>
      <w:r w:rsidRPr="00A7218A">
        <w:rPr>
          <w:rFonts w:eastAsia="Calibri"/>
          <w:bCs/>
          <w:color w:val="000000"/>
          <w:lang w:eastAsia="en-US"/>
        </w:rPr>
        <w:t>žiadosti alebo iného obdobného úkonu</w:t>
      </w:r>
      <w:r w:rsidRPr="00090C1A">
        <w:rPr>
          <w:rFonts w:eastAsia="Calibri"/>
          <w:bCs/>
          <w:color w:val="000000"/>
          <w:lang w:eastAsia="en-US"/>
        </w:rPr>
        <w:t>, ktoré síce nie sú priamo v</w:t>
      </w:r>
      <w:r>
        <w:rPr>
          <w:rFonts w:eastAsia="Calibri"/>
          <w:bCs/>
          <w:color w:val="000000"/>
          <w:lang w:eastAsia="en-US"/>
        </w:rPr>
        <w:t> platnej právnej úprave</w:t>
      </w:r>
      <w:r w:rsidRPr="00090C1A">
        <w:rPr>
          <w:rFonts w:eastAsia="Calibri"/>
          <w:bCs/>
          <w:color w:val="000000"/>
          <w:lang w:eastAsia="en-US"/>
        </w:rPr>
        <w:t xml:space="preserve"> definované ako nevyhnutné pre dosiahnutie výsledku služby (napr. správne poplatky), ale bez ktorých by fakticky nebolo možné, aby občan vôbec </w:t>
      </w:r>
      <w:r w:rsidRPr="00A7218A">
        <w:rPr>
          <w:rFonts w:eastAsia="Calibri"/>
          <w:bCs/>
          <w:color w:val="000000"/>
          <w:lang w:eastAsia="en-US"/>
        </w:rPr>
        <w:t>mohol požiadať o vybavenie žiadosti alebo uskutočniť iný obdobný úkon</w:t>
      </w:r>
      <w:r w:rsidRPr="00A7218A">
        <w:rPr>
          <w:rFonts w:eastAsia="Calibri"/>
          <w:bCs/>
          <w:color w:val="000000"/>
          <w:lang w:eastAsia="en-US"/>
        </w:rPr>
        <w:t xml:space="preserve"> </w:t>
      </w:r>
      <w:r w:rsidRPr="00090C1A">
        <w:rPr>
          <w:rFonts w:eastAsia="Calibri"/>
          <w:bCs/>
          <w:color w:val="000000"/>
          <w:lang w:eastAsia="en-US"/>
        </w:rPr>
        <w:t xml:space="preserve">(napr. zvýšené náklady na dopravu k miestu poskytovania služby, </w:t>
      </w:r>
      <w:r>
        <w:rPr>
          <w:rFonts w:eastAsia="Calibri"/>
          <w:bCs/>
          <w:color w:val="000000"/>
          <w:lang w:eastAsia="en-US"/>
        </w:rPr>
        <w:t xml:space="preserve">náklady nevyhnutné k zabezpečeniu </w:t>
      </w:r>
      <w:r w:rsidRPr="00090C1A">
        <w:rPr>
          <w:rFonts w:eastAsia="Calibri"/>
          <w:bCs/>
          <w:color w:val="000000"/>
          <w:lang w:eastAsia="en-US"/>
        </w:rPr>
        <w:t>prístup</w:t>
      </w:r>
      <w:r>
        <w:rPr>
          <w:rFonts w:eastAsia="Calibri"/>
          <w:bCs/>
          <w:color w:val="000000"/>
          <w:lang w:eastAsia="en-US"/>
        </w:rPr>
        <w:t>u</w:t>
      </w:r>
      <w:r w:rsidRPr="00090C1A">
        <w:rPr>
          <w:rFonts w:eastAsia="Calibri"/>
          <w:bCs/>
          <w:color w:val="000000"/>
          <w:lang w:eastAsia="en-US"/>
        </w:rPr>
        <w:t xml:space="preserve"> k</w:t>
      </w:r>
      <w:r>
        <w:rPr>
          <w:rFonts w:eastAsia="Calibri"/>
          <w:bCs/>
          <w:color w:val="000000"/>
          <w:lang w:eastAsia="en-US"/>
        </w:rPr>
        <w:t xml:space="preserve"> elektronickým službám, </w:t>
      </w:r>
      <w:r w:rsidRPr="00090C1A">
        <w:rPr>
          <w:rFonts w:eastAsia="Calibri"/>
          <w:bCs/>
          <w:color w:val="000000"/>
          <w:lang w:eastAsia="en-US"/>
        </w:rPr>
        <w:t>internetu</w:t>
      </w:r>
      <w:r>
        <w:rPr>
          <w:rFonts w:eastAsia="Calibri"/>
          <w:bCs/>
          <w:color w:val="000000"/>
          <w:lang w:eastAsia="en-US"/>
        </w:rPr>
        <w:t>)</w:t>
      </w:r>
      <w:r w:rsidRPr="00090C1A">
        <w:t>.</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nepriamych finančných nákladov</w:t>
      </w:r>
      <w:r w:rsidRPr="00ED5761">
        <w:t xml:space="preserve"> na vybavenie požiadavky</w:t>
      </w:r>
      <w:r>
        <w:t xml:space="preserve"> </w:t>
      </w:r>
      <w:r w:rsidRPr="00ED5761">
        <w:t>– v</w:t>
      </w:r>
      <w:r w:rsidR="00FF2F74">
        <w:t> </w:t>
      </w:r>
      <w:r w:rsidRPr="00ED5761">
        <w:t>porovnaní so súčasnosťou</w:t>
      </w:r>
    </w:p>
    <w:p w:rsidR="00096C3F" w:rsidRPr="00090C1A" w:rsidP="00096C3F">
      <w:pPr>
        <w:autoSpaceDE w:val="0"/>
        <w:autoSpaceDN w:val="0"/>
        <w:spacing w:after="200" w:line="240" w:lineRule="auto"/>
        <w:rPr>
          <w:rFonts w:eastAsia="Calibri"/>
          <w:b/>
          <w:bCs/>
          <w:lang w:eastAsia="en-US"/>
        </w:rPr>
      </w:pPr>
      <w:r w:rsidRPr="00090C1A">
        <w:rPr>
          <w:rFonts w:eastAsia="Calibri"/>
          <w:b/>
          <w:bCs/>
          <w:lang w:eastAsia="en-US"/>
        </w:rPr>
        <w:t xml:space="preserve">7.2.2 Časový vplyv </w:t>
      </w:r>
    </w:p>
    <w:p w:rsidR="00096C3F" w:rsidP="00096C3F">
      <w:pPr>
        <w:autoSpaceDE w:val="0"/>
        <w:autoSpaceDN w:val="0"/>
        <w:spacing w:after="200" w:line="240" w:lineRule="auto"/>
        <w:rPr>
          <w:rFonts w:eastAsia="Calibri"/>
          <w:bCs/>
          <w:color w:val="000000"/>
          <w:lang w:eastAsia="en-US"/>
        </w:rPr>
      </w:pPr>
      <w:r w:rsidRPr="000C45E7">
        <w:rPr>
          <w:rFonts w:eastAsia="Calibri"/>
          <w:bCs/>
          <w:i/>
          <w:color w:val="000000"/>
          <w:lang w:eastAsia="en-US"/>
        </w:rPr>
        <w:t>Časový vplyv</w:t>
      </w:r>
      <w:r>
        <w:rPr>
          <w:rFonts w:eastAsia="Calibri"/>
          <w:bCs/>
          <w:color w:val="000000"/>
          <w:lang w:eastAsia="en-US"/>
        </w:rPr>
        <w:t xml:space="preserve"> - </w:t>
      </w:r>
      <w:r w:rsidRPr="00090C1A">
        <w:rPr>
          <w:rFonts w:eastAsia="Calibri"/>
          <w:bCs/>
          <w:color w:val="000000"/>
          <w:lang w:eastAsia="en-US"/>
        </w:rPr>
        <w:t>čas potrebný na dosiahnutie požadovaného výsledku služby</w:t>
      </w:r>
      <w:r>
        <w:rPr>
          <w:rFonts w:eastAsia="Calibri"/>
          <w:bCs/>
          <w:color w:val="000000"/>
          <w:lang w:eastAsia="en-US"/>
        </w:rPr>
        <w:t xml:space="preserve"> resp. na </w:t>
      </w:r>
      <w:r w:rsidRPr="00A7218A">
        <w:rPr>
          <w:rFonts w:eastAsia="Calibri"/>
          <w:bCs/>
          <w:color w:val="000000"/>
          <w:lang w:eastAsia="en-US"/>
        </w:rPr>
        <w:t>riešenie</w:t>
      </w:r>
      <w:r>
        <w:rPr>
          <w:rFonts w:eastAsia="Calibri"/>
          <w:bCs/>
          <w:color w:val="000000"/>
          <w:lang w:eastAsia="en-US"/>
        </w:rPr>
        <w:t xml:space="preserve"> životnej situácie</w:t>
      </w:r>
      <w:r w:rsidRPr="00090C1A">
        <w:rPr>
          <w:rFonts w:eastAsia="Calibri"/>
          <w:bCs/>
          <w:color w:val="000000"/>
          <w:lang w:eastAsia="en-US"/>
        </w:rPr>
        <w:t xml:space="preserve">. Do času potrebného na </w:t>
      </w:r>
      <w:r w:rsidRPr="00A7218A">
        <w:rPr>
          <w:rFonts w:eastAsia="Calibri"/>
          <w:bCs/>
          <w:color w:val="000000"/>
          <w:lang w:eastAsia="en-US"/>
        </w:rPr>
        <w:t>riešenie</w:t>
      </w:r>
      <w:r w:rsidRPr="00090C1A">
        <w:rPr>
          <w:rFonts w:eastAsia="Calibri"/>
          <w:bCs/>
          <w:color w:val="000000"/>
          <w:lang w:eastAsia="en-US"/>
        </w:rPr>
        <w:t xml:space="preserve"> sa započítava časový úsek od podania žiadosti na poskytnutie služby alebo iný obdobný úkon, ktorý smeruje k prvému kroku k začatiu konania pred orgánom verejnej správy až po finálny výsledok žiadanej služby, napr. </w:t>
      </w:r>
      <w:r w:rsidRPr="00913A87">
        <w:rPr>
          <w:rFonts w:eastAsia="Calibri"/>
          <w:bCs/>
          <w:color w:val="000000"/>
          <w:lang w:eastAsia="en-US"/>
        </w:rPr>
        <w:t xml:space="preserve">od podania žiadosti o zápis vlastníckeho práva k nehnuteľnosti do katastra </w:t>
      </w:r>
      <w:r>
        <w:rPr>
          <w:rFonts w:eastAsia="Calibri"/>
          <w:bCs/>
          <w:color w:val="000000"/>
          <w:lang w:eastAsia="en-US"/>
        </w:rPr>
        <w:t xml:space="preserve">nehnuteľností </w:t>
      </w:r>
      <w:r w:rsidRPr="00913A87">
        <w:rPr>
          <w:rFonts w:eastAsia="Calibri"/>
          <w:bCs/>
          <w:color w:val="000000"/>
          <w:lang w:eastAsia="en-US"/>
        </w:rPr>
        <w:t xml:space="preserve">až po vydanie výpisu z listu vlastníctva, od podania žiadosti o výpis z </w:t>
      </w:r>
      <w:r>
        <w:rPr>
          <w:rFonts w:eastAsia="Calibri"/>
          <w:bCs/>
          <w:color w:val="000000"/>
          <w:lang w:eastAsia="en-US"/>
        </w:rPr>
        <w:t>registra trestov do doručenia</w:t>
      </w:r>
      <w:r w:rsidRPr="00913A87">
        <w:rPr>
          <w:rFonts w:eastAsia="Calibri"/>
          <w:bCs/>
          <w:color w:val="000000"/>
          <w:lang w:eastAsia="en-US"/>
        </w:rPr>
        <w:t xml:space="preserve"> výpisu, od podania žiadosti o prevedenie verejnej listiny do elektronickej podoby zaručenou konverziou prostredníctvom notára alebo jednotného kontaktného miesta okresného úradu</w:t>
      </w:r>
      <w:r w:rsidRPr="00090C1A">
        <w:rPr>
          <w:rFonts w:eastAsia="Calibri"/>
          <w:bCs/>
          <w:color w:val="000000"/>
          <w:lang w:eastAsia="en-US"/>
        </w:rPr>
        <w:t xml:space="preserve">. Proces získania výsledku služby je komplexný súbor úkonov </w:t>
      </w:r>
      <w:r w:rsidRPr="00090C1A">
        <w:t xml:space="preserve"> zahŕňa</w:t>
      </w:r>
      <w:r>
        <w:t>júci</w:t>
      </w:r>
      <w:r w:rsidRPr="00090C1A">
        <w:t xml:space="preserve"> viacero dotknutých subjektov</w:t>
      </w:r>
      <w:r>
        <w:t>. Č</w:t>
      </w:r>
      <w:r w:rsidRPr="00090C1A">
        <w:t xml:space="preserve">as </w:t>
      </w:r>
      <w:r>
        <w:t xml:space="preserve">potrebný na </w:t>
      </w:r>
      <w:r w:rsidRPr="00090C1A">
        <w:t>získani</w:t>
      </w:r>
      <w:r>
        <w:t>e</w:t>
      </w:r>
      <w:r w:rsidRPr="00090C1A">
        <w:t xml:space="preserve"> </w:t>
      </w:r>
      <w:r w:rsidRPr="00090C1A">
        <w:rPr>
          <w:rFonts w:eastAsia="Calibri"/>
          <w:bCs/>
          <w:color w:val="000000"/>
          <w:lang w:eastAsia="en-US"/>
        </w:rPr>
        <w:t xml:space="preserve">požadovaného výsledku služby by mal </w:t>
      </w:r>
      <w:r>
        <w:rPr>
          <w:rFonts w:eastAsia="Calibri"/>
          <w:bCs/>
          <w:color w:val="000000"/>
          <w:lang w:eastAsia="en-US"/>
        </w:rPr>
        <w:t>preto obsahovať</w:t>
      </w:r>
      <w:r w:rsidRPr="00090C1A">
        <w:rPr>
          <w:rFonts w:eastAsia="Calibri"/>
          <w:bCs/>
          <w:color w:val="000000"/>
          <w:lang w:eastAsia="en-US"/>
        </w:rPr>
        <w:t xml:space="preserve"> nielen čas stanov</w:t>
      </w:r>
      <w:r w:rsidR="00D3128C">
        <w:rPr>
          <w:rFonts w:eastAsia="Calibri"/>
          <w:bCs/>
          <w:color w:val="000000"/>
          <w:lang w:eastAsia="en-US"/>
        </w:rPr>
        <w:t>e</w:t>
      </w:r>
      <w:r w:rsidRPr="00090C1A">
        <w:rPr>
          <w:rFonts w:eastAsia="Calibri"/>
          <w:bCs/>
          <w:color w:val="000000"/>
          <w:lang w:eastAsia="en-US"/>
        </w:rPr>
        <w:t xml:space="preserve">ný zákonnou (resp. inou) lehotou, ale aj čas ktorý je potrebný na zabezpečenie </w:t>
      </w:r>
      <w:r>
        <w:rPr>
          <w:rFonts w:eastAsia="Calibri"/>
          <w:bCs/>
          <w:color w:val="000000"/>
          <w:lang w:eastAsia="en-US"/>
        </w:rPr>
        <w:t xml:space="preserve">jednotlivých </w:t>
      </w:r>
      <w:r w:rsidRPr="00090C1A">
        <w:rPr>
          <w:rFonts w:eastAsia="Calibri"/>
          <w:bCs/>
          <w:color w:val="000000"/>
          <w:lang w:eastAsia="en-US"/>
        </w:rPr>
        <w:t xml:space="preserve">povinných náležitostí </w:t>
      </w:r>
      <w:r>
        <w:rPr>
          <w:rFonts w:eastAsia="Calibri"/>
          <w:bCs/>
          <w:color w:val="000000"/>
          <w:lang w:eastAsia="en-US"/>
        </w:rPr>
        <w:t xml:space="preserve">(podkladových dokumentov/potvrdení/rozhodnutí) </w:t>
      </w:r>
      <w:r w:rsidRPr="00090C1A">
        <w:rPr>
          <w:rFonts w:eastAsia="Calibri"/>
          <w:bCs/>
          <w:color w:val="000000"/>
          <w:lang w:eastAsia="en-US"/>
        </w:rPr>
        <w:t xml:space="preserve">k dosiahnutiu výsledku služby. </w:t>
      </w:r>
    </w:p>
    <w:p w:rsidR="00096C3F" w:rsidP="00096C3F">
      <w:pPr>
        <w:autoSpaceDE w:val="0"/>
        <w:autoSpaceDN w:val="0"/>
        <w:spacing w:line="240" w:lineRule="auto"/>
        <w:rPr>
          <w:rFonts w:eastAsia="Calibri"/>
          <w:bCs/>
          <w:i/>
          <w:color w:val="000000"/>
          <w:lang w:eastAsia="en-US"/>
        </w:rPr>
      </w:pPr>
      <w:r w:rsidRPr="009F2D8E">
        <w:rPr>
          <w:rFonts w:eastAsia="Calibri"/>
          <w:bCs/>
          <w:i/>
          <w:color w:val="000000"/>
          <w:lang w:eastAsia="en-US"/>
        </w:rPr>
        <w:t>Príklad</w:t>
      </w:r>
    </w:p>
    <w:p w:rsidR="00096C3F" w:rsidP="00096C3F">
      <w:pPr>
        <w:autoSpaceDE w:val="0"/>
        <w:autoSpaceDN w:val="0"/>
        <w:spacing w:line="240" w:lineRule="auto"/>
        <w:rPr>
          <w:rFonts w:eastAsia="Calibri"/>
          <w:bCs/>
          <w:i/>
          <w:color w:val="000000"/>
          <w:lang w:eastAsia="en-US"/>
        </w:rPr>
      </w:pPr>
      <w:r>
        <w:rPr>
          <w:rFonts w:eastAsia="Calibri"/>
          <w:bCs/>
          <w:i/>
          <w:color w:val="000000"/>
          <w:lang w:eastAsia="en-US"/>
        </w:rPr>
        <w:t>P</w:t>
      </w:r>
      <w:r w:rsidRPr="009F2D8E">
        <w:rPr>
          <w:rFonts w:eastAsia="Calibri"/>
          <w:bCs/>
          <w:i/>
          <w:color w:val="000000"/>
          <w:lang w:eastAsia="en-US"/>
        </w:rPr>
        <w:t>ri podaní žiadosti o získanie vodičského preukazu sa do času potrebného na vybavenie započítava</w:t>
      </w:r>
      <w:r>
        <w:rPr>
          <w:rFonts w:eastAsia="Calibri"/>
          <w:bCs/>
          <w:i/>
          <w:color w:val="000000"/>
          <w:lang w:eastAsia="en-US"/>
        </w:rPr>
        <w:t>:</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Získanie zdrav</w:t>
      </w:r>
      <w:r w:rsidRPr="00F46DEA">
        <w:rPr>
          <w:rFonts w:cs="Calibri"/>
          <w:i/>
        </w:rPr>
        <w:t xml:space="preserve">otnej spôsobilosti (1 deň).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Absolvovanie vodičského kurzu v autoškole (0 až 12 mesiacov).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Žiadosť o udelenie vodičského oprávnenia (povinnosť autoškoly v lehote do 6 mesiacov od ukončenia vodičského </w:t>
      </w:r>
      <w:r>
        <w:rPr>
          <w:rFonts w:cs="Calibri"/>
          <w:i/>
        </w:rPr>
        <w:t xml:space="preserve">kurzu </w:t>
      </w:r>
      <w:r w:rsidRPr="00783C14">
        <w:rPr>
          <w:rFonts w:cs="Calibri"/>
          <w:i/>
        </w:rPr>
        <w:t xml:space="preserve">podľa § 80 ods. 2 zákona č. 8/2009 Z. z. o cestnej premávke a o zmene a doplnení niektorých zákonov v znení čl. I zákona č. 430/2015) kurzu). </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Skúška musí byť vykonaná do 6 mesiacov od určenia prvého termínu (dopravný inšpektorát určí termín do 30 dní), s možnosťou predĺženia termínu maximálne o</w:t>
      </w:r>
      <w:r w:rsidR="00265773">
        <w:rPr>
          <w:rFonts w:cs="Calibri"/>
          <w:i/>
        </w:rPr>
        <w:t> </w:t>
      </w:r>
      <w:r w:rsidRPr="00783C14">
        <w:rPr>
          <w:rFonts w:cs="Calibri"/>
          <w:i/>
        </w:rPr>
        <w:t>3</w:t>
      </w:r>
      <w:r w:rsidR="00265773">
        <w:rPr>
          <w:rFonts w:cs="Calibri"/>
          <w:i/>
        </w:rPr>
        <w:t> </w:t>
      </w:r>
      <w:r w:rsidRPr="00783C14">
        <w:rPr>
          <w:rFonts w:cs="Calibri"/>
          <w:i/>
        </w:rPr>
        <w:t>mesiace zo závažných dôvodov (§ 17 vyhlášky Ministerstva vnútra Slovenskej republiky č.</w:t>
      </w:r>
      <w:r w:rsidR="00751B3B">
        <w:rPr>
          <w:rFonts w:cs="Calibri"/>
          <w:i/>
        </w:rPr>
        <w:t> </w:t>
      </w:r>
      <w:r w:rsidRPr="00783C14">
        <w:rPr>
          <w:rFonts w:cs="Calibri"/>
          <w:i/>
        </w:rPr>
        <w:t>9/2009 Z. z., ktorou sa vykonáva zákon o cestnej premávke a o zmene a</w:t>
      </w:r>
      <w:r w:rsidR="00265773">
        <w:rPr>
          <w:rFonts w:cs="Calibri"/>
          <w:i/>
        </w:rPr>
        <w:t> </w:t>
      </w:r>
      <w:r w:rsidRPr="00783C14">
        <w:rPr>
          <w:rFonts w:cs="Calibri"/>
          <w:i/>
        </w:rPr>
        <w:t>doplnení niektorých zákonov v znení neskorších predpisov)</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Pr>
          <w:rFonts w:cs="Calibri"/>
          <w:i/>
        </w:rPr>
        <w:t xml:space="preserve">Žiadosť o vydanie </w:t>
      </w:r>
      <w:r w:rsidRPr="000A1BFB">
        <w:rPr>
          <w:rFonts w:cs="Calibri"/>
          <w:i/>
        </w:rPr>
        <w:t xml:space="preserve">vodičského preukazu </w:t>
      </w:r>
      <w:r w:rsidRPr="005A2D41">
        <w:rPr>
          <w:rFonts w:cs="Calibri"/>
          <w:i/>
        </w:rPr>
        <w:t>(n</w:t>
      </w:r>
      <w:r w:rsidRPr="00783C14">
        <w:rPr>
          <w:rFonts w:cs="Calibri"/>
          <w:i/>
        </w:rPr>
        <w:t>ajskôr v deň udelenia vodičského oprávnenia môže byť požiadané</w:t>
      </w:r>
      <w:r w:rsidRPr="005A2D41">
        <w:rPr>
          <w:rFonts w:cs="Calibri"/>
          <w:i/>
        </w:rPr>
        <w:t xml:space="preserve"> o vydanie vodičského preukazu </w:t>
      </w:r>
      <w:r>
        <w:rPr>
          <w:rFonts w:cs="Calibri"/>
          <w:i/>
        </w:rPr>
        <w:t xml:space="preserve">– v </w:t>
      </w:r>
      <w:r w:rsidRPr="00783C14">
        <w:rPr>
          <w:rFonts w:cs="Calibri"/>
          <w:i/>
        </w:rPr>
        <w:t>lehote do 30 dní</w:t>
      </w:r>
      <w:r>
        <w:rPr>
          <w:rFonts w:cs="Calibri"/>
          <w:i/>
        </w:rPr>
        <w:t>,</w:t>
      </w:r>
      <w:r w:rsidRPr="00F46DEA">
        <w:rPr>
          <w:rFonts w:cs="Calibri"/>
          <w:i/>
        </w:rPr>
        <w:t xml:space="preserve"> alebo na výslovnú žiadosť poplatníka je možné vyhotoviť vodičský preukaz urýchlene do </w:t>
      </w:r>
      <w:r>
        <w:rPr>
          <w:rFonts w:cs="Calibri"/>
          <w:i/>
        </w:rPr>
        <w:t>2</w:t>
      </w:r>
      <w:r w:rsidR="00265773">
        <w:rPr>
          <w:rFonts w:cs="Calibri"/>
          <w:i/>
        </w:rPr>
        <w:t> </w:t>
      </w:r>
      <w:r w:rsidRPr="00F46DEA">
        <w:rPr>
          <w:rFonts w:cs="Calibri"/>
          <w:i/>
        </w:rPr>
        <w:t>pracovných dní, pričom správny poplatok sa vyberie do výšky štvornásobku príslušnej sadzby v zmysle zákona Národnej rady Slovenskej republiky č. 145/1995 Z. z. o</w:t>
      </w:r>
      <w:r w:rsidR="00751B3B">
        <w:rPr>
          <w:rFonts w:cs="Calibri"/>
          <w:i/>
        </w:rPr>
        <w:t> </w:t>
      </w:r>
      <w:r w:rsidRPr="00F46DEA">
        <w:rPr>
          <w:rFonts w:cs="Calibri"/>
          <w:i/>
        </w:rPr>
        <w:t>správnych poplatkoch v znení neskorších predpisov</w:t>
      </w:r>
      <w:r>
        <w:rPr>
          <w:rFonts w:cs="Calibri"/>
          <w:i/>
        </w:rPr>
        <w:t>).</w:t>
      </w:r>
      <w:r w:rsidRPr="00783C14">
        <w:rPr>
          <w:rFonts w:cs="Calibri"/>
          <w:i/>
        </w:rPr>
        <w:t xml:space="preserve"> </w:t>
      </w:r>
    </w:p>
    <w:p w:rsidR="00096C3F" w:rsidP="00096C3F">
      <w:pPr>
        <w:autoSpaceDE w:val="0"/>
        <w:autoSpaceDN w:val="0"/>
        <w:spacing w:line="240" w:lineRule="auto"/>
        <w:ind w:left="60"/>
        <w:rPr>
          <w:rFonts w:eastAsia="Calibri"/>
          <w:bCs/>
          <w:i/>
          <w:color w:val="000000"/>
          <w:lang w:eastAsia="en-US"/>
        </w:rPr>
      </w:pPr>
    </w:p>
    <w:p w:rsidR="00096C3F" w:rsidRPr="00783C14" w:rsidP="00096C3F">
      <w:pPr>
        <w:autoSpaceDE w:val="0"/>
        <w:autoSpaceDN w:val="0"/>
        <w:spacing w:line="240" w:lineRule="auto"/>
        <w:ind w:left="60"/>
        <w:rPr>
          <w:rFonts w:eastAsia="Calibri"/>
          <w:bCs/>
          <w:i/>
          <w:color w:val="000000"/>
          <w:lang w:eastAsia="en-US"/>
        </w:rPr>
      </w:pPr>
      <w:r w:rsidRPr="00783C14">
        <w:rPr>
          <w:rFonts w:eastAsia="Calibri"/>
          <w:bCs/>
          <w:i/>
          <w:color w:val="000000"/>
          <w:lang w:eastAsia="en-US"/>
        </w:rPr>
        <w:t xml:space="preserve">Výsledným časom potrebným na získanie vodičského preukazu je </w:t>
      </w:r>
      <w:r>
        <w:rPr>
          <w:rFonts w:eastAsia="Calibri"/>
          <w:bCs/>
          <w:i/>
          <w:color w:val="000000"/>
          <w:lang w:eastAsia="en-US"/>
        </w:rPr>
        <w:t>interval vypočítateľný podľa lehôt vyššie uvedených platných právnych predpisov</w:t>
      </w:r>
      <w:r w:rsidRPr="00783C14">
        <w:rPr>
          <w:rFonts w:eastAsia="Calibri"/>
          <w:bCs/>
          <w:i/>
          <w:color w:val="000000"/>
          <w:lang w:eastAsia="en-US"/>
        </w:rPr>
        <w:t xml:space="preserve">. </w:t>
      </w:r>
    </w:p>
    <w:p w:rsidR="00096C3F" w:rsidRPr="00090C1A" w:rsidP="00096C3F">
      <w:pPr>
        <w:autoSpaceDE w:val="0"/>
        <w:autoSpaceDN w:val="0"/>
        <w:spacing w:line="240" w:lineRule="auto"/>
        <w:rPr>
          <w:rFonts w:eastAsia="Calibri"/>
          <w:bCs/>
          <w:color w:val="000000"/>
          <w:lang w:eastAsia="en-US"/>
        </w:rPr>
      </w:pPr>
    </w:p>
    <w:p w:rsidR="00096C3F" w:rsidRPr="00090C1A" w:rsidP="00096C3F">
      <w:pPr>
        <w:pStyle w:val="ListParagraph"/>
        <w:widowControl/>
        <w:numPr>
          <w:ilvl w:val="0"/>
          <w:numId w:val="16"/>
        </w:numPr>
        <w:autoSpaceDE w:val="0"/>
        <w:autoSpaceDN w:val="0"/>
        <w:spacing w:after="200" w:line="240" w:lineRule="auto"/>
        <w:contextualSpacing/>
        <w:textAlignment w:val="auto"/>
        <w:rPr>
          <w:rFonts w:eastAsia="Calibri"/>
          <w:bCs/>
          <w:u w:val="single"/>
          <w:lang w:eastAsia="en-US"/>
        </w:rPr>
      </w:pPr>
      <w:r w:rsidRPr="000C45E7">
        <w:rPr>
          <w:rFonts w:eastAsia="Calibri"/>
          <w:bCs/>
          <w:i/>
          <w:color w:val="000000"/>
          <w:lang w:eastAsia="en-US"/>
        </w:rPr>
        <w:t>Zvýšenie času  vybavenia požiadavky</w:t>
      </w:r>
      <w:r w:rsidRPr="00090C1A">
        <w:rPr>
          <w:rFonts w:eastAsia="Calibri"/>
          <w:bCs/>
          <w:color w:val="000000"/>
          <w:lang w:eastAsia="en-US"/>
        </w:rPr>
        <w:t xml:space="preserve"> – v porovnaní so súčasnosťou </w:t>
      </w:r>
    </w:p>
    <w:p w:rsidR="00096C3F" w:rsidRPr="00090C1A" w:rsidP="0097717F">
      <w:pPr>
        <w:pStyle w:val="ListParagraph"/>
        <w:widowControl/>
        <w:numPr>
          <w:ilvl w:val="0"/>
          <w:numId w:val="16"/>
        </w:numPr>
        <w:autoSpaceDE w:val="0"/>
        <w:autoSpaceDN w:val="0"/>
        <w:spacing w:line="240" w:lineRule="auto"/>
        <w:ind w:left="714" w:hanging="357"/>
        <w:contextualSpacing/>
        <w:textAlignment w:val="auto"/>
        <w:rPr>
          <w:rFonts w:eastAsia="Calibri"/>
          <w:bCs/>
          <w:color w:val="000000"/>
          <w:lang w:eastAsia="en-US"/>
        </w:rPr>
      </w:pPr>
      <w:r w:rsidRPr="000C45E7">
        <w:rPr>
          <w:rFonts w:eastAsia="Calibri"/>
          <w:bCs/>
          <w:i/>
          <w:color w:val="000000"/>
          <w:lang w:eastAsia="en-US"/>
        </w:rPr>
        <w:t>Zníženie času  vybavenia požiadavky</w:t>
      </w:r>
      <w:r w:rsidRPr="00090C1A">
        <w:rPr>
          <w:rFonts w:eastAsia="Calibri"/>
          <w:bCs/>
          <w:color w:val="000000"/>
          <w:lang w:eastAsia="en-US"/>
        </w:rPr>
        <w:t xml:space="preserve"> – v porovnaní so súčasnosťou</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096C3F" w:rsidRPr="00AD30F4" w:rsidP="00096C3F">
      <w:pPr>
        <w:spacing w:line="240" w:lineRule="auto"/>
        <w:rPr>
          <w:b/>
        </w:rPr>
      </w:pPr>
      <w:r w:rsidRPr="00B1784E">
        <w:rPr>
          <w:b/>
        </w:rPr>
        <w:t xml:space="preserve"> </w:t>
      </w:r>
    </w:p>
    <w:p w:rsidR="00096C3F" w:rsidRPr="00BC5C1F" w:rsidP="00096C3F">
      <w:pPr>
        <w:autoSpaceDE w:val="0"/>
        <w:autoSpaceDN w:val="0"/>
        <w:spacing w:after="200" w:line="240" w:lineRule="auto"/>
        <w:rPr>
          <w:rFonts w:eastAsia="Calibri"/>
          <w:bCs/>
          <w:color w:val="000000"/>
          <w:lang w:eastAsia="en-US"/>
        </w:rPr>
      </w:pPr>
      <w:r>
        <w:rPr>
          <w:rFonts w:eastAsia="Calibri"/>
          <w:bCs/>
          <w:i/>
          <w:color w:val="000000"/>
          <w:lang w:eastAsia="en-US"/>
        </w:rPr>
        <w:t>Špecifikácia</w:t>
      </w:r>
      <w:r w:rsidRPr="00015737">
        <w:rPr>
          <w:rFonts w:eastAsia="Calibri"/>
          <w:bCs/>
          <w:i/>
          <w:color w:val="000000"/>
          <w:lang w:eastAsia="en-US"/>
        </w:rPr>
        <w:t xml:space="preserve"> skupiny</w:t>
      </w:r>
      <w:r w:rsidRPr="00BC5C1F">
        <w:rPr>
          <w:rFonts w:eastAsia="Calibri"/>
          <w:bCs/>
          <w:color w:val="000000"/>
          <w:lang w:eastAsia="en-US"/>
        </w:rPr>
        <w:t xml:space="preserve"> </w:t>
      </w:r>
      <w:r>
        <w:rPr>
          <w:rFonts w:eastAsia="Calibri"/>
          <w:bCs/>
          <w:color w:val="000000"/>
          <w:lang w:eastAsia="en-US"/>
        </w:rPr>
        <w:t xml:space="preserve">- </w:t>
      </w:r>
      <w:r w:rsidRPr="00BC5C1F">
        <w:rPr>
          <w:rFonts w:eastAsia="Calibri"/>
          <w:bCs/>
          <w:color w:val="000000"/>
          <w:lang w:eastAsia="en-US"/>
        </w:rPr>
        <w:t xml:space="preserve">identifikovanie konkrétnej skupiny občanov, napr. </w:t>
      </w:r>
      <w:r>
        <w:rPr>
          <w:rFonts w:eastAsia="Calibri"/>
          <w:bCs/>
          <w:color w:val="000000"/>
          <w:lang w:eastAsia="en-US"/>
        </w:rPr>
        <w:t xml:space="preserve">držiteľov vodičského oprávnenia, držiteľov občianskych preukazov, držiteľov cestovných pasov, vlastníkov nehnuteľností, vlastníkov motorových vozidiel. </w:t>
      </w:r>
    </w:p>
    <w:p w:rsidR="00096C3F" w:rsidP="00096C3F">
      <w:pPr>
        <w:autoSpaceDE w:val="0"/>
        <w:autoSpaceDN w:val="0"/>
        <w:spacing w:after="200" w:line="240" w:lineRule="auto"/>
        <w:rPr>
          <w:rFonts w:eastAsia="Calibri"/>
          <w:bCs/>
          <w:i/>
          <w:color w:val="000000"/>
          <w:lang w:eastAsia="en-US"/>
        </w:rPr>
      </w:pPr>
      <w:r>
        <w:rPr>
          <w:rFonts w:eastAsia="Calibri"/>
          <w:bCs/>
          <w:i/>
          <w:color w:val="000000"/>
          <w:lang w:eastAsia="en-US"/>
        </w:rPr>
        <w:t xml:space="preserve">Veľkosť skupiny - </w:t>
      </w:r>
      <w:r w:rsidRPr="00BC5C1F">
        <w:rPr>
          <w:rFonts w:eastAsia="Calibri"/>
          <w:bCs/>
          <w:color w:val="000000"/>
          <w:lang w:eastAsia="en-US"/>
        </w:rPr>
        <w:t xml:space="preserve">určí </w:t>
      </w:r>
      <w:r>
        <w:rPr>
          <w:rFonts w:eastAsia="Calibri"/>
          <w:bCs/>
          <w:color w:val="000000"/>
          <w:lang w:eastAsia="en-US"/>
        </w:rPr>
        <w:t xml:space="preserve">sa </w:t>
      </w:r>
      <w:r w:rsidRPr="00BC5C1F">
        <w:rPr>
          <w:rFonts w:eastAsia="Calibri"/>
          <w:bCs/>
          <w:color w:val="000000"/>
          <w:lang w:eastAsia="en-US"/>
        </w:rPr>
        <w:t>v zmysle počtu občanov dotknutých zmenou</w:t>
      </w:r>
      <w:r>
        <w:rPr>
          <w:rFonts w:eastAsia="Calibri"/>
          <w:bCs/>
          <w:i/>
          <w:color w:val="000000"/>
          <w:lang w:eastAsia="en-US"/>
        </w:rPr>
        <w:t>.</w:t>
      </w:r>
    </w:p>
    <w:p w:rsidR="00096C3F" w:rsidP="0097717F">
      <w:pPr>
        <w:autoSpaceDE w:val="0"/>
        <w:autoSpaceDN w:val="0"/>
        <w:spacing w:line="240" w:lineRule="auto"/>
        <w:rPr>
          <w:rFonts w:eastAsia="Calibri"/>
          <w:bCs/>
          <w:color w:val="000000"/>
          <w:lang w:eastAsia="en-US"/>
        </w:rPr>
      </w:pPr>
      <w:r w:rsidRPr="00015737">
        <w:rPr>
          <w:rFonts w:eastAsia="Calibri"/>
          <w:bCs/>
          <w:i/>
          <w:color w:val="000000"/>
          <w:lang w:eastAsia="en-US"/>
        </w:rPr>
        <w:t>Občan</w:t>
      </w:r>
      <w:r>
        <w:rPr>
          <w:rFonts w:eastAsia="Calibri"/>
          <w:bCs/>
          <w:color w:val="000000"/>
          <w:lang w:eastAsia="en-US"/>
        </w:rPr>
        <w:t xml:space="preserve"> – v kontexte tejto analýzy fyzická osoba, ktorá nevykonáva podnikateľskú činnosť </w:t>
      </w:r>
      <w:r>
        <w:t>alebo inú činnosť ako samostatne zárobkovo činná osoba</w:t>
      </w:r>
      <w:r>
        <w:rPr>
          <w:rFonts w:eastAsia="Calibri"/>
          <w:bCs/>
          <w:color w:val="000000"/>
          <w:lang w:eastAsia="en-US"/>
        </w:rPr>
        <w:t xml:space="preserve">.  </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sidRPr="00B1784E">
        <w:rPr>
          <w:b/>
        </w:rPr>
        <w:t>7</w:t>
      </w:r>
      <w:r>
        <w:rPr>
          <w:b/>
        </w:rPr>
        <w:t>.2</w:t>
      </w:r>
      <w:r w:rsidRPr="00B1784E">
        <w:rPr>
          <w:b/>
        </w:rPr>
        <w:t>.</w:t>
      </w:r>
      <w:r w:rsidRPr="0095420F">
        <w:rPr>
          <w:b/>
        </w:rPr>
        <w:t>4 Vyplývajú z návrhu pre občana pri vybavení svojej požiadavky nové povinnosti alebo zanikajú</w:t>
      </w:r>
      <w:r>
        <w:rPr>
          <w:b/>
        </w:rPr>
        <w:t xml:space="preserve"> už existujúce</w:t>
      </w:r>
      <w:r w:rsidRPr="0095420F">
        <w:rPr>
          <w:b/>
        </w:rPr>
        <w:t xml:space="preserve"> </w:t>
      </w:r>
      <w:r>
        <w:rPr>
          <w:b/>
        </w:rPr>
        <w:t>p</w:t>
      </w:r>
      <w:r w:rsidRPr="0095420F">
        <w:rPr>
          <w:b/>
        </w:rPr>
        <w:t>ovinnosti?</w:t>
      </w:r>
      <w:r w:rsidRPr="00B1784E">
        <w:rPr>
          <w:b/>
        </w:rPr>
        <w:t xml:space="preserve">  </w:t>
      </w:r>
    </w:p>
    <w:p w:rsidR="00096C3F" w:rsidP="00096C3F">
      <w:pPr>
        <w:spacing w:line="240" w:lineRule="auto"/>
        <w:rPr>
          <w:b/>
        </w:rPr>
      </w:pPr>
    </w:p>
    <w:p w:rsidR="00096C3F" w:rsidRPr="00BC5C1F" w:rsidP="00096C3F">
      <w:pPr>
        <w:pStyle w:val="ListParagraph"/>
        <w:widowControl/>
        <w:numPr>
          <w:ilvl w:val="0"/>
          <w:numId w:val="13"/>
        </w:numPr>
        <w:autoSpaceDE w:val="0"/>
        <w:autoSpaceDN w:val="0"/>
        <w:spacing w:after="200" w:line="240" w:lineRule="auto"/>
        <w:contextualSpacing/>
        <w:textAlignment w:val="auto"/>
        <w:rPr>
          <w:rFonts w:eastAsia="Calibri"/>
          <w:bCs/>
          <w:color w:val="000000"/>
          <w:lang w:eastAsia="en-US"/>
        </w:rPr>
      </w:pPr>
      <w:r w:rsidRPr="00015737">
        <w:rPr>
          <w:rFonts w:eastAsia="Calibri"/>
          <w:bCs/>
          <w:i/>
          <w:color w:val="000000"/>
          <w:lang w:eastAsia="en-US"/>
        </w:rPr>
        <w:t>Nové povinnosti</w:t>
      </w:r>
      <w:r w:rsidRPr="00BC5C1F">
        <w:rPr>
          <w:rFonts w:eastAsia="Calibri"/>
          <w:bCs/>
          <w:color w:val="000000"/>
          <w:lang w:eastAsia="en-US"/>
        </w:rPr>
        <w:t xml:space="preserve"> - nové povinné úkony alebo náležitosti, ktoré sú vy</w:t>
      </w:r>
      <w:r>
        <w:rPr>
          <w:rFonts w:eastAsia="Calibri"/>
          <w:bCs/>
          <w:color w:val="000000"/>
          <w:lang w:eastAsia="en-US"/>
        </w:rPr>
        <w:t xml:space="preserve">žadované od občana k vybaveniu jeho </w:t>
      </w:r>
      <w:r w:rsidRPr="00BC5C1F">
        <w:rPr>
          <w:rFonts w:eastAsia="Calibri"/>
          <w:bCs/>
          <w:color w:val="000000"/>
          <w:lang w:eastAsia="en-US"/>
        </w:rPr>
        <w:t xml:space="preserve"> požiadavky </w:t>
      </w:r>
      <w:r>
        <w:rPr>
          <w:rFonts w:eastAsia="Calibri"/>
          <w:bCs/>
          <w:color w:val="000000"/>
          <w:lang w:eastAsia="en-US"/>
        </w:rPr>
        <w:t>(n</w:t>
      </w:r>
      <w:r w:rsidRPr="00BC5C1F">
        <w:rPr>
          <w:rFonts w:eastAsia="Calibri"/>
          <w:bCs/>
          <w:color w:val="000000"/>
          <w:lang w:eastAsia="en-US"/>
        </w:rPr>
        <w:t xml:space="preserve">apr. </w:t>
      </w:r>
      <w:r>
        <w:rPr>
          <w:rFonts w:eastAsia="Calibri"/>
          <w:bCs/>
          <w:color w:val="000000"/>
          <w:lang w:eastAsia="en-US"/>
        </w:rPr>
        <w:t>predloženie dokumentu</w:t>
      </w:r>
      <w:r w:rsidRPr="00BC5C1F">
        <w:rPr>
          <w:rFonts w:eastAsia="Calibri"/>
          <w:bCs/>
          <w:color w:val="000000"/>
          <w:lang w:eastAsia="en-US"/>
        </w:rPr>
        <w:t xml:space="preserve"> </w:t>
      </w:r>
      <w:r>
        <w:rPr>
          <w:rFonts w:eastAsia="Calibri"/>
          <w:bCs/>
          <w:color w:val="000000"/>
          <w:lang w:eastAsia="en-US"/>
        </w:rPr>
        <w:t xml:space="preserve">alebo zavedenie novej oznamovacej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občan nemá</w:t>
      </w:r>
      <w:r w:rsidRPr="00BC5C1F">
        <w:rPr>
          <w:rFonts w:eastAsia="Calibri"/>
          <w:bCs/>
          <w:color w:val="000000"/>
          <w:lang w:eastAsia="en-US"/>
        </w:rPr>
        <w:t xml:space="preserve">. </w:t>
      </w:r>
    </w:p>
    <w:p w:rsidR="00096C3F" w:rsidRPr="00CF5D2D" w:rsidP="00CF5D2D">
      <w:pPr>
        <w:pStyle w:val="ListParagraph"/>
        <w:widowControl/>
        <w:numPr>
          <w:ilvl w:val="0"/>
          <w:numId w:val="13"/>
        </w:numPr>
        <w:autoSpaceDE w:val="0"/>
        <w:autoSpaceDN w:val="0"/>
        <w:spacing w:line="240" w:lineRule="auto"/>
        <w:ind w:left="714" w:hanging="357"/>
        <w:contextualSpacing/>
        <w:textAlignment w:val="auto"/>
        <w:rPr>
          <w:rFonts w:eastAsia="Calibri"/>
          <w:bCs/>
          <w:color w:val="000000"/>
          <w:lang w:eastAsia="en-US"/>
        </w:rPr>
      </w:pPr>
      <w:r w:rsidRPr="00015737">
        <w:rPr>
          <w:rFonts w:eastAsia="Calibri"/>
          <w:bCs/>
          <w:i/>
          <w:color w:val="000000"/>
          <w:lang w:eastAsia="en-US"/>
        </w:rPr>
        <w:t>Zanikajú</w:t>
      </w:r>
      <w:r>
        <w:rPr>
          <w:rFonts w:eastAsia="Calibri"/>
          <w:bCs/>
          <w:i/>
          <w:color w:val="000000"/>
          <w:lang w:eastAsia="en-US"/>
        </w:rPr>
        <w:t xml:space="preserve">ce </w:t>
      </w:r>
      <w:r w:rsidRPr="00015737">
        <w:rPr>
          <w:rFonts w:eastAsia="Calibri"/>
          <w:bCs/>
          <w:i/>
          <w:color w:val="000000"/>
          <w:lang w:eastAsia="en-US"/>
        </w:rPr>
        <w:t>povinnosti</w:t>
      </w:r>
      <w:r w:rsidRPr="00BC5C1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BC5C1F">
        <w:rPr>
          <w:rFonts w:eastAsia="Calibri"/>
          <w:bCs/>
          <w:color w:val="000000"/>
          <w:lang w:eastAsia="en-US"/>
        </w:rPr>
        <w:t xml:space="preserve"> návrh už nevyžaduje a tým znižuje administratívnu </w:t>
      </w:r>
      <w:r w:rsidRPr="00C343B2">
        <w:rPr>
          <w:rFonts w:eastAsia="Calibri"/>
          <w:bCs/>
          <w:color w:val="000000"/>
          <w:lang w:eastAsia="en-US"/>
        </w:rPr>
        <w:t>záťaž</w:t>
      </w:r>
      <w:r w:rsidRPr="00BC5C1F">
        <w:rPr>
          <w:rFonts w:eastAsia="Calibri"/>
          <w:bCs/>
          <w:color w:val="000000"/>
          <w:lang w:eastAsia="en-US"/>
        </w:rPr>
        <w:t xml:space="preserve"> občana. </w:t>
      </w:r>
      <w:r>
        <w:rPr>
          <w:rFonts w:eastAsia="Calibri"/>
          <w:bCs/>
          <w:color w:val="000000"/>
          <w:lang w:eastAsia="en-US"/>
        </w:rPr>
        <w:t xml:space="preserve">Napr. </w:t>
      </w:r>
      <w:r w:rsidRPr="00913A87">
        <w:rPr>
          <w:rFonts w:eastAsia="Calibri"/>
          <w:bCs/>
          <w:color w:val="000000"/>
          <w:lang w:eastAsia="en-US"/>
        </w:rPr>
        <w:t>zánik</w:t>
      </w:r>
      <w:r>
        <w:rPr>
          <w:rFonts w:eastAsia="Calibri"/>
          <w:bCs/>
          <w:color w:val="000000"/>
          <w:lang w:eastAsia="en-US"/>
        </w:rPr>
        <w:t xml:space="preserve"> povinnosti fyzickej prítomnosti občana pri vybavovaní služby za predpokladu možnosti vybavenia žiadosti elektronickou </w:t>
      </w:r>
      <w:r w:rsidR="00955451">
        <w:rPr>
          <w:rFonts w:eastAsia="Calibri"/>
          <w:bCs/>
          <w:color w:val="000000"/>
          <w:lang w:eastAsia="en-US"/>
        </w:rPr>
        <w:t>podobou</w:t>
      </w:r>
      <w:r>
        <w:rPr>
          <w:rFonts w:eastAsia="Calibri"/>
          <w:bCs/>
          <w:color w:val="000000"/>
          <w:lang w:eastAsia="en-US"/>
        </w:rPr>
        <w:t>.</w:t>
      </w:r>
    </w:p>
    <w:p w:rsidR="00096C3F" w:rsidRPr="00AB307C" w:rsidP="00096C3F">
      <w:pPr>
        <w:autoSpaceDE w:val="0"/>
        <w:autoSpaceDN w:val="0"/>
        <w:spacing w:after="200" w:line="240" w:lineRule="auto"/>
        <w:rPr>
          <w:b/>
          <w:u w:val="single"/>
        </w:rPr>
      </w:pPr>
      <w:r w:rsidRPr="00AB307C">
        <w:rPr>
          <w:b/>
          <w:u w:val="single"/>
        </w:rPr>
        <w:t xml:space="preserve">Bod 7.3 </w:t>
      </w:r>
      <w:r>
        <w:rPr>
          <w:b/>
          <w:u w:val="single"/>
        </w:rPr>
        <w:t>Vplyv</w:t>
      </w:r>
      <w:r w:rsidRPr="00AB307C">
        <w:rPr>
          <w:b/>
          <w:u w:val="single"/>
        </w:rPr>
        <w:t xml:space="preserve"> na procesy </w:t>
      </w:r>
      <w:r w:rsidR="00FF2F74">
        <w:rPr>
          <w:b/>
          <w:u w:val="single"/>
        </w:rPr>
        <w:t xml:space="preserve">služieb </w:t>
      </w:r>
      <w:r w:rsidRPr="00AB307C">
        <w:rPr>
          <w:b/>
          <w:u w:val="single"/>
        </w:rPr>
        <w:t xml:space="preserve">vo </w:t>
      </w:r>
      <w:r>
        <w:rPr>
          <w:b/>
          <w:u w:val="single"/>
        </w:rPr>
        <w:t>verejnej správe</w:t>
      </w:r>
    </w:p>
    <w:p w:rsidR="00096C3F" w:rsidP="00096C3F">
      <w:pPr>
        <w:autoSpaceDE w:val="0"/>
        <w:autoSpaceDN w:val="0"/>
        <w:spacing w:after="200" w:line="240" w:lineRule="auto"/>
      </w:pPr>
      <w:r w:rsidRPr="00834447">
        <w:rPr>
          <w:rFonts w:eastAsia="Calibri"/>
          <w:bCs/>
          <w:i/>
          <w:color w:val="000000"/>
          <w:lang w:eastAsia="en-US"/>
        </w:rPr>
        <w:t>Proces verejnej správy</w:t>
      </w:r>
      <w:r w:rsidRPr="00DB1DCE">
        <w:rPr>
          <w:rFonts w:eastAsia="Calibri"/>
          <w:bCs/>
          <w:color w:val="000000"/>
          <w:lang w:eastAsia="en-US"/>
        </w:rPr>
        <w:t xml:space="preserve"> - </w:t>
      </w:r>
      <w:r w:rsidRPr="00783C14">
        <w:rPr>
          <w:rFonts w:cs="Calibri"/>
        </w:rPr>
        <w:t>súbor vecne súvisiacich a procesne nadväzujúcich úkonov verejnej správy v rámci vybavovania služby pre občana, ktorý môže zahŕňať úkony viacerých dotknutých subjektov verejnej správy</w:t>
      </w:r>
      <w:r>
        <w:rPr>
          <w:rFonts w:eastAsia="Calibri"/>
          <w:bCs/>
          <w:color w:val="000000"/>
          <w:lang w:eastAsia="en-US"/>
        </w:rPr>
        <w:t xml:space="preserve"> </w:t>
      </w:r>
      <w:r w:rsidRPr="00F5513B">
        <w:t>(</w:t>
      </w:r>
      <w:r>
        <w:rPr>
          <w:rFonts w:cs="Calibri"/>
        </w:rPr>
        <w:t xml:space="preserve">pozn. subjektmi verejnej správy v kontexte tejto analýzy nie sú napr. </w:t>
      </w:r>
      <w:r w:rsidRPr="00BB0814">
        <w:rPr>
          <w:rFonts w:cs="Calibri"/>
        </w:rPr>
        <w:t xml:space="preserve">dôchodkové správcovské spoločnosti a </w:t>
      </w:r>
      <w:r>
        <w:rPr>
          <w:rFonts w:cs="Calibri"/>
        </w:rPr>
        <w:t>životné</w:t>
      </w:r>
      <w:r w:rsidRPr="00BB0814">
        <w:rPr>
          <w:rFonts w:cs="Calibri"/>
        </w:rPr>
        <w:t xml:space="preserve"> poisťovne</w:t>
      </w:r>
      <w:r>
        <w:rPr>
          <w:rFonts w:cs="Calibri"/>
        </w:rPr>
        <w:t xml:space="preserve">). </w:t>
      </w:r>
      <w:r w:rsidRPr="00F5513B">
        <w:t xml:space="preserve"> </w:t>
      </w:r>
    </w:p>
    <w:p w:rsidR="00096C3F" w:rsidP="00096C3F">
      <w:pPr>
        <w:autoSpaceDE w:val="0"/>
        <w:autoSpaceDN w:val="0"/>
        <w:spacing w:after="200" w:line="240" w:lineRule="auto"/>
        <w:rPr>
          <w:b/>
        </w:rPr>
      </w:pPr>
      <w:r>
        <w:rPr>
          <w:b/>
        </w:rPr>
        <w:t>7.3.1</w:t>
      </w:r>
      <w:r w:rsidRPr="00B1784E">
        <w:rPr>
          <w:b/>
        </w:rPr>
        <w:t xml:space="preserve"> Ktoré sú dotknuté subjekty </w:t>
      </w:r>
      <w:r>
        <w:rPr>
          <w:b/>
        </w:rPr>
        <w:t>verejnej správy</w:t>
      </w:r>
      <w:r w:rsidRPr="00B1784E">
        <w:rPr>
          <w:b/>
        </w:rPr>
        <w:t>?</w:t>
      </w:r>
    </w:p>
    <w:p w:rsidR="00096C3F" w:rsidP="00096C3F">
      <w:pPr>
        <w:autoSpaceDE w:val="0"/>
        <w:autoSpaceDN w:val="0"/>
        <w:spacing w:after="200" w:line="240" w:lineRule="auto"/>
        <w:rPr>
          <w:i/>
        </w:rPr>
      </w:pPr>
      <w:r w:rsidRPr="000C45E7">
        <w:rPr>
          <w:i/>
        </w:rPr>
        <w:t>Subjekty verejnej správy</w:t>
      </w:r>
      <w:r w:rsidRPr="007874C2">
        <w:t xml:space="preserve"> </w:t>
      </w:r>
      <w:r w:rsidRPr="00913A87">
        <w:rPr>
          <w:i/>
        </w:rPr>
        <w:t>zúčastnené na procese</w:t>
      </w:r>
      <w:r w:rsidRPr="00913A87">
        <w:rPr>
          <w:i/>
        </w:rPr>
        <w:t xml:space="preserve"> </w:t>
      </w:r>
      <w:r w:rsidRPr="000C45E7">
        <w:rPr>
          <w:i/>
        </w:rPr>
        <w:t>poskytnutia služby</w:t>
      </w:r>
      <w:r w:rsidRPr="007874C2">
        <w:t xml:space="preserve"> – subjekty</w:t>
      </w:r>
      <w:r>
        <w:t>,</w:t>
      </w:r>
      <w:r w:rsidRPr="007874C2">
        <w:t xml:space="preserve"> ktoré sú poskytovateľom služby alebo sú </w:t>
      </w:r>
      <w:r>
        <w:t xml:space="preserve">povinne </w:t>
      </w:r>
      <w:r w:rsidRPr="00913A87">
        <w:t>alebo fakultatívne</w:t>
      </w:r>
      <w:r w:rsidRPr="007874C2">
        <w:t xml:space="preserve"> </w:t>
      </w:r>
      <w:r w:rsidRPr="00913A87">
        <w:t>zúčastnené na procese</w:t>
      </w:r>
      <w:r w:rsidRPr="00913A87">
        <w:t xml:space="preserve"> </w:t>
      </w:r>
      <w:r w:rsidRPr="007874C2">
        <w:t>poskytnutia služby</w:t>
      </w:r>
      <w:r>
        <w:t xml:space="preserve"> </w:t>
      </w:r>
      <w:r w:rsidRPr="00913A87">
        <w:t>vytváraním špecifických výstupov pre občana alebo poskytovateľa služby</w:t>
      </w:r>
      <w:r w:rsidRPr="007874C2">
        <w:t>.</w:t>
      </w:r>
      <w:r>
        <w:rPr>
          <w:i/>
        </w:rPr>
        <w:t xml:space="preserve">  </w:t>
      </w:r>
    </w:p>
    <w:p w:rsidR="00096C3F" w:rsidRPr="00783C14" w:rsidP="00096C3F">
      <w:pPr>
        <w:autoSpaceDE w:val="0"/>
        <w:autoSpaceDN w:val="0"/>
        <w:spacing w:after="200" w:line="240" w:lineRule="auto"/>
        <w:rPr>
          <w:i/>
        </w:rPr>
      </w:pPr>
      <w:r w:rsidRPr="00783C14">
        <w:rPr>
          <w:i/>
        </w:rPr>
        <w:t>Príklad</w:t>
      </w:r>
    </w:p>
    <w:p w:rsidR="00096C3F" w:rsidRPr="00783C14" w:rsidP="00096C3F">
      <w:pPr>
        <w:autoSpaceDE w:val="0"/>
        <w:autoSpaceDN w:val="0"/>
        <w:spacing w:after="200" w:line="240" w:lineRule="auto"/>
        <w:rPr>
          <w:i/>
        </w:rPr>
      </w:pPr>
      <w:r w:rsidRPr="00783C14">
        <w:rPr>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P="00096C3F">
      <w:pPr>
        <w:spacing w:line="240" w:lineRule="auto"/>
        <w:rPr>
          <w:b/>
        </w:rPr>
      </w:pPr>
    </w:p>
    <w:p w:rsidR="00096C3F" w:rsidP="00096C3F">
      <w:pPr>
        <w:spacing w:line="240" w:lineRule="auto"/>
        <w:rPr>
          <w:b/>
        </w:rPr>
      </w:pPr>
      <w:r>
        <w:rPr>
          <w:b/>
        </w:rPr>
        <w:t>7.3</w:t>
      </w:r>
      <w:r w:rsidRPr="00B1784E">
        <w:rPr>
          <w:b/>
        </w:rPr>
        <w:t>.</w:t>
      </w:r>
      <w:r>
        <w:rPr>
          <w:b/>
        </w:rPr>
        <w:t>2</w:t>
      </w:r>
      <w:r w:rsidRPr="00825DA4">
        <w:rPr>
          <w:b/>
        </w:rPr>
        <w:t xml:space="preserve">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zanikajú</w:t>
      </w:r>
      <w:r>
        <w:rPr>
          <w:b/>
        </w:rPr>
        <w:t xml:space="preserve"> už</w:t>
      </w:r>
      <w:r w:rsidRPr="0095420F">
        <w:rPr>
          <w:b/>
        </w:rPr>
        <w:t xml:space="preserve"> </w:t>
      </w:r>
      <w:r>
        <w:rPr>
          <w:b/>
        </w:rPr>
        <w:t xml:space="preserve">existujúce </w:t>
      </w:r>
      <w:r w:rsidRPr="0095420F">
        <w:rPr>
          <w:b/>
        </w:rPr>
        <w:t>povinnosti?</w:t>
      </w:r>
      <w:r w:rsidRPr="00B1784E">
        <w:rPr>
          <w:b/>
        </w:rPr>
        <w:t xml:space="preserve">  </w:t>
      </w:r>
      <w:r>
        <w:rPr>
          <w:iCs/>
        </w:rPr>
        <w:t xml:space="preserve"> </w:t>
      </w:r>
    </w:p>
    <w:p w:rsidR="00096C3F" w:rsidP="00096C3F">
      <w:pPr>
        <w:autoSpaceDE w:val="0"/>
        <w:autoSpaceDN w:val="0"/>
        <w:spacing w:after="200" w:line="240" w:lineRule="auto"/>
        <w:rPr>
          <w:rFonts w:eastAsia="Calibri"/>
          <w:bCs/>
          <w:color w:val="000000"/>
          <w:lang w:eastAsia="en-US"/>
        </w:rPr>
      </w:pPr>
    </w:p>
    <w:p w:rsidR="00096C3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Nové povinnosti</w:t>
      </w:r>
      <w:r w:rsidRPr="000C78AF">
        <w:rPr>
          <w:rFonts w:eastAsia="Calibri"/>
          <w:bCs/>
          <w:color w:val="000000"/>
          <w:lang w:eastAsia="en-US"/>
        </w:rPr>
        <w:t xml:space="preserve"> - povinné úkony alebo náležitosti, ktoré </w:t>
      </w:r>
      <w:r>
        <w:rPr>
          <w:rFonts w:eastAsia="Calibri"/>
          <w:bCs/>
          <w:color w:val="000000"/>
          <w:lang w:eastAsia="en-US"/>
        </w:rPr>
        <w:t>je</w:t>
      </w:r>
      <w:r w:rsidRPr="000C78AF">
        <w:rPr>
          <w:rFonts w:eastAsia="Calibri"/>
          <w:bCs/>
          <w:color w:val="000000"/>
          <w:lang w:eastAsia="en-US"/>
        </w:rPr>
        <w:t xml:space="preserve"> potrebné realizovať pri vybavovaní požiadavky občana</w:t>
      </w:r>
      <w:r>
        <w:rPr>
          <w:rFonts w:eastAsia="Calibri"/>
          <w:bCs/>
          <w:color w:val="000000"/>
          <w:lang w:eastAsia="en-US"/>
        </w:rPr>
        <w:t xml:space="preserve"> (n</w:t>
      </w:r>
      <w:r w:rsidRPr="00BC5C1F">
        <w:rPr>
          <w:rFonts w:eastAsia="Calibri"/>
          <w:bCs/>
          <w:color w:val="000000"/>
          <w:lang w:eastAsia="en-US"/>
        </w:rPr>
        <w:t xml:space="preserve">apr. </w:t>
      </w:r>
      <w:r>
        <w:rPr>
          <w:rFonts w:eastAsia="Calibri"/>
          <w:bCs/>
          <w:color w:val="000000"/>
          <w:lang w:eastAsia="en-US"/>
        </w:rPr>
        <w:t xml:space="preserve">zavedenie novej oznamovacej alebo evidenčnej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subjekt verejnej správy nemá</w:t>
      </w:r>
      <w:r w:rsidRPr="00BC5C1F">
        <w:rPr>
          <w:rFonts w:eastAsia="Calibri"/>
          <w:bCs/>
          <w:color w:val="000000"/>
          <w:lang w:eastAsia="en-US"/>
        </w:rPr>
        <w:t xml:space="preserve">. </w:t>
      </w:r>
    </w:p>
    <w:p w:rsidR="00096C3F" w:rsidRPr="000C78A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Zanikajú</w:t>
      </w:r>
      <w:r>
        <w:rPr>
          <w:rFonts w:eastAsia="Calibri"/>
          <w:bCs/>
          <w:i/>
          <w:color w:val="000000"/>
          <w:lang w:eastAsia="en-US"/>
        </w:rPr>
        <w:t>ce</w:t>
      </w:r>
      <w:r w:rsidRPr="000C78AF">
        <w:rPr>
          <w:rFonts w:eastAsia="Calibri"/>
          <w:bCs/>
          <w:i/>
          <w:color w:val="000000"/>
          <w:lang w:eastAsia="en-US"/>
        </w:rPr>
        <w:t xml:space="preserve"> povinnosti</w:t>
      </w:r>
      <w:r w:rsidRPr="000C78A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0C78AF">
        <w:rPr>
          <w:rFonts w:eastAsia="Calibri"/>
          <w:bCs/>
          <w:color w:val="000000"/>
          <w:lang w:eastAsia="en-US"/>
        </w:rPr>
        <w:t xml:space="preserve"> návrh už nevyžaduje a tým zjednodušuje realizáciu procesu. </w:t>
      </w:r>
      <w:r>
        <w:rPr>
          <w:rFonts w:eastAsia="Calibri"/>
          <w:bCs/>
          <w:color w:val="000000"/>
          <w:lang w:eastAsia="en-US"/>
        </w:rPr>
        <w:t xml:space="preserve">Napr. ak možnosť doručenia dokumentu občanovi v elektronickej podobe ruší povinnosť zasielania dokumentu v listinnej podobe. </w:t>
      </w:r>
    </w:p>
    <w:p w:rsidR="00096C3F" w:rsidP="00096C3F">
      <w:pPr>
        <w:autoSpaceDE w:val="0"/>
        <w:autoSpaceDN w:val="0"/>
        <w:spacing w:after="200" w:line="240" w:lineRule="auto"/>
        <w:rPr>
          <w:rFonts w:eastAsia="Calibri"/>
          <w:b/>
          <w:bCs/>
          <w:color w:val="000000"/>
          <w:u w:val="single"/>
          <w:lang w:eastAsia="en-US"/>
        </w:rPr>
      </w:pPr>
      <w:r w:rsidRPr="0087105E">
        <w:rPr>
          <w:rFonts w:eastAsia="Calibri"/>
          <w:b/>
          <w:bCs/>
          <w:color w:val="000000"/>
          <w:u w:val="single"/>
          <w:lang w:eastAsia="en-US"/>
        </w:rPr>
        <w:t xml:space="preserve">Zdroje: </w:t>
      </w:r>
    </w:p>
    <w:p w:rsidR="0097717F" w:rsidRPr="0087105E" w:rsidP="0097717F">
      <w:pPr>
        <w:autoSpaceDE w:val="0"/>
        <w:autoSpaceDN w:val="0"/>
        <w:spacing w:after="200" w:line="240" w:lineRule="auto"/>
        <w:rPr>
          <w:rFonts w:eastAsia="Calibri"/>
          <w:bCs/>
          <w:color w:val="000000"/>
          <w:lang w:eastAsia="en-US"/>
        </w:rPr>
      </w:pPr>
      <w:r w:rsidRPr="0087105E">
        <w:rPr>
          <w:rFonts w:eastAsia="Calibri"/>
          <w:bCs/>
          <w:color w:val="000000"/>
          <w:lang w:eastAsia="en-US"/>
        </w:rPr>
        <w:t xml:space="preserve">Pri procese posudzovania vplyvov na </w:t>
      </w:r>
      <w:r>
        <w:rPr>
          <w:rFonts w:eastAsia="Calibri"/>
          <w:bCs/>
          <w:color w:val="000000"/>
          <w:lang w:eastAsia="en-US"/>
        </w:rPr>
        <w:t xml:space="preserve">služby verejnej správy pre občana je možné získať informácie a údaje napríklad z nasledujúcich zdrojov: </w:t>
      </w:r>
    </w:p>
    <w:p w:rsidR="0097717F" w:rsidRPr="006879F9"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6879F9">
        <w:rPr>
          <w:rFonts w:eastAsia="Calibri"/>
          <w:bCs/>
          <w:color w:val="000000"/>
          <w:lang w:eastAsia="en-US"/>
        </w:rPr>
        <w:t>Ministerstvo vnútra Slovenskej republiky a jeho rozpočtové a príspevkové organizácie</w:t>
      </w:r>
      <w:r>
        <w:rPr>
          <w:rStyle w:val="FootnoteReference"/>
          <w:rFonts w:eastAsia="Calibri"/>
          <w:bCs/>
          <w:color w:val="000000"/>
          <w:lang w:eastAsia="en-US"/>
        </w:rPr>
        <w:footnoteReference w:id="4"/>
      </w:r>
      <w:r w:rsidRPr="006879F9">
        <w:rPr>
          <w:rFonts w:eastAsia="Calibri"/>
          <w:bCs/>
          <w:color w:val="000000"/>
          <w:lang w:eastAsia="en-US"/>
        </w:rPr>
        <w:t>,</w:t>
      </w:r>
      <w:r>
        <w:rPr>
          <w:rFonts w:eastAsia="Calibri"/>
          <w:bCs/>
          <w:color w:val="000000"/>
          <w:lang w:eastAsia="en-US"/>
        </w:rPr>
        <w:t xml:space="preserve"> a </w:t>
      </w:r>
    </w:p>
    <w:p w:rsidR="0097717F" w:rsidRPr="00147BE8" w:rsidP="0097717F">
      <w:pPr>
        <w:pStyle w:val="ListParagraph"/>
        <w:autoSpaceDE w:val="0"/>
        <w:autoSpaceDN w:val="0"/>
        <w:spacing w:line="240" w:lineRule="auto"/>
        <w:rPr>
          <w:rFonts w:eastAsia="Calibri"/>
          <w:bCs/>
          <w:color w:val="000000"/>
          <w:lang w:eastAsia="en-US"/>
        </w:rPr>
      </w:pPr>
      <w:r w:rsidRPr="00147BE8">
        <w:rPr>
          <w:rFonts w:eastAsia="Calibri"/>
          <w:bCs/>
          <w:color w:val="000000"/>
          <w:lang w:eastAsia="en-US"/>
        </w:rPr>
        <w:t>preddavkové organizácie (t.j. krajské riaditeľstvá Policajného</w:t>
      </w:r>
      <w:r>
        <w:rPr>
          <w:rFonts w:eastAsia="Calibri"/>
          <w:bCs/>
          <w:color w:val="000000"/>
          <w:lang w:eastAsia="en-US"/>
        </w:rPr>
        <w:t xml:space="preserve"> </w:t>
      </w:r>
      <w:r w:rsidRPr="00147BE8">
        <w:rPr>
          <w:rFonts w:eastAsia="Calibri"/>
          <w:bCs/>
          <w:color w:val="000000"/>
          <w:lang w:eastAsia="en-US"/>
        </w:rPr>
        <w:t>zboru, krajské riaditeľstvá Hasičského a záchranného zboru a okresné úrady</w:t>
      </w:r>
      <w:r>
        <w:rPr>
          <w:rFonts w:eastAsia="Calibri"/>
          <w:bCs/>
          <w:color w:val="000000"/>
          <w:lang w:eastAsia="en-US"/>
        </w:rPr>
        <w:t>),</w:t>
      </w:r>
    </w:p>
    <w:p w:rsid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Pr>
          <w:rFonts w:eastAsia="Calibri"/>
          <w:bCs/>
          <w:color w:val="000000"/>
          <w:lang w:eastAsia="en-US"/>
        </w:rPr>
        <w:t>orgány a inštitúcie verejnej správy,</w:t>
      </w:r>
    </w:p>
    <w:p w:rsidR="00BA0160" w:rsidRP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086392" w:rsidR="0097717F">
        <w:rPr>
          <w:rFonts w:eastAsia="Calibri"/>
          <w:bCs/>
          <w:color w:val="000000"/>
          <w:lang w:eastAsia="en-US"/>
        </w:rPr>
        <w:t>Štatistický úrad Slovenskej republiky.</w:t>
      </w:r>
    </w:p>
    <w:p w:rsidR="006821D1" w:rsidP="00096C3F">
      <w:pPr>
        <w:pStyle w:val="ListParagraph"/>
        <w:autoSpaceDE w:val="0"/>
        <w:autoSpaceDN w:val="0"/>
        <w:spacing w:line="240" w:lineRule="auto"/>
        <w:contextualSpacing/>
        <w:rPr>
          <w:rFonts w:eastAsia="Calibri"/>
          <w:bCs/>
          <w:color w:val="000000"/>
          <w:lang w:eastAsia="en-US"/>
        </w:rPr>
      </w:pPr>
    </w:p>
    <w:sectPr w:rsidSect="00033F71">
      <w:headerReference w:type="default" r:id="rId6"/>
      <w:footerReference w:type="default" r:id="rId7"/>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28">
    <w:pPr>
      <w:pStyle w:val="Footer"/>
      <w:jc w:val="right"/>
    </w:pPr>
    <w:r>
      <w:fldChar w:fldCharType="begin"/>
    </w:r>
    <w:r>
      <w:instrText>PAGE   \* MERGEFORMAT</w:instrText>
    </w:r>
    <w:r>
      <w:fldChar w:fldCharType="separate"/>
    </w:r>
    <w:r w:rsidR="00EA5529">
      <w:rPr>
        <w:noProof/>
      </w:rPr>
      <w:t>2</w:t>
    </w:r>
    <w:r>
      <w:fldChar w:fldCharType="end"/>
    </w:r>
  </w:p>
  <w:p w:rsidR="00335A28" w:rsidRPr="00DA3A35" w:rsidP="00F15A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9C9">
      <w:r>
        <w:separator/>
      </w:r>
    </w:p>
  </w:footnote>
  <w:footnote w:type="continuationSeparator" w:id="1">
    <w:p w:rsidR="002E59C9">
      <w:r>
        <w:continuationSeparator/>
      </w:r>
    </w:p>
  </w:footnote>
  <w:footnote w:id="2">
    <w:p w:rsidR="00335A28" w:rsidP="00096C3F">
      <w:pPr>
        <w:pStyle w:val="FootnoteText"/>
        <w:spacing w:line="240" w:lineRule="auto"/>
      </w:pPr>
      <w:r>
        <w:rPr>
          <w:rStyle w:val="FootnoteReference"/>
        </w:rPr>
        <w:footnoteRef/>
      </w:r>
      <w:r>
        <w:t xml:space="preserve"> Príkladmo uvedené na: </w:t>
      </w:r>
      <w:hyperlink r:id="rId1" w:history="1">
        <w:r w:rsidRPr="002F3D63">
          <w:rPr>
            <w:rStyle w:val="Hyperlink"/>
          </w:rPr>
          <w:t>http://slovensko.sk/sk/zivotne-situacie</w:t>
        </w:r>
      </w:hyperlink>
      <w:r>
        <w:t xml:space="preserve"> </w:t>
      </w:r>
    </w:p>
  </w:footnote>
  <w:footnote w:id="3">
    <w:p w:rsidR="00335A28" w:rsidP="00096C3F">
      <w:pPr>
        <w:pStyle w:val="FootnoteText"/>
        <w:spacing w:line="240" w:lineRule="auto"/>
      </w:pPr>
      <w:r>
        <w:rPr>
          <w:rStyle w:val="FootnoteReference"/>
        </w:rPr>
        <w:footnoteRef/>
      </w:r>
      <w:r>
        <w:t xml:space="preserve"> </w:t>
      </w:r>
      <w:hyperlink r:id="rId2" w:history="1">
        <w:r w:rsidRPr="002F3D63">
          <w:rPr>
            <w:rStyle w:val="Hyperlink"/>
          </w:rPr>
          <w:t>http://ec.europa.eu/idabc/en/document/1644/5848.html</w:t>
        </w:r>
      </w:hyperlink>
      <w:r>
        <w:t xml:space="preserve"> </w:t>
      </w:r>
    </w:p>
  </w:footnote>
  <w:footnote w:id="4">
    <w:p w:rsidR="00335A28" w:rsidP="0097717F">
      <w:pPr>
        <w:pStyle w:val="FootnoteText"/>
        <w:spacing w:line="240" w:lineRule="auto"/>
      </w:pPr>
      <w:r>
        <w:rPr>
          <w:rStyle w:val="FootnoteReference"/>
        </w:rPr>
        <w:footnoteRef/>
      </w:r>
      <w:r>
        <w:t xml:space="preserve"> § 21 zákona č. 523/2004 Z. z. o rozpočtových pravidlách verejnej správy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28"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0F7B2C"/>
    <w:multiLevelType w:val="hybridMultilevel"/>
    <w:tmpl w:val="0EA665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8">
    <w:nsid w:val="211279FB"/>
    <w:multiLevelType w:val="hybridMultilevel"/>
    <w:tmpl w:val="B4966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8A2A89"/>
    <w:multiLevelType w:val="hybridMultilevel"/>
    <w:tmpl w:val="1E92187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4402DFE"/>
    <w:multiLevelType w:val="hybridMultilevel"/>
    <w:tmpl w:val="25AC8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D3745A"/>
    <w:multiLevelType w:val="hybridMultilevel"/>
    <w:tmpl w:val="D424E07A"/>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EE935AB"/>
    <w:multiLevelType w:val="hybridMultilevel"/>
    <w:tmpl w:val="3C9C76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20">
    <w:nsid w:val="4C6870EB"/>
    <w:multiLevelType w:val="hybridMultilevel"/>
    <w:tmpl w:val="8BC6A0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201ED1"/>
    <w:multiLevelType w:val="hybridMultilevel"/>
    <w:tmpl w:val="056EA49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8">
    <w:nsid w:val="61F539A2"/>
    <w:multiLevelType w:val="hybridMultilevel"/>
    <w:tmpl w:val="9558CE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2919F4"/>
    <w:multiLevelType w:val="hybridMultilevel"/>
    <w:tmpl w:val="9F064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1">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2">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1149C5"/>
    <w:multiLevelType w:val="hybridMultilevel"/>
    <w:tmpl w:val="B99ADF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5">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7D0001"/>
    <w:multiLevelType w:val="singleLevel"/>
    <w:tmpl w:val="0405000F"/>
    <w:lvl w:ilvl="0">
      <w:start w:val="1"/>
      <w:numFmt w:val="decimal"/>
      <w:lvlText w:val="%1."/>
      <w:lvlJc w:val="left"/>
      <w:pPr>
        <w:tabs>
          <w:tab w:val="num" w:pos="720"/>
        </w:tabs>
        <w:ind w:left="720" w:hanging="360"/>
      </w:pPr>
    </w:lvl>
  </w:abstractNum>
  <w:abstractNum w:abstractNumId="37">
    <w:nsid w:val="7A6549B6"/>
    <w:multiLevelType w:val="hybridMultilevel"/>
    <w:tmpl w:val="FF62E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9">
    <w:nsid w:val="7D3B11AC"/>
    <w:multiLevelType w:val="hybridMultilevel"/>
    <w:tmpl w:val="6BA87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6"/>
    <w:lvlOverride w:ilvl="0">
      <w:startOverride w:val="1"/>
    </w:lvlOverride>
  </w:num>
  <w:num w:numId="2">
    <w:abstractNumId w:val="7"/>
  </w:num>
  <w:num w:numId="3">
    <w:abstractNumId w:val="22"/>
  </w:num>
  <w:num w:numId="4">
    <w:abstractNumId w:val="34"/>
  </w:num>
  <w:num w:numId="5">
    <w:abstractNumId w:val="1"/>
  </w:num>
  <w:num w:numId="6">
    <w:abstractNumId w:val="19"/>
  </w:num>
  <w:num w:numId="7">
    <w:abstractNumId w:val="9"/>
  </w:num>
  <w:num w:numId="8">
    <w:abstractNumId w:val="32"/>
  </w:num>
  <w:num w:numId="9">
    <w:abstractNumId w:val="6"/>
  </w:num>
  <w:num w:numId="10">
    <w:abstractNumId w:val="5"/>
  </w:num>
  <w:num w:numId="11">
    <w:abstractNumId w:val="35"/>
  </w:num>
  <w:num w:numId="12">
    <w:abstractNumId w:val="11"/>
  </w:num>
  <w:num w:numId="13">
    <w:abstractNumId w:val="23"/>
  </w:num>
  <w:num w:numId="14">
    <w:abstractNumId w:val="4"/>
  </w:num>
  <w:num w:numId="15">
    <w:abstractNumId w:val="15"/>
  </w:num>
  <w:num w:numId="16">
    <w:abstractNumId w:val="21"/>
  </w:num>
  <w:num w:numId="17">
    <w:abstractNumId w:val="38"/>
  </w:num>
  <w:num w:numId="18">
    <w:abstractNumId w:val="14"/>
  </w:num>
  <w:num w:numId="19">
    <w:abstractNumId w:val="24"/>
  </w:num>
  <w:num w:numId="20">
    <w:abstractNumId w:val="31"/>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
  </w:num>
  <w:num w:numId="28">
    <w:abstractNumId w:val="2"/>
  </w:num>
  <w:num w:numId="29">
    <w:abstractNumId w:val="37"/>
  </w:num>
  <w:num w:numId="30">
    <w:abstractNumId w:val="20"/>
  </w:num>
  <w:num w:numId="31">
    <w:abstractNumId w:val="39"/>
  </w:num>
  <w:num w:numId="32">
    <w:abstractNumId w:val="18"/>
  </w:num>
  <w:num w:numId="33">
    <w:abstractNumId w:val="13"/>
  </w:num>
  <w:num w:numId="34">
    <w:abstractNumId w:val="16"/>
  </w:num>
  <w:num w:numId="35">
    <w:abstractNumId w:val="26"/>
  </w:num>
  <w:num w:numId="36">
    <w:abstractNumId w:val="28"/>
  </w:num>
  <w:num w:numId="37">
    <w:abstractNumId w:val="29"/>
  </w:num>
  <w:num w:numId="38">
    <w:abstractNumId w:val="8"/>
  </w:num>
  <w:num w:numId="39">
    <w:abstractNumId w:val="33"/>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40"/>
  <w:embedSystemFonts/>
  <w:stylePaneFormatFilter w:val="3F01"/>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737"/>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66"/>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392"/>
    <w:rsid w:val="00086EF6"/>
    <w:rsid w:val="00087521"/>
    <w:rsid w:val="00090C1A"/>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BFB"/>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C78AF"/>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5CE"/>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BE8"/>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5A8"/>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02AB"/>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9C9"/>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90"/>
    <w:rsid w:val="003322A2"/>
    <w:rsid w:val="00332378"/>
    <w:rsid w:val="00332706"/>
    <w:rsid w:val="00332769"/>
    <w:rsid w:val="003346F3"/>
    <w:rsid w:val="00334717"/>
    <w:rsid w:val="00334BFE"/>
    <w:rsid w:val="00334CDD"/>
    <w:rsid w:val="00335717"/>
    <w:rsid w:val="00335A28"/>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6C4C"/>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D63"/>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19BA"/>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421"/>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2D41"/>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879F9"/>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2CEE"/>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C14"/>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4C2"/>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13D"/>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1441"/>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DA4"/>
    <w:rsid w:val="00825FAE"/>
    <w:rsid w:val="0082654F"/>
    <w:rsid w:val="0082707A"/>
    <w:rsid w:val="00827408"/>
    <w:rsid w:val="008316CD"/>
    <w:rsid w:val="0083170C"/>
    <w:rsid w:val="008317D6"/>
    <w:rsid w:val="0083195C"/>
    <w:rsid w:val="00831AC2"/>
    <w:rsid w:val="008325CD"/>
    <w:rsid w:val="00832C8D"/>
    <w:rsid w:val="00833FFD"/>
    <w:rsid w:val="008343FA"/>
    <w:rsid w:val="00834447"/>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4E41"/>
    <w:rsid w:val="00865F1B"/>
    <w:rsid w:val="00866207"/>
    <w:rsid w:val="00866A60"/>
    <w:rsid w:val="00866EC0"/>
    <w:rsid w:val="00867155"/>
    <w:rsid w:val="00867AF1"/>
    <w:rsid w:val="00870110"/>
    <w:rsid w:val="0087086D"/>
    <w:rsid w:val="0087105E"/>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3A87"/>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2D8E"/>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18A"/>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814"/>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1F"/>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3B2"/>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03A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326"/>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DCE"/>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4B5D"/>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A8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29"/>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761"/>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DEA"/>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13B"/>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slovensko.sk/sk/zivotne-situacie" TargetMode="External" /><Relationship Id="rId2" Type="http://schemas.openxmlformats.org/officeDocument/2006/relationships/hyperlink" Target="http://ec.europa.eu/idabc/en/document/1644/5848.html"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7694-A4A7-4C0A-8F1A-9D252ED9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15012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Stacho Marek, Mgr.</cp:lastModifiedBy>
  <cp:revision>2</cp:revision>
  <cp:lastPrinted>2016-02-22T12:58:00Z</cp:lastPrinted>
  <dcterms:created xsi:type="dcterms:W3CDTF">2024-09-26T13:10:00Z</dcterms:created>
  <dcterms:modified xsi:type="dcterms:W3CDTF">2024-09-26T13:10:00Z</dcterms:modified>
</cp:coreProperties>
</file>