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11787" w14:textId="77777777" w:rsidR="00292246" w:rsidRPr="00507E84" w:rsidRDefault="00292246" w:rsidP="00221BB1">
      <w:pPr>
        <w:spacing w:after="0"/>
        <w:jc w:val="center"/>
        <w:rPr>
          <w:rFonts w:ascii="Times New Roman" w:hAnsi="Times New Roman" w:cs="Times New Roman"/>
          <w:b/>
          <w:caps/>
          <w:spacing w:val="30"/>
          <w:sz w:val="24"/>
          <w:szCs w:val="24"/>
        </w:rPr>
      </w:pPr>
      <w:r w:rsidRPr="00507E84">
        <w:rPr>
          <w:rFonts w:ascii="Times New Roman" w:hAnsi="Times New Roman" w:cs="Times New Roman"/>
          <w:b/>
          <w:caps/>
          <w:spacing w:val="30"/>
          <w:sz w:val="24"/>
          <w:szCs w:val="24"/>
        </w:rPr>
        <w:t>Dôvodová správa</w:t>
      </w:r>
    </w:p>
    <w:p w14:paraId="3470573B" w14:textId="77777777" w:rsidR="00292246" w:rsidRPr="00507E84" w:rsidRDefault="00796AFF" w:rsidP="005D3F50">
      <w:pPr>
        <w:spacing w:before="240"/>
        <w:jc w:val="both"/>
        <w:rPr>
          <w:rFonts w:ascii="Times New Roman" w:hAnsi="Times New Roman" w:cs="Times New Roman"/>
          <w:b/>
          <w:sz w:val="24"/>
          <w:szCs w:val="24"/>
        </w:rPr>
      </w:pPr>
      <w:r w:rsidRPr="00507E84">
        <w:rPr>
          <w:rFonts w:ascii="Times New Roman" w:hAnsi="Times New Roman" w:cs="Times New Roman"/>
          <w:b/>
          <w:sz w:val="24"/>
          <w:szCs w:val="24"/>
        </w:rPr>
        <w:t xml:space="preserve">A. </w:t>
      </w:r>
      <w:r w:rsidR="00292246" w:rsidRPr="00507E84">
        <w:rPr>
          <w:rFonts w:ascii="Times New Roman" w:hAnsi="Times New Roman" w:cs="Times New Roman"/>
          <w:b/>
          <w:sz w:val="24"/>
          <w:szCs w:val="24"/>
        </w:rPr>
        <w:t>Všeobecná časť</w:t>
      </w:r>
    </w:p>
    <w:p w14:paraId="54CF4D52" w14:textId="2938DD3A" w:rsidR="00D25B98" w:rsidRPr="00507E84" w:rsidRDefault="00B171F0" w:rsidP="00BB775D">
      <w:pPr>
        <w:spacing w:after="120"/>
        <w:jc w:val="both"/>
        <w:rPr>
          <w:rFonts w:ascii="Times New Roman" w:hAnsi="Times New Roman" w:cs="Times New Roman"/>
          <w:color w:val="000000"/>
          <w:sz w:val="24"/>
          <w:szCs w:val="24"/>
        </w:rPr>
      </w:pPr>
      <w:r>
        <w:rPr>
          <w:rFonts w:ascii="Times New Roman" w:hAnsi="Times New Roman" w:cs="Times New Roman"/>
          <w:sz w:val="24"/>
          <w:szCs w:val="24"/>
        </w:rPr>
        <w:t>Vládny n</w:t>
      </w:r>
      <w:r w:rsidR="002B1FD6" w:rsidRPr="00507E84">
        <w:rPr>
          <w:rFonts w:ascii="Times New Roman" w:hAnsi="Times New Roman" w:cs="Times New Roman"/>
          <w:sz w:val="24"/>
          <w:szCs w:val="24"/>
        </w:rPr>
        <w:t xml:space="preserve">ávrh zákona, ktorým sa mení a dopĺňa zákon </w:t>
      </w:r>
      <w:r w:rsidR="00453A34" w:rsidRPr="00507E84">
        <w:rPr>
          <w:rFonts w:ascii="Times New Roman" w:hAnsi="Times New Roman" w:cs="Times New Roman"/>
          <w:sz w:val="24"/>
          <w:szCs w:val="24"/>
        </w:rPr>
        <w:t xml:space="preserve">č. 69/2018 Z. z. </w:t>
      </w:r>
      <w:r w:rsidR="002B1FD6" w:rsidRPr="00507E84">
        <w:rPr>
          <w:rFonts w:ascii="Times New Roman" w:hAnsi="Times New Roman" w:cs="Times New Roman"/>
          <w:sz w:val="24"/>
          <w:szCs w:val="24"/>
        </w:rPr>
        <w:t xml:space="preserve">o kybernetickej bezpečnosti </w:t>
      </w:r>
      <w:r w:rsidR="008E2EE5" w:rsidRPr="00507E84">
        <w:rPr>
          <w:rFonts w:ascii="Times New Roman" w:hAnsi="Times New Roman" w:cs="Times New Roman"/>
          <w:sz w:val="24"/>
          <w:szCs w:val="24"/>
        </w:rPr>
        <w:t>a o zmene a doplnení niektorých zákonov v znení neskorších predpisov a </w:t>
      </w:r>
      <w:r w:rsidR="00593314" w:rsidRPr="00507E84">
        <w:rPr>
          <w:rFonts w:ascii="Times New Roman" w:hAnsi="Times New Roman" w:cs="Times New Roman"/>
          <w:sz w:val="24"/>
          <w:szCs w:val="24"/>
        </w:rPr>
        <w:t xml:space="preserve"> ktorým sa menia </w:t>
      </w:r>
      <w:r w:rsidR="00B540AB">
        <w:rPr>
          <w:rFonts w:ascii="Times New Roman" w:hAnsi="Times New Roman" w:cs="Times New Roman"/>
          <w:sz w:val="24"/>
          <w:szCs w:val="24"/>
        </w:rPr>
        <w:t xml:space="preserve">a </w:t>
      </w:r>
      <w:bookmarkStart w:id="0" w:name="_GoBack"/>
      <w:bookmarkEnd w:id="0"/>
      <w:r w:rsidR="00593314" w:rsidRPr="00507E84">
        <w:rPr>
          <w:rFonts w:ascii="Times New Roman" w:hAnsi="Times New Roman" w:cs="Times New Roman"/>
          <w:sz w:val="24"/>
          <w:szCs w:val="24"/>
        </w:rPr>
        <w:t>dopĺňajú niektoré zákony</w:t>
      </w:r>
      <w:r w:rsidR="008E2EE5" w:rsidRPr="00507E84">
        <w:rPr>
          <w:rFonts w:ascii="Times New Roman" w:hAnsi="Times New Roman" w:cs="Times New Roman"/>
          <w:sz w:val="24"/>
          <w:szCs w:val="24"/>
        </w:rPr>
        <w:t xml:space="preserve"> </w:t>
      </w:r>
      <w:r w:rsidR="002B1FD6" w:rsidRPr="00507E84">
        <w:rPr>
          <w:rFonts w:ascii="Times New Roman" w:hAnsi="Times New Roman" w:cs="Times New Roman"/>
          <w:sz w:val="24"/>
          <w:szCs w:val="24"/>
        </w:rPr>
        <w:t>(ďalej len „návrh zákona“)</w:t>
      </w:r>
      <w:r w:rsidR="00C1513F" w:rsidRPr="00507E84">
        <w:rPr>
          <w:rFonts w:ascii="Times New Roman" w:hAnsi="Times New Roman" w:cs="Times New Roman"/>
          <w:sz w:val="24"/>
          <w:szCs w:val="24"/>
        </w:rPr>
        <w:t xml:space="preserve"> predkladá vláda Slovenskej republiky na základe Plánu legislatívnych úloh vlády Slovenskej republiky na rok 2024.</w:t>
      </w:r>
    </w:p>
    <w:p w14:paraId="03FF7885" w14:textId="77777777" w:rsidR="00A808BC" w:rsidRPr="00507E84" w:rsidRDefault="00A808BC" w:rsidP="00A808BC">
      <w:pPr>
        <w:spacing w:after="120"/>
        <w:jc w:val="both"/>
        <w:rPr>
          <w:rFonts w:ascii="Times New Roman" w:hAnsi="Times New Roman" w:cs="Times New Roman"/>
          <w:sz w:val="24"/>
          <w:szCs w:val="24"/>
        </w:rPr>
      </w:pPr>
      <w:r w:rsidRPr="00507E84">
        <w:rPr>
          <w:rFonts w:ascii="Times New Roman" w:hAnsi="Times New Roman" w:cs="Times New Roman"/>
          <w:sz w:val="24"/>
          <w:szCs w:val="24"/>
        </w:rPr>
        <w:t xml:space="preserve">Zákonom č. 69/2018 Z. z. o kybernetickej bezpečnosti a o zmene a doplnení niektorých zákonov (ďalej len „zákon č. 69/2018 Z. z.“) bola do právneho poriadku Slovenskej republiky transponovaná smernica Európskeho parlamentu a Rady (EÚ) 2016/1148 zo 6. júla 2016 o opatreniach na zabezpečenie vysokej spoločnej úrovne bezpečnosti sietí a informačných systémov v Únii (Ú. v. EÚ L 194, 19.7.2016) (ďalej len „smernica NIS 1“). Siete a informačné systémy, rýchla digitálna transformácia a ich prepojenosť na spoločnosť sa premietajú do celého spektra činností verejného aj súkromného sektora a vytvárajú nové výzvy pre oblasť kybernetickej bezpečnosti. Tento vývoj odhalil prirodzené nedostatky smernice NIS 1 a potrebu reakcie na tento vývoj. </w:t>
      </w:r>
    </w:p>
    <w:p w14:paraId="76B009C8" w14:textId="77777777" w:rsidR="00A808BC" w:rsidRPr="00507E84" w:rsidRDefault="00A808BC" w:rsidP="00A808BC">
      <w:pPr>
        <w:spacing w:after="120"/>
        <w:jc w:val="both"/>
        <w:rPr>
          <w:rFonts w:ascii="Times New Roman" w:hAnsi="Times New Roman" w:cs="Times New Roman"/>
          <w:sz w:val="24"/>
          <w:szCs w:val="24"/>
        </w:rPr>
      </w:pPr>
      <w:r w:rsidRPr="00507E84">
        <w:rPr>
          <w:rFonts w:ascii="Times New Roman" w:hAnsi="Times New Roman" w:cs="Times New Roman"/>
          <w:sz w:val="24"/>
          <w:szCs w:val="24"/>
        </w:rPr>
        <w:t>Návrhom zákona sa do právneho poriadku Slovenskej republiky transponuje smernica Európskeho parlamentu a Rady (EÚ) 2022/2555 zo 14. decembra 2022 o opatreniach na zabezpečenie vysokej spoločnej úrovne kybernetickej bezpečnosti v Únii, ktorou sa mení nariadenie (EÚ) č. 910/2014 a smernica (EÚ) 2018/1972 a zrušuje smernica (EÚ) 2016/1148 (smernica NIS 2) (Ú. v. EÚ L 333, 27.12.2022) v platnom znení (ďalej len „smernica NIS 2“) a zároveň návrh zákona reaguje na potreby a požiadavky aplikačnej praxe. Návrh zákona modernizuje existujúcu právnu úpravu, čím sa zvýši celková úroveň kybernetickej bezpečnosti na národnej úrovni a znižujú sa riziká, ktoré prichádzajú s rýchlym technologickým vývojom a digitalizáciou.</w:t>
      </w:r>
    </w:p>
    <w:p w14:paraId="45AECBCE" w14:textId="66EE26FD" w:rsidR="003801CF" w:rsidRPr="00507E84" w:rsidRDefault="0090530C" w:rsidP="007818AE">
      <w:pPr>
        <w:spacing w:after="120"/>
        <w:jc w:val="both"/>
        <w:rPr>
          <w:rFonts w:ascii="Times New Roman" w:hAnsi="Times New Roman" w:cs="Times New Roman"/>
          <w:sz w:val="24"/>
          <w:szCs w:val="24"/>
        </w:rPr>
      </w:pPr>
      <w:r w:rsidRPr="00507E84">
        <w:rPr>
          <w:rFonts w:ascii="Times New Roman" w:hAnsi="Times New Roman" w:cs="Times New Roman"/>
          <w:sz w:val="24"/>
          <w:szCs w:val="24"/>
        </w:rPr>
        <w:t>Najvýraznejšou zmenou v n</w:t>
      </w:r>
      <w:r w:rsidR="00BB775D" w:rsidRPr="00507E84">
        <w:rPr>
          <w:rFonts w:ascii="Times New Roman" w:hAnsi="Times New Roman" w:cs="Times New Roman"/>
          <w:sz w:val="24"/>
          <w:szCs w:val="24"/>
        </w:rPr>
        <w:t>ávrh</w:t>
      </w:r>
      <w:r w:rsidRPr="00507E84">
        <w:rPr>
          <w:rFonts w:ascii="Times New Roman" w:hAnsi="Times New Roman" w:cs="Times New Roman"/>
          <w:sz w:val="24"/>
          <w:szCs w:val="24"/>
        </w:rPr>
        <w:t>u</w:t>
      </w:r>
      <w:r w:rsidR="00BB775D" w:rsidRPr="00507E84">
        <w:rPr>
          <w:rFonts w:ascii="Times New Roman" w:hAnsi="Times New Roman" w:cs="Times New Roman"/>
          <w:sz w:val="24"/>
          <w:szCs w:val="24"/>
        </w:rPr>
        <w:t xml:space="preserve"> zákona </w:t>
      </w:r>
      <w:r w:rsidRPr="00507E84">
        <w:rPr>
          <w:rFonts w:ascii="Times New Roman" w:hAnsi="Times New Roman" w:cs="Times New Roman"/>
          <w:sz w:val="24"/>
          <w:szCs w:val="24"/>
        </w:rPr>
        <w:t>je</w:t>
      </w:r>
      <w:r w:rsidR="001B4D5F" w:rsidRPr="00507E84">
        <w:rPr>
          <w:rFonts w:ascii="Times New Roman" w:hAnsi="Times New Roman" w:cs="Times New Roman"/>
          <w:sz w:val="24"/>
          <w:szCs w:val="24"/>
        </w:rPr>
        <w:t xml:space="preserve"> z</w:t>
      </w:r>
      <w:r w:rsidRPr="00507E84">
        <w:rPr>
          <w:rFonts w:ascii="Times New Roman" w:hAnsi="Times New Roman" w:cs="Times New Roman"/>
          <w:sz w:val="24"/>
          <w:szCs w:val="24"/>
        </w:rPr>
        <w:t>men</w:t>
      </w:r>
      <w:r w:rsidR="001B4D5F" w:rsidRPr="00507E84">
        <w:rPr>
          <w:rFonts w:ascii="Times New Roman" w:hAnsi="Times New Roman" w:cs="Times New Roman"/>
          <w:sz w:val="24"/>
          <w:szCs w:val="24"/>
        </w:rPr>
        <w:t>a</w:t>
      </w:r>
      <w:r w:rsidRPr="00507E84">
        <w:rPr>
          <w:rFonts w:ascii="Times New Roman" w:hAnsi="Times New Roman" w:cs="Times New Roman"/>
          <w:sz w:val="24"/>
          <w:szCs w:val="24"/>
        </w:rPr>
        <w:t xml:space="preserve"> prístup</w:t>
      </w:r>
      <w:r w:rsidR="001B4D5F" w:rsidRPr="00507E84">
        <w:rPr>
          <w:rFonts w:ascii="Times New Roman" w:hAnsi="Times New Roman" w:cs="Times New Roman"/>
          <w:sz w:val="24"/>
          <w:szCs w:val="24"/>
        </w:rPr>
        <w:t>u</w:t>
      </w:r>
      <w:r w:rsidR="00BB775D" w:rsidRPr="00507E84">
        <w:rPr>
          <w:rFonts w:ascii="Times New Roman" w:hAnsi="Times New Roman" w:cs="Times New Roman"/>
          <w:sz w:val="24"/>
          <w:szCs w:val="24"/>
        </w:rPr>
        <w:t xml:space="preserve"> k identifikácii povinných subjektov, tzv. prevádzkovateľov základnej služby</w:t>
      </w:r>
      <w:r w:rsidRPr="00507E84">
        <w:rPr>
          <w:rFonts w:ascii="Times New Roman" w:hAnsi="Times New Roman" w:cs="Times New Roman"/>
          <w:sz w:val="24"/>
          <w:szCs w:val="24"/>
        </w:rPr>
        <w:t xml:space="preserve">. Mechanizmus identifikácie prevádzkovateľa základnej služby sa smernicou NIS 2 mení oproti právnej úprave vyplývajúcej zo smernice NIS 1 tak, že pôvodný mechanizmus </w:t>
      </w:r>
      <w:r w:rsidR="00346C2C" w:rsidRPr="00507E84">
        <w:rPr>
          <w:rFonts w:ascii="Times New Roman" w:hAnsi="Times New Roman" w:cs="Times New Roman"/>
          <w:sz w:val="24"/>
          <w:szCs w:val="24"/>
        </w:rPr>
        <w:t xml:space="preserve">kombinovanej </w:t>
      </w:r>
      <w:r w:rsidRPr="00507E84">
        <w:rPr>
          <w:rFonts w:ascii="Times New Roman" w:hAnsi="Times New Roman" w:cs="Times New Roman"/>
          <w:sz w:val="24"/>
          <w:szCs w:val="24"/>
        </w:rPr>
        <w:t xml:space="preserve">identifikácie podľa prílohy </w:t>
      </w:r>
      <w:r w:rsidR="007818AE" w:rsidRPr="00507E84">
        <w:rPr>
          <w:rFonts w:ascii="Times New Roman" w:hAnsi="Times New Roman" w:cs="Times New Roman"/>
          <w:sz w:val="24"/>
          <w:szCs w:val="24"/>
        </w:rPr>
        <w:t xml:space="preserve">zákona č. 69/2018 Z. z. </w:t>
      </w:r>
      <w:r w:rsidRPr="00507E84">
        <w:rPr>
          <w:rFonts w:ascii="Times New Roman" w:hAnsi="Times New Roman" w:cs="Times New Roman"/>
          <w:sz w:val="24"/>
          <w:szCs w:val="24"/>
        </w:rPr>
        <w:t xml:space="preserve">v spojení s prekročením identifikačných kritérií sa nahrádza taxatívnym vymenovaním subjektov </w:t>
      </w:r>
      <w:r w:rsidR="00346C2C" w:rsidRPr="00507E84">
        <w:rPr>
          <w:rFonts w:ascii="Times New Roman" w:hAnsi="Times New Roman" w:cs="Times New Roman"/>
          <w:sz w:val="24"/>
          <w:szCs w:val="24"/>
        </w:rPr>
        <w:t xml:space="preserve">priamo </w:t>
      </w:r>
      <w:r w:rsidR="00077EA3" w:rsidRPr="00507E84">
        <w:rPr>
          <w:rFonts w:ascii="Times New Roman" w:hAnsi="Times New Roman" w:cs="Times New Roman"/>
          <w:sz w:val="24"/>
          <w:szCs w:val="24"/>
        </w:rPr>
        <w:t xml:space="preserve">v </w:t>
      </w:r>
      <w:r w:rsidR="007818AE" w:rsidRPr="00507E84">
        <w:rPr>
          <w:rFonts w:ascii="Times New Roman" w:hAnsi="Times New Roman" w:cs="Times New Roman"/>
          <w:sz w:val="24"/>
          <w:szCs w:val="24"/>
        </w:rPr>
        <w:t>návrhu zákona.</w:t>
      </w:r>
      <w:r w:rsidR="00346C2C" w:rsidRPr="00507E84">
        <w:rPr>
          <w:rFonts w:ascii="Times New Roman" w:hAnsi="Times New Roman" w:cs="Times New Roman"/>
          <w:sz w:val="24"/>
          <w:szCs w:val="24"/>
        </w:rPr>
        <w:t xml:space="preserve"> </w:t>
      </w:r>
      <w:r w:rsidRPr="00507E84">
        <w:rPr>
          <w:rFonts w:ascii="Times New Roman" w:hAnsi="Times New Roman" w:cs="Times New Roman"/>
          <w:sz w:val="24"/>
          <w:szCs w:val="24"/>
        </w:rPr>
        <w:t xml:space="preserve">Návrhom zákona nedochádza k výraznému nárastu regulovaných odvetví, ale </w:t>
      </w:r>
      <w:r w:rsidR="00BB775D" w:rsidRPr="00507E84">
        <w:rPr>
          <w:rFonts w:ascii="Times New Roman" w:hAnsi="Times New Roman" w:cs="Times New Roman"/>
          <w:sz w:val="24"/>
          <w:szCs w:val="24"/>
        </w:rPr>
        <w:t>dochádza k rozšíreniu pôsobnosti na ďalšie subjekty. Upravuje sa a precizuje hlásenie</w:t>
      </w:r>
      <w:r w:rsidR="007818AE" w:rsidRPr="00507E84">
        <w:rPr>
          <w:rFonts w:ascii="Times New Roman" w:hAnsi="Times New Roman" w:cs="Times New Roman"/>
          <w:sz w:val="24"/>
          <w:szCs w:val="24"/>
        </w:rPr>
        <w:t xml:space="preserve"> kybernetického bezpečnostného incidentu, významnej kybernetickej hrozby, udalosti odvrátenej v poslednej chvíli</w:t>
      </w:r>
      <w:r w:rsidR="00077EA3" w:rsidRPr="00507E84">
        <w:rPr>
          <w:rFonts w:ascii="Times New Roman" w:hAnsi="Times New Roman" w:cs="Times New Roman"/>
          <w:sz w:val="24"/>
          <w:szCs w:val="24"/>
        </w:rPr>
        <w:t>,</w:t>
      </w:r>
      <w:r w:rsidR="007818AE" w:rsidRPr="00507E84">
        <w:rPr>
          <w:rFonts w:ascii="Times New Roman" w:hAnsi="Times New Roman" w:cs="Times New Roman"/>
          <w:sz w:val="24"/>
          <w:szCs w:val="24"/>
        </w:rPr>
        <w:t xml:space="preserve"> zraniteľnosti a riešenie kybernetického bezpečnostného incidentu a</w:t>
      </w:r>
      <w:r w:rsidR="00BB775D" w:rsidRPr="00507E84">
        <w:rPr>
          <w:rFonts w:ascii="Times New Roman" w:hAnsi="Times New Roman" w:cs="Times New Roman"/>
          <w:sz w:val="24"/>
          <w:szCs w:val="24"/>
        </w:rPr>
        <w:t xml:space="preserve"> podporuje sa dobrovoľné hlásenie. Smernicou NIS 2 sa odstraňuje rozdiel medzi prevádzkovateľom základnej služby a poskytovateľom digitálnej služby, a samotné regulované subjekty – prevádzkovatelia základných služieb, sa de facto rozdeľujú na základe ich dôležitosti do dvoch kategórií, na kľúčové </w:t>
      </w:r>
      <w:r w:rsidR="009B2827" w:rsidRPr="00507E84">
        <w:rPr>
          <w:rFonts w:ascii="Times New Roman" w:hAnsi="Times New Roman" w:cs="Times New Roman"/>
          <w:sz w:val="24"/>
          <w:szCs w:val="24"/>
        </w:rPr>
        <w:t xml:space="preserve">subjekty </w:t>
      </w:r>
      <w:r w:rsidR="00BB775D" w:rsidRPr="00507E84">
        <w:rPr>
          <w:rFonts w:ascii="Times New Roman" w:hAnsi="Times New Roman" w:cs="Times New Roman"/>
          <w:sz w:val="24"/>
          <w:szCs w:val="24"/>
        </w:rPr>
        <w:t>– prevádzkujúce kritickú základnú službu a</w:t>
      </w:r>
      <w:r w:rsidR="005136DE" w:rsidRPr="00507E84">
        <w:rPr>
          <w:rFonts w:ascii="Times New Roman" w:hAnsi="Times New Roman" w:cs="Times New Roman"/>
          <w:sz w:val="24"/>
          <w:szCs w:val="24"/>
        </w:rPr>
        <w:t> </w:t>
      </w:r>
      <w:r w:rsidR="00BB775D" w:rsidRPr="00507E84">
        <w:rPr>
          <w:rFonts w:ascii="Times New Roman" w:hAnsi="Times New Roman" w:cs="Times New Roman"/>
          <w:sz w:val="24"/>
          <w:szCs w:val="24"/>
        </w:rPr>
        <w:t xml:space="preserve">dôležité subjekty – ostatní prevádzkovatelia základných služieb. Návrh zákona </w:t>
      </w:r>
      <w:r w:rsidR="00346C2C" w:rsidRPr="00507E84">
        <w:rPr>
          <w:rFonts w:ascii="Times New Roman" w:hAnsi="Times New Roman" w:cs="Times New Roman"/>
          <w:sz w:val="24"/>
          <w:szCs w:val="24"/>
        </w:rPr>
        <w:t xml:space="preserve">tak </w:t>
      </w:r>
      <w:r w:rsidR="00BB775D" w:rsidRPr="00507E84">
        <w:rPr>
          <w:rFonts w:ascii="Times New Roman" w:hAnsi="Times New Roman" w:cs="Times New Roman"/>
          <w:sz w:val="24"/>
          <w:szCs w:val="24"/>
        </w:rPr>
        <w:t>zavádza podľa pravidiel smernice NIS 2 prahovú hodnotu veľkosti subjektu (stredné podniky podľa článku 2 prílohy k odporúčaniu 2003/361/ES alebo presahujúce limity pre stredné podniky</w:t>
      </w:r>
      <w:r w:rsidR="00346C2C" w:rsidRPr="00507E84">
        <w:rPr>
          <w:rFonts w:ascii="Times New Roman" w:hAnsi="Times New Roman" w:cs="Times New Roman"/>
          <w:sz w:val="24"/>
          <w:szCs w:val="24"/>
        </w:rPr>
        <w:t>), ale</w:t>
      </w:r>
      <w:r w:rsidR="005135E7" w:rsidRPr="00507E84">
        <w:rPr>
          <w:rFonts w:ascii="Times New Roman" w:hAnsi="Times New Roman" w:cs="Times New Roman"/>
          <w:sz w:val="24"/>
          <w:szCs w:val="24"/>
        </w:rPr>
        <w:t> </w:t>
      </w:r>
      <w:r w:rsidR="00BB775D" w:rsidRPr="00507E84">
        <w:rPr>
          <w:rFonts w:ascii="Times New Roman" w:hAnsi="Times New Roman" w:cs="Times New Roman"/>
          <w:sz w:val="24"/>
          <w:szCs w:val="24"/>
        </w:rPr>
        <w:t xml:space="preserve">do regulácie </w:t>
      </w:r>
      <w:r w:rsidR="00346C2C" w:rsidRPr="00507E84">
        <w:rPr>
          <w:rFonts w:ascii="Times New Roman" w:hAnsi="Times New Roman" w:cs="Times New Roman"/>
          <w:sz w:val="24"/>
          <w:szCs w:val="24"/>
        </w:rPr>
        <w:t>budú spadať</w:t>
      </w:r>
      <w:r w:rsidR="00BB775D" w:rsidRPr="00507E84">
        <w:rPr>
          <w:rFonts w:ascii="Times New Roman" w:hAnsi="Times New Roman" w:cs="Times New Roman"/>
          <w:sz w:val="24"/>
          <w:szCs w:val="24"/>
        </w:rPr>
        <w:t xml:space="preserve"> aj subjekty kritického významu bez hodnotenia ich veľkosti. V návrhu zákona sa upravujú a precizujú bezpečnostné opatrenia tak, aby reflektovali nové bezpečnostné štandardy</w:t>
      </w:r>
      <w:r w:rsidR="00525AED" w:rsidRPr="00507E84">
        <w:rPr>
          <w:rFonts w:ascii="Times New Roman" w:hAnsi="Times New Roman" w:cs="Times New Roman"/>
          <w:sz w:val="24"/>
          <w:szCs w:val="24"/>
        </w:rPr>
        <w:t>, vrátane kladenia dôrazu na riešenie rizík vyplývajúcich z dodávateľského reťazca</w:t>
      </w:r>
      <w:r w:rsidR="009276E1" w:rsidRPr="00507E84">
        <w:rPr>
          <w:rFonts w:ascii="Times New Roman" w:hAnsi="Times New Roman" w:cs="Times New Roman"/>
          <w:sz w:val="24"/>
          <w:szCs w:val="24"/>
        </w:rPr>
        <w:t>.</w:t>
      </w:r>
      <w:r w:rsidR="00293415" w:rsidRPr="00507E84">
        <w:rPr>
          <w:rFonts w:ascii="Times New Roman" w:hAnsi="Times New Roman" w:cs="Times New Roman"/>
          <w:sz w:val="24"/>
          <w:szCs w:val="24"/>
        </w:rPr>
        <w:t xml:space="preserve"> </w:t>
      </w:r>
      <w:r w:rsidR="00D75EDD" w:rsidRPr="00507E84">
        <w:rPr>
          <w:rFonts w:ascii="Times New Roman" w:hAnsi="Times New Roman" w:cs="Times New Roman"/>
          <w:sz w:val="24"/>
          <w:szCs w:val="24"/>
        </w:rPr>
        <w:t xml:space="preserve">Taktiež sa </w:t>
      </w:r>
      <w:r w:rsidR="00BB775D" w:rsidRPr="00507E84">
        <w:rPr>
          <w:rFonts w:ascii="Times New Roman" w:hAnsi="Times New Roman" w:cs="Times New Roman"/>
          <w:sz w:val="24"/>
          <w:szCs w:val="24"/>
        </w:rPr>
        <w:t xml:space="preserve">posilňuje </w:t>
      </w:r>
      <w:r w:rsidR="00A4491B" w:rsidRPr="00507E84">
        <w:rPr>
          <w:rFonts w:ascii="Times New Roman" w:hAnsi="Times New Roman" w:cs="Times New Roman"/>
          <w:sz w:val="24"/>
          <w:szCs w:val="24"/>
        </w:rPr>
        <w:t xml:space="preserve">využívanie </w:t>
      </w:r>
      <w:r w:rsidR="00BB775D" w:rsidRPr="00507E84">
        <w:rPr>
          <w:rFonts w:ascii="Times New Roman" w:hAnsi="Times New Roman" w:cs="Times New Roman"/>
          <w:sz w:val="24"/>
          <w:szCs w:val="24"/>
        </w:rPr>
        <w:t>nástroj</w:t>
      </w:r>
      <w:r w:rsidR="00A4491B" w:rsidRPr="00507E84">
        <w:rPr>
          <w:rFonts w:ascii="Times New Roman" w:hAnsi="Times New Roman" w:cs="Times New Roman"/>
          <w:sz w:val="24"/>
          <w:szCs w:val="24"/>
        </w:rPr>
        <w:t>a</w:t>
      </w:r>
      <w:r w:rsidR="00BB775D" w:rsidRPr="00507E84">
        <w:rPr>
          <w:rFonts w:ascii="Times New Roman" w:hAnsi="Times New Roman" w:cs="Times New Roman"/>
          <w:sz w:val="24"/>
          <w:szCs w:val="24"/>
        </w:rPr>
        <w:t xml:space="preserve"> analýzy rizík pre aplikáciu bezpečnostných opatrení. Zavádza sa minimálna </w:t>
      </w:r>
      <w:r w:rsidR="00BB775D" w:rsidRPr="00507E84">
        <w:rPr>
          <w:rFonts w:ascii="Times New Roman" w:hAnsi="Times New Roman" w:cs="Times New Roman"/>
          <w:sz w:val="24"/>
          <w:szCs w:val="24"/>
        </w:rPr>
        <w:lastRenderedPageBreak/>
        <w:t>úroveň bezpečnostných opatrení. Taktiež sa posilňuje dohľadová činnosť</w:t>
      </w:r>
      <w:r w:rsidR="002F1759" w:rsidRPr="00507E84">
        <w:rPr>
          <w:rFonts w:ascii="Times New Roman" w:hAnsi="Times New Roman" w:cs="Times New Roman"/>
          <w:sz w:val="24"/>
          <w:szCs w:val="24"/>
        </w:rPr>
        <w:t xml:space="preserve"> zavedením foriem dohľadu,</w:t>
      </w:r>
      <w:r w:rsidR="00346C2C" w:rsidRPr="00507E84">
        <w:rPr>
          <w:rFonts w:ascii="Times New Roman" w:hAnsi="Times New Roman" w:cs="Times New Roman"/>
          <w:sz w:val="24"/>
          <w:szCs w:val="24"/>
        </w:rPr>
        <w:t xml:space="preserve"> podporuje sa vzdelávanie, dopĺňa sa zodpovednosť a posilňuje sa funkcia manažéra kybernetickej bezpečnosti</w:t>
      </w:r>
      <w:r w:rsidR="002F1759" w:rsidRPr="00507E84">
        <w:rPr>
          <w:rFonts w:ascii="Times New Roman" w:hAnsi="Times New Roman" w:cs="Times New Roman"/>
          <w:sz w:val="24"/>
          <w:szCs w:val="24"/>
        </w:rPr>
        <w:t>.</w:t>
      </w:r>
      <w:r w:rsidR="006B628C" w:rsidRPr="00507E84">
        <w:rPr>
          <w:rFonts w:ascii="Times New Roman" w:hAnsi="Times New Roman" w:cs="Times New Roman"/>
          <w:sz w:val="24"/>
          <w:szCs w:val="24"/>
        </w:rPr>
        <w:t xml:space="preserve"> </w:t>
      </w:r>
      <w:r w:rsidR="00A4491B" w:rsidRPr="00507E84">
        <w:rPr>
          <w:rFonts w:ascii="Times New Roman" w:hAnsi="Times New Roman" w:cs="Times New Roman"/>
          <w:sz w:val="24"/>
          <w:szCs w:val="24"/>
        </w:rPr>
        <w:t xml:space="preserve">Natrvalo sa zavádza inštitút samohodnotenia. </w:t>
      </w:r>
      <w:r w:rsidR="006B628C" w:rsidRPr="00507E84">
        <w:rPr>
          <w:rFonts w:ascii="Times New Roman" w:hAnsi="Times New Roman" w:cs="Times New Roman"/>
          <w:sz w:val="24"/>
          <w:szCs w:val="24"/>
        </w:rPr>
        <w:t>Návrh zákona opatreniami zvyšuje odolnosť a</w:t>
      </w:r>
      <w:r w:rsidR="005136DE" w:rsidRPr="00507E84">
        <w:rPr>
          <w:rFonts w:ascii="Times New Roman" w:hAnsi="Times New Roman" w:cs="Times New Roman"/>
          <w:sz w:val="24"/>
          <w:szCs w:val="24"/>
        </w:rPr>
        <w:t> </w:t>
      </w:r>
      <w:r w:rsidR="006B628C" w:rsidRPr="00507E84">
        <w:rPr>
          <w:rFonts w:ascii="Times New Roman" w:hAnsi="Times New Roman" w:cs="Times New Roman"/>
          <w:sz w:val="24"/>
          <w:szCs w:val="24"/>
        </w:rPr>
        <w:t xml:space="preserve">kapacity reakcie na </w:t>
      </w:r>
      <w:r w:rsidR="00C562C3" w:rsidRPr="00507E84">
        <w:rPr>
          <w:rFonts w:ascii="Times New Roman" w:hAnsi="Times New Roman" w:cs="Times New Roman"/>
          <w:sz w:val="24"/>
          <w:szCs w:val="24"/>
        </w:rPr>
        <w:t xml:space="preserve">kybernetické bezpečnostné </w:t>
      </w:r>
      <w:r w:rsidR="006B628C" w:rsidRPr="00507E84">
        <w:rPr>
          <w:rFonts w:ascii="Times New Roman" w:hAnsi="Times New Roman" w:cs="Times New Roman"/>
          <w:sz w:val="24"/>
          <w:szCs w:val="24"/>
        </w:rPr>
        <w:t>incidenty príslušných subjektov.</w:t>
      </w:r>
    </w:p>
    <w:p w14:paraId="5DCD8503" w14:textId="77777777" w:rsidR="004F52A9" w:rsidRPr="00507E84" w:rsidRDefault="004F52A9" w:rsidP="00AA11B6">
      <w:pPr>
        <w:spacing w:after="120"/>
        <w:jc w:val="both"/>
        <w:rPr>
          <w:rFonts w:ascii="Times New Roman" w:hAnsi="Times New Roman" w:cs="Times New Roman"/>
          <w:color w:val="000000"/>
          <w:sz w:val="24"/>
          <w:szCs w:val="24"/>
        </w:rPr>
      </w:pPr>
      <w:r w:rsidRPr="00507E84">
        <w:rPr>
          <w:rFonts w:ascii="Times New Roman" w:hAnsi="Times New Roman" w:cs="Times New Roman"/>
          <w:color w:val="000000"/>
          <w:sz w:val="24"/>
          <w:szCs w:val="24"/>
        </w:rPr>
        <w:t>Návrh zákona je v súlade s Ústavou Slovenskej republiky, s ústavnými zákonmi a nálezmi Ústavného súdu Slovenskej republiky, so zákonmi a ostatnými všeobecne záväznými právnymi predpismi platnými v Slovenskej republike, s medzinárodnými zmluvami, ktorými je Slovenská republika viazaná, ako aj s právom Európskej únie.</w:t>
      </w:r>
    </w:p>
    <w:p w14:paraId="3074A280" w14:textId="76F02AA6" w:rsidR="004F52A9" w:rsidRPr="00507E84" w:rsidRDefault="009D281A" w:rsidP="00AA11B6">
      <w:pPr>
        <w:jc w:val="both"/>
        <w:rPr>
          <w:rFonts w:ascii="Times New Roman" w:hAnsi="Times New Roman" w:cs="Times New Roman"/>
          <w:sz w:val="24"/>
          <w:szCs w:val="24"/>
        </w:rPr>
      </w:pPr>
      <w:r w:rsidRPr="00507E84">
        <w:rPr>
          <w:rFonts w:ascii="Times New Roman" w:hAnsi="Times New Roman" w:cs="Times New Roman"/>
          <w:sz w:val="24"/>
          <w:szCs w:val="24"/>
        </w:rPr>
        <w:t>Návrh</w:t>
      </w:r>
      <w:r w:rsidR="004F52A9" w:rsidRPr="00507E84">
        <w:rPr>
          <w:rFonts w:ascii="Times New Roman" w:hAnsi="Times New Roman" w:cs="Times New Roman"/>
          <w:sz w:val="24"/>
          <w:szCs w:val="24"/>
        </w:rPr>
        <w:t xml:space="preserve"> zákona </w:t>
      </w:r>
      <w:r w:rsidRPr="00507E84">
        <w:rPr>
          <w:rFonts w:ascii="Times New Roman" w:hAnsi="Times New Roman" w:cs="Times New Roman"/>
          <w:sz w:val="24"/>
          <w:szCs w:val="24"/>
        </w:rPr>
        <w:t>má pozitívne a negatívne vplyvy na rozpočet verejnej správy a </w:t>
      </w:r>
      <w:r w:rsidR="00CF2774" w:rsidRPr="00507E84">
        <w:rPr>
          <w:rFonts w:ascii="Times New Roman" w:hAnsi="Times New Roman" w:cs="Times New Roman"/>
          <w:sz w:val="24"/>
          <w:szCs w:val="24"/>
        </w:rPr>
        <w:t xml:space="preserve">pozitívne a negatívne vplyvy </w:t>
      </w:r>
      <w:r w:rsidRPr="00507E84">
        <w:rPr>
          <w:rFonts w:ascii="Times New Roman" w:hAnsi="Times New Roman" w:cs="Times New Roman"/>
          <w:sz w:val="24"/>
          <w:szCs w:val="24"/>
        </w:rPr>
        <w:t xml:space="preserve">na podnikateľské prostredie. Návrh zákona </w:t>
      </w:r>
      <w:r w:rsidR="004F52A9" w:rsidRPr="00507E84">
        <w:rPr>
          <w:rFonts w:ascii="Times New Roman" w:hAnsi="Times New Roman" w:cs="Times New Roman"/>
          <w:sz w:val="24"/>
          <w:szCs w:val="24"/>
        </w:rPr>
        <w:t xml:space="preserve">nemá </w:t>
      </w:r>
      <w:r w:rsidR="00CF2774" w:rsidRPr="00507E84">
        <w:rPr>
          <w:rFonts w:ascii="Times New Roman" w:hAnsi="Times New Roman" w:cs="Times New Roman"/>
          <w:sz w:val="24"/>
          <w:szCs w:val="24"/>
        </w:rPr>
        <w:t xml:space="preserve">vplyvy na limit verejných výdavkov, </w:t>
      </w:r>
      <w:r w:rsidR="004F52A9" w:rsidRPr="00507E84">
        <w:rPr>
          <w:rFonts w:ascii="Times New Roman" w:hAnsi="Times New Roman" w:cs="Times New Roman"/>
          <w:sz w:val="24"/>
          <w:szCs w:val="24"/>
        </w:rPr>
        <w:t xml:space="preserve">sociálne vplyvy, vplyvy na životné prostredie, </w:t>
      </w:r>
      <w:r w:rsidR="004D3C34" w:rsidRPr="00507E84">
        <w:rPr>
          <w:rFonts w:ascii="Times New Roman" w:hAnsi="Times New Roman" w:cs="Times New Roman"/>
          <w:sz w:val="24"/>
          <w:szCs w:val="24"/>
        </w:rPr>
        <w:t xml:space="preserve">vplyvy </w:t>
      </w:r>
      <w:r w:rsidR="004F52A9" w:rsidRPr="00507E84">
        <w:rPr>
          <w:rFonts w:ascii="Times New Roman" w:hAnsi="Times New Roman" w:cs="Times New Roman"/>
          <w:sz w:val="24"/>
          <w:szCs w:val="24"/>
        </w:rPr>
        <w:t>na</w:t>
      </w:r>
      <w:r w:rsidR="000224FE" w:rsidRPr="00507E84">
        <w:rPr>
          <w:rFonts w:ascii="Times New Roman" w:hAnsi="Times New Roman" w:cs="Times New Roman"/>
          <w:sz w:val="24"/>
          <w:szCs w:val="24"/>
        </w:rPr>
        <w:t> </w:t>
      </w:r>
      <w:r w:rsidR="004F52A9" w:rsidRPr="00507E84">
        <w:rPr>
          <w:rFonts w:ascii="Times New Roman" w:hAnsi="Times New Roman" w:cs="Times New Roman"/>
          <w:sz w:val="24"/>
          <w:szCs w:val="24"/>
        </w:rPr>
        <w:t>služby verejnej správy pre občana, vplyv</w:t>
      </w:r>
      <w:r w:rsidR="00CF2774" w:rsidRPr="00507E84">
        <w:rPr>
          <w:rFonts w:ascii="Times New Roman" w:hAnsi="Times New Roman" w:cs="Times New Roman"/>
          <w:sz w:val="24"/>
          <w:szCs w:val="24"/>
        </w:rPr>
        <w:t>y na informatizáciu spoločnosti</w:t>
      </w:r>
      <w:r w:rsidR="004D3C34" w:rsidRPr="00507E84">
        <w:rPr>
          <w:rFonts w:ascii="Times New Roman" w:hAnsi="Times New Roman" w:cs="Times New Roman"/>
          <w:sz w:val="24"/>
          <w:szCs w:val="24"/>
        </w:rPr>
        <w:t xml:space="preserve"> a ani vplyvy na</w:t>
      </w:r>
      <w:r w:rsidR="000224FE" w:rsidRPr="00507E84">
        <w:rPr>
          <w:rFonts w:ascii="Times New Roman" w:hAnsi="Times New Roman" w:cs="Times New Roman"/>
          <w:sz w:val="24"/>
          <w:szCs w:val="24"/>
        </w:rPr>
        <w:t> </w:t>
      </w:r>
      <w:r w:rsidR="004D3C34" w:rsidRPr="00507E84">
        <w:rPr>
          <w:rFonts w:ascii="Times New Roman" w:hAnsi="Times New Roman" w:cs="Times New Roman"/>
          <w:sz w:val="24"/>
          <w:szCs w:val="24"/>
        </w:rPr>
        <w:t>manželstvo, rodičovstvo a</w:t>
      </w:r>
      <w:r w:rsidRPr="00507E84">
        <w:rPr>
          <w:rFonts w:ascii="Times New Roman" w:hAnsi="Times New Roman" w:cs="Times New Roman"/>
          <w:sz w:val="24"/>
          <w:szCs w:val="24"/>
        </w:rPr>
        <w:t> </w:t>
      </w:r>
      <w:r w:rsidR="004D3C34" w:rsidRPr="00507E84">
        <w:rPr>
          <w:rFonts w:ascii="Times New Roman" w:hAnsi="Times New Roman" w:cs="Times New Roman"/>
          <w:sz w:val="24"/>
          <w:szCs w:val="24"/>
        </w:rPr>
        <w:t>rodinu</w:t>
      </w:r>
      <w:r w:rsidRPr="00507E84">
        <w:rPr>
          <w:rFonts w:ascii="Times New Roman" w:hAnsi="Times New Roman" w:cs="Times New Roman"/>
          <w:sz w:val="24"/>
          <w:szCs w:val="24"/>
        </w:rPr>
        <w:t>.</w:t>
      </w:r>
    </w:p>
    <w:p w14:paraId="3B567E12" w14:textId="77777777" w:rsidR="00796AFF" w:rsidRPr="00507E84" w:rsidRDefault="00796AFF" w:rsidP="00796AFF">
      <w:pPr>
        <w:spacing w:after="0"/>
        <w:jc w:val="center"/>
        <w:rPr>
          <w:rFonts w:ascii="Times New Roman" w:hAnsi="Times New Roman" w:cs="Times New Roman"/>
          <w:color w:val="000000" w:themeColor="text1"/>
          <w:sz w:val="24"/>
          <w:szCs w:val="24"/>
        </w:rPr>
      </w:pPr>
    </w:p>
    <w:p w14:paraId="5125CE85" w14:textId="77777777" w:rsidR="00F33C13" w:rsidRPr="00507E84" w:rsidRDefault="00F33C13">
      <w:pPr>
        <w:rPr>
          <w:rFonts w:ascii="Times New Roman" w:eastAsiaTheme="majorEastAsia" w:hAnsi="Times New Roman" w:cs="Times New Roman"/>
          <w:b/>
          <w:color w:val="000000" w:themeColor="text1"/>
          <w:sz w:val="24"/>
          <w:szCs w:val="24"/>
          <w:lang w:eastAsia="sk-SK"/>
        </w:rPr>
      </w:pPr>
      <w:r w:rsidRPr="00507E84">
        <w:rPr>
          <w:rFonts w:ascii="Times New Roman" w:hAnsi="Times New Roman" w:cs="Times New Roman"/>
          <w:b/>
          <w:color w:val="000000" w:themeColor="text1"/>
        </w:rPr>
        <w:br w:type="page"/>
      </w:r>
    </w:p>
    <w:p w14:paraId="6511E818" w14:textId="4567D8FE" w:rsidR="00F33C13" w:rsidRPr="00507E84" w:rsidRDefault="00F33C13" w:rsidP="00F33C13">
      <w:pPr>
        <w:spacing w:after="0" w:line="240" w:lineRule="auto"/>
        <w:jc w:val="center"/>
        <w:rPr>
          <w:rFonts w:ascii="Times New Roman" w:eastAsia="Times New Roman" w:hAnsi="Times New Roman" w:cs="Times New Roman"/>
          <w:b/>
          <w:sz w:val="28"/>
          <w:szCs w:val="28"/>
          <w:lang w:eastAsia="sk-SK"/>
        </w:rPr>
      </w:pPr>
      <w:r w:rsidRPr="00507E84">
        <w:rPr>
          <w:rFonts w:ascii="Times New Roman" w:eastAsia="Times New Roman" w:hAnsi="Times New Roman" w:cs="Times New Roman"/>
          <w:b/>
          <w:sz w:val="28"/>
          <w:szCs w:val="28"/>
          <w:lang w:eastAsia="sk-SK"/>
        </w:rPr>
        <w:lastRenderedPageBreak/>
        <w:t>Doložka vybraných vplyvov</w:t>
      </w:r>
    </w:p>
    <w:p w14:paraId="7B01CCD6" w14:textId="77777777" w:rsidR="00F33C13" w:rsidRPr="00507E84" w:rsidRDefault="00F33C13" w:rsidP="00F33C13">
      <w:pPr>
        <w:spacing w:after="0" w:line="240" w:lineRule="auto"/>
        <w:jc w:val="center"/>
        <w:rPr>
          <w:rFonts w:ascii="Times New Roman" w:eastAsia="Times New Roman" w:hAnsi="Times New Roman" w:cs="Times New Roman"/>
          <w:b/>
          <w:sz w:val="28"/>
          <w:szCs w:val="28"/>
          <w:lang w:eastAsia="sk-SK"/>
        </w:rPr>
      </w:pPr>
    </w:p>
    <w:p w14:paraId="0F1C3212" w14:textId="77777777" w:rsidR="00F33C13" w:rsidRPr="00507E84" w:rsidRDefault="00F33C13" w:rsidP="00F33C13">
      <w:pPr>
        <w:spacing w:after="200" w:line="276" w:lineRule="auto"/>
        <w:ind w:left="426"/>
        <w:contextualSpacing/>
        <w:rPr>
          <w:rFonts w:ascii="Times New Roman" w:eastAsia="Calibri" w:hAnsi="Times New Roman" w:cs="Times New Roman"/>
          <w:b/>
        </w:rPr>
      </w:pPr>
    </w:p>
    <w:tbl>
      <w:tblPr>
        <w:tblW w:w="9180" w:type="dxa"/>
        <w:tblLayout w:type="fixed"/>
        <w:tblLook w:val="04A0" w:firstRow="1" w:lastRow="0" w:firstColumn="1" w:lastColumn="0" w:noHBand="0" w:noVBand="1"/>
      </w:tblPr>
      <w:tblGrid>
        <w:gridCol w:w="3812"/>
        <w:gridCol w:w="400"/>
        <w:gridCol w:w="141"/>
        <w:gridCol w:w="564"/>
        <w:gridCol w:w="717"/>
        <w:gridCol w:w="31"/>
        <w:gridCol w:w="284"/>
        <w:gridCol w:w="254"/>
        <w:gridCol w:w="1133"/>
        <w:gridCol w:w="284"/>
        <w:gridCol w:w="263"/>
        <w:gridCol w:w="1297"/>
      </w:tblGrid>
      <w:tr w:rsidR="00F33C13" w:rsidRPr="00507E84" w14:paraId="3394C99C" w14:textId="77777777" w:rsidTr="00F33C13">
        <w:tc>
          <w:tcPr>
            <w:tcW w:w="9180" w:type="dxa"/>
            <w:gridSpan w:val="12"/>
            <w:tcBorders>
              <w:bottom w:val="single" w:sz="4" w:space="0" w:color="FFFFFF"/>
            </w:tcBorders>
            <w:shd w:val="clear" w:color="auto" w:fill="E2E2E2"/>
          </w:tcPr>
          <w:p w14:paraId="47B9879F" w14:textId="77777777" w:rsidR="00F33C13" w:rsidRPr="00507E84" w:rsidRDefault="00F33C13" w:rsidP="00F33C13">
            <w:pPr>
              <w:numPr>
                <w:ilvl w:val="0"/>
                <w:numId w:val="6"/>
              </w:numPr>
              <w:ind w:left="426"/>
              <w:contextualSpacing/>
              <w:rPr>
                <w:rFonts w:ascii="Times New Roman" w:eastAsia="Calibri" w:hAnsi="Times New Roman" w:cs="Times New Roman"/>
                <w:b/>
              </w:rPr>
            </w:pPr>
            <w:r w:rsidRPr="00507E84">
              <w:rPr>
                <w:rFonts w:ascii="Times New Roman" w:eastAsia="Calibri" w:hAnsi="Times New Roman" w:cs="Times New Roman"/>
                <w:b/>
              </w:rPr>
              <w:t>Základné údaje</w:t>
            </w:r>
          </w:p>
        </w:tc>
      </w:tr>
      <w:tr w:rsidR="00F33C13" w:rsidRPr="00507E84" w14:paraId="273914F8" w14:textId="77777777" w:rsidTr="00F33C13">
        <w:tc>
          <w:tcPr>
            <w:tcW w:w="9180" w:type="dxa"/>
            <w:gridSpan w:val="12"/>
            <w:tcBorders>
              <w:bottom w:val="single" w:sz="4" w:space="0" w:color="FFFFFF"/>
            </w:tcBorders>
            <w:shd w:val="clear" w:color="auto" w:fill="E2E2E2"/>
          </w:tcPr>
          <w:p w14:paraId="6E074042" w14:textId="77777777" w:rsidR="00F33C13" w:rsidRPr="00507E84" w:rsidRDefault="00F33C13" w:rsidP="00F33C13">
            <w:pPr>
              <w:spacing w:after="200" w:line="276" w:lineRule="auto"/>
              <w:ind w:left="142"/>
              <w:contextualSpacing/>
              <w:rPr>
                <w:rFonts w:ascii="Times New Roman" w:eastAsia="Calibri" w:hAnsi="Times New Roman" w:cs="Times New Roman"/>
                <w:b/>
              </w:rPr>
            </w:pPr>
            <w:r w:rsidRPr="00507E84">
              <w:rPr>
                <w:rFonts w:ascii="Times New Roman" w:eastAsia="Calibri" w:hAnsi="Times New Roman" w:cs="Times New Roman"/>
                <w:b/>
              </w:rPr>
              <w:t>Názov materiálu</w:t>
            </w:r>
          </w:p>
        </w:tc>
      </w:tr>
      <w:tr w:rsidR="00F33C13" w:rsidRPr="00507E84" w14:paraId="4EBE9259" w14:textId="77777777" w:rsidTr="00F33C13">
        <w:tc>
          <w:tcPr>
            <w:tcW w:w="9180" w:type="dxa"/>
            <w:gridSpan w:val="12"/>
            <w:tcBorders>
              <w:top w:val="single" w:sz="4" w:space="0" w:color="FFFFFF"/>
              <w:bottom w:val="single" w:sz="4" w:space="0" w:color="auto"/>
            </w:tcBorders>
          </w:tcPr>
          <w:p w14:paraId="53E644A3" w14:textId="77777777" w:rsidR="00F33C13" w:rsidRPr="00507E84" w:rsidRDefault="00F33C13" w:rsidP="00F33C13">
            <w:pPr>
              <w:jc w:val="both"/>
              <w:rPr>
                <w:rFonts w:ascii="Times New Roman" w:eastAsia="Times New Roman" w:hAnsi="Times New Roman" w:cs="Times New Roman"/>
                <w:sz w:val="20"/>
                <w:szCs w:val="20"/>
                <w:lang w:eastAsia="sk-SK"/>
              </w:rPr>
            </w:pPr>
          </w:p>
          <w:p w14:paraId="43E3F330"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Návrh zákona, ktorým sa mení a dopĺňa zákon č. 69/2018 Z. z. o kybernetickej bezpečnosti a o zmene a doplnení niektorých zákonov v znení neskorších predpisov a ktorým sa menia a dopĺňajú niektoré zákony</w:t>
            </w:r>
          </w:p>
          <w:p w14:paraId="1AF54757" w14:textId="77777777" w:rsidR="00F33C13" w:rsidRPr="00507E84" w:rsidRDefault="00F33C13" w:rsidP="00F33C13">
            <w:pPr>
              <w:rPr>
                <w:rFonts w:ascii="Times New Roman" w:eastAsia="Times New Roman" w:hAnsi="Times New Roman" w:cs="Times New Roman"/>
                <w:sz w:val="20"/>
                <w:szCs w:val="20"/>
                <w:lang w:eastAsia="sk-SK"/>
              </w:rPr>
            </w:pPr>
          </w:p>
        </w:tc>
      </w:tr>
      <w:tr w:rsidR="00F33C13" w:rsidRPr="00507E84" w14:paraId="483E9162" w14:textId="77777777" w:rsidTr="00F33C13">
        <w:tc>
          <w:tcPr>
            <w:tcW w:w="9180" w:type="dxa"/>
            <w:gridSpan w:val="12"/>
            <w:tcBorders>
              <w:top w:val="single" w:sz="4" w:space="0" w:color="auto"/>
              <w:left w:val="single" w:sz="4" w:space="0" w:color="auto"/>
              <w:bottom w:val="single" w:sz="4" w:space="0" w:color="FFFFFF"/>
            </w:tcBorders>
            <w:shd w:val="clear" w:color="auto" w:fill="E2E2E2"/>
          </w:tcPr>
          <w:p w14:paraId="00012D96" w14:textId="77777777" w:rsidR="00F33C13" w:rsidRPr="00507E84" w:rsidRDefault="00F33C13" w:rsidP="00F33C13">
            <w:pPr>
              <w:spacing w:after="200" w:line="276" w:lineRule="auto"/>
              <w:ind w:left="142"/>
              <w:contextualSpacing/>
              <w:rPr>
                <w:rFonts w:ascii="Times New Roman" w:eastAsia="Calibri" w:hAnsi="Times New Roman" w:cs="Times New Roman"/>
                <w:b/>
              </w:rPr>
            </w:pPr>
            <w:r w:rsidRPr="00507E84">
              <w:rPr>
                <w:rFonts w:ascii="Times New Roman" w:eastAsia="Calibri" w:hAnsi="Times New Roman" w:cs="Times New Roman"/>
                <w:b/>
              </w:rPr>
              <w:t>Predkladateľ (a spolupredkladateľ)</w:t>
            </w:r>
          </w:p>
        </w:tc>
      </w:tr>
      <w:tr w:rsidR="00F33C13" w:rsidRPr="00507E84" w14:paraId="28E5BD3B" w14:textId="77777777" w:rsidTr="00F33C13">
        <w:tc>
          <w:tcPr>
            <w:tcW w:w="9180" w:type="dxa"/>
            <w:gridSpan w:val="12"/>
            <w:tcBorders>
              <w:top w:val="single" w:sz="4" w:space="0" w:color="FFFFFF"/>
              <w:left w:val="single" w:sz="4" w:space="0" w:color="auto"/>
              <w:bottom w:val="single" w:sz="4" w:space="0" w:color="auto"/>
            </w:tcBorders>
            <w:shd w:val="clear" w:color="auto" w:fill="FFFFFF"/>
          </w:tcPr>
          <w:p w14:paraId="235C37CB" w14:textId="77777777" w:rsidR="00F33C13" w:rsidRPr="00507E84" w:rsidRDefault="00F33C13" w:rsidP="00F33C13">
            <w:pPr>
              <w:rPr>
                <w:rFonts w:ascii="Times New Roman" w:eastAsia="Times New Roman" w:hAnsi="Times New Roman" w:cs="Times New Roman"/>
                <w:sz w:val="20"/>
                <w:szCs w:val="20"/>
                <w:lang w:eastAsia="sk-SK"/>
              </w:rPr>
            </w:pPr>
          </w:p>
          <w:p w14:paraId="23D52A42" w14:textId="46D9A5DC" w:rsidR="00F33C13" w:rsidRPr="00507E84" w:rsidRDefault="00D376C6" w:rsidP="00F33C13">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 Slovenskej republiky</w:t>
            </w:r>
          </w:p>
          <w:p w14:paraId="43C2F2B4" w14:textId="77777777" w:rsidR="00F33C13" w:rsidRPr="00507E84" w:rsidRDefault="00F33C13" w:rsidP="00F33C13">
            <w:pPr>
              <w:rPr>
                <w:rFonts w:ascii="Times New Roman" w:eastAsia="Times New Roman" w:hAnsi="Times New Roman" w:cs="Times New Roman"/>
                <w:sz w:val="20"/>
                <w:szCs w:val="20"/>
                <w:lang w:eastAsia="sk-SK"/>
              </w:rPr>
            </w:pPr>
          </w:p>
        </w:tc>
      </w:tr>
      <w:tr w:rsidR="00F33C13" w:rsidRPr="00507E84" w14:paraId="3FE688DE" w14:textId="77777777" w:rsidTr="00F33C13">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099521C" w14:textId="77777777" w:rsidR="00F33C13" w:rsidRPr="00507E84" w:rsidRDefault="00F33C13" w:rsidP="00F33C13">
            <w:pPr>
              <w:spacing w:after="200" w:line="276" w:lineRule="auto"/>
              <w:ind w:left="142"/>
              <w:contextualSpacing/>
              <w:rPr>
                <w:rFonts w:ascii="Times New Roman" w:eastAsia="Calibri" w:hAnsi="Times New Roman" w:cs="Times New Roman"/>
                <w:b/>
              </w:rPr>
            </w:pPr>
            <w:r w:rsidRPr="00507E8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4EFAF32" w14:textId="77777777" w:rsidR="00F33C13" w:rsidRPr="00507E84" w:rsidRDefault="00F33C13" w:rsidP="00F33C13">
                <w:pPr>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sz w:val="20"/>
                    <w:szCs w:val="20"/>
                    <w:lang w:eastAsia="sk-SK"/>
                  </w:rPr>
                  <w:t>☐</w:t>
                </w:r>
              </w:p>
            </w:tc>
          </w:sdtContent>
        </w:sdt>
        <w:tc>
          <w:tcPr>
            <w:tcW w:w="4263" w:type="dxa"/>
            <w:gridSpan w:val="8"/>
            <w:tcBorders>
              <w:top w:val="single" w:sz="4" w:space="0" w:color="auto"/>
              <w:left w:val="nil"/>
              <w:bottom w:val="single" w:sz="4" w:space="0" w:color="auto"/>
              <w:right w:val="single" w:sz="4" w:space="0" w:color="auto"/>
            </w:tcBorders>
            <w:shd w:val="clear" w:color="auto" w:fill="FFFFFF"/>
          </w:tcPr>
          <w:p w14:paraId="5A2105C0"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Materiál nelegislatívnej povahy</w:t>
            </w:r>
          </w:p>
        </w:tc>
      </w:tr>
      <w:tr w:rsidR="00F33C13" w:rsidRPr="00507E84" w14:paraId="6CB38E87" w14:textId="77777777" w:rsidTr="00F33C13">
        <w:tc>
          <w:tcPr>
            <w:tcW w:w="4212" w:type="dxa"/>
            <w:gridSpan w:val="2"/>
            <w:vMerge/>
            <w:tcBorders>
              <w:top w:val="nil"/>
              <w:left w:val="single" w:sz="4" w:space="0" w:color="auto"/>
              <w:bottom w:val="single" w:sz="4" w:space="0" w:color="FFFFFF"/>
            </w:tcBorders>
            <w:shd w:val="clear" w:color="auto" w:fill="E2E2E2"/>
          </w:tcPr>
          <w:p w14:paraId="0A1D78A1" w14:textId="77777777" w:rsidR="00F33C13" w:rsidRPr="00507E84" w:rsidRDefault="00F33C13" w:rsidP="00F33C13">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7A97302" w14:textId="77777777" w:rsidR="00F33C13" w:rsidRPr="00507E84" w:rsidRDefault="00F33C13" w:rsidP="00F33C13">
                <w:pPr>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sz w:val="20"/>
                    <w:szCs w:val="20"/>
                    <w:lang w:eastAsia="sk-SK"/>
                  </w:rPr>
                  <w:t>☒</w:t>
                </w:r>
              </w:p>
            </w:tc>
          </w:sdtContent>
        </w:sdt>
        <w:tc>
          <w:tcPr>
            <w:tcW w:w="4263" w:type="dxa"/>
            <w:gridSpan w:val="8"/>
            <w:tcBorders>
              <w:top w:val="single" w:sz="4" w:space="0" w:color="auto"/>
              <w:left w:val="nil"/>
              <w:bottom w:val="single" w:sz="4" w:space="0" w:color="auto"/>
            </w:tcBorders>
            <w:shd w:val="clear" w:color="auto" w:fill="FFFFFF"/>
          </w:tcPr>
          <w:p w14:paraId="2AADE83F" w14:textId="77777777" w:rsidR="00F33C13" w:rsidRPr="00507E84" w:rsidRDefault="00F33C13" w:rsidP="00F33C13">
            <w:pPr>
              <w:ind w:left="175" w:hanging="175"/>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Materiál legislatívnej povahy</w:t>
            </w:r>
          </w:p>
        </w:tc>
      </w:tr>
      <w:tr w:rsidR="00F33C13" w:rsidRPr="00507E84" w14:paraId="2C95A5AB" w14:textId="77777777" w:rsidTr="00F33C13">
        <w:tc>
          <w:tcPr>
            <w:tcW w:w="4212" w:type="dxa"/>
            <w:gridSpan w:val="2"/>
            <w:vMerge/>
            <w:tcBorders>
              <w:top w:val="nil"/>
              <w:left w:val="single" w:sz="4" w:space="0" w:color="auto"/>
              <w:bottom w:val="single" w:sz="4" w:space="0" w:color="auto"/>
            </w:tcBorders>
            <w:shd w:val="clear" w:color="auto" w:fill="E2E2E2"/>
          </w:tcPr>
          <w:p w14:paraId="3F6FC27C" w14:textId="77777777" w:rsidR="00F33C13" w:rsidRPr="00507E84" w:rsidRDefault="00F33C13" w:rsidP="00F33C13">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D84E930" w14:textId="77777777" w:rsidR="00F33C13" w:rsidRPr="00507E84" w:rsidRDefault="00F33C13" w:rsidP="00F33C13">
                <w:pPr>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sz w:val="20"/>
                    <w:szCs w:val="20"/>
                    <w:lang w:eastAsia="sk-SK"/>
                  </w:rPr>
                  <w:t>☒</w:t>
                </w:r>
              </w:p>
            </w:tc>
          </w:sdtContent>
        </w:sdt>
        <w:tc>
          <w:tcPr>
            <w:tcW w:w="4263" w:type="dxa"/>
            <w:gridSpan w:val="8"/>
            <w:tcBorders>
              <w:top w:val="single" w:sz="4" w:space="0" w:color="auto"/>
              <w:left w:val="nil"/>
              <w:bottom w:val="single" w:sz="4" w:space="0" w:color="auto"/>
            </w:tcBorders>
            <w:shd w:val="clear" w:color="auto" w:fill="FFFFFF"/>
          </w:tcPr>
          <w:p w14:paraId="2EF29D9F"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Transpozícia/ implementácia práva EÚ</w:t>
            </w:r>
          </w:p>
        </w:tc>
      </w:tr>
      <w:tr w:rsidR="00F33C13" w:rsidRPr="00507E84" w14:paraId="61BE0463" w14:textId="77777777" w:rsidTr="00F33C13">
        <w:tc>
          <w:tcPr>
            <w:tcW w:w="9180" w:type="dxa"/>
            <w:gridSpan w:val="12"/>
            <w:tcBorders>
              <w:top w:val="single" w:sz="4" w:space="0" w:color="auto"/>
              <w:left w:val="single" w:sz="4" w:space="0" w:color="auto"/>
              <w:bottom w:val="single" w:sz="4" w:space="0" w:color="FFFFFF"/>
            </w:tcBorders>
            <w:shd w:val="clear" w:color="auto" w:fill="FFFFFF"/>
          </w:tcPr>
          <w:p w14:paraId="040160D9" w14:textId="77777777" w:rsidR="00F33C13" w:rsidRPr="00507E84" w:rsidRDefault="00F33C13" w:rsidP="00F33C13">
            <w:pPr>
              <w:rPr>
                <w:rFonts w:ascii="Times New Roman" w:eastAsia="Times New Roman" w:hAnsi="Times New Roman" w:cs="Times New Roman"/>
                <w:sz w:val="20"/>
                <w:szCs w:val="20"/>
                <w:lang w:eastAsia="sk-SK"/>
              </w:rPr>
            </w:pPr>
          </w:p>
          <w:p w14:paraId="43ED2280"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Smernica Európskeho parlamentu a Rady (EÚ) 2022/2555 zo 14. decembra 2022 o opatreniach na zabezpečenie vysokej spoločnej úrovne kybernetickej bezpečnosti v Únii, ktorou sa mení nariadenie (EÚ) č. 910/2014 a smernica (EÚ) 2018/1972 a zrušuje smernica (EÚ) 2016/1148 (smernica NIS 2) (</w:t>
            </w:r>
            <w:r w:rsidRPr="00507E84">
              <w:rPr>
                <w:rFonts w:ascii="Times New Roman" w:eastAsia="Times New Roman" w:hAnsi="Times New Roman" w:cs="Times New Roman"/>
                <w:iCs/>
                <w:sz w:val="20"/>
                <w:szCs w:val="20"/>
                <w:lang w:eastAsia="sk-SK"/>
              </w:rPr>
              <w:t>Ú. v. EÚ L 333, 27.12.2022</w:t>
            </w:r>
            <w:r w:rsidRPr="00507E84">
              <w:rPr>
                <w:rFonts w:ascii="Times New Roman" w:eastAsia="Times New Roman" w:hAnsi="Times New Roman" w:cs="Times New Roman"/>
                <w:sz w:val="20"/>
                <w:szCs w:val="20"/>
                <w:lang w:eastAsia="sk-SK"/>
              </w:rPr>
              <w:t>) v platnom znení</w:t>
            </w:r>
          </w:p>
          <w:p w14:paraId="7B514EC8" w14:textId="77777777" w:rsidR="00F33C13" w:rsidRPr="00507E84" w:rsidRDefault="00F33C13" w:rsidP="00F33C13">
            <w:pPr>
              <w:jc w:val="both"/>
              <w:rPr>
                <w:rFonts w:ascii="Times New Roman" w:eastAsia="Times New Roman" w:hAnsi="Times New Roman" w:cs="Times New Roman"/>
                <w:sz w:val="20"/>
                <w:szCs w:val="20"/>
                <w:lang w:eastAsia="sk-SK"/>
              </w:rPr>
            </w:pPr>
          </w:p>
          <w:p w14:paraId="79483707"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Nariadenie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 (Ú. v. EÚ L 151, 7.6.2019)</w:t>
            </w:r>
          </w:p>
          <w:p w14:paraId="627408CB" w14:textId="77777777" w:rsidR="00F33C13" w:rsidRPr="00507E84" w:rsidRDefault="00F33C13" w:rsidP="00F33C13">
            <w:pPr>
              <w:pStyle w:val="Odsekzoznamu"/>
              <w:rPr>
                <w:rFonts w:ascii="Times New Roman" w:hAnsi="Times New Roman" w:cs="Times New Roman"/>
              </w:rPr>
            </w:pPr>
          </w:p>
          <w:p w14:paraId="18823A53"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Nariadenie Európskeho parlamentu a Rady (EÚ) č. 648/2012 zo 4. júla 2012 o mimoburzových derivátoch, centrálnych protistranách a archívoch obchodných údajov (Ú. v. EÚ L 201, 27.7.2012) v platnom znení</w:t>
            </w:r>
          </w:p>
          <w:p w14:paraId="57044F2D" w14:textId="77777777" w:rsidR="00F33C13" w:rsidRPr="00507E84" w:rsidRDefault="00F33C13" w:rsidP="00F33C13">
            <w:pPr>
              <w:pStyle w:val="Odsekzoznamu"/>
              <w:rPr>
                <w:rFonts w:ascii="Times New Roman" w:hAnsi="Times New Roman" w:cs="Times New Roman"/>
              </w:rPr>
            </w:pPr>
          </w:p>
          <w:p w14:paraId="5B5E670F"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Nariadenie Rady (EÚ) č. 1024/2013 z 15. októbra 2013, ktorým sa Európska centrálna banka poveruje osobitnými úlohami, pokiaľ ide o politiky týkajúce sa prudenciálneho dohľadu nad úverovými inštitúciami (Ú. v. EÚ L 287, 29.10.2013)</w:t>
            </w:r>
          </w:p>
          <w:p w14:paraId="4FA49200" w14:textId="77777777" w:rsidR="00F33C13" w:rsidRPr="00507E84" w:rsidRDefault="00F33C13" w:rsidP="00F33C13">
            <w:pPr>
              <w:jc w:val="both"/>
              <w:rPr>
                <w:rFonts w:ascii="Times New Roman" w:eastAsia="Times New Roman" w:hAnsi="Times New Roman" w:cs="Times New Roman"/>
                <w:sz w:val="20"/>
                <w:szCs w:val="20"/>
                <w:lang w:eastAsia="sk-SK"/>
              </w:rPr>
            </w:pPr>
          </w:p>
          <w:p w14:paraId="7781E4E3"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Nariadenie Európskej centrálnej banky (EÚ) č. 795/2014 z 3. júla 2014 o požiadavkách v oblasti dohľadu nad systémovo dôležitými platobnými systémami (Ú. v. EÚ L 217, 23.7.2014) v platnom znení</w:t>
            </w:r>
          </w:p>
          <w:p w14:paraId="4D36BEF7" w14:textId="77777777" w:rsidR="00F33C13" w:rsidRPr="00507E84" w:rsidRDefault="00F33C13" w:rsidP="00F33C13">
            <w:pPr>
              <w:jc w:val="both"/>
              <w:rPr>
                <w:rFonts w:ascii="Times New Roman" w:eastAsia="Times New Roman" w:hAnsi="Times New Roman" w:cs="Times New Roman"/>
                <w:sz w:val="20"/>
                <w:szCs w:val="20"/>
                <w:lang w:eastAsia="sk-SK"/>
              </w:rPr>
            </w:pPr>
          </w:p>
          <w:p w14:paraId="4848F627"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Nariadenie Európskeho parlamentu a Rady (EÚ) č. 909/2014 z 23. júla 2014 o zlepšení vyrovnania transakcií s cennými papiermi v Európskej únii, centrálnych depozitároch cenných papierov a o zmene smerníc 98/26/ES a 2014/65/EÚ a nariadenia (EÚ) č. 236/2012 (Ú. v. EÚ L 257, 28.8.2014) v platnom znení</w:t>
            </w:r>
          </w:p>
          <w:p w14:paraId="321809A4" w14:textId="77777777" w:rsidR="00F33C13" w:rsidRPr="00507E84" w:rsidRDefault="00F33C13" w:rsidP="00F33C13">
            <w:pPr>
              <w:jc w:val="both"/>
              <w:rPr>
                <w:rFonts w:ascii="Times New Roman" w:eastAsia="Times New Roman" w:hAnsi="Times New Roman" w:cs="Times New Roman"/>
                <w:sz w:val="20"/>
                <w:szCs w:val="20"/>
                <w:lang w:eastAsia="sk-SK"/>
              </w:rPr>
            </w:pPr>
          </w:p>
          <w:p w14:paraId="5F369964"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Delegované nariadenie Komisie (EÚ) 2017/584 zo 14. júla 2016, ktorým sa dopĺňa smernica Európskeho parlamentu a Rady 2014/65/EÚ, pokiaľ ide o regulačné technické predpisy bližšie určujúce organizačné požiadavky na obchodné miesta (Ú. v. EÚ L 87, 31.3.2017)</w:t>
            </w:r>
          </w:p>
          <w:p w14:paraId="4CA76FBD" w14:textId="77777777" w:rsidR="00F33C13" w:rsidRPr="00507E84" w:rsidRDefault="00F33C13" w:rsidP="00F33C13">
            <w:pPr>
              <w:jc w:val="both"/>
              <w:rPr>
                <w:rFonts w:ascii="Times New Roman" w:eastAsia="Times New Roman" w:hAnsi="Times New Roman" w:cs="Times New Roman"/>
                <w:sz w:val="20"/>
                <w:szCs w:val="20"/>
                <w:lang w:eastAsia="sk-SK"/>
              </w:rPr>
            </w:pPr>
          </w:p>
          <w:p w14:paraId="4E767A67"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Nariadenie Európskeho parlamentu a Rady (EÚ) 2022/123 z 25. januára 2022 o posilnenej úlohe Európskej agentúry pre lieky z hľadiska pripravenosti na krízy a krízového riadenia v oblasti liekov a zdravotníckych pomôcok (Ú. v. EÚ L 020 31.1.2022) v platnom znení</w:t>
            </w:r>
          </w:p>
          <w:p w14:paraId="3242ABF8" w14:textId="77777777" w:rsidR="00F33C13" w:rsidRPr="00507E84" w:rsidRDefault="00F33C13" w:rsidP="00F33C13">
            <w:pPr>
              <w:jc w:val="both"/>
              <w:rPr>
                <w:rFonts w:ascii="Times New Roman" w:eastAsia="Times New Roman" w:hAnsi="Times New Roman" w:cs="Times New Roman"/>
                <w:sz w:val="20"/>
                <w:szCs w:val="20"/>
                <w:lang w:eastAsia="sk-SK"/>
              </w:rPr>
            </w:pPr>
          </w:p>
          <w:p w14:paraId="42CC07CF"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Nariadenie Európskeho parlamentu a Rady (EÚ) 2022/2554 zo 14. decembra 2022 o digitálnej prevádzkovej odolnosti finančného sektora a o zmene nariadení (ES) č. 1060/2009, (EÚ) č. 648/2012, (EÚ) č. 600/2014, (EÚ) č. 909/2014 a (EÚ) 2016/1011 (Ú. v. EÚ L 333, 27.12.2022), gestor: Ministerstvo financií Slovenskej republiky,</w:t>
            </w:r>
          </w:p>
          <w:p w14:paraId="28546B50" w14:textId="77777777" w:rsidR="00F33C13" w:rsidRPr="00507E84" w:rsidRDefault="00F33C13" w:rsidP="00F33C13">
            <w:pPr>
              <w:jc w:val="both"/>
              <w:rPr>
                <w:rFonts w:ascii="Times New Roman" w:eastAsia="Times New Roman" w:hAnsi="Times New Roman" w:cs="Times New Roman"/>
                <w:sz w:val="20"/>
                <w:szCs w:val="20"/>
                <w:lang w:eastAsia="sk-SK"/>
              </w:rPr>
            </w:pPr>
          </w:p>
          <w:p w14:paraId="49A5B11B"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Smernica Európskeho parlamentu a Rady 2002/58/ES z 12. júla 2002, týkajúca sa spracovávania osobných údajov a ochrany súkromia v sektore elektronických komunikácií (smernica o súkromí a elektronických komunikáciách) (Ú. v. ES L 201, 31.7.2002; Mimoriadne vydanie Ú. v. EÚ, kap. 13/zv. 29) v platnom znení</w:t>
            </w:r>
          </w:p>
          <w:p w14:paraId="748838DD" w14:textId="77777777" w:rsidR="00F33C13" w:rsidRPr="00507E84" w:rsidRDefault="00F33C13" w:rsidP="00F33C13">
            <w:pPr>
              <w:jc w:val="both"/>
              <w:rPr>
                <w:rFonts w:ascii="Times New Roman" w:eastAsia="Times New Roman" w:hAnsi="Times New Roman" w:cs="Times New Roman"/>
                <w:sz w:val="20"/>
                <w:szCs w:val="20"/>
                <w:lang w:eastAsia="sk-SK"/>
              </w:rPr>
            </w:pPr>
          </w:p>
          <w:p w14:paraId="28FA713F"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Nariadenie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14.11.2012) v platnom znení</w:t>
            </w:r>
          </w:p>
          <w:p w14:paraId="2AD73436" w14:textId="77777777" w:rsidR="00F33C13" w:rsidRPr="00507E84" w:rsidRDefault="00F33C13" w:rsidP="00F33C13">
            <w:pPr>
              <w:jc w:val="both"/>
              <w:rPr>
                <w:rFonts w:ascii="Times New Roman" w:eastAsia="Times New Roman" w:hAnsi="Times New Roman" w:cs="Times New Roman"/>
                <w:sz w:val="20"/>
                <w:szCs w:val="20"/>
                <w:lang w:eastAsia="sk-SK"/>
              </w:rPr>
            </w:pPr>
          </w:p>
          <w:p w14:paraId="1CFAC98C"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Nariadenie Európskeho parlamentu a Rady (ES) č. 549/2004 z 10. marca 2004, ktorým sa stanovuje rámec na vytvorenie jednotného európskeho neba (rámcové nariadenie) (Ú. v. EÚ L 96, 31.3.2004) v platnom znení</w:t>
            </w:r>
          </w:p>
          <w:p w14:paraId="5C12AFBD" w14:textId="77777777" w:rsidR="00F33C13" w:rsidRPr="00507E84" w:rsidRDefault="00F33C13" w:rsidP="00F33C13">
            <w:pPr>
              <w:jc w:val="both"/>
              <w:rPr>
                <w:rFonts w:ascii="Times New Roman" w:eastAsia="Times New Roman" w:hAnsi="Times New Roman" w:cs="Times New Roman"/>
                <w:sz w:val="20"/>
                <w:szCs w:val="20"/>
                <w:lang w:eastAsia="sk-SK"/>
              </w:rPr>
            </w:pPr>
          </w:p>
          <w:p w14:paraId="53ECC21F"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Nariadenie Európskeho parlamentu a Rady (ES) č. 1008/2008 z 24. septembra 2008 o spoločných pravidlách prevádzky leteckých dopravných služieb v Spoločenstve (prepracované znenie)  (Ú. v. EÚ L 293, 31.10.2008) v platnom znení</w:t>
            </w:r>
          </w:p>
          <w:p w14:paraId="3CDFFEA5" w14:textId="77777777" w:rsidR="00F33C13" w:rsidRPr="00507E84" w:rsidRDefault="00F33C13" w:rsidP="00F33C13">
            <w:pPr>
              <w:jc w:val="both"/>
              <w:rPr>
                <w:rFonts w:ascii="Times New Roman" w:eastAsia="Times New Roman" w:hAnsi="Times New Roman" w:cs="Times New Roman"/>
                <w:sz w:val="20"/>
                <w:szCs w:val="20"/>
                <w:lang w:eastAsia="sk-SK"/>
              </w:rPr>
            </w:pPr>
          </w:p>
          <w:p w14:paraId="7838E28B"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Nariadenie Komisie (EÚ) č. 139/2014 z 12. februára 2014, ktorým sa stanovujú požiadavky a administratívne postupy týkajúce sa letísk podľa nariadenia Európskeho parlamentu a Rady (ES) č. 216/2008 (Ú. v. EÚ L 44, 14.2.2014) v platnom znení</w:t>
            </w:r>
          </w:p>
          <w:p w14:paraId="3957F033" w14:textId="77777777" w:rsidR="00F33C13" w:rsidRPr="00507E84" w:rsidRDefault="00F33C13" w:rsidP="00F33C13">
            <w:pPr>
              <w:jc w:val="both"/>
              <w:rPr>
                <w:rFonts w:ascii="Times New Roman" w:eastAsia="Times New Roman" w:hAnsi="Times New Roman" w:cs="Times New Roman"/>
                <w:sz w:val="20"/>
                <w:szCs w:val="20"/>
                <w:lang w:eastAsia="sk-SK"/>
              </w:rPr>
            </w:pPr>
          </w:p>
          <w:p w14:paraId="7DA6982F"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Vykonávacie nariadenie Komisie (EÚ) 2015/1998 z 5. novembra 2015, ktorým sa stanovujú podrobné opatrenia na vykonávanie spoločných základných noriem bezpečnostnej ochrany letectva (Ú. v. EÚ L 299, 14.11.2015) v platnom znení</w:t>
            </w:r>
          </w:p>
          <w:p w14:paraId="7B294419" w14:textId="77777777" w:rsidR="00F33C13" w:rsidRPr="00507E84" w:rsidRDefault="00F33C13" w:rsidP="00F33C13">
            <w:pPr>
              <w:jc w:val="both"/>
              <w:rPr>
                <w:rFonts w:ascii="Times New Roman" w:eastAsia="Times New Roman" w:hAnsi="Times New Roman" w:cs="Times New Roman"/>
                <w:sz w:val="20"/>
                <w:szCs w:val="20"/>
                <w:lang w:eastAsia="sk-SK"/>
              </w:rPr>
            </w:pPr>
          </w:p>
          <w:p w14:paraId="79266B30"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Vykonávacie Nariadenie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 62, 8.3.2017) v platnom znení</w:t>
            </w:r>
          </w:p>
          <w:p w14:paraId="51EB173C" w14:textId="77777777" w:rsidR="00F33C13" w:rsidRPr="00507E84" w:rsidRDefault="00F33C13" w:rsidP="00F33C13">
            <w:pPr>
              <w:jc w:val="both"/>
              <w:rPr>
                <w:rFonts w:ascii="Times New Roman" w:eastAsia="Times New Roman" w:hAnsi="Times New Roman" w:cs="Times New Roman"/>
                <w:sz w:val="20"/>
                <w:szCs w:val="20"/>
                <w:lang w:eastAsia="sk-SK"/>
              </w:rPr>
            </w:pPr>
          </w:p>
          <w:p w14:paraId="42E729F2"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xml:space="preserve">Nariadenie Európskeho parlamentu a Rady (EÚ) č.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22.8.2018) v platnom znení </w:t>
            </w:r>
          </w:p>
          <w:p w14:paraId="3940F7E4" w14:textId="77777777" w:rsidR="00F33C13" w:rsidRPr="00507E84" w:rsidRDefault="00F33C13" w:rsidP="00F33C13">
            <w:pPr>
              <w:jc w:val="both"/>
              <w:rPr>
                <w:rFonts w:ascii="Times New Roman" w:eastAsia="Times New Roman" w:hAnsi="Times New Roman" w:cs="Times New Roman"/>
                <w:sz w:val="20"/>
                <w:szCs w:val="20"/>
                <w:lang w:eastAsia="sk-SK"/>
              </w:rPr>
            </w:pPr>
          </w:p>
          <w:p w14:paraId="0C72AA8A"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Delegované nariadenie Komisie (EÚ) 2022/1645 zo 14. júla 2022, ktorým sa stanovujú pravidlá uplatňovania nariadenia Európskeho parlamentu a Rady (EÚ) 2018/1139, pokiaľ ide o požiadavky na riadenie rizík v oblasti informačnej bezpečnosti s potenciálnym vplyvom na bezpečnosť letectva pre organizácie, na ktoré sa vzťahujú nariadenia Komisie (EÚ) č. 748/2012 a (EÚ) č. 139/2014, a ktorým sa menia nariadenia Komisie (EÚ) č. 748/2012 a (EÚ) č. 139/2014 (Ú. v. EÚ L 248, 26.9.2022)</w:t>
            </w:r>
          </w:p>
          <w:p w14:paraId="26053944" w14:textId="77777777" w:rsidR="00F33C13" w:rsidRPr="00507E84" w:rsidRDefault="00F33C13" w:rsidP="00F33C13">
            <w:pPr>
              <w:pStyle w:val="Odsekzoznamu"/>
              <w:rPr>
                <w:rFonts w:ascii="Times New Roman" w:hAnsi="Times New Roman" w:cs="Times New Roman"/>
              </w:rPr>
            </w:pPr>
          </w:p>
          <w:p w14:paraId="3172A3F8"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Vykonávacie nariadenie Komisie (EÚ) 2023/1769 z 12. septembra 2023, ktorým sa stanovujú technické požiadavky a administratívne postupy schvaľovania organizácií, ktoré sa podieľajú na projektovaní alebo výrobe systémov a komponentov manažmentu letovej prevádzky/leteckých navigačných služieb, a ktorým sa mení vykonávacie nariadenie (EÚ) 2023/203 (Ú. v. EÚ L 228, 15.9.2023)</w:t>
            </w:r>
          </w:p>
          <w:p w14:paraId="160938C3" w14:textId="77777777" w:rsidR="00F33C13" w:rsidRPr="00507E84" w:rsidRDefault="00F33C13" w:rsidP="00F33C13">
            <w:pPr>
              <w:jc w:val="both"/>
              <w:rPr>
                <w:rFonts w:ascii="Times New Roman" w:eastAsia="Times New Roman" w:hAnsi="Times New Roman" w:cs="Times New Roman"/>
                <w:sz w:val="20"/>
                <w:szCs w:val="20"/>
                <w:lang w:eastAsia="sk-SK"/>
              </w:rPr>
            </w:pPr>
          </w:p>
          <w:p w14:paraId="7AD3583E"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Nariadenie Európskeho parlamentu a Rady (EÚ) č. 575/2013 z  26. júna 2013 o prudenciálnych požiadavkách na úverové inštitúcie a investičné spoločnosti a o zmene nariadenia (EÚ) č. 648/2012 (Ú. v. EÚ L 176, 27.6.2013) v platnom znení</w:t>
            </w:r>
          </w:p>
          <w:p w14:paraId="18ED46B3" w14:textId="77777777" w:rsidR="00F33C13" w:rsidRPr="00507E84" w:rsidRDefault="00F33C13" w:rsidP="00F33C13">
            <w:pPr>
              <w:rPr>
                <w:rFonts w:ascii="Times New Roman" w:eastAsia="Times New Roman" w:hAnsi="Times New Roman" w:cs="Times New Roman"/>
                <w:sz w:val="20"/>
                <w:szCs w:val="20"/>
                <w:lang w:eastAsia="sk-SK"/>
              </w:rPr>
            </w:pPr>
          </w:p>
        </w:tc>
      </w:tr>
      <w:tr w:rsidR="00F33C13" w:rsidRPr="00507E84" w14:paraId="736D351A" w14:textId="77777777" w:rsidTr="00F33C13">
        <w:tc>
          <w:tcPr>
            <w:tcW w:w="5949" w:type="dxa"/>
            <w:gridSpan w:val="7"/>
            <w:tcBorders>
              <w:top w:val="single" w:sz="4" w:space="0" w:color="000000"/>
              <w:left w:val="single" w:sz="4" w:space="0" w:color="auto"/>
              <w:bottom w:val="single" w:sz="4" w:space="0" w:color="FFFFFF"/>
              <w:right w:val="single" w:sz="4" w:space="0" w:color="auto"/>
            </w:tcBorders>
            <w:shd w:val="clear" w:color="auto" w:fill="E2E2E2"/>
          </w:tcPr>
          <w:p w14:paraId="51BB2F1E" w14:textId="77777777" w:rsidR="00F33C13" w:rsidRPr="00507E84" w:rsidRDefault="00F33C13" w:rsidP="00F33C13">
            <w:pPr>
              <w:spacing w:after="200" w:line="276" w:lineRule="auto"/>
              <w:ind w:left="142"/>
              <w:contextualSpacing/>
              <w:rPr>
                <w:rFonts w:ascii="Times New Roman" w:eastAsia="Calibri" w:hAnsi="Times New Roman" w:cs="Times New Roman"/>
                <w:b/>
              </w:rPr>
            </w:pPr>
            <w:r w:rsidRPr="00507E84">
              <w:rPr>
                <w:rFonts w:ascii="Times New Roman" w:eastAsia="Calibri" w:hAnsi="Times New Roman" w:cs="Times New Roman"/>
                <w:b/>
              </w:rPr>
              <w:lastRenderedPageBreak/>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50B73FC"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máj 2024</w:t>
            </w:r>
          </w:p>
        </w:tc>
      </w:tr>
      <w:tr w:rsidR="00F33C13" w:rsidRPr="00507E84" w14:paraId="4E3FB975" w14:textId="77777777" w:rsidTr="00F33C13">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14:paraId="3F9B2D3E" w14:textId="77777777" w:rsidR="00F33C13" w:rsidRPr="00507E84" w:rsidRDefault="00F33C13" w:rsidP="00F33C13">
            <w:pPr>
              <w:spacing w:after="200" w:line="276" w:lineRule="auto"/>
              <w:ind w:left="142"/>
              <w:contextualSpacing/>
              <w:rPr>
                <w:rFonts w:ascii="Times New Roman" w:eastAsia="Calibri" w:hAnsi="Times New Roman" w:cs="Times New Roman"/>
                <w:b/>
              </w:rPr>
            </w:pPr>
            <w:r w:rsidRPr="00507E84">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F2374AC"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xml:space="preserve">máj 2024 </w:t>
            </w:r>
          </w:p>
        </w:tc>
      </w:tr>
      <w:tr w:rsidR="00F33C13" w:rsidRPr="00507E84" w14:paraId="04FC7BD3" w14:textId="77777777" w:rsidTr="00F33C13">
        <w:trPr>
          <w:trHeight w:val="320"/>
        </w:trPr>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14:paraId="7DBAA893" w14:textId="77777777" w:rsidR="00F33C13" w:rsidRPr="00507E84" w:rsidRDefault="00F33C13" w:rsidP="00F33C13">
            <w:pPr>
              <w:spacing w:line="276" w:lineRule="auto"/>
              <w:ind w:left="142"/>
              <w:contextualSpacing/>
              <w:rPr>
                <w:rFonts w:ascii="Times New Roman" w:eastAsia="Calibri" w:hAnsi="Times New Roman" w:cs="Times New Roman"/>
                <w:b/>
              </w:rPr>
            </w:pPr>
            <w:r w:rsidRPr="00507E84">
              <w:rPr>
                <w:rFonts w:ascii="Times New Roman" w:eastAsia="Calibri" w:hAnsi="Times New Roman" w:cs="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7CE1FEE4"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september 2024</w:t>
            </w:r>
          </w:p>
        </w:tc>
      </w:tr>
      <w:tr w:rsidR="00F33C13" w:rsidRPr="00507E84" w14:paraId="7A3537D8" w14:textId="77777777" w:rsidTr="00F33C13">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14:paraId="6526FF07" w14:textId="77777777" w:rsidR="00F33C13" w:rsidRPr="00507E84" w:rsidRDefault="00F33C13" w:rsidP="00F33C13">
            <w:pPr>
              <w:spacing w:after="200" w:line="276" w:lineRule="auto"/>
              <w:ind w:left="142"/>
              <w:contextualSpacing/>
              <w:jc w:val="both"/>
              <w:rPr>
                <w:rFonts w:ascii="Times New Roman" w:eastAsia="Calibri" w:hAnsi="Times New Roman" w:cs="Times New Roman"/>
                <w:b/>
              </w:rPr>
            </w:pPr>
            <w:r w:rsidRPr="00507E8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412A449"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október 2024</w:t>
            </w:r>
          </w:p>
        </w:tc>
      </w:tr>
      <w:tr w:rsidR="00F33C13" w:rsidRPr="00507E84" w14:paraId="79A8F34E" w14:textId="77777777" w:rsidTr="00F33C13">
        <w:tc>
          <w:tcPr>
            <w:tcW w:w="9180" w:type="dxa"/>
            <w:gridSpan w:val="12"/>
            <w:tcBorders>
              <w:top w:val="single" w:sz="4" w:space="0" w:color="auto"/>
              <w:left w:val="nil"/>
              <w:bottom w:val="single" w:sz="4" w:space="0" w:color="auto"/>
              <w:right w:val="nil"/>
            </w:tcBorders>
            <w:shd w:val="clear" w:color="auto" w:fill="FFFFFF"/>
          </w:tcPr>
          <w:p w14:paraId="66AC4391" w14:textId="77777777" w:rsidR="00F33C13" w:rsidRPr="00507E84" w:rsidRDefault="00F33C13" w:rsidP="00F33C13">
            <w:pPr>
              <w:rPr>
                <w:rFonts w:ascii="Times New Roman" w:eastAsia="Times New Roman" w:hAnsi="Times New Roman" w:cs="Times New Roman"/>
                <w:sz w:val="20"/>
                <w:szCs w:val="20"/>
                <w:lang w:eastAsia="sk-SK"/>
              </w:rPr>
            </w:pPr>
          </w:p>
        </w:tc>
      </w:tr>
      <w:tr w:rsidR="00F33C13" w:rsidRPr="00507E84" w14:paraId="296CF04C" w14:textId="77777777" w:rsidTr="00F33C13">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618AEB2C" w14:textId="77777777" w:rsidR="00F33C13" w:rsidRPr="00507E84" w:rsidRDefault="00F33C13" w:rsidP="00F33C13">
            <w:pPr>
              <w:numPr>
                <w:ilvl w:val="0"/>
                <w:numId w:val="6"/>
              </w:numPr>
              <w:ind w:left="426"/>
              <w:contextualSpacing/>
              <w:rPr>
                <w:rFonts w:ascii="Times New Roman" w:eastAsia="Calibri" w:hAnsi="Times New Roman" w:cs="Times New Roman"/>
                <w:b/>
              </w:rPr>
            </w:pPr>
            <w:r w:rsidRPr="00507E84">
              <w:rPr>
                <w:rFonts w:ascii="Times New Roman" w:eastAsia="Calibri" w:hAnsi="Times New Roman" w:cs="Times New Roman"/>
                <w:b/>
              </w:rPr>
              <w:t>Definovanie problému</w:t>
            </w:r>
          </w:p>
        </w:tc>
      </w:tr>
      <w:tr w:rsidR="00F33C13" w:rsidRPr="00507E84" w14:paraId="65F106F0" w14:textId="77777777" w:rsidTr="00F33C13">
        <w:trPr>
          <w:trHeight w:val="718"/>
        </w:trPr>
        <w:tc>
          <w:tcPr>
            <w:tcW w:w="9180" w:type="dxa"/>
            <w:gridSpan w:val="12"/>
            <w:tcBorders>
              <w:top w:val="single" w:sz="4" w:space="0" w:color="FFFFFF"/>
              <w:left w:val="single" w:sz="4" w:space="0" w:color="auto"/>
              <w:bottom w:val="single" w:sz="4" w:space="0" w:color="auto"/>
              <w:right w:val="single" w:sz="4" w:space="0" w:color="auto"/>
            </w:tcBorders>
            <w:shd w:val="clear" w:color="auto" w:fill="FFFFFF"/>
          </w:tcPr>
          <w:p w14:paraId="534B4A02" w14:textId="77777777" w:rsidR="00F33C13" w:rsidRPr="00507E84" w:rsidRDefault="00F33C13" w:rsidP="00F33C13">
            <w:pPr>
              <w:rPr>
                <w:rFonts w:ascii="Times New Roman" w:eastAsia="Times New Roman" w:hAnsi="Times New Roman" w:cs="Times New Roman"/>
                <w:sz w:val="20"/>
                <w:szCs w:val="20"/>
                <w:lang w:eastAsia="sk-SK"/>
              </w:rPr>
            </w:pPr>
          </w:p>
          <w:p w14:paraId="0A6303A0"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xml:space="preserve">Zákonom č. 69/2018 Z. z. o kybernetickej bezpečnosti a o zmene a doplnení niektorých zákonov v znení neskorších predpisov (ďalej len „zákon č. 69/2018 Z. z.“) bola do právneho poriadku Slovenskej republiky transponovaná smernica Európskeho parlamentu a Rady (EÚ) 2016/1148 zo 6. júla 2016 o opatreniach na zabezpečenie vysokej spoločnej úrovne bezpečnosti sietí a informačných systémov v Únii (ďalej len „smernica NIS 1“). Siete a informačné systémy, rýchla digitálna transformácia a ich prepojenosť na spoločnosť sa premietajú do celého spektra činností verejného aj súkromného sektora a vytvárajú nové výzvy pre oblasť kybernetickej bezpečnosti. Tento vývoj odhalil prirodzené nedostatky právnej úpravy smernice NIS 1 a potrebu reakcie. </w:t>
            </w:r>
          </w:p>
          <w:p w14:paraId="138EBCE3" w14:textId="77777777" w:rsidR="00F33C13" w:rsidRPr="00507E84" w:rsidRDefault="00F33C13" w:rsidP="00F33C13">
            <w:pPr>
              <w:rPr>
                <w:rFonts w:ascii="Times New Roman" w:eastAsia="Times New Roman" w:hAnsi="Times New Roman" w:cs="Times New Roman"/>
                <w:b/>
                <w:sz w:val="20"/>
                <w:szCs w:val="20"/>
                <w:lang w:eastAsia="sk-SK"/>
              </w:rPr>
            </w:pPr>
          </w:p>
        </w:tc>
      </w:tr>
      <w:tr w:rsidR="00F33C13" w:rsidRPr="00507E84" w14:paraId="30C91DB9" w14:textId="77777777" w:rsidTr="00F33C13">
        <w:tc>
          <w:tcPr>
            <w:tcW w:w="9180" w:type="dxa"/>
            <w:gridSpan w:val="12"/>
            <w:tcBorders>
              <w:top w:val="single" w:sz="4" w:space="0" w:color="auto"/>
              <w:left w:val="single" w:sz="4" w:space="0" w:color="auto"/>
              <w:bottom w:val="nil"/>
              <w:right w:val="single" w:sz="4" w:space="0" w:color="auto"/>
            </w:tcBorders>
            <w:shd w:val="clear" w:color="auto" w:fill="E2E2E2"/>
          </w:tcPr>
          <w:p w14:paraId="6AA4010C" w14:textId="77777777" w:rsidR="00F33C13" w:rsidRPr="00507E84" w:rsidRDefault="00F33C13" w:rsidP="00F33C13">
            <w:pPr>
              <w:numPr>
                <w:ilvl w:val="0"/>
                <w:numId w:val="6"/>
              </w:numPr>
              <w:ind w:left="426"/>
              <w:contextualSpacing/>
              <w:rPr>
                <w:rFonts w:ascii="Times New Roman" w:eastAsia="Calibri" w:hAnsi="Times New Roman" w:cs="Times New Roman"/>
                <w:b/>
              </w:rPr>
            </w:pPr>
            <w:r w:rsidRPr="00507E84">
              <w:rPr>
                <w:rFonts w:ascii="Times New Roman" w:eastAsia="Calibri" w:hAnsi="Times New Roman" w:cs="Times New Roman"/>
                <w:b/>
              </w:rPr>
              <w:t>Ciele a výsledný stav</w:t>
            </w:r>
          </w:p>
        </w:tc>
      </w:tr>
      <w:tr w:rsidR="00F33C13" w:rsidRPr="00507E84" w14:paraId="60DDB642" w14:textId="77777777" w:rsidTr="00F33C13">
        <w:trPr>
          <w:trHeight w:val="741"/>
        </w:trPr>
        <w:tc>
          <w:tcPr>
            <w:tcW w:w="9180" w:type="dxa"/>
            <w:gridSpan w:val="12"/>
            <w:tcBorders>
              <w:top w:val="nil"/>
              <w:left w:val="single" w:sz="4" w:space="0" w:color="auto"/>
              <w:bottom w:val="single" w:sz="4" w:space="0" w:color="auto"/>
              <w:right w:val="single" w:sz="4" w:space="0" w:color="auto"/>
            </w:tcBorders>
            <w:shd w:val="clear" w:color="auto" w:fill="FFFFFF"/>
          </w:tcPr>
          <w:p w14:paraId="2E861F6B" w14:textId="77777777" w:rsidR="00F33C13" w:rsidRPr="00507E84" w:rsidRDefault="00F33C13" w:rsidP="00F33C13">
            <w:pPr>
              <w:rPr>
                <w:rFonts w:ascii="Times New Roman" w:eastAsia="Times New Roman" w:hAnsi="Times New Roman" w:cs="Times New Roman"/>
                <w:sz w:val="20"/>
                <w:szCs w:val="20"/>
                <w:lang w:eastAsia="sk-SK"/>
              </w:rPr>
            </w:pPr>
          </w:p>
          <w:p w14:paraId="6A702436"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xml:space="preserve">Cieľom návrhu zákona je transponovať smernicu Európskeho parlamentu a Rady (EÚ) 2022/2555 zo 14. decembra 2022 o opatreniach na zabezpečenie vysokej spoločnej úrovne kybernetickej bezpečnosti v Únii, </w:t>
            </w:r>
            <w:r w:rsidRPr="00507E84">
              <w:rPr>
                <w:rFonts w:ascii="Times New Roman" w:eastAsia="Times New Roman" w:hAnsi="Times New Roman" w:cs="Times New Roman"/>
                <w:sz w:val="20"/>
                <w:szCs w:val="20"/>
                <w:lang w:eastAsia="sk-SK"/>
              </w:rPr>
              <w:lastRenderedPageBreak/>
              <w:t>ktorou sa mení nariadenie (EÚ) č. 910/2014 a smernica (EÚ) 2018/1972 a zrušuje smernica (EÚ) 2016/1148 (smernica NIS 2) (</w:t>
            </w:r>
            <w:r w:rsidRPr="00507E84">
              <w:rPr>
                <w:rFonts w:ascii="Times New Roman" w:eastAsia="Times New Roman" w:hAnsi="Times New Roman" w:cs="Times New Roman"/>
                <w:iCs/>
                <w:sz w:val="20"/>
                <w:szCs w:val="20"/>
                <w:lang w:eastAsia="sk-SK"/>
              </w:rPr>
              <w:t>Ú. v. EÚ L 333, 27.12.2022</w:t>
            </w:r>
            <w:r w:rsidRPr="00507E84">
              <w:rPr>
                <w:rFonts w:ascii="Times New Roman" w:eastAsia="Times New Roman" w:hAnsi="Times New Roman" w:cs="Times New Roman"/>
                <w:sz w:val="20"/>
                <w:szCs w:val="20"/>
                <w:lang w:eastAsia="sk-SK"/>
              </w:rPr>
              <w:t>) v platnom znení (ďalej len „smernica NIS 2“) do právneho poriadku Slovenskej republiky a zabezpečiť nevyhnutnú úpravu doterajšej právnej úpravy, ktorá vyplynula z praxe.</w:t>
            </w:r>
          </w:p>
          <w:p w14:paraId="6B2A0B60" w14:textId="77777777" w:rsidR="00F33C13" w:rsidRPr="00507E84" w:rsidRDefault="00F33C13" w:rsidP="00F33C13">
            <w:pPr>
              <w:rPr>
                <w:rFonts w:ascii="Times New Roman" w:eastAsia="Times New Roman" w:hAnsi="Times New Roman" w:cs="Times New Roman"/>
                <w:sz w:val="20"/>
                <w:szCs w:val="20"/>
                <w:lang w:eastAsia="sk-SK"/>
              </w:rPr>
            </w:pPr>
          </w:p>
          <w:p w14:paraId="470340F5"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xml:space="preserve">Návrh zákona predpokladá modernizáciu existujúcej právnej úpravy, čím sa zvýši celková úroveň kybernetickej bezpečnosti na národnej úrovni a znížia sa riziká, ktoré prichádzajú s rýchlym technologickým vývojom a digitalizáciou. Návrhom zákona nedochádza k výraznému nárastu regulovaných odvetví, avšak zmenou prístupu k identifikácii povinných subjektov dochádza k rozšíreniu pôsobnosti na ďalšie subjekty. Upravuje sa a precizuje hlásenie incidentov, podporuje sa dobrovoľné hlásenie, ako aj  hlásenie zraniteľností, smernicou NIS 2 sa odstraňuje rozdiel medzi poskytovateľom základnej služby a poskytovateľom digitálnej služby, a samotné regulované subjekty – prevádzkovatelia základných služieb, sa de facto rozdeľujú na základe ich dôležitosti do dvoch kategórií, na kľúčové subjekty – prevádzkujúce kritickú základnú službu a dôležité subjekty – ostatní prevádzkovatelia základných služieb. </w:t>
            </w:r>
          </w:p>
          <w:p w14:paraId="62DFE42C"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Návrh zákona tak podľa pravidiel smernice NIS 2 zavádza prahovú hodnotu veľkosti podniku (subjektu), do regulácie však spadajú aj subjekty kritického významu bez hodnotenia ich veľkosti. V návrhu zákona sa upravujú a precizujú bezpečnostné opatrenia tak, aby reflektovali nové bezpečnostné štandardy a posilňuje sa nástroj analýzy rizík pre aplikáciu bezpečnostných opatrení. Zavádza sa minimálna úroveň bezpečnostných opatrení ako základná prahová hodnota určujúca bazálnu úroveň bezpečnosti v štáte. Návrhom zákona sa taktiež posilňuje dohľadová činnosť, podporuje sa vzdelávanie, dopĺňa sa zodpovednosť a posilňuje sa funkcia manažéra kybernetickej bezpečnosti.</w:t>
            </w:r>
          </w:p>
          <w:p w14:paraId="42415EC6" w14:textId="77777777" w:rsidR="00F33C13" w:rsidRPr="00507E84" w:rsidRDefault="00F33C13" w:rsidP="00F33C13">
            <w:pPr>
              <w:jc w:val="both"/>
              <w:rPr>
                <w:rFonts w:ascii="Times New Roman" w:eastAsia="Times New Roman" w:hAnsi="Times New Roman" w:cs="Times New Roman"/>
                <w:sz w:val="20"/>
                <w:szCs w:val="20"/>
                <w:lang w:eastAsia="sk-SK"/>
              </w:rPr>
            </w:pPr>
          </w:p>
        </w:tc>
      </w:tr>
      <w:tr w:rsidR="00F33C13" w:rsidRPr="00507E84" w14:paraId="5B2DC43E" w14:textId="77777777" w:rsidTr="00F33C13">
        <w:tc>
          <w:tcPr>
            <w:tcW w:w="9180" w:type="dxa"/>
            <w:gridSpan w:val="12"/>
            <w:tcBorders>
              <w:top w:val="single" w:sz="4" w:space="0" w:color="auto"/>
              <w:left w:val="single" w:sz="4" w:space="0" w:color="auto"/>
              <w:bottom w:val="nil"/>
              <w:right w:val="single" w:sz="4" w:space="0" w:color="auto"/>
            </w:tcBorders>
            <w:shd w:val="clear" w:color="auto" w:fill="E2E2E2"/>
          </w:tcPr>
          <w:p w14:paraId="34A5E422" w14:textId="77777777" w:rsidR="00F33C13" w:rsidRPr="00507E84" w:rsidRDefault="00F33C13" w:rsidP="00F33C13">
            <w:pPr>
              <w:numPr>
                <w:ilvl w:val="0"/>
                <w:numId w:val="6"/>
              </w:numPr>
              <w:ind w:left="426"/>
              <w:contextualSpacing/>
              <w:rPr>
                <w:rFonts w:ascii="Times New Roman" w:eastAsia="Calibri" w:hAnsi="Times New Roman" w:cs="Times New Roman"/>
                <w:b/>
              </w:rPr>
            </w:pPr>
            <w:r w:rsidRPr="00507E84">
              <w:rPr>
                <w:rFonts w:ascii="Times New Roman" w:eastAsia="Calibri" w:hAnsi="Times New Roman" w:cs="Times New Roman"/>
                <w:b/>
              </w:rPr>
              <w:lastRenderedPageBreak/>
              <w:t>Dotknuté subjekty</w:t>
            </w:r>
          </w:p>
        </w:tc>
      </w:tr>
      <w:tr w:rsidR="00F33C13" w:rsidRPr="00507E84" w14:paraId="47ACAF04" w14:textId="77777777" w:rsidTr="00F33C13">
        <w:tc>
          <w:tcPr>
            <w:tcW w:w="9180" w:type="dxa"/>
            <w:gridSpan w:val="12"/>
            <w:tcBorders>
              <w:top w:val="nil"/>
              <w:left w:val="single" w:sz="4" w:space="0" w:color="auto"/>
              <w:bottom w:val="single" w:sz="4" w:space="0" w:color="auto"/>
              <w:right w:val="single" w:sz="4" w:space="0" w:color="auto"/>
            </w:tcBorders>
            <w:shd w:val="clear" w:color="auto" w:fill="FFFFFF"/>
          </w:tcPr>
          <w:p w14:paraId="05CE5AD7" w14:textId="77777777" w:rsidR="00F33C13" w:rsidRPr="00507E84" w:rsidRDefault="00F33C13" w:rsidP="00F33C13">
            <w:pPr>
              <w:rPr>
                <w:rFonts w:ascii="Times New Roman" w:eastAsia="Times New Roman" w:hAnsi="Times New Roman" w:cs="Times New Roman"/>
                <w:sz w:val="20"/>
                <w:szCs w:val="20"/>
                <w:lang w:eastAsia="sk-SK"/>
              </w:rPr>
            </w:pPr>
          </w:p>
          <w:p w14:paraId="587F9530"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orgány verejnej moci</w:t>
            </w:r>
          </w:p>
          <w:p w14:paraId="318B3D49"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ústredné orgány štátnej správy</w:t>
            </w:r>
          </w:p>
          <w:p w14:paraId="45BAF41C"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prevádzkovatelia základných služieb (regulované subjekty)</w:t>
            </w:r>
          </w:p>
          <w:p w14:paraId="3033A0CD" w14:textId="77777777" w:rsidR="00F33C13" w:rsidRPr="00507E84" w:rsidRDefault="00F33C13" w:rsidP="00F33C13">
            <w:pPr>
              <w:rPr>
                <w:rFonts w:ascii="Times New Roman" w:eastAsia="Times New Roman" w:hAnsi="Times New Roman" w:cs="Times New Roman"/>
                <w:i/>
                <w:sz w:val="20"/>
                <w:szCs w:val="20"/>
                <w:lang w:eastAsia="sk-SK"/>
              </w:rPr>
            </w:pPr>
          </w:p>
        </w:tc>
      </w:tr>
      <w:tr w:rsidR="00F33C13" w:rsidRPr="00507E84" w14:paraId="41A76A7F" w14:textId="77777777" w:rsidTr="00F33C13">
        <w:tc>
          <w:tcPr>
            <w:tcW w:w="9180" w:type="dxa"/>
            <w:gridSpan w:val="12"/>
            <w:tcBorders>
              <w:top w:val="single" w:sz="4" w:space="0" w:color="auto"/>
              <w:left w:val="single" w:sz="4" w:space="0" w:color="auto"/>
              <w:bottom w:val="nil"/>
              <w:right w:val="single" w:sz="4" w:space="0" w:color="auto"/>
            </w:tcBorders>
            <w:shd w:val="clear" w:color="auto" w:fill="E2E2E2"/>
          </w:tcPr>
          <w:p w14:paraId="46C2FE6D" w14:textId="77777777" w:rsidR="00F33C13" w:rsidRPr="00507E84" w:rsidRDefault="00F33C13" w:rsidP="00F33C13">
            <w:pPr>
              <w:numPr>
                <w:ilvl w:val="0"/>
                <w:numId w:val="6"/>
              </w:numPr>
              <w:ind w:left="426"/>
              <w:contextualSpacing/>
              <w:rPr>
                <w:rFonts w:ascii="Times New Roman" w:eastAsia="Calibri" w:hAnsi="Times New Roman" w:cs="Times New Roman"/>
                <w:b/>
              </w:rPr>
            </w:pPr>
            <w:r w:rsidRPr="00507E84">
              <w:rPr>
                <w:rFonts w:ascii="Times New Roman" w:eastAsia="Calibri" w:hAnsi="Times New Roman" w:cs="Times New Roman"/>
                <w:b/>
              </w:rPr>
              <w:t>Alternatívne riešenia</w:t>
            </w:r>
          </w:p>
        </w:tc>
      </w:tr>
      <w:tr w:rsidR="00F33C13" w:rsidRPr="00507E84" w14:paraId="4992613A" w14:textId="77777777" w:rsidTr="00F33C13">
        <w:trPr>
          <w:trHeight w:val="1524"/>
        </w:trPr>
        <w:tc>
          <w:tcPr>
            <w:tcW w:w="9180" w:type="dxa"/>
            <w:gridSpan w:val="12"/>
            <w:tcBorders>
              <w:top w:val="nil"/>
              <w:left w:val="single" w:sz="4" w:space="0" w:color="auto"/>
              <w:bottom w:val="single" w:sz="4" w:space="0" w:color="auto"/>
              <w:right w:val="single" w:sz="4" w:space="0" w:color="auto"/>
            </w:tcBorders>
            <w:shd w:val="clear" w:color="auto" w:fill="FFFFFF"/>
          </w:tcPr>
          <w:p w14:paraId="4EAD6E3E" w14:textId="77777777" w:rsidR="00F33C13" w:rsidRPr="00507E84" w:rsidRDefault="00F33C13" w:rsidP="00F33C13">
            <w:pPr>
              <w:jc w:val="both"/>
              <w:rPr>
                <w:rFonts w:ascii="Times New Roman" w:eastAsia="Times New Roman" w:hAnsi="Times New Roman" w:cs="Times New Roman"/>
                <w:sz w:val="20"/>
                <w:szCs w:val="20"/>
                <w:lang w:eastAsia="sk-SK"/>
              </w:rPr>
            </w:pPr>
          </w:p>
          <w:p w14:paraId="6E6B0DC6"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Neboli identifikované žiadne alternatívne riešenia.</w:t>
            </w:r>
          </w:p>
          <w:p w14:paraId="1BFC4930" w14:textId="77777777" w:rsidR="00F33C13" w:rsidRPr="00507E84" w:rsidRDefault="00F33C13" w:rsidP="00F33C13">
            <w:pPr>
              <w:rPr>
                <w:rFonts w:ascii="Times New Roman" w:eastAsia="Times New Roman" w:hAnsi="Times New Roman" w:cs="Times New Roman"/>
                <w:i/>
                <w:sz w:val="20"/>
                <w:szCs w:val="20"/>
                <w:lang w:eastAsia="sk-SK"/>
              </w:rPr>
            </w:pPr>
          </w:p>
          <w:p w14:paraId="38906B6A"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i/>
                <w:sz w:val="20"/>
                <w:szCs w:val="20"/>
                <w:lang w:eastAsia="sk-SK"/>
              </w:rPr>
              <w:t>Nulový variant</w:t>
            </w:r>
          </w:p>
          <w:p w14:paraId="17758519"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V prípade, že by do národného právneho poriadku nebola transponovaná smernica NIS 2, Slovenská republika bude vystavená nebezpečenstvu začatia konania podľa článkov 258 a 260 Zmluvy o fungovaní Európskej únie pre nesplnenie zmluvných povinností (infringement proceedings).</w:t>
            </w:r>
          </w:p>
          <w:p w14:paraId="127FBD6B" w14:textId="77777777" w:rsidR="00F33C13" w:rsidRPr="00507E84" w:rsidRDefault="00F33C13" w:rsidP="00F33C13">
            <w:pPr>
              <w:jc w:val="both"/>
              <w:rPr>
                <w:rFonts w:ascii="Times New Roman" w:eastAsia="Times New Roman" w:hAnsi="Times New Roman" w:cs="Times New Roman"/>
                <w:sz w:val="20"/>
                <w:szCs w:val="20"/>
                <w:lang w:eastAsia="sk-SK"/>
              </w:rPr>
            </w:pPr>
          </w:p>
        </w:tc>
      </w:tr>
      <w:tr w:rsidR="00F33C13" w:rsidRPr="00507E84" w14:paraId="57DF14C4" w14:textId="77777777" w:rsidTr="00F33C13">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0FA8C01F" w14:textId="77777777" w:rsidR="00F33C13" w:rsidRPr="00507E84" w:rsidRDefault="00F33C13" w:rsidP="00F33C13">
            <w:pPr>
              <w:numPr>
                <w:ilvl w:val="0"/>
                <w:numId w:val="6"/>
              </w:numPr>
              <w:ind w:left="426"/>
              <w:contextualSpacing/>
              <w:rPr>
                <w:rFonts w:ascii="Times New Roman" w:eastAsia="Calibri" w:hAnsi="Times New Roman" w:cs="Times New Roman"/>
                <w:b/>
              </w:rPr>
            </w:pPr>
            <w:r w:rsidRPr="00507E84">
              <w:rPr>
                <w:rFonts w:ascii="Times New Roman" w:eastAsia="Calibri" w:hAnsi="Times New Roman" w:cs="Times New Roman"/>
                <w:b/>
              </w:rPr>
              <w:t>Vykonávacie predpisy</w:t>
            </w:r>
          </w:p>
        </w:tc>
      </w:tr>
      <w:tr w:rsidR="00F33C13" w:rsidRPr="00507E84" w14:paraId="6F3EF570" w14:textId="77777777" w:rsidTr="00F33C13">
        <w:tc>
          <w:tcPr>
            <w:tcW w:w="6203" w:type="dxa"/>
            <w:gridSpan w:val="8"/>
            <w:tcBorders>
              <w:top w:val="single" w:sz="4" w:space="0" w:color="FFFFFF"/>
              <w:left w:val="single" w:sz="4" w:space="0" w:color="auto"/>
              <w:bottom w:val="nil"/>
              <w:right w:val="nil"/>
            </w:tcBorders>
            <w:shd w:val="clear" w:color="auto" w:fill="FFFFFF"/>
          </w:tcPr>
          <w:p w14:paraId="242C8330" w14:textId="77777777" w:rsidR="00F33C13" w:rsidRPr="00507E84" w:rsidRDefault="00F33C13" w:rsidP="00F33C13">
            <w:pPr>
              <w:rPr>
                <w:rFonts w:ascii="Times New Roman" w:eastAsia="Times New Roman" w:hAnsi="Times New Roman" w:cs="Times New Roman"/>
                <w:i/>
                <w:sz w:val="20"/>
                <w:szCs w:val="20"/>
                <w:lang w:eastAsia="sk-SK"/>
              </w:rPr>
            </w:pPr>
            <w:r w:rsidRPr="00507E8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AB19610" w14:textId="77777777" w:rsidR="00F33C13" w:rsidRPr="00507E84" w:rsidRDefault="00B540AB" w:rsidP="00F33C1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F33C13" w:rsidRPr="00507E84">
                  <w:rPr>
                    <w:rFonts w:ascii="Segoe UI Symbol" w:eastAsia="MS Gothic" w:hAnsi="Segoe UI Symbol" w:cs="Segoe UI Symbol"/>
                    <w:b/>
                    <w:sz w:val="20"/>
                    <w:szCs w:val="20"/>
                    <w:lang w:eastAsia="sk-SK"/>
                  </w:rPr>
                  <w:t>☒</w:t>
                </w:r>
              </w:sdtContent>
            </w:sdt>
            <w:r w:rsidR="00F33C13" w:rsidRPr="00507E8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69D6C48B" w14:textId="77777777" w:rsidR="00F33C13" w:rsidRPr="00507E84" w:rsidRDefault="00B540AB" w:rsidP="00F33C1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F33C13" w:rsidRPr="00507E84">
                  <w:rPr>
                    <w:rFonts w:ascii="Segoe UI Symbol" w:eastAsia="MS Gothic" w:hAnsi="Segoe UI Symbol" w:cs="Segoe UI Symbol"/>
                    <w:b/>
                    <w:sz w:val="20"/>
                    <w:szCs w:val="20"/>
                    <w:lang w:eastAsia="sk-SK"/>
                  </w:rPr>
                  <w:t>☐</w:t>
                </w:r>
              </w:sdtContent>
            </w:sdt>
            <w:r w:rsidR="00F33C13" w:rsidRPr="00507E84">
              <w:rPr>
                <w:rFonts w:ascii="Times New Roman" w:eastAsia="Times New Roman" w:hAnsi="Times New Roman" w:cs="Times New Roman"/>
                <w:b/>
                <w:sz w:val="20"/>
                <w:szCs w:val="20"/>
                <w:lang w:eastAsia="sk-SK"/>
              </w:rPr>
              <w:t xml:space="preserve">  Nie</w:t>
            </w:r>
          </w:p>
        </w:tc>
      </w:tr>
      <w:tr w:rsidR="00F33C13" w:rsidRPr="00507E84" w14:paraId="61AC96F8" w14:textId="77777777" w:rsidTr="00F33C13">
        <w:tc>
          <w:tcPr>
            <w:tcW w:w="9180" w:type="dxa"/>
            <w:gridSpan w:val="12"/>
            <w:tcBorders>
              <w:top w:val="nil"/>
              <w:left w:val="single" w:sz="4" w:space="0" w:color="auto"/>
              <w:bottom w:val="single" w:sz="4" w:space="0" w:color="auto"/>
              <w:right w:val="single" w:sz="4" w:space="0" w:color="auto"/>
            </w:tcBorders>
            <w:shd w:val="clear" w:color="auto" w:fill="FFFFFF"/>
          </w:tcPr>
          <w:p w14:paraId="5D5ACDEF" w14:textId="77777777" w:rsidR="00F33C13" w:rsidRPr="00507E84" w:rsidRDefault="00F33C13" w:rsidP="00F33C13">
            <w:pPr>
              <w:rPr>
                <w:rFonts w:ascii="Times New Roman" w:eastAsia="Times New Roman" w:hAnsi="Times New Roman" w:cs="Times New Roman"/>
                <w:i/>
                <w:sz w:val="20"/>
                <w:szCs w:val="20"/>
                <w:lang w:eastAsia="sk-SK"/>
              </w:rPr>
            </w:pPr>
            <w:r w:rsidRPr="00507E84">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7F9B3A96" w14:textId="77777777" w:rsidR="00F33C13" w:rsidRPr="00507E84" w:rsidRDefault="00F33C13" w:rsidP="00F33C13">
            <w:pPr>
              <w:rPr>
                <w:rFonts w:ascii="Times New Roman" w:eastAsia="Times New Roman" w:hAnsi="Times New Roman" w:cs="Times New Roman"/>
                <w:sz w:val="20"/>
                <w:szCs w:val="20"/>
                <w:lang w:eastAsia="sk-SK"/>
              </w:rPr>
            </w:pPr>
          </w:p>
          <w:p w14:paraId="01239ADC" w14:textId="77777777" w:rsidR="00F33C13" w:rsidRPr="00507E84" w:rsidRDefault="00F33C13" w:rsidP="00F33C13">
            <w:pPr>
              <w:pStyle w:val="Odsekzoznamu"/>
              <w:numPr>
                <w:ilvl w:val="0"/>
                <w:numId w:val="7"/>
              </w:num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podrobnosti a rozsah základných zručností pri zabezpečovaní kybernetickej bezpečnosti a budovaní bezpečnostného povedomia,</w:t>
            </w:r>
          </w:p>
          <w:p w14:paraId="4DF8A1E5" w14:textId="77777777" w:rsidR="00F33C13" w:rsidRPr="00507E84" w:rsidRDefault="00F33C13" w:rsidP="00F33C13">
            <w:pPr>
              <w:pStyle w:val="Odsekzoznamu"/>
              <w:numPr>
                <w:ilvl w:val="0"/>
                <w:numId w:val="7"/>
              </w:num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podrobnosti o hláseniach podľa § 24 návrhu zákona,</w:t>
            </w:r>
          </w:p>
          <w:p w14:paraId="56679BF8" w14:textId="77777777" w:rsidR="00F33C13" w:rsidRPr="00507E84" w:rsidRDefault="00F33C13" w:rsidP="00F33C13">
            <w:pPr>
              <w:pStyle w:val="Odsekzoznamu"/>
              <w:numPr>
                <w:ilvl w:val="0"/>
                <w:numId w:val="7"/>
              </w:num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lastRenderedPageBreak/>
              <w:t>pravidlá auditu kybernetickej bezpečnosti alebo samohodnotenia, časový rozsah a periodicitu vykonávania auditu kybernetickej bezpečnosti alebo samohodnotenia.</w:t>
            </w:r>
          </w:p>
          <w:p w14:paraId="5FD74CDD" w14:textId="77777777" w:rsidR="00F33C13" w:rsidRPr="00507E84" w:rsidRDefault="00F33C13" w:rsidP="00F33C13">
            <w:pPr>
              <w:pStyle w:val="Odsekzoznamu"/>
              <w:rPr>
                <w:rFonts w:ascii="Times New Roman" w:eastAsia="Times New Roman" w:hAnsi="Times New Roman" w:cs="Times New Roman"/>
                <w:sz w:val="20"/>
                <w:szCs w:val="20"/>
                <w:lang w:eastAsia="sk-SK"/>
              </w:rPr>
            </w:pPr>
          </w:p>
        </w:tc>
      </w:tr>
      <w:tr w:rsidR="00F33C13" w:rsidRPr="00507E84" w14:paraId="720431D7" w14:textId="77777777" w:rsidTr="00F33C13">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35289C62" w14:textId="77777777" w:rsidR="00F33C13" w:rsidRPr="00507E84" w:rsidRDefault="00F33C13" w:rsidP="00F33C13">
            <w:pPr>
              <w:numPr>
                <w:ilvl w:val="0"/>
                <w:numId w:val="6"/>
              </w:numPr>
              <w:ind w:left="426"/>
              <w:contextualSpacing/>
              <w:rPr>
                <w:rFonts w:ascii="Times New Roman" w:eastAsia="Calibri" w:hAnsi="Times New Roman" w:cs="Times New Roman"/>
                <w:b/>
              </w:rPr>
            </w:pPr>
            <w:r w:rsidRPr="00507E84">
              <w:rPr>
                <w:rFonts w:ascii="Times New Roman" w:eastAsia="Calibri" w:hAnsi="Times New Roman" w:cs="Times New Roman"/>
                <w:b/>
              </w:rPr>
              <w:lastRenderedPageBreak/>
              <w:t xml:space="preserve">Transpozícia/implementácia práva EÚ </w:t>
            </w:r>
          </w:p>
        </w:tc>
      </w:tr>
      <w:tr w:rsidR="00F33C13" w:rsidRPr="00507E84" w14:paraId="7F075CFB" w14:textId="77777777" w:rsidTr="00F33C13">
        <w:trPr>
          <w:trHeight w:val="157"/>
        </w:trPr>
        <w:tc>
          <w:tcPr>
            <w:tcW w:w="9180" w:type="dxa"/>
            <w:gridSpan w:val="12"/>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F33C13" w:rsidRPr="00507E84" w14:paraId="5DB214FE" w14:textId="77777777" w:rsidTr="00F33C13">
              <w:trPr>
                <w:trHeight w:val="90"/>
              </w:trPr>
              <w:tc>
                <w:tcPr>
                  <w:tcW w:w="8643" w:type="dxa"/>
                </w:tcPr>
                <w:p w14:paraId="25F907EF" w14:textId="77777777" w:rsidR="00F33C13" w:rsidRPr="00507E84" w:rsidRDefault="00F33C13" w:rsidP="00F33C13">
                  <w:pPr>
                    <w:pStyle w:val="Default"/>
                    <w:rPr>
                      <w:rFonts w:ascii="Times New Roman" w:hAnsi="Times New Roman" w:cs="Times New Roman"/>
                      <w:color w:val="auto"/>
                      <w:sz w:val="20"/>
                      <w:szCs w:val="20"/>
                    </w:rPr>
                  </w:pPr>
                  <w:r w:rsidRPr="00507E84">
                    <w:rPr>
                      <w:rFonts w:ascii="Times New Roman" w:hAnsi="Times New Roman" w:cs="Times New Roman"/>
                      <w:i/>
                      <w:iCs/>
                      <w:color w:val="auto"/>
                      <w:sz w:val="20"/>
                      <w:szCs w:val="20"/>
                    </w:rPr>
                    <w:t xml:space="preserve">Uveďte, či v predkladanom návrhu právneho predpisu dochádza ku goldplatingu podľa tabuľky zhody, resp. či ku goldplatingu dochádza pri implementácii práva EÚ. </w:t>
                  </w:r>
                </w:p>
              </w:tc>
            </w:tr>
            <w:tr w:rsidR="00F33C13" w:rsidRPr="00507E84" w14:paraId="02BAB79C" w14:textId="77777777" w:rsidTr="00F33C13">
              <w:trPr>
                <w:trHeight w:val="296"/>
              </w:trPr>
              <w:tc>
                <w:tcPr>
                  <w:tcW w:w="8643" w:type="dxa"/>
                </w:tcPr>
                <w:p w14:paraId="13DC44D2" w14:textId="77777777" w:rsidR="00F33C13" w:rsidRPr="00507E84" w:rsidRDefault="00F33C13" w:rsidP="00F33C13">
                  <w:pPr>
                    <w:pStyle w:val="Default"/>
                    <w:rPr>
                      <w:rFonts w:ascii="Times New Roman" w:hAnsi="Times New Roman" w:cs="Times New Roman"/>
                      <w:b/>
                      <w:iCs/>
                      <w:color w:val="auto"/>
                      <w:sz w:val="20"/>
                      <w:szCs w:val="20"/>
                    </w:rPr>
                  </w:pPr>
                  <w:r w:rsidRPr="00507E84">
                    <w:rPr>
                      <w:rFonts w:ascii="Times New Roman" w:hAnsi="Times New Roman" w:cs="Times New Roman"/>
                      <w:b/>
                      <w:iCs/>
                      <w:color w:val="auto"/>
                      <w:sz w:val="20"/>
                      <w:szCs w:val="20"/>
                    </w:rPr>
                    <w:t xml:space="preserve">                                                                                                                               </w:t>
                  </w:r>
                  <w:sdt>
                    <w:sdtPr>
                      <w:rPr>
                        <w:rFonts w:ascii="Times New Roman" w:hAnsi="Times New Roman" w:cs="Times New Roman"/>
                        <w:b/>
                        <w:iCs/>
                        <w:color w:val="auto"/>
                        <w:sz w:val="20"/>
                        <w:szCs w:val="20"/>
                      </w:rPr>
                      <w:id w:val="1614706761"/>
                      <w14:checkbox>
                        <w14:checked w14:val="0"/>
                        <w14:checkedState w14:val="2612" w14:font="MS Gothic"/>
                        <w14:uncheckedState w14:val="2610" w14:font="MS Gothic"/>
                      </w14:checkbox>
                    </w:sdtPr>
                    <w:sdtEndPr/>
                    <w:sdtContent>
                      <w:r w:rsidRPr="00507E84">
                        <w:rPr>
                          <w:rFonts w:ascii="Segoe UI Symbol" w:eastAsia="MS Gothic" w:hAnsi="Segoe UI Symbol" w:cs="Segoe UI Symbol"/>
                          <w:b/>
                          <w:iCs/>
                          <w:color w:val="auto"/>
                          <w:sz w:val="20"/>
                          <w:szCs w:val="20"/>
                        </w:rPr>
                        <w:t>☐</w:t>
                      </w:r>
                    </w:sdtContent>
                  </w:sdt>
                  <w:r w:rsidRPr="00507E84">
                    <w:rPr>
                      <w:rFonts w:ascii="Times New Roman" w:hAnsi="Times New Roman" w:cs="Times New Roman"/>
                      <w:b/>
                      <w:iCs/>
                      <w:color w:val="auto"/>
                      <w:sz w:val="20"/>
                      <w:szCs w:val="20"/>
                    </w:rPr>
                    <w:t xml:space="preserve"> Áno                  </w:t>
                  </w:r>
                  <w:sdt>
                    <w:sdtPr>
                      <w:rPr>
                        <w:rFonts w:ascii="Times New Roman" w:hAnsi="Times New Roman" w:cs="Times New Roman"/>
                        <w:b/>
                        <w:iCs/>
                        <w:color w:val="auto"/>
                        <w:sz w:val="20"/>
                        <w:szCs w:val="20"/>
                      </w:rPr>
                      <w:id w:val="-155225922"/>
                      <w14:checkbox>
                        <w14:checked w14:val="1"/>
                        <w14:checkedState w14:val="2612" w14:font="MS Gothic"/>
                        <w14:uncheckedState w14:val="2610" w14:font="MS Gothic"/>
                      </w14:checkbox>
                    </w:sdtPr>
                    <w:sdtEndPr/>
                    <w:sdtContent>
                      <w:r w:rsidRPr="00507E84">
                        <w:rPr>
                          <w:rFonts w:ascii="Segoe UI Symbol" w:eastAsia="MS Gothic" w:hAnsi="Segoe UI Symbol" w:cs="Segoe UI Symbol"/>
                          <w:b/>
                          <w:iCs/>
                          <w:color w:val="auto"/>
                          <w:sz w:val="20"/>
                          <w:szCs w:val="20"/>
                        </w:rPr>
                        <w:t>☒</w:t>
                      </w:r>
                    </w:sdtContent>
                  </w:sdt>
                  <w:r w:rsidRPr="00507E84">
                    <w:rPr>
                      <w:rFonts w:ascii="Times New Roman" w:hAnsi="Times New Roman" w:cs="Times New Roman"/>
                      <w:b/>
                      <w:iCs/>
                      <w:color w:val="auto"/>
                      <w:sz w:val="20"/>
                      <w:szCs w:val="20"/>
                    </w:rPr>
                    <w:t xml:space="preserve"> Nie</w:t>
                  </w:r>
                </w:p>
                <w:p w14:paraId="0448D906" w14:textId="77777777" w:rsidR="00F33C13" w:rsidRPr="00507E84" w:rsidRDefault="00F33C13" w:rsidP="00F33C13">
                  <w:pPr>
                    <w:pStyle w:val="Default"/>
                    <w:rPr>
                      <w:rFonts w:ascii="Times New Roman" w:hAnsi="Times New Roman" w:cs="Times New Roman"/>
                      <w:i/>
                      <w:iCs/>
                      <w:color w:val="auto"/>
                      <w:sz w:val="20"/>
                      <w:szCs w:val="20"/>
                    </w:rPr>
                  </w:pPr>
                </w:p>
                <w:p w14:paraId="79BA7F83" w14:textId="77777777" w:rsidR="00F33C13" w:rsidRPr="00507E84" w:rsidRDefault="00F33C13" w:rsidP="00F33C13">
                  <w:pPr>
                    <w:pStyle w:val="Default"/>
                    <w:rPr>
                      <w:rFonts w:ascii="Times New Roman" w:hAnsi="Times New Roman" w:cs="Times New Roman"/>
                      <w:color w:val="auto"/>
                      <w:sz w:val="20"/>
                      <w:szCs w:val="20"/>
                    </w:rPr>
                  </w:pPr>
                  <w:r w:rsidRPr="00507E84">
                    <w:rPr>
                      <w:rFonts w:ascii="Times New Roman" w:hAnsi="Times New Roman" w:cs="Times New Roman"/>
                      <w:i/>
                      <w:iCs/>
                      <w:color w:val="auto"/>
                      <w:sz w:val="20"/>
                      <w:szCs w:val="20"/>
                    </w:rPr>
                    <w:t xml:space="preserve">Ak áno, uveďte, ktorých vplyvov podľa bodu 9 sa goldplating týka: </w:t>
                  </w:r>
                </w:p>
              </w:tc>
            </w:tr>
            <w:tr w:rsidR="00F33C13" w:rsidRPr="00507E84" w14:paraId="57D20260" w14:textId="77777777" w:rsidTr="00F33C13">
              <w:trPr>
                <w:trHeight w:val="296"/>
              </w:trPr>
              <w:tc>
                <w:tcPr>
                  <w:tcW w:w="8643" w:type="dxa"/>
                </w:tcPr>
                <w:p w14:paraId="50228841" w14:textId="77777777" w:rsidR="00F33C13" w:rsidRPr="00507E84" w:rsidRDefault="00F33C13" w:rsidP="00F33C13">
                  <w:pPr>
                    <w:pStyle w:val="Default"/>
                    <w:rPr>
                      <w:rFonts w:ascii="Times New Roman" w:hAnsi="Times New Roman" w:cs="Times New Roman"/>
                      <w:color w:val="auto"/>
                      <w:sz w:val="20"/>
                      <w:szCs w:val="20"/>
                    </w:rPr>
                  </w:pPr>
                  <w:r w:rsidRPr="00507E84">
                    <w:rPr>
                      <w:rFonts w:ascii="Times New Roman" w:hAnsi="Times New Roman" w:cs="Times New Roman"/>
                      <w:color w:val="auto"/>
                      <w:sz w:val="20"/>
                      <w:szCs w:val="20"/>
                    </w:rPr>
                    <w:t>--</w:t>
                  </w:r>
                </w:p>
              </w:tc>
            </w:tr>
          </w:tbl>
          <w:p w14:paraId="2EB208C6" w14:textId="77777777" w:rsidR="00F33C13" w:rsidRPr="00507E84" w:rsidRDefault="00F33C13" w:rsidP="00F33C13">
            <w:pPr>
              <w:jc w:val="both"/>
              <w:rPr>
                <w:rFonts w:ascii="Times New Roman" w:eastAsia="Times New Roman" w:hAnsi="Times New Roman" w:cs="Times New Roman"/>
                <w:i/>
                <w:sz w:val="20"/>
                <w:szCs w:val="20"/>
                <w:lang w:eastAsia="sk-SK"/>
              </w:rPr>
            </w:pPr>
          </w:p>
        </w:tc>
      </w:tr>
      <w:tr w:rsidR="00F33C13" w:rsidRPr="00507E84" w14:paraId="50128631" w14:textId="77777777" w:rsidTr="00F33C13">
        <w:trPr>
          <w:trHeight w:val="248"/>
        </w:trPr>
        <w:tc>
          <w:tcPr>
            <w:tcW w:w="9180" w:type="dxa"/>
            <w:gridSpan w:val="12"/>
            <w:tcBorders>
              <w:top w:val="nil"/>
              <w:left w:val="single" w:sz="4" w:space="0" w:color="000000"/>
              <w:bottom w:val="single" w:sz="4" w:space="0" w:color="000000"/>
              <w:right w:val="single" w:sz="4" w:space="0" w:color="000000"/>
            </w:tcBorders>
            <w:shd w:val="clear" w:color="auto" w:fill="FFFFFF"/>
          </w:tcPr>
          <w:p w14:paraId="58870D35" w14:textId="77777777" w:rsidR="00F33C13" w:rsidRPr="00507E84" w:rsidRDefault="00F33C13" w:rsidP="00F33C13">
            <w:pPr>
              <w:rPr>
                <w:rFonts w:ascii="Times New Roman" w:eastAsia="Times New Roman" w:hAnsi="Times New Roman" w:cs="Times New Roman"/>
                <w:sz w:val="20"/>
                <w:szCs w:val="20"/>
                <w:lang w:eastAsia="sk-SK"/>
              </w:rPr>
            </w:pPr>
          </w:p>
        </w:tc>
      </w:tr>
      <w:tr w:rsidR="00F33C13" w:rsidRPr="00507E84" w14:paraId="757F90A7" w14:textId="77777777" w:rsidTr="00F33C13">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71B2DAC4" w14:textId="77777777" w:rsidR="00F33C13" w:rsidRPr="00507E84" w:rsidRDefault="00F33C13" w:rsidP="00F33C13">
            <w:pPr>
              <w:numPr>
                <w:ilvl w:val="0"/>
                <w:numId w:val="6"/>
              </w:numPr>
              <w:ind w:left="426"/>
              <w:contextualSpacing/>
              <w:rPr>
                <w:rFonts w:ascii="Times New Roman" w:eastAsia="Calibri" w:hAnsi="Times New Roman" w:cs="Times New Roman"/>
                <w:b/>
              </w:rPr>
            </w:pPr>
            <w:r w:rsidRPr="00507E84">
              <w:rPr>
                <w:rFonts w:ascii="Times New Roman" w:eastAsia="Calibri" w:hAnsi="Times New Roman" w:cs="Times New Roman"/>
                <w:b/>
              </w:rPr>
              <w:t>Preskúmanie účelnosti</w:t>
            </w:r>
          </w:p>
        </w:tc>
      </w:tr>
      <w:tr w:rsidR="00F33C13" w:rsidRPr="00507E84" w14:paraId="31452D02" w14:textId="77777777" w:rsidTr="00F33C13">
        <w:tc>
          <w:tcPr>
            <w:tcW w:w="9180" w:type="dxa"/>
            <w:gridSpan w:val="12"/>
            <w:tcBorders>
              <w:top w:val="single" w:sz="4" w:space="0" w:color="FFFFFF"/>
              <w:left w:val="single" w:sz="4" w:space="0" w:color="auto"/>
              <w:bottom w:val="single" w:sz="4" w:space="0" w:color="auto"/>
              <w:right w:val="single" w:sz="4" w:space="0" w:color="auto"/>
            </w:tcBorders>
            <w:shd w:val="clear" w:color="auto" w:fill="FFFFFF"/>
          </w:tcPr>
          <w:p w14:paraId="39DD55D2" w14:textId="77777777" w:rsidR="00F33C13" w:rsidRPr="00507E84" w:rsidRDefault="00F33C13" w:rsidP="00F33C13">
            <w:pPr>
              <w:rPr>
                <w:rFonts w:ascii="Times New Roman" w:eastAsia="Times New Roman" w:hAnsi="Times New Roman" w:cs="Times New Roman"/>
                <w:sz w:val="20"/>
                <w:szCs w:val="20"/>
                <w:lang w:eastAsia="sk-SK"/>
              </w:rPr>
            </w:pPr>
          </w:p>
          <w:p w14:paraId="7B323C91"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xml:space="preserve">Preskúmanie účelnosti navrhovaného právneho predpisu bude vykonávané priebežne v roku 2025 a v nasledujúcich rokoch po nadobudnutí jeho účinnosti, pričom sa budú zohľadňovať najmä skúsenosti z aplikačnej praxe a dodržiavanie bezpečnostných opatrení dotknutými subjektmi. </w:t>
            </w:r>
          </w:p>
          <w:p w14:paraId="514A7A5D" w14:textId="77777777" w:rsidR="00F33C13" w:rsidRPr="00507E84" w:rsidRDefault="00F33C13" w:rsidP="00F33C13">
            <w:pPr>
              <w:rPr>
                <w:rFonts w:ascii="Times New Roman" w:eastAsia="Times New Roman" w:hAnsi="Times New Roman" w:cs="Times New Roman"/>
                <w:i/>
                <w:sz w:val="20"/>
                <w:szCs w:val="20"/>
                <w:lang w:eastAsia="sk-SK"/>
              </w:rPr>
            </w:pPr>
          </w:p>
        </w:tc>
      </w:tr>
      <w:tr w:rsidR="00F33C13" w:rsidRPr="00507E84" w14:paraId="252D38EE" w14:textId="77777777" w:rsidTr="00F33C13">
        <w:tc>
          <w:tcPr>
            <w:tcW w:w="9180" w:type="dxa"/>
            <w:gridSpan w:val="12"/>
            <w:tcBorders>
              <w:top w:val="nil"/>
              <w:left w:val="nil"/>
              <w:bottom w:val="single" w:sz="4" w:space="0" w:color="auto"/>
              <w:right w:val="nil"/>
            </w:tcBorders>
            <w:shd w:val="clear" w:color="auto" w:fill="FFFFFF"/>
          </w:tcPr>
          <w:p w14:paraId="45DC7CCB" w14:textId="77777777" w:rsidR="00F33C13" w:rsidRPr="00507E84" w:rsidRDefault="00F33C13" w:rsidP="00F33C13">
            <w:pPr>
              <w:jc w:val="both"/>
              <w:rPr>
                <w:rFonts w:ascii="Times New Roman" w:eastAsia="Times New Roman" w:hAnsi="Times New Roman" w:cs="Times New Roman"/>
                <w:b/>
                <w:sz w:val="20"/>
                <w:szCs w:val="20"/>
                <w:lang w:eastAsia="sk-SK"/>
              </w:rPr>
            </w:pPr>
          </w:p>
          <w:p w14:paraId="36AC5422" w14:textId="77777777" w:rsidR="00F33C13" w:rsidRPr="00507E84" w:rsidRDefault="00F33C13" w:rsidP="00F33C13">
            <w:pPr>
              <w:jc w:val="both"/>
              <w:rPr>
                <w:rFonts w:ascii="Times New Roman" w:eastAsia="Times New Roman" w:hAnsi="Times New Roman" w:cs="Times New Roman"/>
                <w:b/>
                <w:sz w:val="20"/>
                <w:szCs w:val="20"/>
                <w:lang w:eastAsia="sk-SK"/>
              </w:rPr>
            </w:pPr>
          </w:p>
          <w:p w14:paraId="0C2474C5" w14:textId="77777777" w:rsidR="00F33C13" w:rsidRPr="00507E84" w:rsidRDefault="00F33C13" w:rsidP="00F33C13">
            <w:pPr>
              <w:ind w:left="142" w:hanging="142"/>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6DA069ED"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3E0CAA6D"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06F2DEDC" w14:textId="77777777" w:rsidR="00F33C13" w:rsidRPr="00507E84" w:rsidRDefault="00F33C13" w:rsidP="00F33C13">
            <w:pPr>
              <w:jc w:val="both"/>
              <w:rPr>
                <w:rFonts w:ascii="Times New Roman" w:eastAsia="Times New Roman" w:hAnsi="Times New Roman" w:cs="Times New Roman"/>
                <w:sz w:val="20"/>
                <w:szCs w:val="20"/>
                <w:lang w:eastAsia="sk-SK"/>
              </w:rPr>
            </w:pPr>
          </w:p>
          <w:p w14:paraId="2E5C476F" w14:textId="77777777" w:rsidR="00F33C13" w:rsidRPr="00507E84" w:rsidRDefault="00F33C13" w:rsidP="00F33C13">
            <w:pPr>
              <w:jc w:val="both"/>
              <w:rPr>
                <w:rFonts w:ascii="Times New Roman" w:eastAsia="Times New Roman" w:hAnsi="Times New Roman" w:cs="Times New Roman"/>
                <w:b/>
                <w:sz w:val="20"/>
                <w:szCs w:val="20"/>
                <w:lang w:eastAsia="sk-SK"/>
              </w:rPr>
            </w:pPr>
          </w:p>
        </w:tc>
      </w:tr>
      <w:tr w:rsidR="00F33C13" w:rsidRPr="00507E84" w14:paraId="05FED7A1" w14:textId="77777777" w:rsidTr="00F33C13">
        <w:trPr>
          <w:trHeight w:val="283"/>
        </w:trPr>
        <w:tc>
          <w:tcPr>
            <w:tcW w:w="9180" w:type="dxa"/>
            <w:gridSpan w:val="12"/>
            <w:tcBorders>
              <w:top w:val="single" w:sz="4" w:space="0" w:color="auto"/>
              <w:left w:val="single" w:sz="4" w:space="0" w:color="auto"/>
              <w:bottom w:val="single" w:sz="4" w:space="0" w:color="FFFFFF"/>
              <w:right w:val="single" w:sz="4" w:space="0" w:color="auto"/>
            </w:tcBorders>
            <w:shd w:val="clear" w:color="auto" w:fill="E2E2E2"/>
            <w:vAlign w:val="center"/>
          </w:tcPr>
          <w:p w14:paraId="52EDC080" w14:textId="77777777" w:rsidR="00F33C13" w:rsidRPr="00507E84" w:rsidRDefault="00F33C13" w:rsidP="00F33C13">
            <w:pPr>
              <w:numPr>
                <w:ilvl w:val="0"/>
                <w:numId w:val="6"/>
              </w:numPr>
              <w:ind w:left="426"/>
              <w:contextualSpacing/>
              <w:rPr>
                <w:rFonts w:ascii="Times New Roman" w:eastAsia="Calibri" w:hAnsi="Times New Roman" w:cs="Times New Roman"/>
                <w:b/>
              </w:rPr>
            </w:pPr>
            <w:r w:rsidRPr="00507E84">
              <w:rPr>
                <w:rFonts w:ascii="Times New Roman" w:eastAsia="Calibri" w:hAnsi="Times New Roman" w:cs="Times New Roman"/>
                <w:b/>
              </w:rPr>
              <w:t>Vybrané vplyvy  materiálu</w:t>
            </w:r>
          </w:p>
        </w:tc>
      </w:tr>
      <w:tr w:rsidR="00F33C13" w:rsidRPr="00507E84" w14:paraId="459929C4" w14:textId="77777777" w:rsidTr="00F33C13">
        <w:tc>
          <w:tcPr>
            <w:tcW w:w="3812" w:type="dxa"/>
            <w:tcBorders>
              <w:top w:val="single" w:sz="4" w:space="0" w:color="auto"/>
              <w:left w:val="single" w:sz="4" w:space="0" w:color="auto"/>
              <w:bottom w:val="nil"/>
              <w:right w:val="single" w:sz="4" w:space="0" w:color="auto"/>
            </w:tcBorders>
            <w:shd w:val="clear" w:color="auto" w:fill="E2E2E2"/>
          </w:tcPr>
          <w:p w14:paraId="1CA2E8E6"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30CD75E1"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312" w:type="dxa"/>
            <w:gridSpan w:val="3"/>
            <w:tcBorders>
              <w:top w:val="single" w:sz="4" w:space="0" w:color="auto"/>
              <w:left w:val="nil"/>
              <w:bottom w:val="dotted" w:sz="4" w:space="0" w:color="auto"/>
              <w:right w:val="nil"/>
            </w:tcBorders>
          </w:tcPr>
          <w:p w14:paraId="553006AA"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2E7C7E00"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78FAA275"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42376840" w14:textId="77777777" w:rsidR="00F33C13" w:rsidRPr="00507E84" w:rsidRDefault="00F33C13" w:rsidP="00F33C13">
                <w:pPr>
                  <w:ind w:left="-107" w:right="-108"/>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62A741EE" w14:textId="77777777" w:rsidR="00F33C13" w:rsidRPr="00507E84" w:rsidRDefault="00F33C13" w:rsidP="00F33C13">
            <w:pPr>
              <w:ind w:left="34"/>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Negatívne</w:t>
            </w:r>
          </w:p>
        </w:tc>
      </w:tr>
      <w:tr w:rsidR="00F33C13" w:rsidRPr="00507E84" w14:paraId="6170541C" w14:textId="77777777" w:rsidTr="00F33C13">
        <w:tc>
          <w:tcPr>
            <w:tcW w:w="3812" w:type="dxa"/>
            <w:tcBorders>
              <w:top w:val="nil"/>
              <w:left w:val="single" w:sz="4" w:space="0" w:color="auto"/>
              <w:bottom w:val="nil"/>
              <w:right w:val="single" w:sz="4" w:space="0" w:color="auto"/>
            </w:tcBorders>
            <w:shd w:val="clear" w:color="auto" w:fill="E2E2E2"/>
          </w:tcPr>
          <w:p w14:paraId="1FE42A08"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xml:space="preserve">    z toho rozpočtovo zabezpečené vplyvy,         </w:t>
            </w:r>
          </w:p>
          <w:p w14:paraId="0F2D48FB"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xml:space="preserve">    v prípade identifikovaného negatívneho </w:t>
            </w:r>
          </w:p>
          <w:p w14:paraId="57557104"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03DD8A43" w14:textId="77777777" w:rsidR="00F33C13" w:rsidRPr="00507E84" w:rsidRDefault="00F33C13" w:rsidP="00F33C13">
                <w:pPr>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sz w:val="20"/>
                    <w:szCs w:val="20"/>
                    <w:lang w:eastAsia="sk-SK"/>
                  </w:rPr>
                  <w:t>☒</w:t>
                </w:r>
              </w:p>
            </w:tc>
          </w:sdtContent>
        </w:sdt>
        <w:tc>
          <w:tcPr>
            <w:tcW w:w="1312" w:type="dxa"/>
            <w:gridSpan w:val="3"/>
            <w:tcBorders>
              <w:top w:val="dotted" w:sz="4" w:space="0" w:color="auto"/>
              <w:left w:val="nil"/>
              <w:bottom w:val="dotted" w:sz="4" w:space="0" w:color="auto"/>
              <w:right w:val="nil"/>
            </w:tcBorders>
            <w:vAlign w:val="center"/>
          </w:tcPr>
          <w:p w14:paraId="650DDDB7"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FFFAA38" w14:textId="77777777" w:rsidR="00F33C13" w:rsidRPr="00507E84" w:rsidRDefault="00F33C13" w:rsidP="00F33C13">
                <w:pPr>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E320008"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F381D02" w14:textId="77777777" w:rsidR="00F33C13" w:rsidRPr="00507E84" w:rsidRDefault="00F33C13" w:rsidP="00F33C13">
                <w:pPr>
                  <w:ind w:left="-107" w:right="-108"/>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6BD90FE" w14:textId="77777777" w:rsidR="00F33C13" w:rsidRPr="00507E84" w:rsidRDefault="00F33C13" w:rsidP="00F33C13">
            <w:pPr>
              <w:ind w:left="34"/>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Čiastočne</w:t>
            </w:r>
          </w:p>
        </w:tc>
      </w:tr>
      <w:tr w:rsidR="00F33C13" w:rsidRPr="00507E84" w14:paraId="21DCE7A1" w14:textId="77777777" w:rsidTr="00F33C13">
        <w:tc>
          <w:tcPr>
            <w:tcW w:w="3812" w:type="dxa"/>
            <w:tcBorders>
              <w:top w:val="nil"/>
              <w:left w:val="single" w:sz="4" w:space="0" w:color="auto"/>
              <w:bottom w:val="nil"/>
              <w:right w:val="single" w:sz="4" w:space="0" w:color="auto"/>
            </w:tcBorders>
            <w:shd w:val="clear" w:color="auto" w:fill="E2E2E2"/>
          </w:tcPr>
          <w:p w14:paraId="2D57AF7B"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17F3DE73"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312" w:type="dxa"/>
            <w:gridSpan w:val="3"/>
            <w:tcBorders>
              <w:top w:val="dotted" w:sz="4" w:space="0" w:color="auto"/>
              <w:left w:val="nil"/>
              <w:bottom w:val="dotted" w:sz="4" w:space="0" w:color="auto"/>
              <w:right w:val="nil"/>
            </w:tcBorders>
          </w:tcPr>
          <w:p w14:paraId="01A99050"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6111F8D2"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09836D21"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11FE4BF4" w14:textId="77777777" w:rsidR="00F33C13" w:rsidRPr="00507E84" w:rsidRDefault="00F33C13" w:rsidP="00F33C13">
                <w:pPr>
                  <w:ind w:left="-107" w:right="-108"/>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63B4959F" w14:textId="77777777" w:rsidR="00F33C13" w:rsidRPr="00507E84" w:rsidRDefault="00F33C13" w:rsidP="00F33C13">
            <w:pPr>
              <w:ind w:left="34"/>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Negatívne</w:t>
            </w:r>
          </w:p>
        </w:tc>
      </w:tr>
      <w:tr w:rsidR="00F33C13" w:rsidRPr="00507E84" w14:paraId="4949F279" w14:textId="77777777" w:rsidTr="00F33C13">
        <w:tc>
          <w:tcPr>
            <w:tcW w:w="3812" w:type="dxa"/>
            <w:tcBorders>
              <w:top w:val="nil"/>
              <w:left w:val="single" w:sz="4" w:space="0" w:color="auto"/>
              <w:bottom w:val="single" w:sz="4" w:space="0" w:color="auto"/>
              <w:right w:val="single" w:sz="4" w:space="0" w:color="auto"/>
            </w:tcBorders>
            <w:shd w:val="clear" w:color="auto" w:fill="E2E2E2"/>
          </w:tcPr>
          <w:p w14:paraId="32AED06C" w14:textId="77777777" w:rsidR="00F33C13" w:rsidRPr="00507E84" w:rsidRDefault="00F33C13" w:rsidP="00F33C13">
            <w:pPr>
              <w:ind w:left="171"/>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z toho rozpočtovo zabezpečené vplyvy,</w:t>
            </w:r>
          </w:p>
          <w:p w14:paraId="777E9D44" w14:textId="77777777" w:rsidR="00F33C13" w:rsidRPr="00507E84" w:rsidRDefault="00F33C13" w:rsidP="00F33C13">
            <w:pPr>
              <w:ind w:left="171"/>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F643855" w14:textId="77777777" w:rsidR="00F33C13" w:rsidRPr="00507E84" w:rsidRDefault="00F33C13" w:rsidP="00F33C13">
                <w:pPr>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sz w:val="20"/>
                    <w:szCs w:val="20"/>
                    <w:lang w:eastAsia="sk-SK"/>
                  </w:rPr>
                  <w:t>☐</w:t>
                </w:r>
              </w:p>
            </w:tc>
          </w:sdtContent>
        </w:sdt>
        <w:tc>
          <w:tcPr>
            <w:tcW w:w="1312" w:type="dxa"/>
            <w:gridSpan w:val="3"/>
            <w:tcBorders>
              <w:top w:val="dotted" w:sz="4" w:space="0" w:color="auto"/>
              <w:left w:val="nil"/>
              <w:bottom w:val="single" w:sz="4" w:space="0" w:color="auto"/>
              <w:right w:val="nil"/>
            </w:tcBorders>
            <w:vAlign w:val="center"/>
          </w:tcPr>
          <w:p w14:paraId="52D1EDD1"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5A9D5C11" w14:textId="77777777" w:rsidR="00F33C13" w:rsidRPr="00507E84" w:rsidRDefault="00F33C13" w:rsidP="00F33C13">
                <w:pPr>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61E1DCA7"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0DAE2C3" w14:textId="77777777" w:rsidR="00F33C13" w:rsidRPr="00507E84" w:rsidRDefault="00F33C13" w:rsidP="00F33C13">
                <w:pPr>
                  <w:ind w:left="-107" w:right="-108"/>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83A227D" w14:textId="77777777" w:rsidR="00F33C13" w:rsidRPr="00507E84" w:rsidRDefault="00F33C13" w:rsidP="00F33C13">
            <w:pPr>
              <w:ind w:left="34"/>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Čiastočne</w:t>
            </w:r>
          </w:p>
        </w:tc>
      </w:tr>
      <w:tr w:rsidR="00F33C13" w:rsidRPr="00507E84" w14:paraId="6C42D4FB" w14:textId="77777777" w:rsidTr="00F33C13">
        <w:tc>
          <w:tcPr>
            <w:tcW w:w="3812" w:type="dxa"/>
            <w:tcBorders>
              <w:top w:val="single" w:sz="4" w:space="0" w:color="auto"/>
              <w:left w:val="single" w:sz="4" w:space="0" w:color="auto"/>
              <w:bottom w:val="single" w:sz="4" w:space="0" w:color="auto"/>
              <w:right w:val="single" w:sz="4" w:space="0" w:color="auto"/>
            </w:tcBorders>
            <w:shd w:val="clear" w:color="auto" w:fill="E2E2E2"/>
          </w:tcPr>
          <w:p w14:paraId="34E7D65D" w14:textId="77777777" w:rsidR="00F33C13" w:rsidRPr="00507E84" w:rsidRDefault="00F33C13" w:rsidP="00F33C13">
            <w:pPr>
              <w:ind w:left="171"/>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D176F6C" w14:textId="77777777" w:rsidR="00F33C13" w:rsidRPr="00507E84" w:rsidRDefault="00F33C13" w:rsidP="00F33C13">
                <w:pPr>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471A6092"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9F78ED0" w14:textId="77777777" w:rsidR="00F33C13" w:rsidRPr="00507E84" w:rsidRDefault="00F33C13" w:rsidP="00F33C13">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092EB03C" w14:textId="77777777" w:rsidR="00F33C13" w:rsidRPr="00507E84" w:rsidRDefault="00F33C13" w:rsidP="00F33C13">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F2BAC23" w14:textId="77777777" w:rsidR="00F33C13" w:rsidRPr="00507E84" w:rsidRDefault="00F33C13" w:rsidP="00F33C13">
                <w:pPr>
                  <w:ind w:left="-107" w:right="-108"/>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977995A" w14:textId="77777777" w:rsidR="00F33C13" w:rsidRPr="00507E84" w:rsidRDefault="00F33C13" w:rsidP="00F33C13">
            <w:pPr>
              <w:ind w:left="34"/>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Nie</w:t>
            </w:r>
          </w:p>
        </w:tc>
      </w:tr>
      <w:tr w:rsidR="00F33C13" w:rsidRPr="00507E84" w14:paraId="4A5AEC8A" w14:textId="77777777" w:rsidTr="00F33C13">
        <w:tc>
          <w:tcPr>
            <w:tcW w:w="3812" w:type="dxa"/>
            <w:tcBorders>
              <w:top w:val="single" w:sz="4" w:space="0" w:color="auto"/>
              <w:left w:val="single" w:sz="4" w:space="0" w:color="auto"/>
              <w:bottom w:val="single" w:sz="4" w:space="0" w:color="auto"/>
              <w:right w:val="single" w:sz="4" w:space="0" w:color="auto"/>
            </w:tcBorders>
            <w:shd w:val="clear" w:color="auto" w:fill="E2E2E2"/>
          </w:tcPr>
          <w:p w14:paraId="5AF17F5E"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DB01F6C" w14:textId="77777777" w:rsidR="00F33C13" w:rsidRPr="00507E84" w:rsidRDefault="00F33C13" w:rsidP="00F33C13">
                <w:pPr>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b/>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68B2701D"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2083E85F" w14:textId="77777777" w:rsidR="00F33C13" w:rsidRPr="00507E84" w:rsidRDefault="00F33C13" w:rsidP="00F33C13">
                <w:pPr>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7F764432"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7234180" w14:textId="77777777" w:rsidR="00F33C13" w:rsidRPr="00507E84" w:rsidRDefault="00F33C13" w:rsidP="00F33C13">
                <w:pPr>
                  <w:ind w:left="-107" w:right="-108"/>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E94B7C6" w14:textId="77777777" w:rsidR="00F33C13" w:rsidRPr="00507E84" w:rsidRDefault="00F33C13" w:rsidP="00F33C13">
            <w:pPr>
              <w:ind w:left="34"/>
              <w:rPr>
                <w:rFonts w:ascii="Times New Roman" w:eastAsia="Times New Roman" w:hAnsi="Times New Roman" w:cs="Times New Roman"/>
                <w:sz w:val="20"/>
                <w:szCs w:val="20"/>
                <w:lang w:eastAsia="sk-SK"/>
              </w:rPr>
            </w:pPr>
            <w:r w:rsidRPr="00507E84">
              <w:rPr>
                <w:rFonts w:ascii="Times New Roman" w:eastAsia="Times New Roman" w:hAnsi="Times New Roman" w:cs="Times New Roman"/>
                <w:b/>
                <w:sz w:val="20"/>
                <w:szCs w:val="20"/>
                <w:lang w:eastAsia="sk-SK"/>
              </w:rPr>
              <w:t>Negatívne</w:t>
            </w:r>
          </w:p>
        </w:tc>
      </w:tr>
      <w:tr w:rsidR="00F33C13" w:rsidRPr="00507E84" w14:paraId="676F1B0E" w14:textId="77777777" w:rsidTr="00F33C13">
        <w:tc>
          <w:tcPr>
            <w:tcW w:w="3812" w:type="dxa"/>
            <w:tcBorders>
              <w:top w:val="single" w:sz="4" w:space="0" w:color="auto"/>
              <w:left w:val="single" w:sz="4" w:space="0" w:color="auto"/>
              <w:bottom w:val="nil"/>
              <w:right w:val="single" w:sz="4" w:space="0" w:color="auto"/>
            </w:tcBorders>
            <w:shd w:val="clear" w:color="auto" w:fill="E2E2E2"/>
          </w:tcPr>
          <w:p w14:paraId="1D313A29"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lastRenderedPageBreak/>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0490EA13"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312" w:type="dxa"/>
            <w:gridSpan w:val="3"/>
            <w:tcBorders>
              <w:top w:val="single" w:sz="4" w:space="0" w:color="auto"/>
              <w:left w:val="nil"/>
              <w:bottom w:val="dotted" w:sz="4" w:space="0" w:color="auto"/>
              <w:right w:val="nil"/>
            </w:tcBorders>
            <w:vAlign w:val="center"/>
          </w:tcPr>
          <w:p w14:paraId="467090B3" w14:textId="77777777" w:rsidR="00F33C13" w:rsidRPr="00507E84" w:rsidRDefault="00F33C13" w:rsidP="00F33C13">
            <w:pPr>
              <w:ind w:right="-108"/>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76C0CE6"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3737C6A5"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71CC81C7"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4D9BA754" w14:textId="77777777" w:rsidR="00F33C13" w:rsidRPr="00507E84" w:rsidRDefault="00F33C13" w:rsidP="00F33C13">
            <w:pPr>
              <w:ind w:left="54"/>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Negatívne</w:t>
            </w:r>
          </w:p>
        </w:tc>
      </w:tr>
      <w:tr w:rsidR="00F33C13" w:rsidRPr="00507E84" w14:paraId="12F75D94" w14:textId="77777777" w:rsidTr="00F33C13">
        <w:tc>
          <w:tcPr>
            <w:tcW w:w="3812" w:type="dxa"/>
            <w:tcBorders>
              <w:top w:val="nil"/>
              <w:left w:val="single" w:sz="4" w:space="0" w:color="000000"/>
              <w:bottom w:val="nil"/>
              <w:right w:val="single" w:sz="4" w:space="0" w:color="000000"/>
            </w:tcBorders>
            <w:shd w:val="clear" w:color="auto" w:fill="E2E2E2"/>
          </w:tcPr>
          <w:p w14:paraId="2C6DC440"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xml:space="preserve">    z toho vplyvy na MSP</w:t>
            </w:r>
          </w:p>
          <w:p w14:paraId="0A0E8EC4" w14:textId="77777777" w:rsidR="00F33C13" w:rsidRPr="00507E84" w:rsidRDefault="00F33C13" w:rsidP="00F33C13">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6B879B90" w14:textId="77777777" w:rsidR="00F33C13" w:rsidRPr="00507E84" w:rsidRDefault="00F33C13" w:rsidP="00F33C13">
                <w:pPr>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sz w:val="20"/>
                    <w:szCs w:val="20"/>
                    <w:lang w:eastAsia="sk-SK"/>
                  </w:rPr>
                  <w:t>☒</w:t>
                </w:r>
              </w:p>
            </w:tc>
          </w:sdtContent>
        </w:sdt>
        <w:tc>
          <w:tcPr>
            <w:tcW w:w="1312" w:type="dxa"/>
            <w:gridSpan w:val="3"/>
            <w:tcBorders>
              <w:top w:val="dotted" w:sz="4" w:space="0" w:color="auto"/>
              <w:left w:val="nil"/>
              <w:bottom w:val="dotted" w:sz="4" w:space="0" w:color="auto"/>
              <w:right w:val="nil"/>
            </w:tcBorders>
            <w:vAlign w:val="center"/>
          </w:tcPr>
          <w:p w14:paraId="4C67E384" w14:textId="77777777" w:rsidR="00F33C13" w:rsidRPr="00507E84" w:rsidRDefault="00F33C13" w:rsidP="00F33C13">
            <w:pPr>
              <w:ind w:right="-108"/>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89010B3" w14:textId="77777777" w:rsidR="00F33C13" w:rsidRPr="00507E84" w:rsidRDefault="00F33C13" w:rsidP="00F33C13">
                <w:pPr>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9DD8362"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2063712" w14:textId="77777777" w:rsidR="00F33C13" w:rsidRPr="00507E84" w:rsidRDefault="00F33C13" w:rsidP="00F33C13">
                <w:pPr>
                  <w:jc w:val="center"/>
                  <w:rPr>
                    <w:rFonts w:ascii="Times New Roman" w:eastAsia="Times New Roman" w:hAnsi="Times New Roman" w:cs="Times New Roman"/>
                    <w:sz w:val="20"/>
                    <w:szCs w:val="20"/>
                    <w:lang w:eastAsia="sk-SK"/>
                  </w:rPr>
                </w:pPr>
                <w:r w:rsidRPr="00507E84">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37B79AA" w14:textId="77777777" w:rsidR="00F33C13" w:rsidRPr="00507E84" w:rsidRDefault="00F33C13" w:rsidP="00F33C13">
            <w:pPr>
              <w:ind w:left="54"/>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Negatívne</w:t>
            </w:r>
          </w:p>
        </w:tc>
      </w:tr>
      <w:tr w:rsidR="00F33C13" w:rsidRPr="00507E84" w14:paraId="133672C0" w14:textId="77777777" w:rsidTr="00F33C13">
        <w:tc>
          <w:tcPr>
            <w:tcW w:w="3812" w:type="dxa"/>
            <w:tcBorders>
              <w:top w:val="nil"/>
              <w:left w:val="single" w:sz="4" w:space="0" w:color="auto"/>
              <w:bottom w:val="single" w:sz="4" w:space="0" w:color="auto"/>
              <w:right w:val="single" w:sz="4" w:space="0" w:color="auto"/>
            </w:tcBorders>
            <w:shd w:val="clear" w:color="auto" w:fill="E2E2E2"/>
          </w:tcPr>
          <w:p w14:paraId="36CDC30B"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xml:space="preserve">    Mechanizmus znižovania byrokracie    </w:t>
            </w:r>
          </w:p>
          <w:p w14:paraId="0EC05364"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34BE75E"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596" w:type="dxa"/>
            <w:gridSpan w:val="4"/>
            <w:tcBorders>
              <w:top w:val="dotted" w:sz="4" w:space="0" w:color="auto"/>
              <w:left w:val="nil"/>
              <w:bottom w:val="single" w:sz="4" w:space="0" w:color="auto"/>
              <w:right w:val="nil"/>
            </w:tcBorders>
            <w:vAlign w:val="center"/>
          </w:tcPr>
          <w:p w14:paraId="11F7B1EE" w14:textId="77777777" w:rsidR="00F33C13" w:rsidRPr="00507E84" w:rsidRDefault="00F33C13" w:rsidP="00F33C13">
            <w:pPr>
              <w:ind w:right="-108"/>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6671B474" w14:textId="77777777" w:rsidR="00F33C13" w:rsidRPr="00507E84" w:rsidRDefault="00F33C13" w:rsidP="00F33C13">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3324B170" w14:textId="77777777" w:rsidR="00F33C13" w:rsidRPr="00507E84" w:rsidRDefault="00F33C13" w:rsidP="00F33C13">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1B7F3BA"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90DD879" w14:textId="77777777" w:rsidR="00F33C13" w:rsidRPr="00507E84" w:rsidRDefault="00F33C13" w:rsidP="00F33C13">
            <w:pPr>
              <w:ind w:left="54"/>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sz w:val="20"/>
                <w:szCs w:val="20"/>
                <w:lang w:eastAsia="sk-SK"/>
              </w:rPr>
              <w:t>Nie</w:t>
            </w:r>
          </w:p>
        </w:tc>
      </w:tr>
      <w:tr w:rsidR="00F33C13" w:rsidRPr="00507E84" w14:paraId="2316D54B" w14:textId="77777777" w:rsidTr="00F33C13">
        <w:tc>
          <w:tcPr>
            <w:tcW w:w="3812" w:type="dxa"/>
            <w:tcBorders>
              <w:top w:val="single" w:sz="4" w:space="0" w:color="000000"/>
              <w:left w:val="single" w:sz="4" w:space="0" w:color="auto"/>
              <w:bottom w:val="single" w:sz="4" w:space="0" w:color="auto"/>
              <w:right w:val="single" w:sz="4" w:space="0" w:color="auto"/>
            </w:tcBorders>
            <w:shd w:val="clear" w:color="auto" w:fill="E2E2E2"/>
          </w:tcPr>
          <w:p w14:paraId="2ADCEC98"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86D4993"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312" w:type="dxa"/>
            <w:gridSpan w:val="3"/>
            <w:tcBorders>
              <w:top w:val="single" w:sz="4" w:space="0" w:color="auto"/>
              <w:left w:val="nil"/>
              <w:bottom w:val="single" w:sz="4" w:space="0" w:color="auto"/>
              <w:right w:val="nil"/>
            </w:tcBorders>
          </w:tcPr>
          <w:p w14:paraId="13AC7BC0" w14:textId="77777777" w:rsidR="00F33C13" w:rsidRPr="00507E84" w:rsidRDefault="00F33C13" w:rsidP="00F33C13">
            <w:pPr>
              <w:ind w:right="-108"/>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B14253A"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2EE50FEB"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4A068CA"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8E0CCA0" w14:textId="77777777" w:rsidR="00F33C13" w:rsidRPr="00507E84" w:rsidRDefault="00F33C13" w:rsidP="00F33C13">
            <w:pPr>
              <w:ind w:left="54"/>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Negatívne</w:t>
            </w:r>
          </w:p>
        </w:tc>
      </w:tr>
      <w:tr w:rsidR="00F33C13" w:rsidRPr="00507E84" w14:paraId="2B2C5A85" w14:textId="77777777" w:rsidTr="00F33C13">
        <w:tc>
          <w:tcPr>
            <w:tcW w:w="3812" w:type="dxa"/>
            <w:tcBorders>
              <w:top w:val="single" w:sz="4" w:space="0" w:color="auto"/>
              <w:left w:val="single" w:sz="4" w:space="0" w:color="auto"/>
              <w:bottom w:val="nil"/>
              <w:right w:val="single" w:sz="4" w:space="0" w:color="auto"/>
            </w:tcBorders>
            <w:shd w:val="clear" w:color="auto" w:fill="E2E2E2"/>
          </w:tcPr>
          <w:p w14:paraId="3E015671"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45E0FBB"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312" w:type="dxa"/>
            <w:gridSpan w:val="3"/>
            <w:tcBorders>
              <w:top w:val="single" w:sz="4" w:space="0" w:color="auto"/>
              <w:left w:val="nil"/>
              <w:bottom w:val="single" w:sz="4" w:space="0" w:color="auto"/>
              <w:right w:val="nil"/>
            </w:tcBorders>
          </w:tcPr>
          <w:p w14:paraId="378E5B3E" w14:textId="77777777" w:rsidR="00F33C13" w:rsidRPr="00507E84" w:rsidRDefault="00F33C13" w:rsidP="00F33C13">
            <w:pPr>
              <w:ind w:right="-108"/>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B4F18FC"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547E75FB"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280F088"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7985CC8" w14:textId="77777777" w:rsidR="00F33C13" w:rsidRPr="00507E84" w:rsidRDefault="00F33C13" w:rsidP="00F33C13">
            <w:pPr>
              <w:ind w:left="54"/>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Negatívne</w:t>
            </w:r>
          </w:p>
        </w:tc>
      </w:tr>
      <w:tr w:rsidR="00F33C13" w:rsidRPr="00507E84" w14:paraId="66448F06" w14:textId="77777777" w:rsidTr="00F33C13">
        <w:tc>
          <w:tcPr>
            <w:tcW w:w="3812" w:type="dxa"/>
            <w:tcBorders>
              <w:top w:val="nil"/>
              <w:left w:val="single" w:sz="4" w:space="0" w:color="auto"/>
              <w:bottom w:val="single" w:sz="4" w:space="0" w:color="auto"/>
              <w:right w:val="single" w:sz="4" w:space="0" w:color="auto"/>
            </w:tcBorders>
            <w:shd w:val="clear" w:color="auto" w:fill="E2E2E2"/>
          </w:tcPr>
          <w:p w14:paraId="5F996F84" w14:textId="77777777" w:rsidR="00F33C13" w:rsidRPr="00507E84" w:rsidRDefault="00F33C13" w:rsidP="00F33C13">
            <w:pPr>
              <w:rPr>
                <w:rFonts w:ascii="Times New Roman" w:eastAsia="Times New Roman" w:hAnsi="Times New Roman" w:cs="Times New Roman"/>
                <w:sz w:val="20"/>
                <w:szCs w:val="20"/>
                <w:lang w:eastAsia="sk-SK"/>
              </w:rPr>
            </w:pPr>
          </w:p>
          <w:p w14:paraId="1C57F492" w14:textId="77777777" w:rsidR="00F33C13" w:rsidRPr="00507E84" w:rsidRDefault="00F33C13" w:rsidP="00F33C13">
            <w:pPr>
              <w:ind w:left="164"/>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54E41CE"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563F6196" w14:textId="77777777" w:rsidR="00F33C13" w:rsidRPr="00507E84" w:rsidRDefault="00F33C13" w:rsidP="00F33C13">
            <w:pPr>
              <w:ind w:right="-108"/>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88FAB1B" w14:textId="77777777" w:rsidR="00F33C13" w:rsidRPr="00507E84" w:rsidRDefault="00F33C13" w:rsidP="00F33C13">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1AA40F11" w14:textId="77777777" w:rsidR="00F33C13" w:rsidRPr="00507E84" w:rsidRDefault="00F33C13" w:rsidP="00F33C13">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2E2B401"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E204002" w14:textId="77777777" w:rsidR="00F33C13" w:rsidRPr="00507E84" w:rsidRDefault="00F33C13" w:rsidP="00F33C13">
            <w:pPr>
              <w:ind w:left="54"/>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sz w:val="20"/>
                <w:szCs w:val="20"/>
                <w:lang w:eastAsia="sk-SK"/>
              </w:rPr>
              <w:t>Nie</w:t>
            </w:r>
          </w:p>
        </w:tc>
      </w:tr>
      <w:tr w:rsidR="00F33C13" w:rsidRPr="00507E84" w14:paraId="736C2BA8" w14:textId="77777777" w:rsidTr="00F33C13">
        <w:tc>
          <w:tcPr>
            <w:tcW w:w="3812" w:type="dxa"/>
            <w:tcBorders>
              <w:top w:val="single" w:sz="4" w:space="0" w:color="auto"/>
              <w:left w:val="single" w:sz="4" w:space="0" w:color="auto"/>
              <w:bottom w:val="single" w:sz="4" w:space="0" w:color="auto"/>
              <w:right w:val="single" w:sz="4" w:space="0" w:color="auto"/>
            </w:tcBorders>
            <w:shd w:val="clear" w:color="auto" w:fill="E2E2E2"/>
          </w:tcPr>
          <w:p w14:paraId="6F2FD496"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8FB5E8E"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312" w:type="dxa"/>
            <w:gridSpan w:val="3"/>
            <w:tcBorders>
              <w:top w:val="single" w:sz="4" w:space="0" w:color="auto"/>
              <w:left w:val="nil"/>
              <w:bottom w:val="single" w:sz="4" w:space="0" w:color="auto"/>
              <w:right w:val="nil"/>
            </w:tcBorders>
          </w:tcPr>
          <w:p w14:paraId="7E671BF7" w14:textId="77777777" w:rsidR="00F33C13" w:rsidRPr="00507E84" w:rsidRDefault="00F33C13" w:rsidP="00F33C13">
            <w:pPr>
              <w:ind w:right="-108"/>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4A8BD47"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68723205"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FF5D2DD"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4A75B74" w14:textId="77777777" w:rsidR="00F33C13" w:rsidRPr="00507E84" w:rsidRDefault="00F33C13" w:rsidP="00F33C13">
            <w:pPr>
              <w:ind w:left="54"/>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Negatívne</w:t>
            </w:r>
          </w:p>
        </w:tc>
      </w:tr>
      <w:tr w:rsidR="00F33C13" w:rsidRPr="00507E84" w14:paraId="1525641C" w14:textId="77777777" w:rsidTr="00F33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single" w:sz="4" w:space="0" w:color="auto"/>
              <w:left w:val="single" w:sz="4" w:space="0" w:color="auto"/>
              <w:bottom w:val="nil"/>
              <w:right w:val="single" w:sz="4" w:space="0" w:color="auto"/>
            </w:tcBorders>
            <w:shd w:val="clear" w:color="auto" w:fill="E2E2E2"/>
          </w:tcPr>
          <w:p w14:paraId="17D3C6EB" w14:textId="77777777" w:rsidR="00F33C13" w:rsidRPr="00507E84" w:rsidRDefault="00F33C13" w:rsidP="00F33C13">
            <w:pPr>
              <w:spacing w:after="0" w:line="240" w:lineRule="auto"/>
              <w:rPr>
                <w:rFonts w:ascii="Times New Roman" w:eastAsia="Times New Roman" w:hAnsi="Times New Roman" w:cs="Times New Roman"/>
                <w:b/>
                <w:sz w:val="20"/>
                <w:szCs w:val="20"/>
                <w:lang w:eastAsia="sk-SK"/>
              </w:rPr>
            </w:pPr>
            <w:r w:rsidRPr="00507E84">
              <w:rPr>
                <w:rFonts w:ascii="Times New Roman" w:eastAsia="Calibri" w:hAnsi="Times New Roman" w:cs="Times New Roman"/>
                <w:b/>
                <w:sz w:val="20"/>
                <w:szCs w:val="20"/>
              </w:rPr>
              <w:t>Vplyvy na služby verejnej správy pre občana, z toho</w:t>
            </w:r>
          </w:p>
        </w:tc>
        <w:tc>
          <w:tcPr>
            <w:tcW w:w="541" w:type="dxa"/>
            <w:gridSpan w:val="2"/>
            <w:tcBorders>
              <w:top w:val="single" w:sz="4" w:space="0" w:color="auto"/>
              <w:left w:val="single" w:sz="4" w:space="0" w:color="auto"/>
              <w:bottom w:val="nil"/>
              <w:right w:val="nil"/>
            </w:tcBorders>
            <w:shd w:val="clear" w:color="auto" w:fill="auto"/>
          </w:tcPr>
          <w:p w14:paraId="3282D4A7" w14:textId="77777777" w:rsidR="00F33C13" w:rsidRPr="00507E84" w:rsidRDefault="00F33C13" w:rsidP="00F33C13">
            <w:pPr>
              <w:spacing w:after="0" w:line="240" w:lineRule="auto"/>
              <w:jc w:val="center"/>
              <w:rPr>
                <w:rFonts w:ascii="Times New Roman" w:eastAsia="MS Mincho" w:hAnsi="Times New Roman" w:cs="Times New Roman"/>
                <w:b/>
                <w:sz w:val="20"/>
                <w:szCs w:val="20"/>
                <w:lang w:eastAsia="sk-SK"/>
              </w:rPr>
            </w:pPr>
          </w:p>
        </w:tc>
        <w:tc>
          <w:tcPr>
            <w:tcW w:w="1281" w:type="dxa"/>
            <w:gridSpan w:val="2"/>
            <w:tcBorders>
              <w:top w:val="single" w:sz="4" w:space="0" w:color="auto"/>
              <w:left w:val="nil"/>
              <w:bottom w:val="nil"/>
              <w:right w:val="nil"/>
            </w:tcBorders>
            <w:shd w:val="clear" w:color="auto" w:fill="auto"/>
          </w:tcPr>
          <w:p w14:paraId="6024D5BF" w14:textId="77777777" w:rsidR="00F33C13" w:rsidRPr="00507E84" w:rsidRDefault="00F33C13" w:rsidP="00F33C13">
            <w:pPr>
              <w:spacing w:after="0" w:line="240" w:lineRule="auto"/>
              <w:ind w:right="-108"/>
              <w:rPr>
                <w:rFonts w:ascii="Times New Roman" w:eastAsia="Times New Roman" w:hAnsi="Times New Roman" w:cs="Times New Roman"/>
                <w:b/>
                <w:sz w:val="20"/>
                <w:szCs w:val="20"/>
                <w:lang w:eastAsia="sk-SK"/>
              </w:rPr>
            </w:pPr>
          </w:p>
        </w:tc>
        <w:tc>
          <w:tcPr>
            <w:tcW w:w="569" w:type="dxa"/>
            <w:gridSpan w:val="3"/>
            <w:tcBorders>
              <w:top w:val="single" w:sz="4" w:space="0" w:color="auto"/>
              <w:left w:val="nil"/>
              <w:bottom w:val="nil"/>
              <w:right w:val="nil"/>
            </w:tcBorders>
            <w:shd w:val="clear" w:color="auto" w:fill="auto"/>
          </w:tcPr>
          <w:p w14:paraId="0028DA61" w14:textId="77777777" w:rsidR="00F33C13" w:rsidRPr="00507E84" w:rsidRDefault="00F33C13" w:rsidP="00F33C13">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3A4E747C" w14:textId="77777777" w:rsidR="00F33C13" w:rsidRPr="00507E84" w:rsidRDefault="00F33C13" w:rsidP="00F33C13">
            <w:pPr>
              <w:spacing w:after="0" w:line="240" w:lineRule="auto"/>
              <w:rPr>
                <w:rFonts w:ascii="Times New Roman" w:eastAsia="Times New Roman" w:hAnsi="Times New Roman" w:cs="Times New Roman"/>
                <w:b/>
                <w:sz w:val="20"/>
                <w:szCs w:val="20"/>
                <w:lang w:eastAsia="sk-SK"/>
              </w:rPr>
            </w:pPr>
          </w:p>
        </w:tc>
        <w:tc>
          <w:tcPr>
            <w:tcW w:w="547" w:type="dxa"/>
            <w:gridSpan w:val="2"/>
            <w:tcBorders>
              <w:top w:val="single" w:sz="4" w:space="0" w:color="auto"/>
              <w:left w:val="nil"/>
              <w:bottom w:val="nil"/>
              <w:right w:val="nil"/>
            </w:tcBorders>
            <w:shd w:val="clear" w:color="auto" w:fill="auto"/>
          </w:tcPr>
          <w:p w14:paraId="6ED78A31" w14:textId="77777777" w:rsidR="00F33C13" w:rsidRPr="00507E84" w:rsidRDefault="00F33C13" w:rsidP="00F33C13">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5DDD7D86" w14:textId="77777777" w:rsidR="00F33C13" w:rsidRPr="00507E84" w:rsidRDefault="00F33C13" w:rsidP="00F33C13">
            <w:pPr>
              <w:spacing w:after="0" w:line="240" w:lineRule="auto"/>
              <w:ind w:left="54"/>
              <w:rPr>
                <w:rFonts w:ascii="Times New Roman" w:eastAsia="Times New Roman" w:hAnsi="Times New Roman" w:cs="Times New Roman"/>
                <w:b/>
                <w:sz w:val="20"/>
                <w:szCs w:val="20"/>
                <w:lang w:eastAsia="sk-SK"/>
              </w:rPr>
            </w:pPr>
          </w:p>
        </w:tc>
      </w:tr>
      <w:tr w:rsidR="00F33C13" w:rsidRPr="00507E84" w14:paraId="33258F33" w14:textId="77777777" w:rsidTr="00F33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nil"/>
              <w:left w:val="single" w:sz="4" w:space="0" w:color="auto"/>
              <w:bottom w:val="nil"/>
              <w:right w:val="single" w:sz="4" w:space="0" w:color="auto"/>
            </w:tcBorders>
            <w:shd w:val="clear" w:color="auto" w:fill="E2E2E2"/>
          </w:tcPr>
          <w:p w14:paraId="567E4543" w14:textId="77777777" w:rsidR="00F33C13" w:rsidRPr="00507E84" w:rsidRDefault="00F33C13" w:rsidP="00F33C13">
            <w:pPr>
              <w:spacing w:after="0" w:line="240" w:lineRule="auto"/>
              <w:ind w:left="196" w:hanging="196"/>
              <w:rPr>
                <w:rFonts w:ascii="Times New Roman" w:eastAsia="Calibri" w:hAnsi="Times New Roman" w:cs="Times New Roman"/>
                <w:b/>
                <w:sz w:val="20"/>
                <w:szCs w:val="20"/>
              </w:rPr>
            </w:pPr>
            <w:r w:rsidRPr="00507E8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gridSpan w:val="2"/>
                <w:tcBorders>
                  <w:top w:val="nil"/>
                  <w:left w:val="single" w:sz="4" w:space="0" w:color="auto"/>
                  <w:bottom w:val="dotted" w:sz="4" w:space="0" w:color="auto"/>
                  <w:right w:val="nil"/>
                </w:tcBorders>
                <w:shd w:val="clear" w:color="auto" w:fill="auto"/>
              </w:tcPr>
              <w:p w14:paraId="4533F2EE" w14:textId="77777777" w:rsidR="00F33C13" w:rsidRPr="00507E84" w:rsidRDefault="00F33C13" w:rsidP="00F33C13">
                <w:pPr>
                  <w:spacing w:after="0" w:line="240" w:lineRule="auto"/>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312" w:type="dxa"/>
            <w:gridSpan w:val="3"/>
            <w:tcBorders>
              <w:top w:val="nil"/>
              <w:left w:val="nil"/>
              <w:bottom w:val="dotted" w:sz="4" w:space="0" w:color="auto"/>
              <w:right w:val="nil"/>
            </w:tcBorders>
            <w:shd w:val="clear" w:color="auto" w:fill="auto"/>
          </w:tcPr>
          <w:p w14:paraId="74FB7B42" w14:textId="77777777" w:rsidR="00F33C13" w:rsidRPr="00507E84" w:rsidRDefault="00F33C13" w:rsidP="00F33C13">
            <w:pPr>
              <w:spacing w:after="0" w:line="240" w:lineRule="auto"/>
              <w:ind w:right="-108"/>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gridSpan w:val="2"/>
                <w:tcBorders>
                  <w:top w:val="nil"/>
                  <w:left w:val="nil"/>
                  <w:bottom w:val="dotted" w:sz="4" w:space="0" w:color="auto"/>
                  <w:right w:val="nil"/>
                </w:tcBorders>
                <w:shd w:val="clear" w:color="auto" w:fill="auto"/>
              </w:tcPr>
              <w:p w14:paraId="6EB49B45" w14:textId="77777777" w:rsidR="00F33C13" w:rsidRPr="00507E84" w:rsidRDefault="00F33C13" w:rsidP="00F33C13">
                <w:pPr>
                  <w:spacing w:after="0" w:line="240" w:lineRule="auto"/>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14:paraId="21B58F7E" w14:textId="77777777" w:rsidR="00F33C13" w:rsidRPr="00507E84" w:rsidRDefault="00F33C13" w:rsidP="00F33C13">
            <w:pPr>
              <w:spacing w:after="0" w:line="240" w:lineRule="auto"/>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gridSpan w:val="2"/>
                <w:tcBorders>
                  <w:top w:val="nil"/>
                  <w:left w:val="nil"/>
                  <w:bottom w:val="dotted" w:sz="4" w:space="0" w:color="auto"/>
                  <w:right w:val="nil"/>
                </w:tcBorders>
                <w:shd w:val="clear" w:color="auto" w:fill="auto"/>
              </w:tcPr>
              <w:p w14:paraId="4D4E9E21" w14:textId="77777777" w:rsidR="00F33C13" w:rsidRPr="00507E84" w:rsidRDefault="00F33C13" w:rsidP="00F33C13">
                <w:pPr>
                  <w:spacing w:after="0" w:line="240" w:lineRule="auto"/>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5C152B28" w14:textId="77777777" w:rsidR="00F33C13" w:rsidRPr="00507E84" w:rsidRDefault="00F33C13" w:rsidP="00F33C13">
            <w:pPr>
              <w:spacing w:after="0" w:line="240" w:lineRule="auto"/>
              <w:ind w:left="54"/>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Negatívne</w:t>
            </w:r>
          </w:p>
        </w:tc>
      </w:tr>
      <w:tr w:rsidR="00F33C13" w:rsidRPr="00507E84" w14:paraId="79C252BF" w14:textId="77777777" w:rsidTr="00F33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nil"/>
              <w:left w:val="single" w:sz="4" w:space="0" w:color="auto"/>
              <w:bottom w:val="nil"/>
              <w:right w:val="single" w:sz="4" w:space="0" w:color="auto"/>
            </w:tcBorders>
            <w:shd w:val="clear" w:color="auto" w:fill="E2E2E2"/>
          </w:tcPr>
          <w:p w14:paraId="42F3600F" w14:textId="77777777" w:rsidR="00F33C13" w:rsidRPr="00507E84" w:rsidRDefault="00F33C13" w:rsidP="00F33C13">
            <w:pPr>
              <w:spacing w:after="0" w:line="240" w:lineRule="auto"/>
              <w:ind w:left="168" w:hanging="168"/>
              <w:rPr>
                <w:rFonts w:ascii="Times New Roman" w:eastAsia="Calibri" w:hAnsi="Times New Roman" w:cs="Times New Roman"/>
                <w:b/>
                <w:sz w:val="20"/>
                <w:szCs w:val="20"/>
              </w:rPr>
            </w:pPr>
            <w:r w:rsidRPr="00507E8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shd w:val="clear" w:color="auto" w:fill="auto"/>
                <w:vAlign w:val="center"/>
              </w:tcPr>
              <w:p w14:paraId="0DB8F2B3" w14:textId="77777777" w:rsidR="00F33C13" w:rsidRPr="00507E84" w:rsidRDefault="00F33C13" w:rsidP="00F33C13">
                <w:pPr>
                  <w:spacing w:after="0" w:line="240" w:lineRule="auto"/>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312" w:type="dxa"/>
            <w:gridSpan w:val="3"/>
            <w:tcBorders>
              <w:top w:val="dotted" w:sz="4" w:space="0" w:color="auto"/>
              <w:left w:val="nil"/>
              <w:bottom w:val="dotted" w:sz="4" w:space="0" w:color="auto"/>
              <w:right w:val="nil"/>
            </w:tcBorders>
            <w:shd w:val="clear" w:color="auto" w:fill="auto"/>
            <w:vAlign w:val="center"/>
          </w:tcPr>
          <w:p w14:paraId="0B4368F0" w14:textId="77777777" w:rsidR="00F33C13" w:rsidRPr="00507E84" w:rsidRDefault="00F33C13" w:rsidP="00F33C13">
            <w:pPr>
              <w:spacing w:after="0" w:line="240" w:lineRule="auto"/>
              <w:ind w:right="-108"/>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shd w:val="clear" w:color="auto" w:fill="auto"/>
                <w:vAlign w:val="center"/>
              </w:tcPr>
              <w:p w14:paraId="341D8399" w14:textId="77777777" w:rsidR="00F33C13" w:rsidRPr="00507E84" w:rsidRDefault="00F33C13" w:rsidP="00F33C13">
                <w:pPr>
                  <w:spacing w:after="0" w:line="240" w:lineRule="auto"/>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6B4E5833" w14:textId="77777777" w:rsidR="00F33C13" w:rsidRPr="00507E84" w:rsidRDefault="00F33C13" w:rsidP="00F33C13">
            <w:pPr>
              <w:spacing w:after="0" w:line="240" w:lineRule="auto"/>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shd w:val="clear" w:color="auto" w:fill="auto"/>
                <w:vAlign w:val="center"/>
              </w:tcPr>
              <w:p w14:paraId="379A91A4" w14:textId="77777777" w:rsidR="00F33C13" w:rsidRPr="00507E84" w:rsidRDefault="00F33C13" w:rsidP="00F33C13">
                <w:pPr>
                  <w:spacing w:after="0" w:line="240" w:lineRule="auto"/>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FD216D2" w14:textId="77777777" w:rsidR="00F33C13" w:rsidRPr="00507E84" w:rsidRDefault="00F33C13" w:rsidP="00F33C13">
            <w:pPr>
              <w:spacing w:after="0" w:line="240" w:lineRule="auto"/>
              <w:ind w:left="54"/>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Negatívne</w:t>
            </w:r>
          </w:p>
        </w:tc>
      </w:tr>
      <w:tr w:rsidR="00F33C13" w:rsidRPr="00507E84" w14:paraId="1F1C2C42" w14:textId="77777777" w:rsidTr="00F33C13">
        <w:tc>
          <w:tcPr>
            <w:tcW w:w="3812" w:type="dxa"/>
            <w:tcBorders>
              <w:top w:val="single" w:sz="4" w:space="0" w:color="000000"/>
              <w:left w:val="single" w:sz="4" w:space="0" w:color="auto"/>
              <w:bottom w:val="single" w:sz="4" w:space="0" w:color="auto"/>
              <w:right w:val="single" w:sz="4" w:space="0" w:color="auto"/>
            </w:tcBorders>
            <w:shd w:val="clear" w:color="auto" w:fill="E2E2E2"/>
          </w:tcPr>
          <w:p w14:paraId="2EED6F23"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5CD4E08"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10376B37" w14:textId="77777777" w:rsidR="00F33C13" w:rsidRPr="00507E84" w:rsidRDefault="00F33C13" w:rsidP="00F33C13">
            <w:pPr>
              <w:ind w:right="-108"/>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3918DC72"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09CDD57D" w14:textId="77777777" w:rsidR="00F33C13" w:rsidRPr="00507E84" w:rsidRDefault="00F33C13" w:rsidP="00F33C13">
            <w:pPr>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883C83E" w14:textId="77777777" w:rsidR="00F33C13" w:rsidRPr="00507E84" w:rsidRDefault="00F33C13" w:rsidP="00F33C13">
                <w:pPr>
                  <w:jc w:val="center"/>
                  <w:rPr>
                    <w:rFonts w:ascii="Times New Roman" w:eastAsia="Times New Roman" w:hAnsi="Times New Roman" w:cs="Times New Roman"/>
                    <w:b/>
                    <w:sz w:val="20"/>
                    <w:szCs w:val="20"/>
                    <w:lang w:eastAsia="sk-SK"/>
                  </w:rPr>
                </w:pPr>
                <w:r w:rsidRPr="00507E8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2A5D654" w14:textId="77777777" w:rsidR="00F33C13" w:rsidRPr="00507E84" w:rsidRDefault="00F33C13" w:rsidP="00F33C13">
            <w:pPr>
              <w:ind w:left="54"/>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Negatívne</w:t>
            </w:r>
          </w:p>
        </w:tc>
      </w:tr>
    </w:tbl>
    <w:p w14:paraId="16DAAE5B" w14:textId="77777777" w:rsidR="00F33C13" w:rsidRPr="00507E84" w:rsidRDefault="00F33C13" w:rsidP="00F33C13">
      <w:pPr>
        <w:spacing w:after="0" w:line="240" w:lineRule="auto"/>
        <w:ind w:right="141"/>
        <w:rPr>
          <w:rFonts w:ascii="Times New Roman" w:eastAsia="Times New Roman" w:hAnsi="Times New Roman" w:cs="Times New Roman"/>
          <w:b/>
          <w:sz w:val="20"/>
          <w:szCs w:val="20"/>
          <w:lang w:eastAsia="sk-SK"/>
        </w:rPr>
      </w:pPr>
    </w:p>
    <w:tbl>
      <w:tblPr>
        <w:tblW w:w="9176" w:type="dxa"/>
        <w:tblLayout w:type="fixed"/>
        <w:tblLook w:val="04A0" w:firstRow="1" w:lastRow="0" w:firstColumn="1" w:lastColumn="0" w:noHBand="0" w:noVBand="1"/>
      </w:tblPr>
      <w:tblGrid>
        <w:gridCol w:w="9176"/>
      </w:tblGrid>
      <w:tr w:rsidR="00F33C13" w:rsidRPr="00507E84" w14:paraId="129975B4" w14:textId="77777777" w:rsidTr="00F33C13">
        <w:tc>
          <w:tcPr>
            <w:tcW w:w="9176" w:type="dxa"/>
            <w:tcBorders>
              <w:top w:val="single" w:sz="4" w:space="0" w:color="auto"/>
              <w:left w:val="single" w:sz="4" w:space="0" w:color="auto"/>
              <w:bottom w:val="nil"/>
              <w:right w:val="single" w:sz="4" w:space="0" w:color="auto"/>
            </w:tcBorders>
            <w:shd w:val="clear" w:color="auto" w:fill="E2E2E2"/>
          </w:tcPr>
          <w:p w14:paraId="5E5F8C62" w14:textId="77777777" w:rsidR="00F33C13" w:rsidRPr="00507E84" w:rsidRDefault="00F33C13" w:rsidP="00F33C13">
            <w:pPr>
              <w:numPr>
                <w:ilvl w:val="0"/>
                <w:numId w:val="6"/>
              </w:numPr>
              <w:ind w:left="426"/>
              <w:contextualSpacing/>
              <w:rPr>
                <w:rFonts w:ascii="Times New Roman" w:eastAsia="Calibri" w:hAnsi="Times New Roman" w:cs="Times New Roman"/>
                <w:b/>
              </w:rPr>
            </w:pPr>
            <w:r w:rsidRPr="00507E84">
              <w:rPr>
                <w:rFonts w:ascii="Times New Roman" w:eastAsia="Calibri" w:hAnsi="Times New Roman" w:cs="Times New Roman"/>
                <w:b/>
              </w:rPr>
              <w:t>Poznámky</w:t>
            </w:r>
          </w:p>
        </w:tc>
      </w:tr>
      <w:tr w:rsidR="00F33C13" w:rsidRPr="00507E84" w14:paraId="0E2861E0" w14:textId="77777777" w:rsidTr="00F33C13">
        <w:trPr>
          <w:trHeight w:val="713"/>
        </w:trPr>
        <w:tc>
          <w:tcPr>
            <w:tcW w:w="9176" w:type="dxa"/>
            <w:tcBorders>
              <w:top w:val="nil"/>
              <w:left w:val="single" w:sz="4" w:space="0" w:color="auto"/>
              <w:bottom w:val="single" w:sz="4" w:space="0" w:color="FFFFFF"/>
              <w:right w:val="single" w:sz="4" w:space="0" w:color="auto"/>
            </w:tcBorders>
            <w:shd w:val="clear" w:color="auto" w:fill="auto"/>
          </w:tcPr>
          <w:p w14:paraId="244535A9"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w:t>
            </w:r>
          </w:p>
        </w:tc>
      </w:tr>
      <w:tr w:rsidR="00F33C13" w:rsidRPr="00507E84" w14:paraId="24572607" w14:textId="77777777" w:rsidTr="00F33C13">
        <w:tc>
          <w:tcPr>
            <w:tcW w:w="9176" w:type="dxa"/>
            <w:tcBorders>
              <w:top w:val="single" w:sz="4" w:space="0" w:color="auto"/>
              <w:left w:val="single" w:sz="4" w:space="0" w:color="auto"/>
              <w:bottom w:val="single" w:sz="4" w:space="0" w:color="FFFFFF"/>
              <w:right w:val="single" w:sz="4" w:space="0" w:color="auto"/>
            </w:tcBorders>
            <w:shd w:val="clear" w:color="auto" w:fill="E2E2E2"/>
          </w:tcPr>
          <w:p w14:paraId="3E3F7ACF" w14:textId="77777777" w:rsidR="00F33C13" w:rsidRPr="00507E84" w:rsidRDefault="00F33C13" w:rsidP="00F33C13">
            <w:pPr>
              <w:numPr>
                <w:ilvl w:val="0"/>
                <w:numId w:val="6"/>
              </w:numPr>
              <w:ind w:left="426"/>
              <w:contextualSpacing/>
              <w:rPr>
                <w:rFonts w:ascii="Times New Roman" w:eastAsia="Calibri" w:hAnsi="Times New Roman" w:cs="Times New Roman"/>
                <w:b/>
              </w:rPr>
            </w:pPr>
            <w:r w:rsidRPr="00507E84">
              <w:rPr>
                <w:rFonts w:ascii="Times New Roman" w:eastAsia="Calibri" w:hAnsi="Times New Roman" w:cs="Times New Roman"/>
                <w:b/>
              </w:rPr>
              <w:t>Kontakt na spracovateľa</w:t>
            </w:r>
          </w:p>
        </w:tc>
      </w:tr>
      <w:tr w:rsidR="00F33C13" w:rsidRPr="00507E84" w14:paraId="4966CA09" w14:textId="77777777" w:rsidTr="00F33C13">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E5A9151" w14:textId="77777777" w:rsidR="00F33C13" w:rsidRPr="00507E84" w:rsidRDefault="00F33C13" w:rsidP="00F33C13">
            <w:pPr>
              <w:rPr>
                <w:rFonts w:ascii="Times New Roman" w:eastAsia="Times New Roman" w:hAnsi="Times New Roman" w:cs="Times New Roman"/>
                <w:sz w:val="20"/>
                <w:szCs w:val="20"/>
                <w:lang w:eastAsia="sk-SK"/>
              </w:rPr>
            </w:pPr>
          </w:p>
          <w:p w14:paraId="3385A1CD"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JUDr. Dalibor Šnirc</w:t>
            </w:r>
          </w:p>
          <w:p w14:paraId="289CF2FE"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odbor regulácie a metodiky</w:t>
            </w:r>
          </w:p>
          <w:p w14:paraId="2822B29F"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xml:space="preserve">sekcia regulácie a dohľadu </w:t>
            </w:r>
          </w:p>
          <w:p w14:paraId="562B4804"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Národný bezpečnostný úrad</w:t>
            </w:r>
          </w:p>
          <w:p w14:paraId="55769B84" w14:textId="77777777" w:rsidR="00F33C13" w:rsidRPr="00507E84" w:rsidRDefault="00B540AB" w:rsidP="00F33C13">
            <w:pPr>
              <w:rPr>
                <w:rFonts w:ascii="Times New Roman" w:eastAsia="Times New Roman" w:hAnsi="Times New Roman" w:cs="Times New Roman"/>
                <w:sz w:val="20"/>
                <w:szCs w:val="20"/>
                <w:lang w:eastAsia="sk-SK"/>
              </w:rPr>
            </w:pPr>
            <w:hyperlink r:id="rId8" w:history="1">
              <w:r w:rsidR="00F33C13" w:rsidRPr="00507E84">
                <w:rPr>
                  <w:rStyle w:val="Hypertextovprepojenie"/>
                  <w:rFonts w:ascii="Times New Roman" w:eastAsia="Times New Roman" w:hAnsi="Times New Roman" w:cs="Times New Roman"/>
                  <w:sz w:val="20"/>
                  <w:szCs w:val="20"/>
                  <w:lang w:eastAsia="sk-SK"/>
                </w:rPr>
                <w:t>dalibor.snirc@nbu.gov.sk</w:t>
              </w:r>
            </w:hyperlink>
          </w:p>
          <w:p w14:paraId="4238FD88" w14:textId="77777777" w:rsidR="00F33C13" w:rsidRPr="00507E84" w:rsidRDefault="00B540AB" w:rsidP="00F33C13">
            <w:pPr>
              <w:rPr>
                <w:rFonts w:ascii="Times New Roman" w:eastAsia="Times New Roman" w:hAnsi="Times New Roman" w:cs="Times New Roman"/>
                <w:sz w:val="20"/>
                <w:szCs w:val="20"/>
                <w:lang w:eastAsia="sk-SK"/>
              </w:rPr>
            </w:pPr>
            <w:hyperlink r:id="rId9" w:history="1">
              <w:r w:rsidR="00F33C13" w:rsidRPr="00507E84">
                <w:rPr>
                  <w:rStyle w:val="Hypertextovprepojenie"/>
                  <w:rFonts w:ascii="Times New Roman" w:eastAsia="Times New Roman" w:hAnsi="Times New Roman" w:cs="Times New Roman"/>
                  <w:sz w:val="20"/>
                  <w:szCs w:val="20"/>
                  <w:lang w:eastAsia="sk-SK"/>
                </w:rPr>
                <w:t>legislativa@nbu.gov.sk</w:t>
              </w:r>
            </w:hyperlink>
            <w:r w:rsidR="00F33C13" w:rsidRPr="00507E84">
              <w:rPr>
                <w:rFonts w:ascii="Times New Roman" w:eastAsia="Times New Roman" w:hAnsi="Times New Roman" w:cs="Times New Roman"/>
                <w:sz w:val="20"/>
                <w:szCs w:val="20"/>
                <w:lang w:eastAsia="sk-SK"/>
              </w:rPr>
              <w:t xml:space="preserve"> </w:t>
            </w:r>
          </w:p>
          <w:p w14:paraId="1F63176F" w14:textId="77777777" w:rsidR="00F33C13" w:rsidRPr="00507E84" w:rsidRDefault="00F33C13" w:rsidP="00F33C13">
            <w:pPr>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+421 2 6869 2264</w:t>
            </w:r>
          </w:p>
          <w:p w14:paraId="3786CCAD" w14:textId="77777777" w:rsidR="00F33C13" w:rsidRPr="00507E84" w:rsidRDefault="00F33C13" w:rsidP="00F33C13">
            <w:pPr>
              <w:rPr>
                <w:rFonts w:ascii="Times New Roman" w:eastAsia="Times New Roman" w:hAnsi="Times New Roman" w:cs="Times New Roman"/>
                <w:sz w:val="20"/>
                <w:szCs w:val="20"/>
                <w:lang w:eastAsia="sk-SK"/>
              </w:rPr>
            </w:pPr>
          </w:p>
        </w:tc>
      </w:tr>
      <w:tr w:rsidR="00F33C13" w:rsidRPr="00507E84" w14:paraId="45CA6308" w14:textId="77777777" w:rsidTr="00F33C13">
        <w:tc>
          <w:tcPr>
            <w:tcW w:w="9176" w:type="dxa"/>
            <w:tcBorders>
              <w:top w:val="single" w:sz="4" w:space="0" w:color="auto"/>
              <w:left w:val="single" w:sz="4" w:space="0" w:color="auto"/>
              <w:bottom w:val="single" w:sz="4" w:space="0" w:color="FFFFFF"/>
              <w:right w:val="single" w:sz="4" w:space="0" w:color="auto"/>
            </w:tcBorders>
            <w:shd w:val="clear" w:color="auto" w:fill="E2E2E2"/>
          </w:tcPr>
          <w:p w14:paraId="07619629" w14:textId="77777777" w:rsidR="00F33C13" w:rsidRPr="00507E84" w:rsidRDefault="00F33C13" w:rsidP="00F33C13">
            <w:pPr>
              <w:numPr>
                <w:ilvl w:val="0"/>
                <w:numId w:val="6"/>
              </w:numPr>
              <w:ind w:left="426"/>
              <w:contextualSpacing/>
              <w:rPr>
                <w:rFonts w:ascii="Times New Roman" w:eastAsia="Calibri" w:hAnsi="Times New Roman" w:cs="Times New Roman"/>
                <w:b/>
              </w:rPr>
            </w:pPr>
            <w:r w:rsidRPr="00507E84">
              <w:rPr>
                <w:rFonts w:ascii="Times New Roman" w:eastAsia="Calibri" w:hAnsi="Times New Roman" w:cs="Times New Roman"/>
                <w:b/>
              </w:rPr>
              <w:t>Zdroje</w:t>
            </w:r>
          </w:p>
        </w:tc>
      </w:tr>
      <w:tr w:rsidR="00F33C13" w:rsidRPr="00507E84" w14:paraId="6B9FECA2" w14:textId="77777777" w:rsidTr="00F33C13">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0461655" w14:textId="77777777" w:rsidR="00F33C13" w:rsidRPr="00507E84" w:rsidRDefault="00F33C13" w:rsidP="00F33C13">
            <w:pPr>
              <w:jc w:val="both"/>
              <w:rPr>
                <w:rFonts w:ascii="Times New Roman" w:eastAsia="Times New Roman" w:hAnsi="Times New Roman" w:cs="Times New Roman"/>
                <w:sz w:val="20"/>
                <w:szCs w:val="20"/>
                <w:lang w:eastAsia="sk-SK"/>
              </w:rPr>
            </w:pPr>
          </w:p>
          <w:p w14:paraId="1BD367FD"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Konzultácie s orgánmi verejnej moci, ústrednými orgánmi štátnej správy, odbornou verejnosťou, akademickou obcou (národná a medzinárodná úroveň).</w:t>
            </w:r>
          </w:p>
          <w:p w14:paraId="184915BA" w14:textId="77777777" w:rsidR="00F33C13" w:rsidRPr="00507E84" w:rsidRDefault="00F33C13" w:rsidP="00F33C13">
            <w:pPr>
              <w:jc w:val="both"/>
              <w:rPr>
                <w:rFonts w:ascii="Times New Roman" w:eastAsia="Times New Roman" w:hAnsi="Times New Roman" w:cs="Times New Roman"/>
                <w:sz w:val="20"/>
                <w:szCs w:val="20"/>
                <w:lang w:eastAsia="sk-SK"/>
              </w:rPr>
            </w:pPr>
          </w:p>
          <w:p w14:paraId="46D34701"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Projekt NIS 2 Implementácia v Slovenskej republike – Projekt NIS 2 Implementation in the Slovak Republic</w:t>
            </w:r>
          </w:p>
          <w:p w14:paraId="3257C150" w14:textId="77777777" w:rsidR="00F33C13" w:rsidRPr="00507E84" w:rsidRDefault="00F33C13" w:rsidP="00F33C13">
            <w:pPr>
              <w:rPr>
                <w:rFonts w:ascii="Times New Roman" w:eastAsia="Times New Roman" w:hAnsi="Times New Roman" w:cs="Times New Roman"/>
                <w:sz w:val="20"/>
                <w:szCs w:val="20"/>
                <w:lang w:eastAsia="sk-SK"/>
              </w:rPr>
            </w:pPr>
          </w:p>
        </w:tc>
      </w:tr>
      <w:tr w:rsidR="00F33C13" w:rsidRPr="00507E84" w14:paraId="0256F365" w14:textId="77777777" w:rsidTr="00F33C13">
        <w:tc>
          <w:tcPr>
            <w:tcW w:w="9176" w:type="dxa"/>
            <w:tcBorders>
              <w:top w:val="single" w:sz="4" w:space="0" w:color="auto"/>
              <w:left w:val="single" w:sz="4" w:space="0" w:color="auto"/>
              <w:bottom w:val="single" w:sz="4" w:space="0" w:color="FFFFFF"/>
              <w:right w:val="single" w:sz="4" w:space="0" w:color="auto"/>
            </w:tcBorders>
            <w:shd w:val="clear" w:color="auto" w:fill="E2E2E2"/>
          </w:tcPr>
          <w:p w14:paraId="7145E322" w14:textId="77777777" w:rsidR="00F33C13" w:rsidRPr="00507E84" w:rsidRDefault="00F33C13" w:rsidP="00F33C13">
            <w:pPr>
              <w:numPr>
                <w:ilvl w:val="0"/>
                <w:numId w:val="6"/>
              </w:numPr>
              <w:ind w:left="447" w:hanging="425"/>
              <w:contextualSpacing/>
              <w:rPr>
                <w:rFonts w:ascii="Times New Roman" w:eastAsia="Calibri" w:hAnsi="Times New Roman" w:cs="Times New Roman"/>
                <w:b/>
              </w:rPr>
            </w:pPr>
            <w:r w:rsidRPr="00507E84">
              <w:rPr>
                <w:rFonts w:ascii="Times New Roman" w:eastAsia="Calibri" w:hAnsi="Times New Roman" w:cs="Times New Roman"/>
                <w:b/>
              </w:rPr>
              <w:lastRenderedPageBreak/>
              <w:t>Stanovisko Komisie na posudzovanie vybraných vplyvov z PPK č. ..........</w:t>
            </w:r>
            <w:r w:rsidRPr="00507E84">
              <w:rPr>
                <w:rFonts w:ascii="Times New Roman" w:eastAsia="Calibri" w:hAnsi="Times New Roman" w:cs="Times New Roman"/>
              </w:rPr>
              <w:t xml:space="preserve"> </w:t>
            </w:r>
          </w:p>
          <w:p w14:paraId="212778EE" w14:textId="77777777" w:rsidR="00F33C13" w:rsidRPr="00507E84" w:rsidRDefault="00F33C13" w:rsidP="00F33C13">
            <w:pPr>
              <w:ind w:left="502"/>
              <w:rPr>
                <w:rFonts w:ascii="Times New Roman" w:eastAsia="Times New Roman" w:hAnsi="Times New Roman" w:cs="Times New Roman"/>
                <w:b/>
                <w:sz w:val="20"/>
                <w:szCs w:val="20"/>
                <w:lang w:eastAsia="sk-SK"/>
              </w:rPr>
            </w:pPr>
            <w:r w:rsidRPr="00507E84">
              <w:rPr>
                <w:rFonts w:ascii="Times New Roman" w:eastAsia="Calibri" w:hAnsi="Times New Roman" w:cs="Times New Roman"/>
              </w:rPr>
              <w:t>(v prípade, ak sa uskutočnilo v zmysle bodu 8.1 Jednotnej metodiky)</w:t>
            </w:r>
          </w:p>
        </w:tc>
      </w:tr>
      <w:tr w:rsidR="00F33C13" w:rsidRPr="00507E84" w14:paraId="409C321E" w14:textId="77777777" w:rsidTr="00F33C13">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CC40E41" w14:textId="77777777" w:rsidR="00F33C13" w:rsidRPr="00507E84" w:rsidRDefault="00F33C13" w:rsidP="00F33C13">
            <w:pPr>
              <w:rPr>
                <w:rFonts w:ascii="Times New Roman" w:eastAsia="Times New Roman" w:hAnsi="Times New Roman" w:cs="Times New Roman"/>
                <w:b/>
                <w:sz w:val="20"/>
                <w:szCs w:val="20"/>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F33C13" w:rsidRPr="00507E84" w14:paraId="1E75FDCF" w14:textId="77777777" w:rsidTr="00F33C13">
              <w:trPr>
                <w:trHeight w:val="396"/>
              </w:trPr>
              <w:tc>
                <w:tcPr>
                  <w:tcW w:w="2552" w:type="dxa"/>
                </w:tcPr>
                <w:p w14:paraId="6863C607" w14:textId="77777777" w:rsidR="00F33C13" w:rsidRPr="00507E84" w:rsidRDefault="00B540AB" w:rsidP="00F33C13">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F33C13" w:rsidRPr="00507E84">
                        <w:rPr>
                          <w:rFonts w:ascii="Segoe UI Symbol" w:eastAsia="MS Gothic" w:hAnsi="Segoe UI Symbol" w:cs="Segoe UI Symbol"/>
                          <w:b/>
                          <w:sz w:val="20"/>
                          <w:szCs w:val="20"/>
                          <w:lang w:eastAsia="sk-SK"/>
                        </w:rPr>
                        <w:t>☐</w:t>
                      </w:r>
                    </w:sdtContent>
                  </w:sdt>
                  <w:r w:rsidR="00F33C13" w:rsidRPr="00507E84">
                    <w:rPr>
                      <w:rFonts w:ascii="Times New Roman" w:eastAsia="Times New Roman" w:hAnsi="Times New Roman" w:cs="Times New Roman"/>
                      <w:b/>
                      <w:sz w:val="20"/>
                      <w:szCs w:val="20"/>
                      <w:lang w:eastAsia="sk-SK"/>
                    </w:rPr>
                    <w:t xml:space="preserve">  Súhlasné </w:t>
                  </w:r>
                </w:p>
              </w:tc>
              <w:tc>
                <w:tcPr>
                  <w:tcW w:w="3827" w:type="dxa"/>
                </w:tcPr>
                <w:p w14:paraId="56B0F965" w14:textId="77777777" w:rsidR="00F33C13" w:rsidRPr="00507E84" w:rsidRDefault="00B540AB" w:rsidP="00F33C13">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F33C13" w:rsidRPr="00507E84">
                        <w:rPr>
                          <w:rFonts w:ascii="Segoe UI Symbol" w:eastAsia="MS Gothic" w:hAnsi="Segoe UI Symbol" w:cs="Segoe UI Symbol"/>
                          <w:b/>
                          <w:sz w:val="20"/>
                          <w:szCs w:val="20"/>
                          <w:lang w:eastAsia="sk-SK"/>
                        </w:rPr>
                        <w:t>☐</w:t>
                      </w:r>
                    </w:sdtContent>
                  </w:sdt>
                  <w:r w:rsidR="00F33C13" w:rsidRPr="00507E84">
                    <w:rPr>
                      <w:rFonts w:ascii="Times New Roman" w:eastAsia="Times New Roman" w:hAnsi="Times New Roman" w:cs="Times New Roman"/>
                      <w:b/>
                      <w:sz w:val="20"/>
                      <w:szCs w:val="20"/>
                      <w:lang w:eastAsia="sk-SK"/>
                    </w:rPr>
                    <w:t xml:space="preserve">  Súhlasné s návrhom na dopracovanie</w:t>
                  </w:r>
                </w:p>
              </w:tc>
              <w:tc>
                <w:tcPr>
                  <w:tcW w:w="2534" w:type="dxa"/>
                </w:tcPr>
                <w:p w14:paraId="5E5C8563" w14:textId="77777777" w:rsidR="00F33C13" w:rsidRPr="00507E84" w:rsidRDefault="00B540AB" w:rsidP="00F33C13">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F33C13" w:rsidRPr="00507E84">
                        <w:rPr>
                          <w:rFonts w:ascii="Segoe UI Symbol" w:eastAsia="MS Gothic" w:hAnsi="Segoe UI Symbol" w:cs="Segoe UI Symbol"/>
                          <w:b/>
                          <w:sz w:val="20"/>
                          <w:szCs w:val="20"/>
                          <w:lang w:eastAsia="sk-SK"/>
                        </w:rPr>
                        <w:t>☐</w:t>
                      </w:r>
                    </w:sdtContent>
                  </w:sdt>
                  <w:r w:rsidR="00F33C13" w:rsidRPr="00507E84">
                    <w:rPr>
                      <w:rFonts w:ascii="Times New Roman" w:eastAsia="Times New Roman" w:hAnsi="Times New Roman" w:cs="Times New Roman"/>
                      <w:b/>
                      <w:sz w:val="20"/>
                      <w:szCs w:val="20"/>
                      <w:lang w:eastAsia="sk-SK"/>
                    </w:rPr>
                    <w:t xml:space="preserve">  Nesúhlasné</w:t>
                  </w:r>
                </w:p>
              </w:tc>
            </w:tr>
          </w:tbl>
          <w:p w14:paraId="2F96B5AF" w14:textId="77777777" w:rsidR="00F33C13" w:rsidRPr="00507E84" w:rsidRDefault="00F33C13" w:rsidP="00F33C13">
            <w:pPr>
              <w:jc w:val="both"/>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Uveďte pripomienky zo stanoviska Komisie z časti II. spolu s Vaším vyhodnotením:</w:t>
            </w:r>
          </w:p>
          <w:p w14:paraId="43C4B8FD" w14:textId="77777777" w:rsidR="00F33C13" w:rsidRPr="00507E84" w:rsidRDefault="00F33C13" w:rsidP="00F33C13">
            <w:pPr>
              <w:rPr>
                <w:rFonts w:ascii="Times New Roman" w:eastAsia="Times New Roman" w:hAnsi="Times New Roman" w:cs="Times New Roman"/>
                <w:b/>
                <w:sz w:val="20"/>
                <w:szCs w:val="20"/>
                <w:lang w:eastAsia="sk-SK"/>
              </w:rPr>
            </w:pPr>
          </w:p>
          <w:p w14:paraId="6CF9A783" w14:textId="77777777" w:rsidR="00F33C13" w:rsidRPr="00507E84" w:rsidRDefault="00F33C13" w:rsidP="00F33C13">
            <w:pPr>
              <w:rPr>
                <w:rFonts w:ascii="Times New Roman" w:eastAsia="Times New Roman" w:hAnsi="Times New Roman" w:cs="Times New Roman"/>
                <w:b/>
                <w:sz w:val="20"/>
                <w:szCs w:val="20"/>
                <w:lang w:eastAsia="sk-SK"/>
              </w:rPr>
            </w:pPr>
          </w:p>
        </w:tc>
      </w:tr>
      <w:tr w:rsidR="00F33C13" w:rsidRPr="00507E84" w14:paraId="5DCB560E" w14:textId="77777777" w:rsidTr="00F33C13">
        <w:tblPrEx>
          <w:tblBorders>
            <w:top w:val="single" w:sz="4" w:space="0" w:color="auto"/>
            <w:left w:val="single" w:sz="4" w:space="0" w:color="auto"/>
            <w:bottom w:val="single" w:sz="4" w:space="0" w:color="auto"/>
            <w:right w:val="single" w:sz="4" w:space="0" w:color="auto"/>
            <w:insideH w:val="single" w:sz="4" w:space="0" w:color="FFFFFF"/>
            <w:insideV w:val="single" w:sz="4" w:space="0" w:color="FFFFFF"/>
          </w:tblBorders>
        </w:tblPrEx>
        <w:tc>
          <w:tcPr>
            <w:tcW w:w="9176" w:type="dxa"/>
            <w:tcBorders>
              <w:top w:val="single" w:sz="4" w:space="0" w:color="auto"/>
            </w:tcBorders>
            <w:shd w:val="clear" w:color="auto" w:fill="E2E2E2"/>
          </w:tcPr>
          <w:p w14:paraId="433B8788" w14:textId="77777777" w:rsidR="00F33C13" w:rsidRPr="00507E84" w:rsidRDefault="00F33C13" w:rsidP="00F33C13">
            <w:pPr>
              <w:numPr>
                <w:ilvl w:val="0"/>
                <w:numId w:val="6"/>
              </w:numPr>
              <w:ind w:left="450" w:hanging="425"/>
              <w:contextualSpacing/>
              <w:jc w:val="both"/>
              <w:rPr>
                <w:rFonts w:ascii="Times New Roman" w:eastAsia="Calibri" w:hAnsi="Times New Roman" w:cs="Times New Roman"/>
                <w:b/>
              </w:rPr>
            </w:pPr>
            <w:r w:rsidRPr="00507E84">
              <w:rPr>
                <w:rFonts w:ascii="Times New Roman" w:eastAsia="Calibri" w:hAnsi="Times New Roman" w:cs="Times New Roman"/>
                <w:b/>
              </w:rPr>
              <w:t xml:space="preserve">Stanovisko Komisie na posudzovanie vybraných vplyvov zo záverečného posúdenia č. </w:t>
            </w:r>
            <w:r w:rsidRPr="00507E84">
              <w:rPr>
                <w:rFonts w:ascii="Times New Roman" w:hAnsi="Times New Roman" w:cs="Times New Roman"/>
                <w:smallCaps/>
                <w:sz w:val="24"/>
                <w:szCs w:val="24"/>
              </w:rPr>
              <w:t xml:space="preserve"> </w:t>
            </w:r>
            <w:r w:rsidRPr="00507E84">
              <w:rPr>
                <w:rFonts w:ascii="Times New Roman" w:eastAsia="Calibri" w:hAnsi="Times New Roman" w:cs="Times New Roman"/>
                <w:b/>
              </w:rPr>
              <w:t>088_2/2024</w:t>
            </w:r>
            <w:r w:rsidRPr="00507E84">
              <w:rPr>
                <w:rFonts w:ascii="Times New Roman" w:eastAsia="Calibri" w:hAnsi="Times New Roman" w:cs="Times New Roman"/>
              </w:rPr>
              <w:t xml:space="preserve"> (v prípade, ak sa uskutočnilo v zmysle bodu 9.1. Jednotnej metodiky) </w:t>
            </w:r>
          </w:p>
        </w:tc>
      </w:tr>
      <w:tr w:rsidR="00F33C13" w:rsidRPr="00507E84" w14:paraId="23E36196" w14:textId="77777777" w:rsidTr="00F33C13">
        <w:tblPrEx>
          <w:tblBorders>
            <w:top w:val="single" w:sz="4" w:space="0" w:color="auto"/>
            <w:left w:val="single" w:sz="4" w:space="0" w:color="auto"/>
            <w:bottom w:val="single" w:sz="4" w:space="0" w:color="auto"/>
            <w:right w:val="single" w:sz="4" w:space="0" w:color="auto"/>
            <w:insideH w:val="single" w:sz="4" w:space="0" w:color="FFFFFF"/>
            <w:insideV w:val="single" w:sz="4" w:space="0" w:color="FFFFFF"/>
          </w:tblBorders>
        </w:tblPrEx>
        <w:tc>
          <w:tcPr>
            <w:tcW w:w="9176" w:type="dxa"/>
            <w:shd w:val="clear" w:color="auto" w:fill="FFFFFF"/>
          </w:tcPr>
          <w:p w14:paraId="5CB13545" w14:textId="77777777" w:rsidR="00F33C13" w:rsidRPr="00507E84" w:rsidRDefault="00F33C13" w:rsidP="00F33C13">
            <w:pPr>
              <w:rPr>
                <w:rFonts w:ascii="Times New Roman" w:eastAsia="Times New Roman" w:hAnsi="Times New Roman" w:cs="Times New Roman"/>
                <w:b/>
                <w:sz w:val="20"/>
                <w:szCs w:val="20"/>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F33C13" w:rsidRPr="00507E84" w14:paraId="643D6696" w14:textId="77777777" w:rsidTr="00F33C13">
              <w:trPr>
                <w:trHeight w:val="396"/>
              </w:trPr>
              <w:tc>
                <w:tcPr>
                  <w:tcW w:w="2552" w:type="dxa"/>
                </w:tcPr>
                <w:p w14:paraId="15557E46" w14:textId="77777777" w:rsidR="00F33C13" w:rsidRPr="00507E84" w:rsidRDefault="00B540AB" w:rsidP="00F33C13">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F33C13" w:rsidRPr="00507E84">
                        <w:rPr>
                          <w:rFonts w:ascii="Segoe UI Symbol" w:eastAsia="MS Gothic" w:hAnsi="Segoe UI Symbol" w:cs="Segoe UI Symbol"/>
                          <w:b/>
                          <w:sz w:val="20"/>
                          <w:szCs w:val="20"/>
                          <w:lang w:eastAsia="sk-SK"/>
                        </w:rPr>
                        <w:t>☐</w:t>
                      </w:r>
                    </w:sdtContent>
                  </w:sdt>
                  <w:r w:rsidR="00F33C13" w:rsidRPr="00507E84">
                    <w:rPr>
                      <w:rFonts w:ascii="Times New Roman" w:eastAsia="Times New Roman" w:hAnsi="Times New Roman" w:cs="Times New Roman"/>
                      <w:b/>
                      <w:sz w:val="20"/>
                      <w:szCs w:val="20"/>
                      <w:lang w:eastAsia="sk-SK"/>
                    </w:rPr>
                    <w:t xml:space="preserve">   Súhlasné </w:t>
                  </w:r>
                </w:p>
              </w:tc>
              <w:tc>
                <w:tcPr>
                  <w:tcW w:w="3827" w:type="dxa"/>
                </w:tcPr>
                <w:p w14:paraId="0BD9ED9E" w14:textId="77777777" w:rsidR="00F33C13" w:rsidRPr="00507E84" w:rsidRDefault="00B540AB" w:rsidP="00F33C13">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1"/>
                        <w14:checkedState w14:val="2612" w14:font="MS Gothic"/>
                        <w14:uncheckedState w14:val="2610" w14:font="MS Gothic"/>
                      </w14:checkbox>
                    </w:sdtPr>
                    <w:sdtEndPr/>
                    <w:sdtContent>
                      <w:r w:rsidR="00F33C13" w:rsidRPr="00507E84">
                        <w:rPr>
                          <w:rFonts w:ascii="Segoe UI Symbol" w:eastAsia="MS Gothic" w:hAnsi="Segoe UI Symbol" w:cs="Segoe UI Symbol"/>
                          <w:b/>
                          <w:sz w:val="20"/>
                          <w:szCs w:val="20"/>
                          <w:lang w:eastAsia="sk-SK"/>
                        </w:rPr>
                        <w:t>☒</w:t>
                      </w:r>
                    </w:sdtContent>
                  </w:sdt>
                  <w:r w:rsidR="00F33C13" w:rsidRPr="00507E84">
                    <w:rPr>
                      <w:rFonts w:ascii="Times New Roman" w:eastAsia="Times New Roman" w:hAnsi="Times New Roman" w:cs="Times New Roman"/>
                      <w:b/>
                      <w:sz w:val="20"/>
                      <w:szCs w:val="20"/>
                      <w:lang w:eastAsia="sk-SK"/>
                    </w:rPr>
                    <w:t xml:space="preserve">  Súhlasné s  návrhom na dopracovanie</w:t>
                  </w:r>
                </w:p>
              </w:tc>
              <w:tc>
                <w:tcPr>
                  <w:tcW w:w="2534" w:type="dxa"/>
                </w:tcPr>
                <w:p w14:paraId="427D83FD" w14:textId="77777777" w:rsidR="00F33C13" w:rsidRPr="00507E84" w:rsidRDefault="00B540AB" w:rsidP="00F33C13">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F33C13" w:rsidRPr="00507E84">
                        <w:rPr>
                          <w:rFonts w:ascii="Segoe UI Symbol" w:eastAsia="MS Gothic" w:hAnsi="Segoe UI Symbol" w:cs="Segoe UI Symbol"/>
                          <w:b/>
                          <w:sz w:val="20"/>
                          <w:szCs w:val="20"/>
                          <w:lang w:eastAsia="sk-SK"/>
                        </w:rPr>
                        <w:t>☐</w:t>
                      </w:r>
                    </w:sdtContent>
                  </w:sdt>
                  <w:r w:rsidR="00F33C13" w:rsidRPr="00507E84">
                    <w:rPr>
                      <w:rFonts w:ascii="Times New Roman" w:eastAsia="Times New Roman" w:hAnsi="Times New Roman" w:cs="Times New Roman"/>
                      <w:b/>
                      <w:sz w:val="20"/>
                      <w:szCs w:val="20"/>
                      <w:lang w:eastAsia="sk-SK"/>
                    </w:rPr>
                    <w:t xml:space="preserve">  Nesúhlasné</w:t>
                  </w:r>
                </w:p>
              </w:tc>
            </w:tr>
          </w:tbl>
          <w:p w14:paraId="229574FE" w14:textId="77777777" w:rsidR="00F33C13" w:rsidRPr="00507E84" w:rsidRDefault="00F33C13" w:rsidP="00F33C13">
            <w:pPr>
              <w:jc w:val="both"/>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Uveďte pripomienky zo stanoviska Komisie z časti II. spolu s Vaším vyhodnotením:</w:t>
            </w:r>
          </w:p>
          <w:p w14:paraId="5AB5E859" w14:textId="77777777" w:rsidR="00F33C13" w:rsidRPr="00507E84" w:rsidRDefault="00F33C13" w:rsidP="00F33C13">
            <w:pPr>
              <w:jc w:val="both"/>
              <w:rPr>
                <w:rFonts w:ascii="Times New Roman" w:eastAsia="Times New Roman" w:hAnsi="Times New Roman" w:cs="Times New Roman"/>
                <w:b/>
                <w:sz w:val="20"/>
                <w:szCs w:val="20"/>
                <w:lang w:eastAsia="sk-SK"/>
              </w:rPr>
            </w:pPr>
          </w:p>
          <w:p w14:paraId="0F9F8164" w14:textId="77777777" w:rsidR="00F33C13" w:rsidRPr="00507E84" w:rsidRDefault="00F33C13" w:rsidP="00F33C13">
            <w:pPr>
              <w:jc w:val="both"/>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K doložke vybraných vplyvov</w:t>
            </w:r>
          </w:p>
          <w:p w14:paraId="753391BF"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Komisia odporúča predkladateľovi v Doložke vybraných vplyvov v časti 8. Preskúmanie účelnosti doplniť dátum hodnotenia účelnosti predkladaného materiálu.</w:t>
            </w:r>
          </w:p>
          <w:p w14:paraId="566B43F9"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Odôvodnenie: Preskúmanie účelnosti sa nastavuje po určitom čase, aby sa zhodnotilo, či a na základe akých kritérií bol cieľ naplnený.</w:t>
            </w:r>
          </w:p>
          <w:p w14:paraId="6C1B7D66" w14:textId="77777777" w:rsidR="00F33C13" w:rsidRPr="00507E84" w:rsidRDefault="00F33C13" w:rsidP="00F33C13">
            <w:pPr>
              <w:jc w:val="both"/>
              <w:rPr>
                <w:rFonts w:ascii="Times New Roman" w:eastAsia="Times New Roman" w:hAnsi="Times New Roman" w:cs="Times New Roman"/>
                <w:sz w:val="20"/>
                <w:szCs w:val="20"/>
                <w:lang w:eastAsia="sk-SK"/>
              </w:rPr>
            </w:pPr>
          </w:p>
          <w:p w14:paraId="75A69901" w14:textId="77777777" w:rsidR="00F33C13" w:rsidRPr="00507E84" w:rsidRDefault="00F33C13" w:rsidP="00F33C13">
            <w:pPr>
              <w:jc w:val="both"/>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Vyhodnotenie:</w:t>
            </w:r>
          </w:p>
          <w:p w14:paraId="1348AB62"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xml:space="preserve">Text v bode 8 bol upravený nasledovne: </w:t>
            </w:r>
          </w:p>
          <w:p w14:paraId="65E3975B"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 xml:space="preserve">„Preskúmanie účelnosti navrhovaného právneho predpisu bude vykonávané priebežne </w:t>
            </w:r>
            <w:r w:rsidRPr="00507E84">
              <w:rPr>
                <w:rFonts w:ascii="Times New Roman" w:eastAsia="Times New Roman" w:hAnsi="Times New Roman" w:cs="Times New Roman"/>
                <w:sz w:val="20"/>
                <w:szCs w:val="20"/>
                <w:u w:val="single"/>
                <w:lang w:eastAsia="sk-SK"/>
              </w:rPr>
              <w:t>v roku 2025 a v nasledujúcich rokoch</w:t>
            </w:r>
            <w:r w:rsidRPr="00507E84">
              <w:rPr>
                <w:rFonts w:ascii="Times New Roman" w:eastAsia="Times New Roman" w:hAnsi="Times New Roman" w:cs="Times New Roman"/>
                <w:sz w:val="20"/>
                <w:szCs w:val="20"/>
                <w:lang w:eastAsia="sk-SK"/>
              </w:rPr>
              <w:t xml:space="preserve"> po nadobudnutí jeho účinnosti, pričom sa budú zohľadňovať najmä skúsenosti z aplikačnej praxe a dodržiavanie bezpečnostných opatrení dotknutými subjektmi.“.</w:t>
            </w:r>
          </w:p>
          <w:p w14:paraId="67326635" w14:textId="77777777" w:rsidR="00F33C13" w:rsidRPr="00507E84" w:rsidRDefault="00F33C13" w:rsidP="00F33C13">
            <w:pPr>
              <w:rPr>
                <w:rFonts w:ascii="Times New Roman" w:eastAsia="Times New Roman" w:hAnsi="Times New Roman" w:cs="Times New Roman"/>
                <w:b/>
                <w:sz w:val="20"/>
                <w:szCs w:val="20"/>
                <w:lang w:eastAsia="sk-SK"/>
              </w:rPr>
            </w:pPr>
          </w:p>
          <w:p w14:paraId="1387EB87" w14:textId="77777777" w:rsidR="00F33C13" w:rsidRPr="00507E84" w:rsidRDefault="00F33C13" w:rsidP="00F33C13">
            <w:pPr>
              <w:jc w:val="both"/>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K vplyvom na rozpočet verejnej správy</w:t>
            </w:r>
          </w:p>
          <w:p w14:paraId="60635F93" w14:textId="77777777" w:rsidR="00F33C13" w:rsidRPr="00507E84" w:rsidRDefault="00F33C13" w:rsidP="00F33C13">
            <w:pPr>
              <w:jc w:val="both"/>
              <w:rPr>
                <w:rFonts w:ascii="Times New Roman" w:eastAsia="Times New Roman" w:hAnsi="Times New Roman" w:cs="Times New Roman"/>
                <w:sz w:val="20"/>
                <w:szCs w:val="20"/>
                <w:lang w:eastAsia="sk-SK"/>
              </w:rPr>
            </w:pPr>
            <w:r w:rsidRPr="00507E84">
              <w:rPr>
                <w:rFonts w:ascii="Times New Roman" w:eastAsia="Times New Roman" w:hAnsi="Times New Roman" w:cs="Times New Roman"/>
                <w:sz w:val="20"/>
                <w:szCs w:val="20"/>
                <w:lang w:eastAsia="sk-SK"/>
              </w:rPr>
              <w:t>Komisia upozorňuje, že mzdové prostriedky v tabuľke č. 1/A nekorešpondujú s tabuľkami č. 4/A a č. 5, kde sa uvádzajú mzdové prostriedky na rok 2025 v sume 113 699 eur a na rok 2026 v sume 56 985 eur. Uvedené Komisia žiada zosúladiť, t. j. do tabuľky č. 1/A uviesť len mzdové prostriedky bez poistného.  V tabuľke č. 3 sú uvedené príjmy z EÚ na nesprávnej ekonomickej klasifikácii, je potrebné ich uvádzať na položke 341. Zároveň je potrebné v tabuľke č. 1/A v časti Príjmy verejnej správy celkom opraviť súčet v riadku „– vplyv na ŠR“ za kapitolu NBÚ.</w:t>
            </w:r>
          </w:p>
          <w:p w14:paraId="5F5679D2" w14:textId="77777777" w:rsidR="00F33C13" w:rsidRPr="00507E84" w:rsidRDefault="00F33C13" w:rsidP="00F33C13">
            <w:pPr>
              <w:rPr>
                <w:rFonts w:ascii="Times New Roman" w:eastAsia="Times New Roman" w:hAnsi="Times New Roman" w:cs="Times New Roman"/>
                <w:b/>
                <w:sz w:val="20"/>
                <w:szCs w:val="20"/>
                <w:lang w:eastAsia="sk-SK"/>
              </w:rPr>
            </w:pPr>
          </w:p>
          <w:p w14:paraId="138C4AF4" w14:textId="77777777" w:rsidR="00F33C13" w:rsidRPr="00507E84" w:rsidRDefault="00F33C13" w:rsidP="00F33C13">
            <w:pPr>
              <w:jc w:val="both"/>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b/>
                <w:sz w:val="20"/>
                <w:szCs w:val="20"/>
                <w:lang w:eastAsia="sk-SK"/>
              </w:rPr>
              <w:t>Vyhodnotenie:</w:t>
            </w:r>
          </w:p>
          <w:p w14:paraId="6E21DB35" w14:textId="6E1638C0" w:rsidR="00F33C13" w:rsidRPr="00507E84" w:rsidRDefault="00F33C13" w:rsidP="00CB47FD">
            <w:pPr>
              <w:jc w:val="both"/>
              <w:rPr>
                <w:rFonts w:ascii="Times New Roman" w:eastAsia="Times New Roman" w:hAnsi="Times New Roman" w:cs="Times New Roman"/>
                <w:b/>
                <w:sz w:val="20"/>
                <w:szCs w:val="20"/>
                <w:lang w:eastAsia="sk-SK"/>
              </w:rPr>
            </w:pPr>
            <w:r w:rsidRPr="00507E84">
              <w:rPr>
                <w:rFonts w:ascii="Times New Roman" w:eastAsia="Times New Roman" w:hAnsi="Times New Roman" w:cs="Times New Roman"/>
                <w:sz w:val="20"/>
                <w:szCs w:val="20"/>
                <w:lang w:eastAsia="sk-SK"/>
              </w:rPr>
              <w:t xml:space="preserve">Národný bezpečnostný úrad akceptoval a zapracoval požadované zmeny v Analýze vplyvov na rozpočet verejnej správy, na zamestnanosť vo verejnej správe a financovanie návrhu. </w:t>
            </w:r>
          </w:p>
        </w:tc>
      </w:tr>
    </w:tbl>
    <w:p w14:paraId="5EED4D60" w14:textId="77777777" w:rsidR="00F33C13" w:rsidRPr="00507E84" w:rsidRDefault="00F33C13">
      <w:pPr>
        <w:rPr>
          <w:rFonts w:ascii="Times New Roman" w:eastAsiaTheme="majorEastAsia" w:hAnsi="Times New Roman" w:cs="Times New Roman"/>
          <w:b/>
          <w:color w:val="000000" w:themeColor="text1"/>
          <w:sz w:val="24"/>
          <w:szCs w:val="24"/>
          <w:lang w:eastAsia="sk-SK"/>
        </w:rPr>
      </w:pPr>
    </w:p>
    <w:p w14:paraId="2759B5AA" w14:textId="77777777" w:rsidR="00507E84" w:rsidRPr="00507E84" w:rsidRDefault="00507E84" w:rsidP="00507E84">
      <w:pPr>
        <w:jc w:val="center"/>
        <w:rPr>
          <w:rFonts w:ascii="Times New Roman" w:hAnsi="Times New Roman" w:cs="Times New Roman"/>
          <w:b/>
          <w:bCs/>
          <w:sz w:val="28"/>
          <w:szCs w:val="28"/>
          <w:lang w:eastAsia="sk-SK"/>
        </w:rPr>
      </w:pPr>
      <w:r w:rsidRPr="00507E84">
        <w:rPr>
          <w:rFonts w:ascii="Times New Roman" w:hAnsi="Times New Roman" w:cs="Times New Roman"/>
          <w:b/>
          <w:bCs/>
          <w:sz w:val="28"/>
          <w:szCs w:val="28"/>
          <w:lang w:eastAsia="sk-SK"/>
        </w:rPr>
        <w:lastRenderedPageBreak/>
        <w:t>Analýza vplyvov na rozpočet verejnej správy,</w:t>
      </w:r>
    </w:p>
    <w:p w14:paraId="379B0C95" w14:textId="77777777" w:rsidR="00507E84" w:rsidRPr="00507E84" w:rsidRDefault="00507E84" w:rsidP="00507E84">
      <w:pPr>
        <w:jc w:val="center"/>
        <w:rPr>
          <w:rFonts w:ascii="Times New Roman" w:hAnsi="Times New Roman" w:cs="Times New Roman"/>
          <w:b/>
          <w:bCs/>
          <w:sz w:val="28"/>
          <w:szCs w:val="28"/>
          <w:lang w:eastAsia="sk-SK"/>
        </w:rPr>
      </w:pPr>
      <w:r w:rsidRPr="00507E84">
        <w:rPr>
          <w:rFonts w:ascii="Times New Roman" w:hAnsi="Times New Roman" w:cs="Times New Roman"/>
          <w:b/>
          <w:bCs/>
          <w:sz w:val="28"/>
          <w:szCs w:val="28"/>
          <w:lang w:eastAsia="sk-SK"/>
        </w:rPr>
        <w:t>na zamestnanosť vo verejnej správe a financovanie návrhu</w:t>
      </w:r>
    </w:p>
    <w:p w14:paraId="523E8818" w14:textId="77777777" w:rsidR="00507E84" w:rsidRPr="00507E84" w:rsidRDefault="00507E84" w:rsidP="00507E84">
      <w:pPr>
        <w:jc w:val="right"/>
        <w:rPr>
          <w:rFonts w:ascii="Times New Roman" w:hAnsi="Times New Roman" w:cs="Times New Roman"/>
          <w:b/>
          <w:bCs/>
          <w:lang w:eastAsia="sk-SK"/>
        </w:rPr>
      </w:pPr>
    </w:p>
    <w:p w14:paraId="43F7E400" w14:textId="77777777" w:rsidR="00507E84" w:rsidRPr="00507E84" w:rsidRDefault="00507E84" w:rsidP="00507E84">
      <w:pPr>
        <w:jc w:val="right"/>
        <w:rPr>
          <w:rFonts w:ascii="Times New Roman" w:hAnsi="Times New Roman" w:cs="Times New Roman"/>
          <w:b/>
          <w:bCs/>
          <w:lang w:eastAsia="sk-SK"/>
        </w:rPr>
      </w:pPr>
    </w:p>
    <w:p w14:paraId="17F2A154"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2.1 Zhrnutie vplyvov na rozpočet verejnej správy v návrhu</w:t>
      </w:r>
    </w:p>
    <w:p w14:paraId="5223D860" w14:textId="77777777" w:rsidR="00507E84" w:rsidRPr="00507E84" w:rsidRDefault="00507E84" w:rsidP="00507E84">
      <w:pPr>
        <w:jc w:val="right"/>
        <w:rPr>
          <w:rFonts w:ascii="Times New Roman" w:hAnsi="Times New Roman" w:cs="Times New Roman"/>
          <w:sz w:val="20"/>
          <w:szCs w:val="20"/>
          <w:lang w:eastAsia="sk-SK"/>
        </w:rPr>
      </w:pPr>
      <w:r w:rsidRPr="00507E84">
        <w:rPr>
          <w:rFonts w:ascii="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507E84" w:rsidRPr="00507E84" w14:paraId="4CD93D9A" w14:textId="77777777" w:rsidTr="00507E84">
        <w:trPr>
          <w:cantSplit/>
          <w:trHeight w:val="194"/>
          <w:jc w:val="center"/>
        </w:trPr>
        <w:tc>
          <w:tcPr>
            <w:tcW w:w="4661" w:type="dxa"/>
            <w:vMerge w:val="restart"/>
            <w:shd w:val="clear" w:color="auto" w:fill="BFBFBF" w:themeFill="background1" w:themeFillShade="BF"/>
            <w:vAlign w:val="center"/>
          </w:tcPr>
          <w:p w14:paraId="4430B1F1" w14:textId="77777777" w:rsidR="00507E84" w:rsidRPr="00507E84" w:rsidRDefault="00507E84" w:rsidP="00507E84">
            <w:pPr>
              <w:jc w:val="center"/>
              <w:rPr>
                <w:rFonts w:ascii="Times New Roman" w:hAnsi="Times New Roman" w:cs="Times New Roman"/>
                <w:b/>
                <w:bCs/>
                <w:lang w:eastAsia="sk-SK"/>
              </w:rPr>
            </w:pPr>
            <w:bookmarkStart w:id="1" w:name="OLE_LINK1"/>
            <w:r w:rsidRPr="00507E84">
              <w:rPr>
                <w:rFonts w:ascii="Times New Roman" w:hAnsi="Times New Roman" w:cs="Times New Roman"/>
                <w:b/>
                <w:bCs/>
                <w:lang w:eastAsia="sk-SK"/>
              </w:rPr>
              <w:t>Vplyvy na rozpočet verejnej správy</w:t>
            </w:r>
          </w:p>
        </w:tc>
        <w:tc>
          <w:tcPr>
            <w:tcW w:w="5068" w:type="dxa"/>
            <w:gridSpan w:val="4"/>
            <w:shd w:val="clear" w:color="auto" w:fill="BFBFBF" w:themeFill="background1" w:themeFillShade="BF"/>
            <w:vAlign w:val="center"/>
          </w:tcPr>
          <w:p w14:paraId="1B2746F1"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Vplyv na rozpočet verejnej správy (v eurách)</w:t>
            </w:r>
          </w:p>
        </w:tc>
      </w:tr>
      <w:tr w:rsidR="00507E84" w:rsidRPr="00507E84" w14:paraId="60589CFE" w14:textId="77777777" w:rsidTr="00507E84">
        <w:trPr>
          <w:cantSplit/>
          <w:trHeight w:val="70"/>
          <w:jc w:val="center"/>
        </w:trPr>
        <w:tc>
          <w:tcPr>
            <w:tcW w:w="4661" w:type="dxa"/>
            <w:vMerge/>
            <w:shd w:val="clear" w:color="auto" w:fill="BFBFBF" w:themeFill="background1" w:themeFillShade="BF"/>
            <w:vAlign w:val="center"/>
          </w:tcPr>
          <w:p w14:paraId="451D23AC" w14:textId="77777777" w:rsidR="00507E84" w:rsidRPr="00507E84" w:rsidRDefault="00507E84" w:rsidP="00507E84">
            <w:pPr>
              <w:jc w:val="center"/>
              <w:rPr>
                <w:rFonts w:ascii="Times New Roman" w:hAnsi="Times New Roman" w:cs="Times New Roman"/>
                <w:b/>
                <w:bCs/>
                <w:lang w:eastAsia="sk-SK"/>
              </w:rPr>
            </w:pPr>
          </w:p>
        </w:tc>
        <w:tc>
          <w:tcPr>
            <w:tcW w:w="1267" w:type="dxa"/>
            <w:shd w:val="clear" w:color="auto" w:fill="BFBFBF" w:themeFill="background1" w:themeFillShade="BF"/>
            <w:vAlign w:val="center"/>
          </w:tcPr>
          <w:p w14:paraId="09EE5873"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2025</w:t>
            </w:r>
          </w:p>
        </w:tc>
        <w:tc>
          <w:tcPr>
            <w:tcW w:w="1267" w:type="dxa"/>
            <w:shd w:val="clear" w:color="auto" w:fill="BFBFBF" w:themeFill="background1" w:themeFillShade="BF"/>
            <w:vAlign w:val="center"/>
          </w:tcPr>
          <w:p w14:paraId="17C3FAE3"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2026</w:t>
            </w:r>
          </w:p>
        </w:tc>
        <w:tc>
          <w:tcPr>
            <w:tcW w:w="1267" w:type="dxa"/>
            <w:shd w:val="clear" w:color="auto" w:fill="BFBFBF" w:themeFill="background1" w:themeFillShade="BF"/>
            <w:vAlign w:val="center"/>
          </w:tcPr>
          <w:p w14:paraId="547C9867"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2027</w:t>
            </w:r>
          </w:p>
        </w:tc>
        <w:tc>
          <w:tcPr>
            <w:tcW w:w="1267" w:type="dxa"/>
            <w:shd w:val="clear" w:color="auto" w:fill="BFBFBF" w:themeFill="background1" w:themeFillShade="BF"/>
            <w:vAlign w:val="center"/>
          </w:tcPr>
          <w:p w14:paraId="4AEF7B43"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2028</w:t>
            </w:r>
          </w:p>
        </w:tc>
      </w:tr>
      <w:tr w:rsidR="00507E84" w:rsidRPr="00507E84" w14:paraId="26931BF9" w14:textId="77777777" w:rsidTr="00507E84">
        <w:trPr>
          <w:trHeight w:val="70"/>
          <w:jc w:val="center"/>
        </w:trPr>
        <w:tc>
          <w:tcPr>
            <w:tcW w:w="4661" w:type="dxa"/>
            <w:shd w:val="clear" w:color="auto" w:fill="C0C0C0"/>
            <w:noWrap/>
            <w:vAlign w:val="center"/>
          </w:tcPr>
          <w:p w14:paraId="428BAC71"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b/>
                <w:bCs/>
                <w:lang w:eastAsia="sk-SK"/>
              </w:rPr>
              <w:t>Príjmy verejnej správy celkom</w:t>
            </w:r>
          </w:p>
        </w:tc>
        <w:tc>
          <w:tcPr>
            <w:tcW w:w="1267" w:type="dxa"/>
            <w:shd w:val="clear" w:color="auto" w:fill="C0C0C0"/>
            <w:vAlign w:val="center"/>
          </w:tcPr>
          <w:p w14:paraId="036341AC"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iCs/>
                <w:lang w:eastAsia="sk-SK"/>
              </w:rPr>
              <w:t>437 990</w:t>
            </w:r>
          </w:p>
        </w:tc>
        <w:tc>
          <w:tcPr>
            <w:tcW w:w="1267" w:type="dxa"/>
            <w:shd w:val="clear" w:color="auto" w:fill="C0C0C0"/>
          </w:tcPr>
          <w:p w14:paraId="11DB1610"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iCs/>
                <w:lang w:eastAsia="sk-SK"/>
              </w:rPr>
              <w:t>270 290</w:t>
            </w:r>
          </w:p>
        </w:tc>
        <w:tc>
          <w:tcPr>
            <w:tcW w:w="1267" w:type="dxa"/>
            <w:shd w:val="clear" w:color="auto" w:fill="C0C0C0"/>
          </w:tcPr>
          <w:p w14:paraId="1CEA2E98"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iCs/>
                <w:lang w:eastAsia="sk-SK"/>
              </w:rPr>
              <w:t>102 390</w:t>
            </w:r>
          </w:p>
        </w:tc>
        <w:tc>
          <w:tcPr>
            <w:tcW w:w="1267" w:type="dxa"/>
            <w:shd w:val="clear" w:color="auto" w:fill="C0C0C0"/>
          </w:tcPr>
          <w:p w14:paraId="5F0A3B55"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iCs/>
                <w:lang w:eastAsia="sk-SK"/>
              </w:rPr>
              <w:t>102 390</w:t>
            </w:r>
          </w:p>
        </w:tc>
      </w:tr>
      <w:tr w:rsidR="00507E84" w:rsidRPr="00507E84" w14:paraId="3D5E0F62" w14:textId="77777777" w:rsidTr="00507E84">
        <w:trPr>
          <w:trHeight w:val="70"/>
          <w:jc w:val="center"/>
        </w:trPr>
        <w:tc>
          <w:tcPr>
            <w:tcW w:w="4661" w:type="dxa"/>
            <w:noWrap/>
            <w:vAlign w:val="center"/>
          </w:tcPr>
          <w:p w14:paraId="74A4EF1A"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xml:space="preserve">z toho:  </w:t>
            </w:r>
          </w:p>
        </w:tc>
        <w:tc>
          <w:tcPr>
            <w:tcW w:w="1267" w:type="dxa"/>
            <w:noWrap/>
            <w:vAlign w:val="center"/>
          </w:tcPr>
          <w:p w14:paraId="7675BBDE" w14:textId="77777777" w:rsidR="00507E84" w:rsidRPr="00507E84" w:rsidRDefault="00507E84" w:rsidP="00507E84">
            <w:pPr>
              <w:jc w:val="right"/>
              <w:rPr>
                <w:rFonts w:ascii="Times New Roman" w:hAnsi="Times New Roman" w:cs="Times New Roman"/>
                <w:b/>
                <w:bCs/>
                <w:iCs/>
                <w:lang w:eastAsia="sk-SK"/>
              </w:rPr>
            </w:pPr>
          </w:p>
        </w:tc>
        <w:tc>
          <w:tcPr>
            <w:tcW w:w="1267" w:type="dxa"/>
            <w:noWrap/>
            <w:vAlign w:val="center"/>
          </w:tcPr>
          <w:p w14:paraId="1DB52491" w14:textId="77777777" w:rsidR="00507E84" w:rsidRPr="00507E84" w:rsidRDefault="00507E84" w:rsidP="00507E84">
            <w:pPr>
              <w:jc w:val="right"/>
              <w:rPr>
                <w:rFonts w:ascii="Times New Roman" w:hAnsi="Times New Roman" w:cs="Times New Roman"/>
                <w:b/>
                <w:bCs/>
                <w:iCs/>
                <w:lang w:eastAsia="sk-SK"/>
              </w:rPr>
            </w:pPr>
          </w:p>
        </w:tc>
        <w:tc>
          <w:tcPr>
            <w:tcW w:w="1267" w:type="dxa"/>
            <w:noWrap/>
            <w:vAlign w:val="center"/>
          </w:tcPr>
          <w:p w14:paraId="49489E53" w14:textId="77777777" w:rsidR="00507E84" w:rsidRPr="00507E84" w:rsidRDefault="00507E84" w:rsidP="00507E84">
            <w:pPr>
              <w:jc w:val="right"/>
              <w:rPr>
                <w:rFonts w:ascii="Times New Roman" w:hAnsi="Times New Roman" w:cs="Times New Roman"/>
                <w:b/>
                <w:bCs/>
                <w:iCs/>
                <w:lang w:eastAsia="sk-SK"/>
              </w:rPr>
            </w:pPr>
          </w:p>
        </w:tc>
        <w:tc>
          <w:tcPr>
            <w:tcW w:w="1267" w:type="dxa"/>
            <w:noWrap/>
            <w:vAlign w:val="center"/>
          </w:tcPr>
          <w:p w14:paraId="01EEB338" w14:textId="77777777" w:rsidR="00507E84" w:rsidRPr="00507E84" w:rsidRDefault="00507E84" w:rsidP="00507E84">
            <w:pPr>
              <w:jc w:val="right"/>
              <w:rPr>
                <w:rFonts w:ascii="Times New Roman" w:hAnsi="Times New Roman" w:cs="Times New Roman"/>
                <w:b/>
                <w:bCs/>
                <w:iCs/>
                <w:lang w:eastAsia="sk-SK"/>
              </w:rPr>
            </w:pPr>
          </w:p>
        </w:tc>
      </w:tr>
      <w:tr w:rsidR="00507E84" w:rsidRPr="00507E84" w14:paraId="6658514A" w14:textId="77777777" w:rsidTr="00507E84">
        <w:trPr>
          <w:trHeight w:val="125"/>
          <w:jc w:val="center"/>
        </w:trPr>
        <w:tc>
          <w:tcPr>
            <w:tcW w:w="4661" w:type="dxa"/>
            <w:noWrap/>
            <w:vAlign w:val="center"/>
          </w:tcPr>
          <w:p w14:paraId="5C810A9A"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ŠR</w:t>
            </w:r>
          </w:p>
        </w:tc>
        <w:tc>
          <w:tcPr>
            <w:tcW w:w="1267" w:type="dxa"/>
            <w:noWrap/>
          </w:tcPr>
          <w:p w14:paraId="5D80AB48"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rPr>
              <w:t>437 990</w:t>
            </w:r>
          </w:p>
        </w:tc>
        <w:tc>
          <w:tcPr>
            <w:tcW w:w="1267" w:type="dxa"/>
            <w:noWrap/>
          </w:tcPr>
          <w:p w14:paraId="2C37D43B"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270 290</w:t>
            </w:r>
          </w:p>
        </w:tc>
        <w:tc>
          <w:tcPr>
            <w:tcW w:w="1267" w:type="dxa"/>
            <w:noWrap/>
          </w:tcPr>
          <w:p w14:paraId="74D5A490"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102 390</w:t>
            </w:r>
          </w:p>
        </w:tc>
        <w:tc>
          <w:tcPr>
            <w:tcW w:w="1267" w:type="dxa"/>
            <w:noWrap/>
          </w:tcPr>
          <w:p w14:paraId="43170CF1"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102 390</w:t>
            </w:r>
          </w:p>
        </w:tc>
      </w:tr>
      <w:tr w:rsidR="00507E84" w:rsidRPr="00507E84" w14:paraId="7E55E10E" w14:textId="77777777" w:rsidTr="00507E84">
        <w:trPr>
          <w:trHeight w:val="125"/>
          <w:jc w:val="center"/>
        </w:trPr>
        <w:tc>
          <w:tcPr>
            <w:tcW w:w="4661" w:type="dxa"/>
            <w:noWrap/>
            <w:vAlign w:val="center"/>
          </w:tcPr>
          <w:p w14:paraId="6533789F" w14:textId="77777777" w:rsidR="00507E84" w:rsidRPr="00507E84" w:rsidRDefault="00507E84" w:rsidP="00507E84">
            <w:pPr>
              <w:ind w:left="259"/>
              <w:rPr>
                <w:rFonts w:ascii="Times New Roman" w:hAnsi="Times New Roman" w:cs="Times New Roman"/>
                <w:b/>
                <w:bCs/>
                <w:i/>
                <w:iCs/>
                <w:lang w:eastAsia="sk-SK"/>
              </w:rPr>
            </w:pPr>
            <w:r w:rsidRPr="00507E84">
              <w:rPr>
                <w:rFonts w:ascii="Times New Roman" w:hAnsi="Times New Roman" w:cs="Times New Roman"/>
                <w:bCs/>
                <w:i/>
                <w:iCs/>
                <w:lang w:eastAsia="sk-SK"/>
              </w:rPr>
              <w:t>Rozpočtové prostriedky</w:t>
            </w:r>
          </w:p>
        </w:tc>
        <w:tc>
          <w:tcPr>
            <w:tcW w:w="1267" w:type="dxa"/>
            <w:noWrap/>
          </w:tcPr>
          <w:p w14:paraId="02A74574"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rPr>
              <w:t>102 990</w:t>
            </w:r>
          </w:p>
        </w:tc>
        <w:tc>
          <w:tcPr>
            <w:tcW w:w="1267" w:type="dxa"/>
            <w:noWrap/>
          </w:tcPr>
          <w:p w14:paraId="662036E0"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rPr>
              <w:t>102 390</w:t>
            </w:r>
          </w:p>
        </w:tc>
        <w:tc>
          <w:tcPr>
            <w:tcW w:w="1267" w:type="dxa"/>
            <w:noWrap/>
          </w:tcPr>
          <w:p w14:paraId="7CE61101"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rPr>
              <w:t>102 390</w:t>
            </w:r>
          </w:p>
        </w:tc>
        <w:tc>
          <w:tcPr>
            <w:tcW w:w="1267" w:type="dxa"/>
            <w:noWrap/>
          </w:tcPr>
          <w:p w14:paraId="21275E35"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rPr>
              <w:t>102 390</w:t>
            </w:r>
          </w:p>
        </w:tc>
      </w:tr>
      <w:tr w:rsidR="00507E84" w:rsidRPr="00507E84" w14:paraId="543A7289" w14:textId="77777777" w:rsidTr="00507E84">
        <w:trPr>
          <w:trHeight w:val="125"/>
          <w:jc w:val="center"/>
        </w:trPr>
        <w:tc>
          <w:tcPr>
            <w:tcW w:w="4661" w:type="dxa"/>
            <w:noWrap/>
            <w:vAlign w:val="center"/>
          </w:tcPr>
          <w:p w14:paraId="3FA7D311" w14:textId="77777777" w:rsidR="00507E84" w:rsidRPr="00507E84" w:rsidRDefault="00507E84" w:rsidP="00507E84">
            <w:pPr>
              <w:ind w:left="259"/>
              <w:rPr>
                <w:rFonts w:ascii="Times New Roman" w:hAnsi="Times New Roman" w:cs="Times New Roman"/>
                <w:bCs/>
                <w:i/>
                <w:iCs/>
                <w:lang w:eastAsia="sk-SK"/>
              </w:rPr>
            </w:pPr>
            <w:r w:rsidRPr="00507E84">
              <w:rPr>
                <w:rFonts w:ascii="Times New Roman" w:hAnsi="Times New Roman" w:cs="Times New Roman"/>
                <w:bCs/>
                <w:i/>
                <w:iCs/>
                <w:lang w:eastAsia="sk-SK"/>
              </w:rPr>
              <w:t>EÚ zdroje</w:t>
            </w:r>
          </w:p>
        </w:tc>
        <w:tc>
          <w:tcPr>
            <w:tcW w:w="1267" w:type="dxa"/>
            <w:noWrap/>
          </w:tcPr>
          <w:p w14:paraId="24590C1E" w14:textId="77777777" w:rsidR="00507E84" w:rsidRPr="00507E84" w:rsidRDefault="00507E84" w:rsidP="00507E84">
            <w:pPr>
              <w:jc w:val="right"/>
              <w:rPr>
                <w:rFonts w:ascii="Times New Roman" w:hAnsi="Times New Roman" w:cs="Times New Roman"/>
              </w:rPr>
            </w:pPr>
            <w:r w:rsidRPr="00507E84">
              <w:rPr>
                <w:rFonts w:ascii="Times New Roman" w:hAnsi="Times New Roman" w:cs="Times New Roman"/>
              </w:rPr>
              <w:t>335 000</w:t>
            </w:r>
          </w:p>
        </w:tc>
        <w:tc>
          <w:tcPr>
            <w:tcW w:w="1267" w:type="dxa"/>
            <w:noWrap/>
          </w:tcPr>
          <w:p w14:paraId="0732A5AE" w14:textId="77777777" w:rsidR="00507E84" w:rsidRPr="00507E84" w:rsidRDefault="00507E84" w:rsidP="00507E84">
            <w:pPr>
              <w:jc w:val="right"/>
              <w:rPr>
                <w:rFonts w:ascii="Times New Roman" w:hAnsi="Times New Roman" w:cs="Times New Roman"/>
              </w:rPr>
            </w:pPr>
            <w:r w:rsidRPr="00507E84">
              <w:rPr>
                <w:rFonts w:ascii="Times New Roman" w:hAnsi="Times New Roman" w:cs="Times New Roman"/>
              </w:rPr>
              <w:t>167 900</w:t>
            </w:r>
          </w:p>
        </w:tc>
        <w:tc>
          <w:tcPr>
            <w:tcW w:w="1267" w:type="dxa"/>
            <w:noWrap/>
            <w:vAlign w:val="center"/>
          </w:tcPr>
          <w:p w14:paraId="3D0AC254"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60CDDA3E"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r>
      <w:tr w:rsidR="00507E84" w:rsidRPr="00507E84" w14:paraId="0C7F2147" w14:textId="77777777" w:rsidTr="00507E84">
        <w:trPr>
          <w:trHeight w:val="125"/>
          <w:jc w:val="center"/>
        </w:trPr>
        <w:tc>
          <w:tcPr>
            <w:tcW w:w="4661" w:type="dxa"/>
            <w:noWrap/>
            <w:vAlign w:val="center"/>
          </w:tcPr>
          <w:p w14:paraId="6148CED4"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obce</w:t>
            </w:r>
          </w:p>
        </w:tc>
        <w:tc>
          <w:tcPr>
            <w:tcW w:w="1267" w:type="dxa"/>
            <w:noWrap/>
            <w:vAlign w:val="center"/>
          </w:tcPr>
          <w:p w14:paraId="41338BC8"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71865FA7"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4B108E5E"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553279FF"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08222A78" w14:textId="77777777" w:rsidTr="00507E84">
        <w:trPr>
          <w:trHeight w:val="125"/>
          <w:jc w:val="center"/>
        </w:trPr>
        <w:tc>
          <w:tcPr>
            <w:tcW w:w="4661" w:type="dxa"/>
            <w:noWrap/>
            <w:vAlign w:val="center"/>
          </w:tcPr>
          <w:p w14:paraId="042C5B04"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vyššie územné celky</w:t>
            </w:r>
          </w:p>
        </w:tc>
        <w:tc>
          <w:tcPr>
            <w:tcW w:w="1267" w:type="dxa"/>
            <w:noWrap/>
            <w:vAlign w:val="center"/>
          </w:tcPr>
          <w:p w14:paraId="34AC611A"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5415E235"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6693FB32"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5618953D"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490550C5" w14:textId="77777777" w:rsidTr="00507E84">
        <w:trPr>
          <w:trHeight w:val="125"/>
          <w:jc w:val="center"/>
        </w:trPr>
        <w:tc>
          <w:tcPr>
            <w:tcW w:w="4661" w:type="dxa"/>
            <w:noWrap/>
            <w:vAlign w:val="center"/>
          </w:tcPr>
          <w:p w14:paraId="21C3E0E3"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ostatné subjekty verejnej správy</w:t>
            </w:r>
          </w:p>
        </w:tc>
        <w:tc>
          <w:tcPr>
            <w:tcW w:w="1267" w:type="dxa"/>
            <w:noWrap/>
            <w:vAlign w:val="center"/>
          </w:tcPr>
          <w:p w14:paraId="72972D24"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2CABC5A0"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54C9553A"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4AD7848F"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37DA7A6C" w14:textId="77777777" w:rsidTr="00507E84">
        <w:trPr>
          <w:trHeight w:val="132"/>
          <w:jc w:val="center"/>
        </w:trPr>
        <w:tc>
          <w:tcPr>
            <w:tcW w:w="4661" w:type="dxa"/>
            <w:noWrap/>
            <w:vAlign w:val="center"/>
          </w:tcPr>
          <w:p w14:paraId="6BF861D7"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v tom: Národný bezpečnostný úrad</w:t>
            </w:r>
          </w:p>
        </w:tc>
        <w:tc>
          <w:tcPr>
            <w:tcW w:w="1267" w:type="dxa"/>
            <w:noWrap/>
          </w:tcPr>
          <w:p w14:paraId="32CE71DD"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rPr>
              <w:t>437 090</w:t>
            </w:r>
          </w:p>
        </w:tc>
        <w:tc>
          <w:tcPr>
            <w:tcW w:w="1267" w:type="dxa"/>
            <w:noWrap/>
          </w:tcPr>
          <w:p w14:paraId="34F2EF65"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rPr>
              <w:t>269 990</w:t>
            </w:r>
          </w:p>
        </w:tc>
        <w:tc>
          <w:tcPr>
            <w:tcW w:w="1267" w:type="dxa"/>
            <w:noWrap/>
          </w:tcPr>
          <w:p w14:paraId="66D6D3CD"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rPr>
              <w:t>102 090</w:t>
            </w:r>
          </w:p>
        </w:tc>
        <w:tc>
          <w:tcPr>
            <w:tcW w:w="1267" w:type="dxa"/>
            <w:noWrap/>
          </w:tcPr>
          <w:p w14:paraId="5A883EB5"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rPr>
              <w:t>102 090</w:t>
            </w:r>
          </w:p>
        </w:tc>
      </w:tr>
      <w:tr w:rsidR="00507E84" w:rsidRPr="00507E84" w14:paraId="537B9D52" w14:textId="77777777" w:rsidTr="00507E84">
        <w:trPr>
          <w:trHeight w:val="70"/>
          <w:jc w:val="center"/>
        </w:trPr>
        <w:tc>
          <w:tcPr>
            <w:tcW w:w="4661" w:type="dxa"/>
            <w:noWrap/>
            <w:vAlign w:val="center"/>
          </w:tcPr>
          <w:p w14:paraId="539764D0"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xml:space="preserve">z toho:  </w:t>
            </w:r>
          </w:p>
        </w:tc>
        <w:tc>
          <w:tcPr>
            <w:tcW w:w="1267" w:type="dxa"/>
            <w:noWrap/>
            <w:vAlign w:val="center"/>
          </w:tcPr>
          <w:p w14:paraId="720368C2" w14:textId="77777777" w:rsidR="00507E84" w:rsidRPr="00507E84" w:rsidRDefault="00507E84" w:rsidP="00507E84">
            <w:pPr>
              <w:jc w:val="right"/>
              <w:rPr>
                <w:rFonts w:ascii="Times New Roman" w:hAnsi="Times New Roman" w:cs="Times New Roman"/>
                <w:b/>
                <w:bCs/>
                <w:iCs/>
                <w:lang w:eastAsia="sk-SK"/>
              </w:rPr>
            </w:pPr>
          </w:p>
        </w:tc>
        <w:tc>
          <w:tcPr>
            <w:tcW w:w="1267" w:type="dxa"/>
            <w:noWrap/>
            <w:vAlign w:val="center"/>
          </w:tcPr>
          <w:p w14:paraId="07D6DB95" w14:textId="77777777" w:rsidR="00507E84" w:rsidRPr="00507E84" w:rsidRDefault="00507E84" w:rsidP="00507E84">
            <w:pPr>
              <w:jc w:val="right"/>
              <w:rPr>
                <w:rFonts w:ascii="Times New Roman" w:hAnsi="Times New Roman" w:cs="Times New Roman"/>
                <w:b/>
                <w:bCs/>
                <w:iCs/>
                <w:lang w:eastAsia="sk-SK"/>
              </w:rPr>
            </w:pPr>
          </w:p>
        </w:tc>
        <w:tc>
          <w:tcPr>
            <w:tcW w:w="1267" w:type="dxa"/>
            <w:noWrap/>
            <w:vAlign w:val="center"/>
          </w:tcPr>
          <w:p w14:paraId="58B29568" w14:textId="77777777" w:rsidR="00507E84" w:rsidRPr="00507E84" w:rsidRDefault="00507E84" w:rsidP="00507E84">
            <w:pPr>
              <w:jc w:val="right"/>
              <w:rPr>
                <w:rFonts w:ascii="Times New Roman" w:hAnsi="Times New Roman" w:cs="Times New Roman"/>
                <w:b/>
                <w:bCs/>
                <w:iCs/>
                <w:lang w:eastAsia="sk-SK"/>
              </w:rPr>
            </w:pPr>
          </w:p>
        </w:tc>
        <w:tc>
          <w:tcPr>
            <w:tcW w:w="1267" w:type="dxa"/>
            <w:noWrap/>
            <w:vAlign w:val="center"/>
          </w:tcPr>
          <w:p w14:paraId="561A8C0C" w14:textId="77777777" w:rsidR="00507E84" w:rsidRPr="00507E84" w:rsidRDefault="00507E84" w:rsidP="00507E84">
            <w:pPr>
              <w:jc w:val="right"/>
              <w:rPr>
                <w:rFonts w:ascii="Times New Roman" w:hAnsi="Times New Roman" w:cs="Times New Roman"/>
                <w:b/>
                <w:bCs/>
                <w:iCs/>
                <w:lang w:eastAsia="sk-SK"/>
              </w:rPr>
            </w:pPr>
          </w:p>
        </w:tc>
      </w:tr>
      <w:tr w:rsidR="00507E84" w:rsidRPr="00507E84" w14:paraId="0082E725" w14:textId="77777777" w:rsidTr="00507E84">
        <w:trPr>
          <w:trHeight w:val="125"/>
          <w:jc w:val="center"/>
        </w:trPr>
        <w:tc>
          <w:tcPr>
            <w:tcW w:w="4661" w:type="dxa"/>
            <w:noWrap/>
            <w:vAlign w:val="center"/>
          </w:tcPr>
          <w:p w14:paraId="484F4162"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ŠR</w:t>
            </w:r>
          </w:p>
        </w:tc>
        <w:tc>
          <w:tcPr>
            <w:tcW w:w="1267" w:type="dxa"/>
            <w:noWrap/>
          </w:tcPr>
          <w:p w14:paraId="238C2A57"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rPr>
              <w:t>437 090</w:t>
            </w:r>
          </w:p>
        </w:tc>
        <w:tc>
          <w:tcPr>
            <w:tcW w:w="1267" w:type="dxa"/>
            <w:noWrap/>
          </w:tcPr>
          <w:p w14:paraId="534107FF"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rPr>
              <w:t>269 990</w:t>
            </w:r>
          </w:p>
        </w:tc>
        <w:tc>
          <w:tcPr>
            <w:tcW w:w="1267" w:type="dxa"/>
            <w:noWrap/>
          </w:tcPr>
          <w:p w14:paraId="00DCAAEA"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rPr>
              <w:t>102 090</w:t>
            </w:r>
          </w:p>
        </w:tc>
        <w:tc>
          <w:tcPr>
            <w:tcW w:w="1267" w:type="dxa"/>
            <w:noWrap/>
          </w:tcPr>
          <w:p w14:paraId="2C958E5A"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rPr>
              <w:t>102 090</w:t>
            </w:r>
          </w:p>
        </w:tc>
      </w:tr>
      <w:tr w:rsidR="00507E84" w:rsidRPr="00507E84" w14:paraId="2DB59BC5" w14:textId="77777777" w:rsidTr="00507E84">
        <w:trPr>
          <w:trHeight w:val="125"/>
          <w:jc w:val="center"/>
        </w:trPr>
        <w:tc>
          <w:tcPr>
            <w:tcW w:w="4661" w:type="dxa"/>
            <w:noWrap/>
            <w:vAlign w:val="center"/>
          </w:tcPr>
          <w:p w14:paraId="38EA2A41" w14:textId="77777777" w:rsidR="00507E84" w:rsidRPr="00507E84" w:rsidRDefault="00507E84" w:rsidP="00507E84">
            <w:pPr>
              <w:ind w:left="259"/>
              <w:rPr>
                <w:rFonts w:ascii="Times New Roman" w:hAnsi="Times New Roman" w:cs="Times New Roman"/>
                <w:b/>
                <w:bCs/>
                <w:i/>
                <w:iCs/>
                <w:lang w:eastAsia="sk-SK"/>
              </w:rPr>
            </w:pPr>
            <w:r w:rsidRPr="00507E84">
              <w:rPr>
                <w:rFonts w:ascii="Times New Roman" w:hAnsi="Times New Roman" w:cs="Times New Roman"/>
                <w:bCs/>
                <w:i/>
                <w:iCs/>
                <w:lang w:eastAsia="sk-SK"/>
              </w:rPr>
              <w:t>Rozpočtové prostriedky</w:t>
            </w:r>
          </w:p>
        </w:tc>
        <w:tc>
          <w:tcPr>
            <w:tcW w:w="1267" w:type="dxa"/>
            <w:noWrap/>
          </w:tcPr>
          <w:p w14:paraId="0A63DD77"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rPr>
              <w:t>102 090</w:t>
            </w:r>
          </w:p>
        </w:tc>
        <w:tc>
          <w:tcPr>
            <w:tcW w:w="1267" w:type="dxa"/>
            <w:noWrap/>
          </w:tcPr>
          <w:p w14:paraId="3433DD65"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rPr>
              <w:t>102 090</w:t>
            </w:r>
          </w:p>
        </w:tc>
        <w:tc>
          <w:tcPr>
            <w:tcW w:w="1267" w:type="dxa"/>
            <w:noWrap/>
          </w:tcPr>
          <w:p w14:paraId="44C14A40"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rPr>
              <w:t>102 090</w:t>
            </w:r>
          </w:p>
        </w:tc>
        <w:tc>
          <w:tcPr>
            <w:tcW w:w="1267" w:type="dxa"/>
            <w:noWrap/>
          </w:tcPr>
          <w:p w14:paraId="464A5BEE"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rPr>
              <w:t>102 090</w:t>
            </w:r>
          </w:p>
        </w:tc>
      </w:tr>
      <w:tr w:rsidR="00507E84" w:rsidRPr="00507E84" w14:paraId="6166CC38" w14:textId="77777777" w:rsidTr="00507E84">
        <w:trPr>
          <w:trHeight w:val="125"/>
          <w:jc w:val="center"/>
        </w:trPr>
        <w:tc>
          <w:tcPr>
            <w:tcW w:w="4661" w:type="dxa"/>
            <w:noWrap/>
            <w:vAlign w:val="center"/>
          </w:tcPr>
          <w:p w14:paraId="2B259408" w14:textId="77777777" w:rsidR="00507E84" w:rsidRPr="00507E84" w:rsidRDefault="00507E84" w:rsidP="00507E84">
            <w:pPr>
              <w:ind w:left="259"/>
              <w:rPr>
                <w:rFonts w:ascii="Times New Roman" w:hAnsi="Times New Roman" w:cs="Times New Roman"/>
                <w:bCs/>
                <w:i/>
                <w:iCs/>
                <w:lang w:eastAsia="sk-SK"/>
              </w:rPr>
            </w:pPr>
            <w:r w:rsidRPr="00507E84">
              <w:rPr>
                <w:rFonts w:ascii="Times New Roman" w:hAnsi="Times New Roman" w:cs="Times New Roman"/>
                <w:bCs/>
                <w:i/>
                <w:iCs/>
                <w:lang w:eastAsia="sk-SK"/>
              </w:rPr>
              <w:t>EÚ zdroje</w:t>
            </w:r>
          </w:p>
        </w:tc>
        <w:tc>
          <w:tcPr>
            <w:tcW w:w="1267" w:type="dxa"/>
            <w:noWrap/>
          </w:tcPr>
          <w:p w14:paraId="5BACCAF9" w14:textId="77777777" w:rsidR="00507E84" w:rsidRPr="00507E84" w:rsidRDefault="00507E84" w:rsidP="00507E84">
            <w:pPr>
              <w:jc w:val="right"/>
              <w:rPr>
                <w:rFonts w:ascii="Times New Roman" w:hAnsi="Times New Roman" w:cs="Times New Roman"/>
              </w:rPr>
            </w:pPr>
            <w:r w:rsidRPr="00507E84">
              <w:rPr>
                <w:rFonts w:ascii="Times New Roman" w:hAnsi="Times New Roman" w:cs="Times New Roman"/>
              </w:rPr>
              <w:t>335 000</w:t>
            </w:r>
          </w:p>
        </w:tc>
        <w:tc>
          <w:tcPr>
            <w:tcW w:w="1267" w:type="dxa"/>
            <w:noWrap/>
          </w:tcPr>
          <w:p w14:paraId="0EF3AB05" w14:textId="77777777" w:rsidR="00507E84" w:rsidRPr="00507E84" w:rsidRDefault="00507E84" w:rsidP="00507E84">
            <w:pPr>
              <w:jc w:val="right"/>
              <w:rPr>
                <w:rFonts w:ascii="Times New Roman" w:hAnsi="Times New Roman" w:cs="Times New Roman"/>
              </w:rPr>
            </w:pPr>
            <w:r w:rsidRPr="00507E84">
              <w:rPr>
                <w:rFonts w:ascii="Times New Roman" w:hAnsi="Times New Roman" w:cs="Times New Roman"/>
              </w:rPr>
              <w:t>167 900</w:t>
            </w:r>
          </w:p>
        </w:tc>
        <w:tc>
          <w:tcPr>
            <w:tcW w:w="1267" w:type="dxa"/>
            <w:noWrap/>
            <w:vAlign w:val="center"/>
          </w:tcPr>
          <w:p w14:paraId="34F49C42"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271B67B8"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r>
      <w:tr w:rsidR="00507E84" w:rsidRPr="00507E84" w14:paraId="30A070B4" w14:textId="77777777" w:rsidTr="00507E84">
        <w:trPr>
          <w:trHeight w:val="125"/>
          <w:jc w:val="center"/>
        </w:trPr>
        <w:tc>
          <w:tcPr>
            <w:tcW w:w="4661" w:type="dxa"/>
            <w:noWrap/>
            <w:vAlign w:val="center"/>
          </w:tcPr>
          <w:p w14:paraId="3FB55A09"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obce</w:t>
            </w:r>
          </w:p>
        </w:tc>
        <w:tc>
          <w:tcPr>
            <w:tcW w:w="1267" w:type="dxa"/>
            <w:noWrap/>
            <w:vAlign w:val="center"/>
          </w:tcPr>
          <w:p w14:paraId="2B4BCF02"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16513AFF"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4551161D"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52CA2955"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09B24683" w14:textId="77777777" w:rsidTr="00507E84">
        <w:trPr>
          <w:trHeight w:val="125"/>
          <w:jc w:val="center"/>
        </w:trPr>
        <w:tc>
          <w:tcPr>
            <w:tcW w:w="4661" w:type="dxa"/>
            <w:noWrap/>
            <w:vAlign w:val="center"/>
          </w:tcPr>
          <w:p w14:paraId="16108688"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vyššie územné celky</w:t>
            </w:r>
          </w:p>
        </w:tc>
        <w:tc>
          <w:tcPr>
            <w:tcW w:w="1267" w:type="dxa"/>
            <w:noWrap/>
            <w:vAlign w:val="center"/>
          </w:tcPr>
          <w:p w14:paraId="1305BA6B"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5DCD5863"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29C4ACAD"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79213319"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294EFBA7" w14:textId="77777777" w:rsidTr="00507E84">
        <w:trPr>
          <w:trHeight w:val="125"/>
          <w:jc w:val="center"/>
        </w:trPr>
        <w:tc>
          <w:tcPr>
            <w:tcW w:w="4661" w:type="dxa"/>
            <w:noWrap/>
            <w:vAlign w:val="center"/>
          </w:tcPr>
          <w:p w14:paraId="1747CFF5"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ostatné subjekty verejnej správy</w:t>
            </w:r>
          </w:p>
        </w:tc>
        <w:tc>
          <w:tcPr>
            <w:tcW w:w="1267" w:type="dxa"/>
            <w:noWrap/>
            <w:vAlign w:val="center"/>
          </w:tcPr>
          <w:p w14:paraId="39019E9B"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0E2E676B"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254235CF"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78171A0A"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119F6032" w14:textId="77777777" w:rsidTr="00507E84">
        <w:trPr>
          <w:trHeight w:val="132"/>
          <w:jc w:val="center"/>
        </w:trPr>
        <w:tc>
          <w:tcPr>
            <w:tcW w:w="4661" w:type="dxa"/>
            <w:noWrap/>
            <w:vAlign w:val="center"/>
          </w:tcPr>
          <w:p w14:paraId="5618FF9F" w14:textId="77777777" w:rsidR="00507E84" w:rsidRPr="00507E84" w:rsidRDefault="00507E84" w:rsidP="00507E84">
            <w:pPr>
              <w:rPr>
                <w:rFonts w:ascii="Times New Roman" w:hAnsi="Times New Roman" w:cs="Times New Roman"/>
              </w:rPr>
            </w:pPr>
            <w:r w:rsidRPr="00507E84">
              <w:rPr>
                <w:rFonts w:ascii="Times New Roman" w:hAnsi="Times New Roman" w:cs="Times New Roman"/>
                <w:lang w:eastAsia="sk-SK"/>
              </w:rPr>
              <w:t xml:space="preserve">v tom: </w:t>
            </w:r>
            <w:r w:rsidRPr="00507E84">
              <w:rPr>
                <w:rFonts w:ascii="Times New Roman" w:hAnsi="Times New Roman" w:cs="Times New Roman"/>
              </w:rPr>
              <w:t>Všeobecná pokladničná správa</w:t>
            </w:r>
          </w:p>
        </w:tc>
        <w:tc>
          <w:tcPr>
            <w:tcW w:w="1267" w:type="dxa"/>
            <w:noWrap/>
            <w:vAlign w:val="center"/>
          </w:tcPr>
          <w:p w14:paraId="18135B51"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b/>
                <w:bCs/>
                <w:iCs/>
                <w:lang w:eastAsia="sk-SK"/>
              </w:rPr>
              <w:t>900</w:t>
            </w:r>
          </w:p>
        </w:tc>
        <w:tc>
          <w:tcPr>
            <w:tcW w:w="1267" w:type="dxa"/>
            <w:noWrap/>
            <w:vAlign w:val="center"/>
          </w:tcPr>
          <w:p w14:paraId="39A30320"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b/>
                <w:bCs/>
                <w:iCs/>
                <w:lang w:eastAsia="sk-SK"/>
              </w:rPr>
              <w:t>300</w:t>
            </w:r>
          </w:p>
        </w:tc>
        <w:tc>
          <w:tcPr>
            <w:tcW w:w="1267" w:type="dxa"/>
            <w:noWrap/>
            <w:vAlign w:val="center"/>
          </w:tcPr>
          <w:p w14:paraId="3DBBAE27"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b/>
                <w:bCs/>
                <w:iCs/>
                <w:lang w:eastAsia="sk-SK"/>
              </w:rPr>
              <w:t>300</w:t>
            </w:r>
          </w:p>
        </w:tc>
        <w:tc>
          <w:tcPr>
            <w:tcW w:w="1267" w:type="dxa"/>
            <w:noWrap/>
            <w:vAlign w:val="center"/>
          </w:tcPr>
          <w:p w14:paraId="6414EB9A"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b/>
                <w:bCs/>
                <w:iCs/>
                <w:lang w:eastAsia="sk-SK"/>
              </w:rPr>
              <w:t>300</w:t>
            </w:r>
          </w:p>
        </w:tc>
      </w:tr>
      <w:tr w:rsidR="00507E84" w:rsidRPr="00507E84" w14:paraId="69303FE0" w14:textId="77777777" w:rsidTr="00507E84">
        <w:trPr>
          <w:trHeight w:val="70"/>
          <w:jc w:val="center"/>
        </w:trPr>
        <w:tc>
          <w:tcPr>
            <w:tcW w:w="4661" w:type="dxa"/>
            <w:noWrap/>
            <w:vAlign w:val="center"/>
          </w:tcPr>
          <w:p w14:paraId="2A3A0B33"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xml:space="preserve">z toho:  </w:t>
            </w:r>
          </w:p>
        </w:tc>
        <w:tc>
          <w:tcPr>
            <w:tcW w:w="1267" w:type="dxa"/>
            <w:noWrap/>
            <w:vAlign w:val="center"/>
          </w:tcPr>
          <w:p w14:paraId="0FCC5D60" w14:textId="77777777" w:rsidR="00507E84" w:rsidRPr="00507E84" w:rsidRDefault="00507E84" w:rsidP="00507E84">
            <w:pPr>
              <w:jc w:val="right"/>
              <w:rPr>
                <w:rFonts w:ascii="Times New Roman" w:hAnsi="Times New Roman" w:cs="Times New Roman"/>
                <w:b/>
                <w:bCs/>
                <w:iCs/>
                <w:lang w:eastAsia="sk-SK"/>
              </w:rPr>
            </w:pPr>
          </w:p>
        </w:tc>
        <w:tc>
          <w:tcPr>
            <w:tcW w:w="1267" w:type="dxa"/>
            <w:noWrap/>
            <w:vAlign w:val="center"/>
          </w:tcPr>
          <w:p w14:paraId="2E26E80B" w14:textId="77777777" w:rsidR="00507E84" w:rsidRPr="00507E84" w:rsidRDefault="00507E84" w:rsidP="00507E84">
            <w:pPr>
              <w:jc w:val="right"/>
              <w:rPr>
                <w:rFonts w:ascii="Times New Roman" w:hAnsi="Times New Roman" w:cs="Times New Roman"/>
                <w:b/>
                <w:bCs/>
                <w:iCs/>
                <w:lang w:eastAsia="sk-SK"/>
              </w:rPr>
            </w:pPr>
          </w:p>
        </w:tc>
        <w:tc>
          <w:tcPr>
            <w:tcW w:w="1267" w:type="dxa"/>
            <w:noWrap/>
            <w:vAlign w:val="center"/>
          </w:tcPr>
          <w:p w14:paraId="25A0C25E" w14:textId="77777777" w:rsidR="00507E84" w:rsidRPr="00507E84" w:rsidRDefault="00507E84" w:rsidP="00507E84">
            <w:pPr>
              <w:jc w:val="right"/>
              <w:rPr>
                <w:rFonts w:ascii="Times New Roman" w:hAnsi="Times New Roman" w:cs="Times New Roman"/>
                <w:b/>
                <w:bCs/>
                <w:iCs/>
                <w:lang w:eastAsia="sk-SK"/>
              </w:rPr>
            </w:pPr>
          </w:p>
        </w:tc>
        <w:tc>
          <w:tcPr>
            <w:tcW w:w="1267" w:type="dxa"/>
            <w:noWrap/>
            <w:vAlign w:val="center"/>
          </w:tcPr>
          <w:p w14:paraId="234D57DB" w14:textId="77777777" w:rsidR="00507E84" w:rsidRPr="00507E84" w:rsidRDefault="00507E84" w:rsidP="00507E84">
            <w:pPr>
              <w:jc w:val="right"/>
              <w:rPr>
                <w:rFonts w:ascii="Times New Roman" w:hAnsi="Times New Roman" w:cs="Times New Roman"/>
                <w:b/>
                <w:bCs/>
                <w:iCs/>
                <w:lang w:eastAsia="sk-SK"/>
              </w:rPr>
            </w:pPr>
          </w:p>
        </w:tc>
      </w:tr>
      <w:tr w:rsidR="00507E84" w:rsidRPr="00507E84" w14:paraId="38461B2D" w14:textId="77777777" w:rsidTr="00507E84">
        <w:trPr>
          <w:trHeight w:val="125"/>
          <w:jc w:val="center"/>
        </w:trPr>
        <w:tc>
          <w:tcPr>
            <w:tcW w:w="4661" w:type="dxa"/>
            <w:noWrap/>
            <w:vAlign w:val="center"/>
          </w:tcPr>
          <w:p w14:paraId="7B0F73F9"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ŠR</w:t>
            </w:r>
          </w:p>
        </w:tc>
        <w:tc>
          <w:tcPr>
            <w:tcW w:w="1267" w:type="dxa"/>
            <w:noWrap/>
            <w:vAlign w:val="center"/>
          </w:tcPr>
          <w:p w14:paraId="1AE1247A"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900</w:t>
            </w:r>
          </w:p>
        </w:tc>
        <w:tc>
          <w:tcPr>
            <w:tcW w:w="1267" w:type="dxa"/>
            <w:noWrap/>
            <w:vAlign w:val="center"/>
          </w:tcPr>
          <w:p w14:paraId="4A410A1A"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300</w:t>
            </w:r>
          </w:p>
        </w:tc>
        <w:tc>
          <w:tcPr>
            <w:tcW w:w="1267" w:type="dxa"/>
            <w:noWrap/>
          </w:tcPr>
          <w:p w14:paraId="3C2D609C"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300</w:t>
            </w:r>
          </w:p>
        </w:tc>
        <w:tc>
          <w:tcPr>
            <w:tcW w:w="1267" w:type="dxa"/>
            <w:noWrap/>
          </w:tcPr>
          <w:p w14:paraId="33E0205B"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300</w:t>
            </w:r>
          </w:p>
        </w:tc>
      </w:tr>
      <w:tr w:rsidR="00507E84" w:rsidRPr="00507E84" w14:paraId="53A68173" w14:textId="77777777" w:rsidTr="00507E84">
        <w:trPr>
          <w:trHeight w:val="125"/>
          <w:jc w:val="center"/>
        </w:trPr>
        <w:tc>
          <w:tcPr>
            <w:tcW w:w="4661" w:type="dxa"/>
            <w:noWrap/>
            <w:vAlign w:val="center"/>
          </w:tcPr>
          <w:p w14:paraId="748D5833" w14:textId="77777777" w:rsidR="00507E84" w:rsidRPr="00507E84" w:rsidRDefault="00507E84" w:rsidP="00507E84">
            <w:pPr>
              <w:ind w:left="259"/>
              <w:rPr>
                <w:rFonts w:ascii="Times New Roman" w:hAnsi="Times New Roman" w:cs="Times New Roman"/>
                <w:b/>
                <w:bCs/>
                <w:i/>
                <w:iCs/>
                <w:lang w:eastAsia="sk-SK"/>
              </w:rPr>
            </w:pPr>
            <w:r w:rsidRPr="00507E84">
              <w:rPr>
                <w:rFonts w:ascii="Times New Roman" w:hAnsi="Times New Roman" w:cs="Times New Roman"/>
                <w:bCs/>
                <w:i/>
                <w:iCs/>
                <w:lang w:eastAsia="sk-SK"/>
              </w:rPr>
              <w:t>Rozpočtové prostriedky</w:t>
            </w:r>
          </w:p>
        </w:tc>
        <w:tc>
          <w:tcPr>
            <w:tcW w:w="1267" w:type="dxa"/>
            <w:noWrap/>
            <w:vAlign w:val="center"/>
          </w:tcPr>
          <w:p w14:paraId="6D7D87F9" w14:textId="77777777" w:rsidR="00507E84" w:rsidRPr="00507E84" w:rsidRDefault="00507E84" w:rsidP="00507E84">
            <w:pPr>
              <w:jc w:val="right"/>
              <w:rPr>
                <w:rFonts w:ascii="Times New Roman" w:hAnsi="Times New Roman" w:cs="Times New Roman"/>
                <w:iCs/>
                <w:lang w:eastAsia="sk-SK"/>
              </w:rPr>
            </w:pPr>
            <w:r w:rsidRPr="00507E84">
              <w:rPr>
                <w:rFonts w:ascii="Times New Roman" w:hAnsi="Times New Roman" w:cs="Times New Roman"/>
                <w:iCs/>
                <w:lang w:eastAsia="sk-SK"/>
              </w:rPr>
              <w:t>900</w:t>
            </w:r>
          </w:p>
        </w:tc>
        <w:tc>
          <w:tcPr>
            <w:tcW w:w="1267" w:type="dxa"/>
            <w:noWrap/>
          </w:tcPr>
          <w:p w14:paraId="03D64795" w14:textId="77777777" w:rsidR="00507E84" w:rsidRPr="00507E84" w:rsidRDefault="00507E84" w:rsidP="00507E84">
            <w:pPr>
              <w:jc w:val="right"/>
              <w:rPr>
                <w:rFonts w:ascii="Times New Roman" w:hAnsi="Times New Roman" w:cs="Times New Roman"/>
                <w:iCs/>
                <w:lang w:eastAsia="sk-SK"/>
              </w:rPr>
            </w:pPr>
            <w:r w:rsidRPr="00507E84">
              <w:rPr>
                <w:rFonts w:ascii="Times New Roman" w:hAnsi="Times New Roman" w:cs="Times New Roman"/>
                <w:iCs/>
                <w:lang w:eastAsia="sk-SK"/>
              </w:rPr>
              <w:t>300</w:t>
            </w:r>
          </w:p>
        </w:tc>
        <w:tc>
          <w:tcPr>
            <w:tcW w:w="1267" w:type="dxa"/>
            <w:noWrap/>
          </w:tcPr>
          <w:p w14:paraId="4E84D6CD" w14:textId="77777777" w:rsidR="00507E84" w:rsidRPr="00507E84" w:rsidRDefault="00507E84" w:rsidP="00507E84">
            <w:pPr>
              <w:jc w:val="right"/>
              <w:rPr>
                <w:rFonts w:ascii="Times New Roman" w:hAnsi="Times New Roman" w:cs="Times New Roman"/>
                <w:iCs/>
                <w:lang w:eastAsia="sk-SK"/>
              </w:rPr>
            </w:pPr>
            <w:r w:rsidRPr="00507E84">
              <w:rPr>
                <w:rFonts w:ascii="Times New Roman" w:hAnsi="Times New Roman" w:cs="Times New Roman"/>
                <w:iCs/>
                <w:lang w:eastAsia="sk-SK"/>
              </w:rPr>
              <w:t>300</w:t>
            </w:r>
          </w:p>
        </w:tc>
        <w:tc>
          <w:tcPr>
            <w:tcW w:w="1267" w:type="dxa"/>
            <w:noWrap/>
          </w:tcPr>
          <w:p w14:paraId="59314EBD" w14:textId="77777777" w:rsidR="00507E84" w:rsidRPr="00507E84" w:rsidRDefault="00507E84" w:rsidP="00507E84">
            <w:pPr>
              <w:jc w:val="right"/>
              <w:rPr>
                <w:rFonts w:ascii="Times New Roman" w:hAnsi="Times New Roman" w:cs="Times New Roman"/>
                <w:iCs/>
                <w:lang w:eastAsia="sk-SK"/>
              </w:rPr>
            </w:pPr>
            <w:r w:rsidRPr="00507E84">
              <w:rPr>
                <w:rFonts w:ascii="Times New Roman" w:hAnsi="Times New Roman" w:cs="Times New Roman"/>
                <w:iCs/>
                <w:lang w:eastAsia="sk-SK"/>
              </w:rPr>
              <w:t>300</w:t>
            </w:r>
          </w:p>
        </w:tc>
      </w:tr>
      <w:tr w:rsidR="00507E84" w:rsidRPr="00507E84" w14:paraId="327E2474" w14:textId="77777777" w:rsidTr="00507E84">
        <w:trPr>
          <w:trHeight w:val="125"/>
          <w:jc w:val="center"/>
        </w:trPr>
        <w:tc>
          <w:tcPr>
            <w:tcW w:w="4661" w:type="dxa"/>
            <w:noWrap/>
            <w:vAlign w:val="center"/>
          </w:tcPr>
          <w:p w14:paraId="35C0FBFC" w14:textId="77777777" w:rsidR="00507E84" w:rsidRPr="00507E84" w:rsidRDefault="00507E84" w:rsidP="00507E84">
            <w:pPr>
              <w:ind w:left="259"/>
              <w:rPr>
                <w:rFonts w:ascii="Times New Roman" w:hAnsi="Times New Roman" w:cs="Times New Roman"/>
                <w:bCs/>
                <w:i/>
                <w:iCs/>
                <w:lang w:eastAsia="sk-SK"/>
              </w:rPr>
            </w:pPr>
            <w:r w:rsidRPr="00507E84">
              <w:rPr>
                <w:rFonts w:ascii="Times New Roman" w:hAnsi="Times New Roman" w:cs="Times New Roman"/>
                <w:bCs/>
                <w:i/>
                <w:iCs/>
                <w:lang w:eastAsia="sk-SK"/>
              </w:rPr>
              <w:t>EÚ zdroje</w:t>
            </w:r>
          </w:p>
        </w:tc>
        <w:tc>
          <w:tcPr>
            <w:tcW w:w="1267" w:type="dxa"/>
            <w:noWrap/>
            <w:vAlign w:val="center"/>
          </w:tcPr>
          <w:p w14:paraId="478FB8E8"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6FB56542"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1CFA9209"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53C11CE3"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r>
      <w:tr w:rsidR="00507E84" w:rsidRPr="00507E84" w14:paraId="50515FC5" w14:textId="77777777" w:rsidTr="00507E84">
        <w:trPr>
          <w:trHeight w:val="125"/>
          <w:jc w:val="center"/>
        </w:trPr>
        <w:tc>
          <w:tcPr>
            <w:tcW w:w="4661" w:type="dxa"/>
            <w:noWrap/>
            <w:vAlign w:val="center"/>
          </w:tcPr>
          <w:p w14:paraId="2C4956E0"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obce</w:t>
            </w:r>
          </w:p>
        </w:tc>
        <w:tc>
          <w:tcPr>
            <w:tcW w:w="1267" w:type="dxa"/>
            <w:noWrap/>
            <w:vAlign w:val="center"/>
          </w:tcPr>
          <w:p w14:paraId="149695F6"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7003B5E3"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5965B628"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2E09FD91"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40298CD1" w14:textId="77777777" w:rsidTr="00507E84">
        <w:trPr>
          <w:trHeight w:val="125"/>
          <w:jc w:val="center"/>
        </w:trPr>
        <w:tc>
          <w:tcPr>
            <w:tcW w:w="4661" w:type="dxa"/>
            <w:noWrap/>
            <w:vAlign w:val="center"/>
          </w:tcPr>
          <w:p w14:paraId="5CD3D5F7"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vyššie územné celky</w:t>
            </w:r>
          </w:p>
        </w:tc>
        <w:tc>
          <w:tcPr>
            <w:tcW w:w="1267" w:type="dxa"/>
            <w:noWrap/>
            <w:vAlign w:val="center"/>
          </w:tcPr>
          <w:p w14:paraId="45C456EC"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18476EAF"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076DE5FA"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1E1C565A"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0A6589B8" w14:textId="77777777" w:rsidTr="00507E84">
        <w:trPr>
          <w:trHeight w:val="125"/>
          <w:jc w:val="center"/>
        </w:trPr>
        <w:tc>
          <w:tcPr>
            <w:tcW w:w="4661" w:type="dxa"/>
            <w:noWrap/>
            <w:vAlign w:val="center"/>
          </w:tcPr>
          <w:p w14:paraId="150C0AC4"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lastRenderedPageBreak/>
              <w:t>- vplyv na ostatné subjekty verejnej správy</w:t>
            </w:r>
          </w:p>
        </w:tc>
        <w:tc>
          <w:tcPr>
            <w:tcW w:w="1267" w:type="dxa"/>
            <w:noWrap/>
            <w:vAlign w:val="center"/>
          </w:tcPr>
          <w:p w14:paraId="0A05B6B5"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183EE565"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3FF30A8A"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69E82879"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2F35F35F" w14:textId="77777777" w:rsidTr="00507E84">
        <w:trPr>
          <w:trHeight w:val="125"/>
          <w:jc w:val="center"/>
        </w:trPr>
        <w:tc>
          <w:tcPr>
            <w:tcW w:w="4661" w:type="dxa"/>
            <w:shd w:val="clear" w:color="auto" w:fill="C0C0C0"/>
            <w:noWrap/>
            <w:vAlign w:val="center"/>
          </w:tcPr>
          <w:p w14:paraId="74611090"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Výdavky verejnej správy celkom</w:t>
            </w:r>
          </w:p>
        </w:tc>
        <w:tc>
          <w:tcPr>
            <w:tcW w:w="1267" w:type="dxa"/>
            <w:shd w:val="clear" w:color="auto" w:fill="C0C0C0"/>
            <w:noWrap/>
            <w:vAlign w:val="center"/>
          </w:tcPr>
          <w:p w14:paraId="4AC55168"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335 000</w:t>
            </w:r>
          </w:p>
        </w:tc>
        <w:tc>
          <w:tcPr>
            <w:tcW w:w="1267" w:type="dxa"/>
            <w:shd w:val="clear" w:color="auto" w:fill="C0C0C0"/>
            <w:noWrap/>
            <w:vAlign w:val="center"/>
          </w:tcPr>
          <w:p w14:paraId="0ED0EE9B"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167 900</w:t>
            </w:r>
          </w:p>
        </w:tc>
        <w:tc>
          <w:tcPr>
            <w:tcW w:w="1267" w:type="dxa"/>
            <w:shd w:val="clear" w:color="auto" w:fill="C0C0C0"/>
            <w:noWrap/>
            <w:vAlign w:val="center"/>
          </w:tcPr>
          <w:p w14:paraId="005E7266"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0</w:t>
            </w:r>
          </w:p>
        </w:tc>
        <w:tc>
          <w:tcPr>
            <w:tcW w:w="1267" w:type="dxa"/>
            <w:shd w:val="clear" w:color="auto" w:fill="C0C0C0"/>
            <w:noWrap/>
            <w:vAlign w:val="center"/>
          </w:tcPr>
          <w:p w14:paraId="42576E79"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 xml:space="preserve">0   </w:t>
            </w:r>
          </w:p>
        </w:tc>
      </w:tr>
      <w:tr w:rsidR="00507E84" w:rsidRPr="00507E84" w14:paraId="30EF5673" w14:textId="77777777" w:rsidTr="00507E84">
        <w:trPr>
          <w:trHeight w:val="70"/>
          <w:jc w:val="center"/>
        </w:trPr>
        <w:tc>
          <w:tcPr>
            <w:tcW w:w="4661" w:type="dxa"/>
            <w:noWrap/>
            <w:vAlign w:val="center"/>
          </w:tcPr>
          <w:p w14:paraId="43C65C74"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v tom: Národný bezpečnostný úrad</w:t>
            </w:r>
          </w:p>
        </w:tc>
        <w:tc>
          <w:tcPr>
            <w:tcW w:w="1267" w:type="dxa"/>
            <w:noWrap/>
            <w:vAlign w:val="center"/>
          </w:tcPr>
          <w:p w14:paraId="2BD598EC"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b/>
                <w:bCs/>
                <w:lang w:eastAsia="sk-SK"/>
              </w:rPr>
              <w:t>335 000</w:t>
            </w:r>
          </w:p>
        </w:tc>
        <w:tc>
          <w:tcPr>
            <w:tcW w:w="1267" w:type="dxa"/>
            <w:noWrap/>
            <w:vAlign w:val="center"/>
          </w:tcPr>
          <w:p w14:paraId="3C5853DA"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b/>
                <w:bCs/>
                <w:lang w:eastAsia="sk-SK"/>
              </w:rPr>
              <w:t>167 900</w:t>
            </w:r>
          </w:p>
        </w:tc>
        <w:tc>
          <w:tcPr>
            <w:tcW w:w="1267" w:type="dxa"/>
            <w:noWrap/>
            <w:vAlign w:val="center"/>
          </w:tcPr>
          <w:p w14:paraId="23959BED"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3D8BA2BF"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r>
      <w:tr w:rsidR="00507E84" w:rsidRPr="00507E84" w14:paraId="086F8FA1" w14:textId="77777777" w:rsidTr="00507E84">
        <w:trPr>
          <w:trHeight w:val="70"/>
          <w:jc w:val="center"/>
        </w:trPr>
        <w:tc>
          <w:tcPr>
            <w:tcW w:w="4661" w:type="dxa"/>
            <w:noWrap/>
            <w:vAlign w:val="center"/>
          </w:tcPr>
          <w:p w14:paraId="68D4442E"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xml:space="preserve">z toho: </w:t>
            </w:r>
          </w:p>
        </w:tc>
        <w:tc>
          <w:tcPr>
            <w:tcW w:w="1267" w:type="dxa"/>
            <w:noWrap/>
            <w:vAlign w:val="center"/>
          </w:tcPr>
          <w:p w14:paraId="324880B6" w14:textId="77777777" w:rsidR="00507E84" w:rsidRPr="00507E84" w:rsidRDefault="00507E84" w:rsidP="00507E84">
            <w:pPr>
              <w:jc w:val="right"/>
              <w:rPr>
                <w:rFonts w:ascii="Times New Roman" w:hAnsi="Times New Roman" w:cs="Times New Roman"/>
                <w:b/>
                <w:bCs/>
                <w:iCs/>
                <w:lang w:eastAsia="sk-SK"/>
              </w:rPr>
            </w:pPr>
          </w:p>
        </w:tc>
        <w:tc>
          <w:tcPr>
            <w:tcW w:w="1267" w:type="dxa"/>
            <w:noWrap/>
            <w:vAlign w:val="center"/>
          </w:tcPr>
          <w:p w14:paraId="227EA474" w14:textId="77777777" w:rsidR="00507E84" w:rsidRPr="00507E84" w:rsidRDefault="00507E84" w:rsidP="00507E84">
            <w:pPr>
              <w:jc w:val="right"/>
              <w:rPr>
                <w:rFonts w:ascii="Times New Roman" w:hAnsi="Times New Roman" w:cs="Times New Roman"/>
                <w:b/>
                <w:bCs/>
                <w:iCs/>
                <w:lang w:eastAsia="sk-SK"/>
              </w:rPr>
            </w:pPr>
          </w:p>
        </w:tc>
        <w:tc>
          <w:tcPr>
            <w:tcW w:w="1267" w:type="dxa"/>
            <w:noWrap/>
            <w:vAlign w:val="center"/>
          </w:tcPr>
          <w:p w14:paraId="6F77C3EA" w14:textId="77777777" w:rsidR="00507E84" w:rsidRPr="00507E84" w:rsidRDefault="00507E84" w:rsidP="00507E84">
            <w:pPr>
              <w:jc w:val="right"/>
              <w:rPr>
                <w:rFonts w:ascii="Times New Roman" w:hAnsi="Times New Roman" w:cs="Times New Roman"/>
                <w:b/>
                <w:bCs/>
                <w:iCs/>
                <w:lang w:eastAsia="sk-SK"/>
              </w:rPr>
            </w:pPr>
          </w:p>
        </w:tc>
        <w:tc>
          <w:tcPr>
            <w:tcW w:w="1267" w:type="dxa"/>
            <w:noWrap/>
            <w:vAlign w:val="center"/>
          </w:tcPr>
          <w:p w14:paraId="60A3D6AD" w14:textId="77777777" w:rsidR="00507E84" w:rsidRPr="00507E84" w:rsidRDefault="00507E84" w:rsidP="00507E84">
            <w:pPr>
              <w:jc w:val="right"/>
              <w:rPr>
                <w:rFonts w:ascii="Times New Roman" w:hAnsi="Times New Roman" w:cs="Times New Roman"/>
                <w:b/>
                <w:bCs/>
                <w:iCs/>
                <w:lang w:eastAsia="sk-SK"/>
              </w:rPr>
            </w:pPr>
          </w:p>
        </w:tc>
      </w:tr>
      <w:tr w:rsidR="00507E84" w:rsidRPr="00507E84" w14:paraId="7BCB93FB" w14:textId="77777777" w:rsidTr="00507E84">
        <w:trPr>
          <w:trHeight w:val="70"/>
          <w:jc w:val="center"/>
        </w:trPr>
        <w:tc>
          <w:tcPr>
            <w:tcW w:w="4661" w:type="dxa"/>
            <w:noWrap/>
            <w:vAlign w:val="center"/>
          </w:tcPr>
          <w:p w14:paraId="3AE5D2BA"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ŠR</w:t>
            </w:r>
          </w:p>
        </w:tc>
        <w:tc>
          <w:tcPr>
            <w:tcW w:w="1267" w:type="dxa"/>
            <w:noWrap/>
            <w:vAlign w:val="center"/>
          </w:tcPr>
          <w:p w14:paraId="1DD20F1A"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lang w:eastAsia="sk-SK"/>
              </w:rPr>
              <w:t>335 000</w:t>
            </w:r>
          </w:p>
        </w:tc>
        <w:tc>
          <w:tcPr>
            <w:tcW w:w="1267" w:type="dxa"/>
            <w:noWrap/>
            <w:vAlign w:val="center"/>
          </w:tcPr>
          <w:p w14:paraId="1E9A10A5"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lang w:eastAsia="sk-SK"/>
              </w:rPr>
              <w:t>167 900</w:t>
            </w:r>
          </w:p>
        </w:tc>
        <w:tc>
          <w:tcPr>
            <w:tcW w:w="1267" w:type="dxa"/>
            <w:noWrap/>
            <w:vAlign w:val="center"/>
          </w:tcPr>
          <w:p w14:paraId="177D4643"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3BFD3448"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76E74799" w14:textId="77777777" w:rsidTr="00507E84">
        <w:trPr>
          <w:trHeight w:val="70"/>
          <w:jc w:val="center"/>
        </w:trPr>
        <w:tc>
          <w:tcPr>
            <w:tcW w:w="4661" w:type="dxa"/>
            <w:noWrap/>
            <w:vAlign w:val="center"/>
          </w:tcPr>
          <w:p w14:paraId="4BF8FE9E" w14:textId="77777777" w:rsidR="00507E84" w:rsidRPr="00507E84" w:rsidRDefault="00507E84" w:rsidP="00507E84">
            <w:pPr>
              <w:ind w:left="259"/>
              <w:rPr>
                <w:rFonts w:ascii="Times New Roman" w:hAnsi="Times New Roman" w:cs="Times New Roman"/>
                <w:b/>
                <w:bCs/>
                <w:i/>
                <w:iCs/>
                <w:lang w:eastAsia="sk-SK"/>
              </w:rPr>
            </w:pPr>
            <w:r w:rsidRPr="00507E84">
              <w:rPr>
                <w:rFonts w:ascii="Times New Roman" w:hAnsi="Times New Roman" w:cs="Times New Roman"/>
                <w:bCs/>
                <w:i/>
                <w:iCs/>
                <w:lang w:eastAsia="sk-SK"/>
              </w:rPr>
              <w:t>Rozpočtové prostriedky</w:t>
            </w:r>
          </w:p>
        </w:tc>
        <w:tc>
          <w:tcPr>
            <w:tcW w:w="1267" w:type="dxa"/>
            <w:noWrap/>
            <w:vAlign w:val="center"/>
          </w:tcPr>
          <w:p w14:paraId="2A4CC5BF" w14:textId="77777777" w:rsidR="00507E84" w:rsidRPr="00507E84" w:rsidRDefault="00507E84" w:rsidP="00507E84">
            <w:pPr>
              <w:jc w:val="right"/>
              <w:rPr>
                <w:rFonts w:ascii="Times New Roman" w:hAnsi="Times New Roman" w:cs="Times New Roman"/>
                <w:iCs/>
                <w:lang w:eastAsia="sk-SK"/>
              </w:rPr>
            </w:pPr>
            <w:r w:rsidRPr="00507E84">
              <w:rPr>
                <w:rFonts w:ascii="Times New Roman" w:hAnsi="Times New Roman" w:cs="Times New Roman"/>
                <w:iCs/>
                <w:lang w:eastAsia="sk-SK"/>
              </w:rPr>
              <w:t>0</w:t>
            </w:r>
          </w:p>
        </w:tc>
        <w:tc>
          <w:tcPr>
            <w:tcW w:w="1267" w:type="dxa"/>
            <w:noWrap/>
            <w:vAlign w:val="center"/>
          </w:tcPr>
          <w:p w14:paraId="5E4AFBC3" w14:textId="77777777" w:rsidR="00507E84" w:rsidRPr="00507E84" w:rsidRDefault="00507E84" w:rsidP="00507E84">
            <w:pPr>
              <w:jc w:val="right"/>
              <w:rPr>
                <w:rFonts w:ascii="Times New Roman" w:hAnsi="Times New Roman" w:cs="Times New Roman"/>
                <w:iCs/>
                <w:lang w:eastAsia="sk-SK"/>
              </w:rPr>
            </w:pPr>
            <w:r w:rsidRPr="00507E84">
              <w:rPr>
                <w:rFonts w:ascii="Times New Roman" w:hAnsi="Times New Roman" w:cs="Times New Roman"/>
                <w:iCs/>
                <w:lang w:eastAsia="sk-SK"/>
              </w:rPr>
              <w:t>0</w:t>
            </w:r>
          </w:p>
        </w:tc>
        <w:tc>
          <w:tcPr>
            <w:tcW w:w="1267" w:type="dxa"/>
            <w:noWrap/>
            <w:vAlign w:val="center"/>
          </w:tcPr>
          <w:p w14:paraId="7DA95DB3"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657C9183"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515F49FB" w14:textId="77777777" w:rsidTr="00507E84">
        <w:trPr>
          <w:trHeight w:val="70"/>
          <w:jc w:val="center"/>
        </w:trPr>
        <w:tc>
          <w:tcPr>
            <w:tcW w:w="4661" w:type="dxa"/>
            <w:noWrap/>
            <w:vAlign w:val="center"/>
          </w:tcPr>
          <w:p w14:paraId="21B29FD6" w14:textId="77777777" w:rsidR="00507E84" w:rsidRPr="00507E84" w:rsidRDefault="00507E84" w:rsidP="00507E84">
            <w:pPr>
              <w:rPr>
                <w:rFonts w:ascii="Times New Roman" w:hAnsi="Times New Roman" w:cs="Times New Roman"/>
                <w:bCs/>
                <w:i/>
                <w:iCs/>
                <w:lang w:eastAsia="sk-SK"/>
              </w:rPr>
            </w:pPr>
            <w:r w:rsidRPr="00507E84">
              <w:rPr>
                <w:rFonts w:ascii="Times New Roman" w:hAnsi="Times New Roman" w:cs="Times New Roman"/>
                <w:bCs/>
                <w:i/>
                <w:iCs/>
                <w:lang w:eastAsia="sk-SK"/>
              </w:rPr>
              <w:t xml:space="preserve">    EÚ zdroje</w:t>
            </w:r>
          </w:p>
        </w:tc>
        <w:tc>
          <w:tcPr>
            <w:tcW w:w="1267" w:type="dxa"/>
            <w:noWrap/>
            <w:vAlign w:val="center"/>
          </w:tcPr>
          <w:p w14:paraId="5CAA93E8"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335 000</w:t>
            </w:r>
          </w:p>
        </w:tc>
        <w:tc>
          <w:tcPr>
            <w:tcW w:w="1267" w:type="dxa"/>
            <w:noWrap/>
            <w:vAlign w:val="center"/>
          </w:tcPr>
          <w:p w14:paraId="16F909D8"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167 900</w:t>
            </w:r>
          </w:p>
        </w:tc>
        <w:tc>
          <w:tcPr>
            <w:tcW w:w="1267" w:type="dxa"/>
            <w:noWrap/>
            <w:vAlign w:val="center"/>
          </w:tcPr>
          <w:p w14:paraId="6AFB5FC9"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48968453"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r>
      <w:tr w:rsidR="00507E84" w:rsidRPr="00507E84" w14:paraId="0A6C8EC4" w14:textId="77777777" w:rsidTr="00507E84">
        <w:trPr>
          <w:trHeight w:val="70"/>
          <w:jc w:val="center"/>
        </w:trPr>
        <w:tc>
          <w:tcPr>
            <w:tcW w:w="4661" w:type="dxa"/>
            <w:noWrap/>
            <w:vAlign w:val="center"/>
          </w:tcPr>
          <w:p w14:paraId="4FA5F641" w14:textId="77777777" w:rsidR="00507E84" w:rsidRPr="00507E84" w:rsidRDefault="00507E84" w:rsidP="00507E84">
            <w:pPr>
              <w:rPr>
                <w:rFonts w:ascii="Times New Roman" w:hAnsi="Times New Roman" w:cs="Times New Roman"/>
                <w:bCs/>
                <w:i/>
                <w:iCs/>
                <w:lang w:eastAsia="sk-SK"/>
              </w:rPr>
            </w:pPr>
            <w:r w:rsidRPr="00507E84">
              <w:rPr>
                <w:rFonts w:ascii="Times New Roman" w:hAnsi="Times New Roman" w:cs="Times New Roman"/>
                <w:bCs/>
                <w:i/>
                <w:iCs/>
                <w:lang w:eastAsia="sk-SK"/>
              </w:rPr>
              <w:t xml:space="preserve">    spolufinancovanie</w:t>
            </w:r>
          </w:p>
        </w:tc>
        <w:tc>
          <w:tcPr>
            <w:tcW w:w="1267" w:type="dxa"/>
            <w:noWrap/>
            <w:vAlign w:val="center"/>
          </w:tcPr>
          <w:p w14:paraId="2CE4EDD0"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65840200"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144DB81B"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049CB230"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r>
      <w:tr w:rsidR="00507E84" w:rsidRPr="00507E84" w14:paraId="5BC72472" w14:textId="77777777" w:rsidTr="00507E84">
        <w:trPr>
          <w:trHeight w:val="125"/>
          <w:jc w:val="center"/>
        </w:trPr>
        <w:tc>
          <w:tcPr>
            <w:tcW w:w="4661" w:type="dxa"/>
            <w:noWrap/>
            <w:vAlign w:val="center"/>
          </w:tcPr>
          <w:p w14:paraId="01ADB8F1"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obce</w:t>
            </w:r>
          </w:p>
        </w:tc>
        <w:tc>
          <w:tcPr>
            <w:tcW w:w="1267" w:type="dxa"/>
            <w:noWrap/>
            <w:vAlign w:val="center"/>
          </w:tcPr>
          <w:p w14:paraId="009CB0D3"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163835C5"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05738A00"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3C81D4A2"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46721B15" w14:textId="77777777" w:rsidTr="00507E84">
        <w:trPr>
          <w:trHeight w:val="125"/>
          <w:jc w:val="center"/>
        </w:trPr>
        <w:tc>
          <w:tcPr>
            <w:tcW w:w="4661" w:type="dxa"/>
            <w:noWrap/>
            <w:vAlign w:val="center"/>
          </w:tcPr>
          <w:p w14:paraId="01CE146A" w14:textId="77777777" w:rsidR="00507E84" w:rsidRPr="00507E84" w:rsidRDefault="00507E84" w:rsidP="00507E84">
            <w:pPr>
              <w:ind w:left="203"/>
              <w:rPr>
                <w:rFonts w:ascii="Times New Roman" w:hAnsi="Times New Roman" w:cs="Times New Roman"/>
                <w:bCs/>
                <w:i/>
                <w:iCs/>
                <w:lang w:eastAsia="sk-SK"/>
              </w:rPr>
            </w:pPr>
            <w:r w:rsidRPr="00507E84">
              <w:rPr>
                <w:rFonts w:ascii="Times New Roman" w:hAnsi="Times New Roman" w:cs="Times New Roman"/>
                <w:bCs/>
                <w:i/>
                <w:iCs/>
                <w:lang w:eastAsia="sk-SK"/>
              </w:rPr>
              <w:t xml:space="preserve">z toho vplyv nových úloh v zmysle ods. 2 Čl. 6 ústavného zákona č. 493/2011 Z. z. </w:t>
            </w:r>
          </w:p>
          <w:p w14:paraId="59F1E8AB" w14:textId="77777777" w:rsidR="00507E84" w:rsidRPr="00507E84" w:rsidRDefault="00507E84" w:rsidP="00507E84">
            <w:pPr>
              <w:ind w:left="203"/>
              <w:rPr>
                <w:rFonts w:ascii="Times New Roman" w:hAnsi="Times New Roman" w:cs="Times New Roman"/>
                <w:b/>
                <w:bCs/>
                <w:i/>
                <w:iCs/>
                <w:lang w:eastAsia="sk-SK"/>
              </w:rPr>
            </w:pPr>
            <w:r w:rsidRPr="00507E84">
              <w:rPr>
                <w:rFonts w:ascii="Times New Roman" w:hAnsi="Times New Roman" w:cs="Times New Roman"/>
                <w:bCs/>
                <w:i/>
                <w:iCs/>
                <w:lang w:eastAsia="sk-SK"/>
              </w:rPr>
              <w:t>o rozpočtovej zodpovednosti</w:t>
            </w:r>
          </w:p>
        </w:tc>
        <w:tc>
          <w:tcPr>
            <w:tcW w:w="1267" w:type="dxa"/>
            <w:noWrap/>
            <w:vAlign w:val="center"/>
          </w:tcPr>
          <w:p w14:paraId="3077D0E0"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7F94E94D"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0EC73D91"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0C918A44"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r>
      <w:tr w:rsidR="00507E84" w:rsidRPr="00507E84" w14:paraId="337E6DD5" w14:textId="77777777" w:rsidTr="00507E84">
        <w:trPr>
          <w:trHeight w:val="125"/>
          <w:jc w:val="center"/>
        </w:trPr>
        <w:tc>
          <w:tcPr>
            <w:tcW w:w="4661" w:type="dxa"/>
            <w:noWrap/>
            <w:vAlign w:val="center"/>
          </w:tcPr>
          <w:p w14:paraId="2285E04E"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vyššie územné celky</w:t>
            </w:r>
          </w:p>
        </w:tc>
        <w:tc>
          <w:tcPr>
            <w:tcW w:w="1267" w:type="dxa"/>
            <w:noWrap/>
            <w:vAlign w:val="center"/>
          </w:tcPr>
          <w:p w14:paraId="04FAC47D"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2350B313"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69F29433"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1A2C607D"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7426787B" w14:textId="77777777" w:rsidTr="00507E84">
        <w:trPr>
          <w:trHeight w:val="125"/>
          <w:jc w:val="center"/>
        </w:trPr>
        <w:tc>
          <w:tcPr>
            <w:tcW w:w="4661" w:type="dxa"/>
            <w:noWrap/>
            <w:vAlign w:val="center"/>
          </w:tcPr>
          <w:p w14:paraId="144856BA" w14:textId="77777777" w:rsidR="00507E84" w:rsidRPr="00507E84" w:rsidRDefault="00507E84" w:rsidP="00507E84">
            <w:pPr>
              <w:ind w:left="203"/>
              <w:rPr>
                <w:rFonts w:ascii="Times New Roman" w:hAnsi="Times New Roman" w:cs="Times New Roman"/>
                <w:bCs/>
                <w:i/>
                <w:iCs/>
                <w:lang w:eastAsia="sk-SK"/>
              </w:rPr>
            </w:pPr>
            <w:r w:rsidRPr="00507E84">
              <w:rPr>
                <w:rFonts w:ascii="Times New Roman" w:hAnsi="Times New Roman" w:cs="Times New Roman"/>
                <w:bCs/>
                <w:i/>
                <w:iCs/>
                <w:lang w:eastAsia="sk-SK"/>
              </w:rPr>
              <w:t xml:space="preserve">z toho vplyv nových úloh v zmysle ods. 2 Čl. 6 ústavného zákona č. 493/2011 Z. z. </w:t>
            </w:r>
          </w:p>
          <w:p w14:paraId="3633E8F3" w14:textId="77777777" w:rsidR="00507E84" w:rsidRPr="00507E84" w:rsidRDefault="00507E84" w:rsidP="00507E84">
            <w:pPr>
              <w:ind w:left="203"/>
              <w:rPr>
                <w:rFonts w:ascii="Times New Roman" w:hAnsi="Times New Roman" w:cs="Times New Roman"/>
                <w:b/>
                <w:bCs/>
                <w:i/>
                <w:iCs/>
                <w:lang w:eastAsia="sk-SK"/>
              </w:rPr>
            </w:pPr>
            <w:r w:rsidRPr="00507E84">
              <w:rPr>
                <w:rFonts w:ascii="Times New Roman" w:hAnsi="Times New Roman" w:cs="Times New Roman"/>
                <w:bCs/>
                <w:i/>
                <w:iCs/>
                <w:lang w:eastAsia="sk-SK"/>
              </w:rPr>
              <w:t>o rozpočtovej zodpovednosti</w:t>
            </w:r>
          </w:p>
        </w:tc>
        <w:tc>
          <w:tcPr>
            <w:tcW w:w="1267" w:type="dxa"/>
            <w:noWrap/>
            <w:vAlign w:val="center"/>
          </w:tcPr>
          <w:p w14:paraId="007C81C8"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438B7E6B"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597DA184"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43AA37AB"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r>
      <w:tr w:rsidR="00507E84" w:rsidRPr="00507E84" w14:paraId="6C4B6F54" w14:textId="77777777" w:rsidTr="00507E84">
        <w:trPr>
          <w:trHeight w:val="70"/>
          <w:jc w:val="center"/>
        </w:trPr>
        <w:tc>
          <w:tcPr>
            <w:tcW w:w="4661" w:type="dxa"/>
            <w:noWrap/>
            <w:vAlign w:val="center"/>
          </w:tcPr>
          <w:p w14:paraId="02E8ECF7"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i/>
                <w:iCs/>
                <w:lang w:eastAsia="sk-SK"/>
              </w:rPr>
              <w:t>- vplyv na ostatné subjekty verejnej správy</w:t>
            </w:r>
          </w:p>
        </w:tc>
        <w:tc>
          <w:tcPr>
            <w:tcW w:w="1267" w:type="dxa"/>
            <w:noWrap/>
            <w:vAlign w:val="center"/>
          </w:tcPr>
          <w:p w14:paraId="3CD770F5"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30154DCF"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3C56D0C5"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6993F5D9"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43DBB790" w14:textId="77777777" w:rsidTr="00507E84">
        <w:trPr>
          <w:trHeight w:val="70"/>
          <w:jc w:val="center"/>
        </w:trPr>
        <w:tc>
          <w:tcPr>
            <w:tcW w:w="4661" w:type="dxa"/>
            <w:shd w:val="clear" w:color="auto" w:fill="BFBFBF" w:themeFill="background1" w:themeFillShade="BF"/>
            <w:noWrap/>
            <w:vAlign w:val="center"/>
          </w:tcPr>
          <w:p w14:paraId="24FAE021"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 xml:space="preserve">Vplyv na počet zamestnancov </w:t>
            </w:r>
          </w:p>
        </w:tc>
        <w:tc>
          <w:tcPr>
            <w:tcW w:w="1267" w:type="dxa"/>
            <w:shd w:val="clear" w:color="auto" w:fill="BFBFBF" w:themeFill="background1" w:themeFillShade="BF"/>
            <w:noWrap/>
            <w:vAlign w:val="center"/>
          </w:tcPr>
          <w:p w14:paraId="47751A25"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0</w:t>
            </w:r>
          </w:p>
        </w:tc>
        <w:tc>
          <w:tcPr>
            <w:tcW w:w="1267" w:type="dxa"/>
            <w:shd w:val="clear" w:color="auto" w:fill="BFBFBF" w:themeFill="background1" w:themeFillShade="BF"/>
            <w:noWrap/>
            <w:vAlign w:val="center"/>
          </w:tcPr>
          <w:p w14:paraId="7278D435"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0</w:t>
            </w:r>
          </w:p>
        </w:tc>
        <w:tc>
          <w:tcPr>
            <w:tcW w:w="1267" w:type="dxa"/>
            <w:shd w:val="clear" w:color="auto" w:fill="BFBFBF" w:themeFill="background1" w:themeFillShade="BF"/>
            <w:noWrap/>
            <w:vAlign w:val="center"/>
          </w:tcPr>
          <w:p w14:paraId="2071DC22"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0</w:t>
            </w:r>
          </w:p>
        </w:tc>
        <w:tc>
          <w:tcPr>
            <w:tcW w:w="1267" w:type="dxa"/>
            <w:shd w:val="clear" w:color="auto" w:fill="BFBFBF" w:themeFill="background1" w:themeFillShade="BF"/>
            <w:noWrap/>
            <w:vAlign w:val="center"/>
          </w:tcPr>
          <w:p w14:paraId="4B16C6F6"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0</w:t>
            </w:r>
          </w:p>
        </w:tc>
      </w:tr>
      <w:tr w:rsidR="00507E84" w:rsidRPr="00507E84" w14:paraId="1DE62057" w14:textId="77777777" w:rsidTr="00507E84">
        <w:trPr>
          <w:trHeight w:val="70"/>
          <w:jc w:val="center"/>
        </w:trPr>
        <w:tc>
          <w:tcPr>
            <w:tcW w:w="4661" w:type="dxa"/>
            <w:noWrap/>
            <w:vAlign w:val="center"/>
          </w:tcPr>
          <w:p w14:paraId="5F1DF43D"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ŠR</w:t>
            </w:r>
          </w:p>
        </w:tc>
        <w:tc>
          <w:tcPr>
            <w:tcW w:w="1267" w:type="dxa"/>
            <w:noWrap/>
            <w:vAlign w:val="center"/>
          </w:tcPr>
          <w:p w14:paraId="1B2FBBB4"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11409F51"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772C9F5E"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05EADB27"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6AD3BE18" w14:textId="77777777" w:rsidTr="00507E84">
        <w:trPr>
          <w:trHeight w:val="70"/>
          <w:jc w:val="center"/>
        </w:trPr>
        <w:tc>
          <w:tcPr>
            <w:tcW w:w="4661" w:type="dxa"/>
            <w:noWrap/>
            <w:vAlign w:val="center"/>
          </w:tcPr>
          <w:p w14:paraId="207373C9"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obce</w:t>
            </w:r>
          </w:p>
        </w:tc>
        <w:tc>
          <w:tcPr>
            <w:tcW w:w="1267" w:type="dxa"/>
            <w:noWrap/>
            <w:vAlign w:val="center"/>
          </w:tcPr>
          <w:p w14:paraId="082DB91E"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5D23783B"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34C86273"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0675A8A7"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0B178586" w14:textId="77777777" w:rsidTr="00507E84">
        <w:trPr>
          <w:trHeight w:val="70"/>
          <w:jc w:val="center"/>
        </w:trPr>
        <w:tc>
          <w:tcPr>
            <w:tcW w:w="4661" w:type="dxa"/>
            <w:noWrap/>
            <w:vAlign w:val="center"/>
          </w:tcPr>
          <w:p w14:paraId="58309E18"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vyššie územné celky</w:t>
            </w:r>
          </w:p>
        </w:tc>
        <w:tc>
          <w:tcPr>
            <w:tcW w:w="1267" w:type="dxa"/>
            <w:noWrap/>
            <w:vAlign w:val="center"/>
          </w:tcPr>
          <w:p w14:paraId="5C2DF6D4"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6A63035F"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738543FA"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5A8DC04F"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5AF150F8" w14:textId="77777777" w:rsidTr="00507E84">
        <w:trPr>
          <w:trHeight w:val="70"/>
          <w:jc w:val="center"/>
        </w:trPr>
        <w:tc>
          <w:tcPr>
            <w:tcW w:w="4661" w:type="dxa"/>
            <w:noWrap/>
            <w:vAlign w:val="center"/>
          </w:tcPr>
          <w:p w14:paraId="206A0B98"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ostatné subjekty verejnej správy</w:t>
            </w:r>
          </w:p>
        </w:tc>
        <w:tc>
          <w:tcPr>
            <w:tcW w:w="1267" w:type="dxa"/>
            <w:noWrap/>
            <w:vAlign w:val="center"/>
          </w:tcPr>
          <w:p w14:paraId="1F4B9C9D"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32C3F712"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22EA44AF"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1059AA92"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35907FE9" w14:textId="77777777" w:rsidTr="00507E84">
        <w:trPr>
          <w:trHeight w:val="70"/>
          <w:jc w:val="center"/>
        </w:trPr>
        <w:tc>
          <w:tcPr>
            <w:tcW w:w="4661" w:type="dxa"/>
            <w:shd w:val="clear" w:color="auto" w:fill="BFBFBF" w:themeFill="background1" w:themeFillShade="BF"/>
            <w:noWrap/>
            <w:vAlign w:val="center"/>
          </w:tcPr>
          <w:p w14:paraId="76BC2131" w14:textId="77777777" w:rsidR="00507E84" w:rsidRPr="00507E84" w:rsidRDefault="00507E84" w:rsidP="00507E84">
            <w:pPr>
              <w:rPr>
                <w:rFonts w:ascii="Times New Roman" w:hAnsi="Times New Roman" w:cs="Times New Roman"/>
                <w:b/>
                <w:lang w:eastAsia="sk-SK"/>
              </w:rPr>
            </w:pPr>
            <w:r w:rsidRPr="00507E84">
              <w:rPr>
                <w:rFonts w:ascii="Times New Roman" w:hAnsi="Times New Roman" w:cs="Times New Roman"/>
                <w:b/>
                <w:lang w:eastAsia="sk-SK"/>
              </w:rPr>
              <w:t>Vplyv na mzdové výdavky</w:t>
            </w:r>
          </w:p>
        </w:tc>
        <w:tc>
          <w:tcPr>
            <w:tcW w:w="1267" w:type="dxa"/>
            <w:shd w:val="clear" w:color="auto" w:fill="BFBFBF" w:themeFill="background1" w:themeFillShade="BF"/>
            <w:noWrap/>
          </w:tcPr>
          <w:p w14:paraId="2A52529B"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rPr>
              <w:t>113 699</w:t>
            </w:r>
          </w:p>
        </w:tc>
        <w:tc>
          <w:tcPr>
            <w:tcW w:w="1267" w:type="dxa"/>
            <w:shd w:val="clear" w:color="auto" w:fill="BFBFBF" w:themeFill="background1" w:themeFillShade="BF"/>
            <w:noWrap/>
          </w:tcPr>
          <w:p w14:paraId="3337DD40"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rPr>
              <w:t>56 985</w:t>
            </w:r>
          </w:p>
        </w:tc>
        <w:tc>
          <w:tcPr>
            <w:tcW w:w="1267" w:type="dxa"/>
            <w:shd w:val="clear" w:color="auto" w:fill="BFBFBF" w:themeFill="background1" w:themeFillShade="BF"/>
            <w:noWrap/>
            <w:vAlign w:val="center"/>
          </w:tcPr>
          <w:p w14:paraId="012FAB08" w14:textId="77777777" w:rsidR="00507E84" w:rsidRPr="00507E84" w:rsidRDefault="00507E84" w:rsidP="00507E84">
            <w:pPr>
              <w:jc w:val="right"/>
              <w:rPr>
                <w:rFonts w:ascii="Times New Roman" w:hAnsi="Times New Roman" w:cs="Times New Roman"/>
                <w:b/>
                <w:lang w:eastAsia="sk-SK"/>
              </w:rPr>
            </w:pPr>
            <w:r w:rsidRPr="00507E84">
              <w:rPr>
                <w:rFonts w:ascii="Times New Roman" w:hAnsi="Times New Roman" w:cs="Times New Roman"/>
                <w:b/>
                <w:lang w:eastAsia="sk-SK"/>
              </w:rPr>
              <w:t>0</w:t>
            </w:r>
          </w:p>
        </w:tc>
        <w:tc>
          <w:tcPr>
            <w:tcW w:w="1267" w:type="dxa"/>
            <w:shd w:val="clear" w:color="auto" w:fill="BFBFBF" w:themeFill="background1" w:themeFillShade="BF"/>
            <w:noWrap/>
            <w:vAlign w:val="center"/>
          </w:tcPr>
          <w:p w14:paraId="1CC11006" w14:textId="77777777" w:rsidR="00507E84" w:rsidRPr="00507E84" w:rsidRDefault="00507E84" w:rsidP="00507E84">
            <w:pPr>
              <w:jc w:val="right"/>
              <w:rPr>
                <w:rFonts w:ascii="Times New Roman" w:hAnsi="Times New Roman" w:cs="Times New Roman"/>
                <w:b/>
                <w:lang w:eastAsia="sk-SK"/>
              </w:rPr>
            </w:pPr>
            <w:r w:rsidRPr="00507E84">
              <w:rPr>
                <w:rFonts w:ascii="Times New Roman" w:hAnsi="Times New Roman" w:cs="Times New Roman"/>
                <w:b/>
                <w:lang w:eastAsia="sk-SK"/>
              </w:rPr>
              <w:t>0</w:t>
            </w:r>
          </w:p>
        </w:tc>
      </w:tr>
      <w:tr w:rsidR="00507E84" w:rsidRPr="00507E84" w14:paraId="38C25159" w14:textId="77777777" w:rsidTr="00507E84">
        <w:trPr>
          <w:trHeight w:val="70"/>
          <w:jc w:val="center"/>
        </w:trPr>
        <w:tc>
          <w:tcPr>
            <w:tcW w:w="4661" w:type="dxa"/>
            <w:noWrap/>
            <w:vAlign w:val="center"/>
          </w:tcPr>
          <w:p w14:paraId="0387E8CC"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ŠR</w:t>
            </w:r>
          </w:p>
        </w:tc>
        <w:tc>
          <w:tcPr>
            <w:tcW w:w="1267" w:type="dxa"/>
            <w:noWrap/>
          </w:tcPr>
          <w:p w14:paraId="0FFA9F7F"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113 699</w:t>
            </w:r>
          </w:p>
        </w:tc>
        <w:tc>
          <w:tcPr>
            <w:tcW w:w="1267" w:type="dxa"/>
            <w:noWrap/>
          </w:tcPr>
          <w:p w14:paraId="1CC58642"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56 985</w:t>
            </w:r>
          </w:p>
        </w:tc>
        <w:tc>
          <w:tcPr>
            <w:tcW w:w="1267" w:type="dxa"/>
            <w:noWrap/>
            <w:vAlign w:val="center"/>
          </w:tcPr>
          <w:p w14:paraId="60BC5184"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33900FFE"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22CCD7D4" w14:textId="77777777" w:rsidTr="00507E84">
        <w:trPr>
          <w:trHeight w:val="70"/>
          <w:jc w:val="center"/>
        </w:trPr>
        <w:tc>
          <w:tcPr>
            <w:tcW w:w="4661" w:type="dxa"/>
            <w:noWrap/>
            <w:vAlign w:val="center"/>
          </w:tcPr>
          <w:p w14:paraId="11B7A784"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obce</w:t>
            </w:r>
          </w:p>
        </w:tc>
        <w:tc>
          <w:tcPr>
            <w:tcW w:w="1267" w:type="dxa"/>
            <w:noWrap/>
            <w:vAlign w:val="center"/>
          </w:tcPr>
          <w:p w14:paraId="4DA220CF"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5FD18555"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03F4E972"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65AC6C8A"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15E4647F" w14:textId="77777777" w:rsidTr="00507E84">
        <w:trPr>
          <w:trHeight w:val="70"/>
          <w:jc w:val="center"/>
        </w:trPr>
        <w:tc>
          <w:tcPr>
            <w:tcW w:w="4661" w:type="dxa"/>
            <w:noWrap/>
            <w:vAlign w:val="center"/>
          </w:tcPr>
          <w:p w14:paraId="2780B6DC" w14:textId="77777777" w:rsidR="00507E84" w:rsidRPr="00507E84" w:rsidRDefault="00507E84" w:rsidP="00507E84">
            <w:pPr>
              <w:rPr>
                <w:rFonts w:ascii="Times New Roman" w:hAnsi="Times New Roman" w:cs="Times New Roman"/>
                <w:b/>
                <w:bCs/>
                <w:i/>
                <w:iCs/>
                <w:lang w:eastAsia="sk-SK"/>
              </w:rPr>
            </w:pPr>
            <w:r w:rsidRPr="00507E84">
              <w:rPr>
                <w:rFonts w:ascii="Times New Roman" w:hAnsi="Times New Roman" w:cs="Times New Roman"/>
                <w:b/>
                <w:bCs/>
                <w:i/>
                <w:iCs/>
                <w:lang w:eastAsia="sk-SK"/>
              </w:rPr>
              <w:t>- vplyv na vyššie územné celky</w:t>
            </w:r>
          </w:p>
        </w:tc>
        <w:tc>
          <w:tcPr>
            <w:tcW w:w="1267" w:type="dxa"/>
            <w:noWrap/>
            <w:vAlign w:val="center"/>
          </w:tcPr>
          <w:p w14:paraId="0FF3DD68"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19819D33"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1C786CC5"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52F180BB"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30EA8C63" w14:textId="77777777" w:rsidTr="00507E84">
        <w:trPr>
          <w:trHeight w:val="70"/>
          <w:jc w:val="center"/>
        </w:trPr>
        <w:tc>
          <w:tcPr>
            <w:tcW w:w="4661" w:type="dxa"/>
            <w:noWrap/>
            <w:vAlign w:val="center"/>
          </w:tcPr>
          <w:p w14:paraId="75F01873"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i/>
                <w:iCs/>
                <w:lang w:eastAsia="sk-SK"/>
              </w:rPr>
              <w:t>- vplyv na ostatné subjekty verejnej správy</w:t>
            </w:r>
          </w:p>
        </w:tc>
        <w:tc>
          <w:tcPr>
            <w:tcW w:w="1267" w:type="dxa"/>
            <w:noWrap/>
            <w:vAlign w:val="center"/>
          </w:tcPr>
          <w:p w14:paraId="16E6FC73"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366F873E"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6FA42997"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c>
          <w:tcPr>
            <w:tcW w:w="1267" w:type="dxa"/>
            <w:noWrap/>
            <w:vAlign w:val="center"/>
          </w:tcPr>
          <w:p w14:paraId="07DC7E6B" w14:textId="77777777" w:rsidR="00507E84" w:rsidRPr="00507E84" w:rsidRDefault="00507E84" w:rsidP="00507E84">
            <w:pPr>
              <w:jc w:val="right"/>
              <w:rPr>
                <w:rFonts w:ascii="Times New Roman" w:hAnsi="Times New Roman" w:cs="Times New Roman"/>
                <w:b/>
                <w:bCs/>
                <w:iCs/>
                <w:lang w:eastAsia="sk-SK"/>
              </w:rPr>
            </w:pPr>
            <w:r w:rsidRPr="00507E84">
              <w:rPr>
                <w:rFonts w:ascii="Times New Roman" w:hAnsi="Times New Roman" w:cs="Times New Roman"/>
                <w:b/>
                <w:bCs/>
                <w:iCs/>
                <w:lang w:eastAsia="sk-SK"/>
              </w:rPr>
              <w:t>0</w:t>
            </w:r>
          </w:p>
        </w:tc>
      </w:tr>
      <w:tr w:rsidR="00507E84" w:rsidRPr="00507E84" w14:paraId="0DBBA7A3" w14:textId="77777777" w:rsidTr="00507E84">
        <w:trPr>
          <w:trHeight w:val="70"/>
          <w:jc w:val="center"/>
        </w:trPr>
        <w:tc>
          <w:tcPr>
            <w:tcW w:w="4661" w:type="dxa"/>
            <w:shd w:val="clear" w:color="auto" w:fill="C0C0C0"/>
            <w:noWrap/>
            <w:vAlign w:val="center"/>
          </w:tcPr>
          <w:p w14:paraId="311890AD"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Financovanie zabezpečené v rozpočte</w:t>
            </w:r>
          </w:p>
        </w:tc>
        <w:tc>
          <w:tcPr>
            <w:tcW w:w="1267" w:type="dxa"/>
            <w:shd w:val="clear" w:color="auto" w:fill="C0C0C0"/>
            <w:noWrap/>
            <w:vAlign w:val="center"/>
          </w:tcPr>
          <w:p w14:paraId="1673071B"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335 000</w:t>
            </w:r>
          </w:p>
        </w:tc>
        <w:tc>
          <w:tcPr>
            <w:tcW w:w="1267" w:type="dxa"/>
            <w:shd w:val="clear" w:color="auto" w:fill="C0C0C0"/>
            <w:noWrap/>
            <w:vAlign w:val="center"/>
          </w:tcPr>
          <w:p w14:paraId="55E44A82"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167 900</w:t>
            </w:r>
          </w:p>
        </w:tc>
        <w:tc>
          <w:tcPr>
            <w:tcW w:w="1267" w:type="dxa"/>
            <w:shd w:val="clear" w:color="auto" w:fill="C0C0C0"/>
            <w:noWrap/>
            <w:vAlign w:val="center"/>
          </w:tcPr>
          <w:p w14:paraId="320B43CE"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0</w:t>
            </w:r>
          </w:p>
        </w:tc>
        <w:tc>
          <w:tcPr>
            <w:tcW w:w="1267" w:type="dxa"/>
            <w:shd w:val="clear" w:color="auto" w:fill="C0C0C0"/>
            <w:noWrap/>
            <w:vAlign w:val="center"/>
          </w:tcPr>
          <w:p w14:paraId="753502DC"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0</w:t>
            </w:r>
          </w:p>
        </w:tc>
      </w:tr>
      <w:tr w:rsidR="00507E84" w:rsidRPr="00507E84" w14:paraId="0E273B10" w14:textId="77777777" w:rsidTr="00507E84">
        <w:trPr>
          <w:trHeight w:val="70"/>
          <w:jc w:val="center"/>
        </w:trPr>
        <w:tc>
          <w:tcPr>
            <w:tcW w:w="4661" w:type="dxa"/>
            <w:noWrap/>
            <w:vAlign w:val="center"/>
          </w:tcPr>
          <w:p w14:paraId="731AD979"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v tom: NBÚ</w:t>
            </w:r>
          </w:p>
        </w:tc>
        <w:tc>
          <w:tcPr>
            <w:tcW w:w="1267" w:type="dxa"/>
            <w:noWrap/>
            <w:vAlign w:val="center"/>
          </w:tcPr>
          <w:p w14:paraId="6815FF2D"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335 000</w:t>
            </w:r>
          </w:p>
        </w:tc>
        <w:tc>
          <w:tcPr>
            <w:tcW w:w="1267" w:type="dxa"/>
            <w:noWrap/>
            <w:vAlign w:val="center"/>
          </w:tcPr>
          <w:p w14:paraId="2EEB43E1"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167 900</w:t>
            </w:r>
          </w:p>
        </w:tc>
        <w:tc>
          <w:tcPr>
            <w:tcW w:w="1267" w:type="dxa"/>
            <w:noWrap/>
            <w:vAlign w:val="center"/>
          </w:tcPr>
          <w:p w14:paraId="1297E31C"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c>
          <w:tcPr>
            <w:tcW w:w="1267" w:type="dxa"/>
            <w:noWrap/>
            <w:vAlign w:val="center"/>
          </w:tcPr>
          <w:p w14:paraId="67F070E0" w14:textId="77777777" w:rsidR="00507E84" w:rsidRPr="00507E84" w:rsidRDefault="00507E84" w:rsidP="00507E84">
            <w:pPr>
              <w:jc w:val="right"/>
              <w:rPr>
                <w:rFonts w:ascii="Times New Roman" w:hAnsi="Times New Roman" w:cs="Times New Roman"/>
                <w:lang w:eastAsia="sk-SK"/>
              </w:rPr>
            </w:pPr>
            <w:r w:rsidRPr="00507E84">
              <w:rPr>
                <w:rFonts w:ascii="Times New Roman" w:hAnsi="Times New Roman" w:cs="Times New Roman"/>
                <w:lang w:eastAsia="sk-SK"/>
              </w:rPr>
              <w:t>0</w:t>
            </w:r>
          </w:p>
        </w:tc>
      </w:tr>
      <w:tr w:rsidR="00507E84" w:rsidRPr="00507E84" w14:paraId="20C76243" w14:textId="77777777" w:rsidTr="00507E84">
        <w:trPr>
          <w:trHeight w:val="70"/>
          <w:jc w:val="center"/>
        </w:trPr>
        <w:tc>
          <w:tcPr>
            <w:tcW w:w="4661" w:type="dxa"/>
            <w:shd w:val="clear" w:color="auto" w:fill="BFBFBF" w:themeFill="background1" w:themeFillShade="BF"/>
            <w:noWrap/>
            <w:vAlign w:val="center"/>
          </w:tcPr>
          <w:p w14:paraId="121187B1" w14:textId="77777777" w:rsidR="00507E84" w:rsidRPr="00507E84" w:rsidRDefault="00507E84" w:rsidP="00507E84">
            <w:pPr>
              <w:rPr>
                <w:rFonts w:ascii="Times New Roman" w:hAnsi="Times New Roman" w:cs="Times New Roman"/>
                <w:b/>
                <w:lang w:eastAsia="sk-SK"/>
              </w:rPr>
            </w:pPr>
            <w:r w:rsidRPr="00507E84">
              <w:rPr>
                <w:rFonts w:ascii="Times New Roman" w:hAnsi="Times New Roman" w:cs="Times New Roman"/>
                <w:b/>
                <w:lang w:eastAsia="sk-SK"/>
              </w:rPr>
              <w:t>Iné ako rozpočtové zdroje</w:t>
            </w:r>
          </w:p>
        </w:tc>
        <w:tc>
          <w:tcPr>
            <w:tcW w:w="1267" w:type="dxa"/>
            <w:shd w:val="clear" w:color="auto" w:fill="BFBFBF" w:themeFill="background1" w:themeFillShade="BF"/>
            <w:noWrap/>
            <w:vAlign w:val="center"/>
          </w:tcPr>
          <w:p w14:paraId="458F5197"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0</w:t>
            </w:r>
          </w:p>
        </w:tc>
        <w:tc>
          <w:tcPr>
            <w:tcW w:w="1267" w:type="dxa"/>
            <w:shd w:val="clear" w:color="auto" w:fill="BFBFBF" w:themeFill="background1" w:themeFillShade="BF"/>
            <w:noWrap/>
            <w:vAlign w:val="center"/>
          </w:tcPr>
          <w:p w14:paraId="2639E1DA"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0</w:t>
            </w:r>
          </w:p>
        </w:tc>
        <w:tc>
          <w:tcPr>
            <w:tcW w:w="1267" w:type="dxa"/>
            <w:shd w:val="clear" w:color="auto" w:fill="BFBFBF" w:themeFill="background1" w:themeFillShade="BF"/>
            <w:noWrap/>
            <w:vAlign w:val="center"/>
          </w:tcPr>
          <w:p w14:paraId="159A336D"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0</w:t>
            </w:r>
          </w:p>
        </w:tc>
        <w:tc>
          <w:tcPr>
            <w:tcW w:w="1267" w:type="dxa"/>
            <w:shd w:val="clear" w:color="auto" w:fill="BFBFBF" w:themeFill="background1" w:themeFillShade="BF"/>
            <w:noWrap/>
            <w:vAlign w:val="center"/>
          </w:tcPr>
          <w:p w14:paraId="57B39E29"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0</w:t>
            </w:r>
          </w:p>
        </w:tc>
      </w:tr>
      <w:tr w:rsidR="00507E84" w:rsidRPr="00507E84" w14:paraId="2923D982" w14:textId="77777777" w:rsidTr="00507E84">
        <w:trPr>
          <w:trHeight w:val="70"/>
          <w:jc w:val="center"/>
        </w:trPr>
        <w:tc>
          <w:tcPr>
            <w:tcW w:w="4661" w:type="dxa"/>
            <w:shd w:val="clear" w:color="auto" w:fill="A6A6A6" w:themeFill="background1" w:themeFillShade="A6"/>
            <w:noWrap/>
            <w:vAlign w:val="center"/>
          </w:tcPr>
          <w:p w14:paraId="1C11763D"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Rozpočtovo nekrytý vplyv / úspora</w:t>
            </w:r>
          </w:p>
        </w:tc>
        <w:tc>
          <w:tcPr>
            <w:tcW w:w="1267" w:type="dxa"/>
            <w:shd w:val="clear" w:color="auto" w:fill="A6A6A6" w:themeFill="background1" w:themeFillShade="A6"/>
            <w:noWrap/>
            <w:vAlign w:val="center"/>
          </w:tcPr>
          <w:p w14:paraId="64F1CA17"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0</w:t>
            </w:r>
          </w:p>
        </w:tc>
        <w:tc>
          <w:tcPr>
            <w:tcW w:w="1267" w:type="dxa"/>
            <w:shd w:val="clear" w:color="auto" w:fill="A6A6A6" w:themeFill="background1" w:themeFillShade="A6"/>
            <w:noWrap/>
            <w:vAlign w:val="center"/>
          </w:tcPr>
          <w:p w14:paraId="2AE2BC95"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0</w:t>
            </w:r>
          </w:p>
        </w:tc>
        <w:tc>
          <w:tcPr>
            <w:tcW w:w="1267" w:type="dxa"/>
            <w:shd w:val="clear" w:color="auto" w:fill="A6A6A6" w:themeFill="background1" w:themeFillShade="A6"/>
            <w:noWrap/>
            <w:vAlign w:val="center"/>
          </w:tcPr>
          <w:p w14:paraId="57696D01"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0</w:t>
            </w:r>
          </w:p>
        </w:tc>
        <w:tc>
          <w:tcPr>
            <w:tcW w:w="1267" w:type="dxa"/>
            <w:shd w:val="clear" w:color="auto" w:fill="A6A6A6" w:themeFill="background1" w:themeFillShade="A6"/>
            <w:noWrap/>
            <w:vAlign w:val="center"/>
          </w:tcPr>
          <w:p w14:paraId="0287A725" w14:textId="77777777" w:rsidR="00507E84" w:rsidRPr="00507E84" w:rsidRDefault="00507E84" w:rsidP="00507E84">
            <w:pPr>
              <w:jc w:val="right"/>
              <w:rPr>
                <w:rFonts w:ascii="Times New Roman" w:hAnsi="Times New Roman" w:cs="Times New Roman"/>
                <w:b/>
                <w:bCs/>
                <w:lang w:eastAsia="sk-SK"/>
              </w:rPr>
            </w:pPr>
            <w:r w:rsidRPr="00507E84">
              <w:rPr>
                <w:rFonts w:ascii="Times New Roman" w:hAnsi="Times New Roman" w:cs="Times New Roman"/>
                <w:b/>
                <w:bCs/>
                <w:lang w:eastAsia="sk-SK"/>
              </w:rPr>
              <w:t>0</w:t>
            </w:r>
          </w:p>
        </w:tc>
      </w:tr>
    </w:tbl>
    <w:bookmarkEnd w:id="1"/>
    <w:p w14:paraId="5F5C2A5E" w14:textId="77777777" w:rsidR="00507E84" w:rsidRPr="00507E84" w:rsidRDefault="00507E84" w:rsidP="00507E84">
      <w:pPr>
        <w:rPr>
          <w:rFonts w:ascii="Times New Roman" w:hAnsi="Times New Roman" w:cs="Times New Roman"/>
          <w:bCs/>
          <w:sz w:val="20"/>
          <w:szCs w:val="20"/>
          <w:lang w:eastAsia="sk-SK"/>
        </w:rPr>
      </w:pPr>
      <w:r w:rsidRPr="00507E84">
        <w:rPr>
          <w:rFonts w:ascii="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507E84" w:rsidRPr="00507E84" w14:paraId="03D0F08C" w14:textId="77777777" w:rsidTr="00507E84">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DD23655" w14:textId="77777777" w:rsidR="00507E84" w:rsidRPr="00507E84" w:rsidRDefault="00507E84" w:rsidP="00507E84">
            <w:pPr>
              <w:rPr>
                <w:rFonts w:ascii="Times New Roman" w:hAnsi="Times New Roman" w:cs="Times New Roman"/>
                <w:color w:val="000000"/>
                <w:lang w:eastAsia="sk-SK"/>
              </w:rPr>
            </w:pPr>
            <w:r w:rsidRPr="00507E84">
              <w:rPr>
                <w:rFonts w:ascii="Times New Roman" w:hAnsi="Times New Roman" w:cs="Times New Roman"/>
                <w:color w:val="000000"/>
                <w:lang w:eastAsia="sk-SK"/>
              </w:rPr>
              <w:lastRenderedPageBreak/>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47B4115" w14:textId="77777777" w:rsidR="00507E84" w:rsidRPr="00507E84" w:rsidRDefault="00507E84" w:rsidP="00507E84">
            <w:pPr>
              <w:jc w:val="center"/>
              <w:rPr>
                <w:rFonts w:ascii="Times New Roman" w:hAnsi="Times New Roman" w:cs="Times New Roman"/>
                <w:b/>
                <w:bCs/>
                <w:color w:val="000000"/>
                <w:lang w:eastAsia="sk-SK"/>
              </w:rPr>
            </w:pPr>
            <w:r w:rsidRPr="00507E84">
              <w:rPr>
                <w:rFonts w:ascii="Times New Roman" w:hAnsi="Times New Roman" w:cs="Times New Roman"/>
                <w:b/>
                <w:bCs/>
                <w:lang w:eastAsia="sk-SK"/>
              </w:rPr>
              <w:t>2025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77C932C" w14:textId="77777777" w:rsidR="00507E84" w:rsidRPr="00507E84" w:rsidRDefault="00507E84" w:rsidP="00507E84">
            <w:pPr>
              <w:jc w:val="center"/>
              <w:rPr>
                <w:rFonts w:ascii="Times New Roman" w:hAnsi="Times New Roman" w:cs="Times New Roman"/>
                <w:b/>
                <w:bCs/>
                <w:color w:val="000000"/>
                <w:lang w:eastAsia="sk-SK"/>
              </w:rPr>
            </w:pPr>
            <w:r w:rsidRPr="00507E84">
              <w:rPr>
                <w:rFonts w:ascii="Times New Roman" w:hAnsi="Times New Roman" w:cs="Times New Roman"/>
                <w:b/>
                <w:bCs/>
                <w:lang w:eastAsia="sk-SK"/>
              </w:rPr>
              <w:t>2026</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127094E" w14:textId="77777777" w:rsidR="00507E84" w:rsidRPr="00507E84" w:rsidRDefault="00507E84" w:rsidP="00507E84">
            <w:pPr>
              <w:jc w:val="center"/>
              <w:rPr>
                <w:rFonts w:ascii="Times New Roman" w:hAnsi="Times New Roman" w:cs="Times New Roman"/>
                <w:b/>
                <w:bCs/>
                <w:color w:val="000000"/>
                <w:lang w:eastAsia="sk-SK"/>
              </w:rPr>
            </w:pPr>
            <w:r w:rsidRPr="00507E84">
              <w:rPr>
                <w:rFonts w:ascii="Times New Roman" w:hAnsi="Times New Roman" w:cs="Times New Roman"/>
                <w:b/>
                <w:bCs/>
                <w:lang w:eastAsia="sk-SK"/>
              </w:rPr>
              <w:t>2027</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19CB4CD" w14:textId="77777777" w:rsidR="00507E84" w:rsidRPr="00507E84" w:rsidRDefault="00507E84" w:rsidP="00507E84">
            <w:pPr>
              <w:jc w:val="center"/>
              <w:rPr>
                <w:rFonts w:ascii="Times New Roman" w:hAnsi="Times New Roman" w:cs="Times New Roman"/>
                <w:b/>
                <w:bCs/>
                <w:color w:val="000000"/>
                <w:lang w:eastAsia="sk-SK"/>
              </w:rPr>
            </w:pPr>
            <w:r w:rsidRPr="00507E84">
              <w:rPr>
                <w:rFonts w:ascii="Times New Roman" w:hAnsi="Times New Roman" w:cs="Times New Roman"/>
                <w:b/>
                <w:bCs/>
                <w:lang w:eastAsia="sk-SK"/>
              </w:rPr>
              <w:t>2028</w:t>
            </w:r>
          </w:p>
        </w:tc>
      </w:tr>
      <w:tr w:rsidR="00507E84" w:rsidRPr="00507E84" w14:paraId="32E1901F" w14:textId="77777777" w:rsidTr="00507E8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1A8E229" w14:textId="77777777" w:rsidR="00507E84" w:rsidRPr="00507E84" w:rsidRDefault="00507E84" w:rsidP="00507E84">
            <w:pPr>
              <w:rPr>
                <w:rFonts w:ascii="Times New Roman" w:hAnsi="Times New Roman" w:cs="Times New Roman"/>
                <w:b/>
                <w:bCs/>
                <w:color w:val="000000" w:themeColor="text1"/>
                <w:lang w:eastAsia="sk-SK"/>
              </w:rPr>
            </w:pPr>
            <w:r w:rsidRPr="00507E84">
              <w:rPr>
                <w:rFonts w:ascii="Times New Roman" w:hAnsi="Times New Roman" w:cs="Times New Roman"/>
                <w:b/>
                <w:bCs/>
                <w:color w:val="000000" w:themeColor="text1"/>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46F8F451" w14:textId="77777777" w:rsidR="00507E84" w:rsidRPr="00507E84" w:rsidRDefault="00507E84" w:rsidP="00507E84">
            <w:pPr>
              <w:jc w:val="center"/>
              <w:rPr>
                <w:rFonts w:ascii="Times New Roman" w:hAnsi="Times New Roman" w:cs="Times New Roman"/>
                <w:b/>
                <w:color w:val="000000"/>
                <w:lang w:eastAsia="sk-SK"/>
              </w:rPr>
            </w:pPr>
            <w:r w:rsidRPr="00507E84">
              <w:rPr>
                <w:rFonts w:ascii="Times New Roman" w:hAnsi="Times New Roman" w:cs="Times New Roman"/>
                <w:b/>
                <w:color w:val="000000"/>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57C1B4D2" w14:textId="77777777" w:rsidR="00507E84" w:rsidRPr="00507E84" w:rsidRDefault="00507E84" w:rsidP="00507E84">
            <w:pPr>
              <w:jc w:val="center"/>
              <w:rPr>
                <w:rFonts w:ascii="Times New Roman" w:hAnsi="Times New Roman" w:cs="Times New Roman"/>
                <w:b/>
                <w:color w:val="000000"/>
                <w:lang w:eastAsia="sk-SK"/>
              </w:rPr>
            </w:pPr>
            <w:r w:rsidRPr="00507E84">
              <w:rPr>
                <w:rFonts w:ascii="Times New Roman" w:hAnsi="Times New Roman" w:cs="Times New Roman"/>
                <w:b/>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3D42C916" w14:textId="77777777" w:rsidR="00507E84" w:rsidRPr="00507E84" w:rsidRDefault="00507E84" w:rsidP="00507E84">
            <w:pPr>
              <w:jc w:val="center"/>
              <w:rPr>
                <w:rFonts w:ascii="Times New Roman" w:hAnsi="Times New Roman" w:cs="Times New Roman"/>
                <w:b/>
                <w:color w:val="000000"/>
                <w:lang w:eastAsia="sk-SK"/>
              </w:rPr>
            </w:pPr>
            <w:r w:rsidRPr="00507E84">
              <w:rPr>
                <w:rFonts w:ascii="Times New Roman" w:hAnsi="Times New Roman" w:cs="Times New Roman"/>
                <w:b/>
                <w:color w:val="000000"/>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462920F1" w14:textId="77777777" w:rsidR="00507E84" w:rsidRPr="00507E84" w:rsidRDefault="00507E84" w:rsidP="00507E84">
            <w:pPr>
              <w:jc w:val="center"/>
              <w:rPr>
                <w:rFonts w:ascii="Times New Roman" w:hAnsi="Times New Roman" w:cs="Times New Roman"/>
                <w:b/>
                <w:color w:val="000000"/>
                <w:lang w:eastAsia="sk-SK"/>
              </w:rPr>
            </w:pPr>
            <w:r w:rsidRPr="00507E84">
              <w:rPr>
                <w:rFonts w:ascii="Times New Roman" w:hAnsi="Times New Roman" w:cs="Times New Roman"/>
                <w:b/>
                <w:color w:val="000000"/>
                <w:lang w:eastAsia="sk-SK"/>
              </w:rPr>
              <w:t>0</w:t>
            </w:r>
          </w:p>
        </w:tc>
      </w:tr>
      <w:tr w:rsidR="00507E84" w:rsidRPr="00507E84" w14:paraId="1139ABEC" w14:textId="77777777" w:rsidTr="00507E8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262D58C" w14:textId="77777777" w:rsidR="00507E84" w:rsidRPr="00507E84" w:rsidRDefault="00507E84" w:rsidP="00507E84">
            <w:pPr>
              <w:rPr>
                <w:rFonts w:ascii="Times New Roman" w:hAnsi="Times New Roman" w:cs="Times New Roman"/>
                <w:color w:val="000000" w:themeColor="text1"/>
                <w:lang w:eastAsia="sk-SK"/>
              </w:rPr>
            </w:pPr>
            <w:r w:rsidRPr="00507E84">
              <w:rPr>
                <w:rFonts w:ascii="Times New Roman" w:hAnsi="Times New Roman" w:cs="Times New Roman"/>
                <w:color w:val="000000" w:themeColor="text1"/>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14:paraId="74A71EFE" w14:textId="77777777" w:rsidR="00507E84" w:rsidRPr="00507E84" w:rsidRDefault="00507E84" w:rsidP="00507E84">
            <w:pPr>
              <w:jc w:val="center"/>
              <w:rPr>
                <w:rFonts w:ascii="Times New Roman" w:hAnsi="Times New Roman" w:cs="Times New Roman"/>
                <w:color w:val="000000"/>
                <w:lang w:eastAsia="sk-SK"/>
              </w:rPr>
            </w:pPr>
            <w:r w:rsidRPr="00507E84">
              <w:rPr>
                <w:rFonts w:ascii="Times New Roman" w:hAnsi="Times New Roman" w:cs="Times New Roman"/>
                <w:color w:val="000000"/>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4A5CECE2" w14:textId="77777777" w:rsidR="00507E84" w:rsidRPr="00507E84" w:rsidRDefault="00507E84" w:rsidP="00507E84">
            <w:pPr>
              <w:jc w:val="center"/>
              <w:rPr>
                <w:rFonts w:ascii="Times New Roman" w:hAnsi="Times New Roman" w:cs="Times New Roman"/>
                <w:color w:val="000000"/>
                <w:lang w:eastAsia="sk-SK"/>
              </w:rPr>
            </w:pPr>
            <w:r w:rsidRPr="00507E84">
              <w:rPr>
                <w:rFonts w:ascii="Times New Roman" w:hAnsi="Times New Roman" w:cs="Times New Roman"/>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69F8889E" w14:textId="77777777" w:rsidR="00507E84" w:rsidRPr="00507E84" w:rsidRDefault="00507E84" w:rsidP="00507E84">
            <w:pPr>
              <w:jc w:val="center"/>
              <w:rPr>
                <w:rFonts w:ascii="Times New Roman" w:hAnsi="Times New Roman" w:cs="Times New Roman"/>
                <w:color w:val="000000"/>
                <w:lang w:eastAsia="sk-SK"/>
              </w:rPr>
            </w:pPr>
            <w:r w:rsidRPr="00507E84">
              <w:rPr>
                <w:rFonts w:ascii="Times New Roman" w:hAnsi="Times New Roman" w:cs="Times New Roman"/>
                <w:color w:val="000000"/>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7E9E1286" w14:textId="77777777" w:rsidR="00507E84" w:rsidRPr="00507E84" w:rsidRDefault="00507E84" w:rsidP="00507E84">
            <w:pPr>
              <w:jc w:val="center"/>
              <w:rPr>
                <w:rFonts w:ascii="Times New Roman" w:hAnsi="Times New Roman" w:cs="Times New Roman"/>
                <w:color w:val="000000"/>
                <w:lang w:eastAsia="sk-SK"/>
              </w:rPr>
            </w:pPr>
            <w:r w:rsidRPr="00507E84">
              <w:rPr>
                <w:rFonts w:ascii="Times New Roman" w:hAnsi="Times New Roman" w:cs="Times New Roman"/>
                <w:color w:val="000000"/>
                <w:lang w:eastAsia="sk-SK"/>
              </w:rPr>
              <w:t>0</w:t>
            </w:r>
          </w:p>
        </w:tc>
      </w:tr>
      <w:tr w:rsidR="00507E84" w:rsidRPr="00507E84" w14:paraId="3F760A19" w14:textId="77777777" w:rsidTr="00507E8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C853F58" w14:textId="77777777" w:rsidR="00507E84" w:rsidRPr="00507E84" w:rsidRDefault="00507E84" w:rsidP="00507E84">
            <w:pPr>
              <w:rPr>
                <w:rFonts w:ascii="Times New Roman" w:hAnsi="Times New Roman" w:cs="Times New Roman"/>
                <w:b/>
                <w:color w:val="000000" w:themeColor="text1"/>
                <w:lang w:eastAsia="sk-SK"/>
              </w:rPr>
            </w:pPr>
            <w:r w:rsidRPr="00507E84">
              <w:rPr>
                <w:rFonts w:ascii="Times New Roman" w:hAnsi="Times New Roman" w:cs="Times New Roman"/>
                <w:b/>
                <w:color w:val="000000" w:themeColor="text1"/>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4EDBFF2A" w14:textId="77777777" w:rsidR="00507E84" w:rsidRPr="00507E84" w:rsidRDefault="00507E84" w:rsidP="00507E84">
            <w:pPr>
              <w:rPr>
                <w:rFonts w:ascii="Times New Roman" w:hAnsi="Times New Roman" w:cs="Times New Roman"/>
                <w:color w:val="000000"/>
                <w:lang w:eastAsia="sk-SK"/>
              </w:rPr>
            </w:pPr>
            <w:r w:rsidRPr="00507E84">
              <w:rPr>
                <w:rFonts w:ascii="Times New Roman" w:hAnsi="Times New Roman" w:cs="Times New Roman"/>
                <w:color w:val="000000"/>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14:paraId="68D8D32F" w14:textId="77777777" w:rsidR="00507E84" w:rsidRPr="00507E84" w:rsidRDefault="00507E84" w:rsidP="00507E84">
            <w:pPr>
              <w:rPr>
                <w:rFonts w:ascii="Times New Roman" w:hAnsi="Times New Roman" w:cs="Times New Roman"/>
                <w:color w:val="000000"/>
                <w:lang w:eastAsia="sk-SK"/>
              </w:rPr>
            </w:pPr>
            <w:r w:rsidRPr="00507E84">
              <w:rPr>
                <w:rFonts w:ascii="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612AA59D" w14:textId="77777777" w:rsidR="00507E84" w:rsidRPr="00507E84" w:rsidRDefault="00507E84" w:rsidP="00507E84">
            <w:pPr>
              <w:rPr>
                <w:rFonts w:ascii="Times New Roman" w:hAnsi="Times New Roman" w:cs="Times New Roman"/>
                <w:color w:val="000000"/>
                <w:lang w:eastAsia="sk-SK"/>
              </w:rPr>
            </w:pPr>
            <w:r w:rsidRPr="00507E84">
              <w:rPr>
                <w:rFonts w:ascii="Times New Roman" w:hAnsi="Times New Roman" w:cs="Times New Roman"/>
                <w:color w:val="000000"/>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3C205552" w14:textId="77777777" w:rsidR="00507E84" w:rsidRPr="00507E84" w:rsidRDefault="00507E84" w:rsidP="00507E84">
            <w:pPr>
              <w:rPr>
                <w:rFonts w:ascii="Times New Roman" w:hAnsi="Times New Roman" w:cs="Times New Roman"/>
                <w:color w:val="000000"/>
                <w:lang w:eastAsia="sk-SK"/>
              </w:rPr>
            </w:pPr>
            <w:r w:rsidRPr="00507E84">
              <w:rPr>
                <w:rFonts w:ascii="Times New Roman" w:hAnsi="Times New Roman" w:cs="Times New Roman"/>
                <w:color w:val="000000"/>
                <w:lang w:eastAsia="sk-SK"/>
              </w:rPr>
              <w:t> </w:t>
            </w:r>
          </w:p>
        </w:tc>
      </w:tr>
      <w:tr w:rsidR="00507E84" w:rsidRPr="00507E84" w14:paraId="0EAC173F" w14:textId="77777777" w:rsidTr="00507E8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E6E3CB9" w14:textId="77777777" w:rsidR="00507E84" w:rsidRPr="00507E84" w:rsidRDefault="00507E84" w:rsidP="00507E84">
            <w:pPr>
              <w:rPr>
                <w:rFonts w:ascii="Times New Roman" w:hAnsi="Times New Roman" w:cs="Times New Roman"/>
                <w:b/>
                <w:bCs/>
                <w:color w:val="000000" w:themeColor="text1"/>
                <w:lang w:eastAsia="sk-SK"/>
              </w:rPr>
            </w:pPr>
            <w:r w:rsidRPr="00507E84">
              <w:rPr>
                <w:rFonts w:ascii="Times New Roman" w:hAnsi="Times New Roman" w:cs="Times New Roman"/>
                <w:b/>
                <w:bCs/>
                <w:color w:val="000000" w:themeColor="text1"/>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561C3E4D" w14:textId="77777777" w:rsidR="00507E84" w:rsidRPr="00507E84" w:rsidRDefault="00507E84" w:rsidP="00507E84">
            <w:pPr>
              <w:jc w:val="center"/>
              <w:rPr>
                <w:rFonts w:ascii="Times New Roman" w:hAnsi="Times New Roman" w:cs="Times New Roman"/>
                <w:b/>
                <w:color w:val="000000"/>
                <w:lang w:eastAsia="sk-SK"/>
              </w:rPr>
            </w:pPr>
            <w:r w:rsidRPr="00507E84">
              <w:rPr>
                <w:rFonts w:ascii="Times New Roman" w:hAnsi="Times New Roman" w:cs="Times New Roman"/>
                <w:b/>
                <w:color w:val="000000"/>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148EF98D" w14:textId="77777777" w:rsidR="00507E84" w:rsidRPr="00507E84" w:rsidRDefault="00507E84" w:rsidP="00507E84">
            <w:pPr>
              <w:jc w:val="center"/>
              <w:rPr>
                <w:rFonts w:ascii="Times New Roman" w:hAnsi="Times New Roman" w:cs="Times New Roman"/>
                <w:b/>
                <w:color w:val="000000"/>
                <w:lang w:eastAsia="sk-SK"/>
              </w:rPr>
            </w:pPr>
            <w:r w:rsidRPr="00507E84">
              <w:rPr>
                <w:rFonts w:ascii="Times New Roman" w:hAnsi="Times New Roman" w:cs="Times New Roman"/>
                <w:b/>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4C084713" w14:textId="77777777" w:rsidR="00507E84" w:rsidRPr="00507E84" w:rsidRDefault="00507E84" w:rsidP="00507E84">
            <w:pPr>
              <w:jc w:val="center"/>
              <w:rPr>
                <w:rFonts w:ascii="Times New Roman" w:hAnsi="Times New Roman" w:cs="Times New Roman"/>
                <w:b/>
                <w:color w:val="000000"/>
                <w:lang w:eastAsia="sk-SK"/>
              </w:rPr>
            </w:pPr>
            <w:r w:rsidRPr="00507E84">
              <w:rPr>
                <w:rFonts w:ascii="Times New Roman" w:hAnsi="Times New Roman" w:cs="Times New Roman"/>
                <w:b/>
                <w:color w:val="000000"/>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749B8E39" w14:textId="77777777" w:rsidR="00507E84" w:rsidRPr="00507E84" w:rsidRDefault="00507E84" w:rsidP="00507E84">
            <w:pPr>
              <w:jc w:val="center"/>
              <w:rPr>
                <w:rFonts w:ascii="Times New Roman" w:hAnsi="Times New Roman" w:cs="Times New Roman"/>
                <w:b/>
                <w:color w:val="000000"/>
                <w:lang w:eastAsia="sk-SK"/>
              </w:rPr>
            </w:pPr>
            <w:r w:rsidRPr="00507E84">
              <w:rPr>
                <w:rFonts w:ascii="Times New Roman" w:hAnsi="Times New Roman" w:cs="Times New Roman"/>
                <w:b/>
                <w:color w:val="000000"/>
                <w:lang w:eastAsia="sk-SK"/>
              </w:rPr>
              <w:t>0</w:t>
            </w:r>
          </w:p>
        </w:tc>
      </w:tr>
      <w:tr w:rsidR="00507E84" w:rsidRPr="00507E84" w14:paraId="3AA34B56" w14:textId="77777777" w:rsidTr="00507E8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B048D25" w14:textId="77777777" w:rsidR="00507E84" w:rsidRPr="00507E84" w:rsidRDefault="00507E84" w:rsidP="00507E84">
            <w:pPr>
              <w:rPr>
                <w:rFonts w:ascii="Times New Roman" w:hAnsi="Times New Roman" w:cs="Times New Roman"/>
                <w:b/>
                <w:bCs/>
                <w:color w:val="000000" w:themeColor="text1"/>
                <w:lang w:eastAsia="sk-SK"/>
              </w:rPr>
            </w:pPr>
            <w:r w:rsidRPr="00507E84">
              <w:rPr>
                <w:rFonts w:ascii="Times New Roman" w:hAnsi="Times New Roman" w:cs="Times New Roman"/>
                <w:b/>
                <w:bCs/>
                <w:color w:val="000000" w:themeColor="text1"/>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78A7CCA8" w14:textId="77777777" w:rsidR="00507E84" w:rsidRPr="00507E84" w:rsidRDefault="00507E84" w:rsidP="00507E84">
            <w:pPr>
              <w:jc w:val="center"/>
              <w:rPr>
                <w:rFonts w:ascii="Times New Roman" w:hAnsi="Times New Roman" w:cs="Times New Roman"/>
                <w:b/>
                <w:color w:val="000000"/>
                <w:lang w:eastAsia="sk-SK"/>
              </w:rPr>
            </w:pPr>
            <w:r w:rsidRPr="00507E84">
              <w:rPr>
                <w:rFonts w:ascii="Times New Roman" w:hAnsi="Times New Roman" w:cs="Times New Roman"/>
                <w:b/>
                <w:color w:val="000000"/>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586351ED" w14:textId="77777777" w:rsidR="00507E84" w:rsidRPr="00507E84" w:rsidRDefault="00507E84" w:rsidP="00507E84">
            <w:pPr>
              <w:jc w:val="center"/>
              <w:rPr>
                <w:rFonts w:ascii="Times New Roman" w:hAnsi="Times New Roman" w:cs="Times New Roman"/>
                <w:b/>
                <w:color w:val="000000"/>
                <w:lang w:eastAsia="sk-SK"/>
              </w:rPr>
            </w:pPr>
            <w:r w:rsidRPr="00507E84">
              <w:rPr>
                <w:rFonts w:ascii="Times New Roman" w:hAnsi="Times New Roman" w:cs="Times New Roman"/>
                <w:b/>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754AC58A" w14:textId="77777777" w:rsidR="00507E84" w:rsidRPr="00507E84" w:rsidRDefault="00507E84" w:rsidP="00507E84">
            <w:pPr>
              <w:jc w:val="center"/>
              <w:rPr>
                <w:rFonts w:ascii="Times New Roman" w:hAnsi="Times New Roman" w:cs="Times New Roman"/>
                <w:b/>
                <w:color w:val="000000"/>
                <w:lang w:eastAsia="sk-SK"/>
              </w:rPr>
            </w:pPr>
            <w:r w:rsidRPr="00507E84">
              <w:rPr>
                <w:rFonts w:ascii="Times New Roman" w:hAnsi="Times New Roman" w:cs="Times New Roman"/>
                <w:b/>
                <w:color w:val="000000"/>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5089342C" w14:textId="77777777" w:rsidR="00507E84" w:rsidRPr="00507E84" w:rsidRDefault="00507E84" w:rsidP="00507E84">
            <w:pPr>
              <w:jc w:val="center"/>
              <w:rPr>
                <w:rFonts w:ascii="Times New Roman" w:hAnsi="Times New Roman" w:cs="Times New Roman"/>
                <w:b/>
                <w:color w:val="000000"/>
                <w:lang w:eastAsia="sk-SK"/>
              </w:rPr>
            </w:pPr>
            <w:r w:rsidRPr="00507E84">
              <w:rPr>
                <w:rFonts w:ascii="Times New Roman" w:hAnsi="Times New Roman" w:cs="Times New Roman"/>
                <w:b/>
                <w:color w:val="000000"/>
                <w:lang w:eastAsia="sk-SK"/>
              </w:rPr>
              <w:t>0</w:t>
            </w:r>
          </w:p>
        </w:tc>
      </w:tr>
      <w:tr w:rsidR="00507E84" w:rsidRPr="00507E84" w14:paraId="06C7C43C" w14:textId="77777777" w:rsidTr="00507E84">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58DE36F" w14:textId="77777777" w:rsidR="00507E84" w:rsidRPr="00507E84" w:rsidRDefault="00507E84" w:rsidP="00507E84">
            <w:pPr>
              <w:rPr>
                <w:rFonts w:ascii="Times New Roman" w:hAnsi="Times New Roman" w:cs="Times New Roman"/>
                <w:b/>
                <w:bCs/>
                <w:color w:val="000000" w:themeColor="text1"/>
                <w:lang w:eastAsia="sk-SK"/>
              </w:rPr>
            </w:pPr>
            <w:r w:rsidRPr="00507E84">
              <w:rPr>
                <w:rFonts w:ascii="Times New Roman" w:hAnsi="Times New Roman" w:cs="Times New Roman"/>
                <w:b/>
                <w:bCs/>
                <w:color w:val="000000" w:themeColor="text1"/>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5ACDD9" w14:textId="77777777" w:rsidR="00507E84" w:rsidRPr="00507E84" w:rsidRDefault="00507E84" w:rsidP="00507E84">
            <w:pPr>
              <w:jc w:val="center"/>
              <w:rPr>
                <w:rFonts w:ascii="Times New Roman" w:hAnsi="Times New Roman" w:cs="Times New Roman"/>
                <w:b/>
                <w:color w:val="000000"/>
                <w:lang w:eastAsia="sk-SK"/>
              </w:rPr>
            </w:pPr>
            <w:r w:rsidRPr="00507E84">
              <w:rPr>
                <w:rFonts w:ascii="Times New Roman" w:hAnsi="Times New Roman" w:cs="Times New Roman"/>
                <w:b/>
                <w:color w:val="000000"/>
                <w:lang w:eastAsia="sk-SK"/>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997E455" w14:textId="77777777" w:rsidR="00507E84" w:rsidRPr="00507E84" w:rsidRDefault="00507E84" w:rsidP="00507E84">
            <w:pPr>
              <w:jc w:val="center"/>
              <w:rPr>
                <w:rFonts w:ascii="Times New Roman" w:hAnsi="Times New Roman" w:cs="Times New Roman"/>
                <w:b/>
                <w:color w:val="000000"/>
                <w:lang w:eastAsia="sk-SK"/>
              </w:rPr>
            </w:pPr>
            <w:r w:rsidRPr="00507E84">
              <w:rPr>
                <w:rFonts w:ascii="Times New Roman" w:hAnsi="Times New Roman" w:cs="Times New Roman"/>
                <w:b/>
                <w:color w:val="000000"/>
                <w:lang w:eastAsia="sk-SK"/>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31F7D4E" w14:textId="77777777" w:rsidR="00507E84" w:rsidRPr="00507E84" w:rsidRDefault="00507E84" w:rsidP="00507E84">
            <w:pPr>
              <w:jc w:val="center"/>
              <w:rPr>
                <w:rFonts w:ascii="Times New Roman" w:hAnsi="Times New Roman" w:cs="Times New Roman"/>
                <w:b/>
                <w:color w:val="000000"/>
                <w:lang w:eastAsia="sk-SK"/>
              </w:rPr>
            </w:pPr>
            <w:r w:rsidRPr="00507E84">
              <w:rPr>
                <w:rFonts w:ascii="Times New Roman" w:hAnsi="Times New Roman" w:cs="Times New Roman"/>
                <w:b/>
                <w:color w:val="000000"/>
                <w:lang w:eastAsia="sk-SK"/>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A16C671" w14:textId="77777777" w:rsidR="00507E84" w:rsidRPr="00507E84" w:rsidRDefault="00507E84" w:rsidP="00507E84">
            <w:pPr>
              <w:jc w:val="center"/>
              <w:rPr>
                <w:rFonts w:ascii="Times New Roman" w:hAnsi="Times New Roman" w:cs="Times New Roman"/>
                <w:b/>
                <w:color w:val="000000"/>
                <w:lang w:eastAsia="sk-SK"/>
              </w:rPr>
            </w:pPr>
            <w:r w:rsidRPr="00507E84">
              <w:rPr>
                <w:rFonts w:ascii="Times New Roman" w:hAnsi="Times New Roman" w:cs="Times New Roman"/>
                <w:b/>
                <w:color w:val="000000"/>
                <w:lang w:eastAsia="sk-SK"/>
              </w:rPr>
              <w:t>0</w:t>
            </w:r>
          </w:p>
        </w:tc>
      </w:tr>
    </w:tbl>
    <w:p w14:paraId="38BFDA7C" w14:textId="77777777" w:rsidR="00507E84" w:rsidRPr="00507E84" w:rsidRDefault="00507E84" w:rsidP="00507E84">
      <w:pPr>
        <w:rPr>
          <w:rFonts w:ascii="Times New Roman" w:hAnsi="Times New Roman" w:cs="Times New Roman"/>
          <w:b/>
          <w:bCs/>
          <w:lang w:eastAsia="sk-SK"/>
        </w:rPr>
      </w:pPr>
    </w:p>
    <w:p w14:paraId="332D92BA"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2.1.1. Financovanie návrhu - Návrh na riešenie úbytku príjmov alebo zvýšených výdavkov podľa § 33 ods. 1 zákona č. 523/2004 Z. z. o rozpočtových pravidlách verejnej správy:</w:t>
      </w:r>
    </w:p>
    <w:p w14:paraId="7662AE94" w14:textId="77777777" w:rsidR="00507E84" w:rsidRPr="00507E84" w:rsidRDefault="00507E84" w:rsidP="00507E84">
      <w:pPr>
        <w:jc w:val="both"/>
        <w:rPr>
          <w:rFonts w:ascii="Times New Roman" w:hAnsi="Times New Roman" w:cs="Times New Roman"/>
          <w:b/>
          <w:bCs/>
          <w:sz w:val="12"/>
          <w:highlight w:val="red"/>
          <w:lang w:eastAsia="sk-SK"/>
        </w:rPr>
      </w:pPr>
    </w:p>
    <w:p w14:paraId="42D048C5" w14:textId="77777777" w:rsidR="00507E84" w:rsidRPr="00507E84" w:rsidRDefault="00507E84" w:rsidP="00507E84">
      <w:pPr>
        <w:pBdr>
          <w:top w:val="single" w:sz="4" w:space="1" w:color="auto"/>
          <w:left w:val="single" w:sz="4" w:space="4" w:color="auto"/>
          <w:bottom w:val="single" w:sz="4" w:space="0" w:color="auto"/>
          <w:right w:val="single" w:sz="4" w:space="4" w:color="auto"/>
        </w:pBdr>
        <w:jc w:val="both"/>
        <w:rPr>
          <w:rFonts w:ascii="Times New Roman" w:hAnsi="Times New Roman" w:cs="Times New Roman"/>
          <w:b/>
          <w:bCs/>
          <w:highlight w:val="red"/>
          <w:lang w:eastAsia="sk-SK"/>
        </w:rPr>
      </w:pPr>
      <w:r w:rsidRPr="00507E84">
        <w:rPr>
          <w:rFonts w:ascii="Times New Roman" w:hAnsi="Times New Roman" w:cs="Times New Roman"/>
          <w:lang w:eastAsia="sk-SK"/>
        </w:rPr>
        <w:t xml:space="preserve">Výdavky uvedené v kapitole 2.1 sa týkajú zabezpečenia povinností uvedených v návrhu zákona, ktorým sa mení a dopĺňa zákon č. 69/2018 Z. z. o kybernetickej bezpečnosti a o zmene a doplnení niektorých zákonov v znení neskorších predpisov a ktorým sa menia a dopĺňajú niektoré zákony, ktoré vyvolali potrebu úprav </w:t>
      </w:r>
      <w:r w:rsidRPr="00507E84">
        <w:rPr>
          <w:rFonts w:ascii="Times New Roman" w:hAnsi="Times New Roman" w:cs="Times New Roman"/>
        </w:rPr>
        <w:t>jednotného informačného systému kybernetickej bezpečnosti. Tieto výdavky sú z 50% kryté prostriedkami v rámci projektu 101127928 - NIS2SK financovaného z Digital Europe Programme a z 50% kryté prostriedkami v rámci projektu 17I04-04-V01-00003 NIS2 Implementation in the Slovak Republic financovaného z Plánu obnovy a odolnosti.</w:t>
      </w:r>
    </w:p>
    <w:p w14:paraId="599D5138" w14:textId="77777777" w:rsidR="00507E84" w:rsidRPr="00507E84" w:rsidRDefault="00507E84" w:rsidP="00507E84">
      <w:pPr>
        <w:rPr>
          <w:rFonts w:ascii="Times New Roman" w:hAnsi="Times New Roman" w:cs="Times New Roman"/>
          <w:b/>
          <w:bCs/>
          <w:lang w:eastAsia="sk-SK"/>
        </w:rPr>
      </w:pPr>
    </w:p>
    <w:p w14:paraId="0341C290"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2.2. Popis a charakteristika návrhu</w:t>
      </w:r>
    </w:p>
    <w:p w14:paraId="0CD1D366" w14:textId="77777777" w:rsidR="00507E84" w:rsidRPr="00507E84" w:rsidRDefault="00507E84" w:rsidP="00507E84">
      <w:pPr>
        <w:rPr>
          <w:rFonts w:ascii="Times New Roman" w:hAnsi="Times New Roman" w:cs="Times New Roman"/>
          <w:lang w:eastAsia="sk-SK"/>
        </w:rPr>
      </w:pPr>
    </w:p>
    <w:p w14:paraId="68A7B5AA" w14:textId="77777777" w:rsidR="00507E84" w:rsidRPr="00507E84" w:rsidRDefault="00507E84" w:rsidP="00507E84">
      <w:pPr>
        <w:jc w:val="both"/>
        <w:rPr>
          <w:rFonts w:ascii="Times New Roman" w:hAnsi="Times New Roman" w:cs="Times New Roman"/>
          <w:b/>
          <w:bCs/>
          <w:lang w:eastAsia="sk-SK"/>
        </w:rPr>
      </w:pPr>
      <w:r w:rsidRPr="00507E84">
        <w:rPr>
          <w:rFonts w:ascii="Times New Roman" w:hAnsi="Times New Roman" w:cs="Times New Roman"/>
          <w:b/>
          <w:bCs/>
          <w:lang w:eastAsia="sk-SK"/>
        </w:rPr>
        <w:t>2.2.1. Popis návrhu:</w:t>
      </w:r>
    </w:p>
    <w:p w14:paraId="04F121C7" w14:textId="77777777" w:rsidR="00507E84" w:rsidRPr="00507E84" w:rsidRDefault="00507E84" w:rsidP="00507E84">
      <w:pPr>
        <w:jc w:val="both"/>
        <w:rPr>
          <w:rFonts w:ascii="Times New Roman" w:hAnsi="Times New Roman" w:cs="Times New Roman"/>
          <w:b/>
          <w:bCs/>
          <w:highlight w:val="red"/>
          <w:lang w:eastAsia="sk-SK"/>
        </w:rPr>
      </w:pPr>
    </w:p>
    <w:p w14:paraId="31A9907B" w14:textId="77777777" w:rsidR="00507E84" w:rsidRPr="00507E84" w:rsidRDefault="00507E84" w:rsidP="00507E84">
      <w:pPr>
        <w:spacing w:after="150"/>
        <w:jc w:val="both"/>
        <w:rPr>
          <w:rFonts w:ascii="Times New Roman" w:hAnsi="Times New Roman" w:cs="Times New Roman"/>
          <w:color w:val="000000" w:themeColor="text1"/>
        </w:rPr>
      </w:pPr>
      <w:r w:rsidRPr="00507E84">
        <w:rPr>
          <w:rFonts w:ascii="Times New Roman" w:hAnsi="Times New Roman" w:cs="Times New Roman"/>
          <w:color w:val="000000" w:themeColor="text1"/>
        </w:rPr>
        <w:t>Účelom návrhu zákona je transpozícia smernice Európskeho parlamentu a Rady (EÚ) 2022/2555 zo 14. decembra 2022 o opatreniach na zabezpečenie vysokej spoločnej úrovne kybernetickej bezpečnosti v Únii, ktorou sa mení nariadenie (EÚ) č. 910/2014 a smernica (EÚ) 2018/1972 a zrušuje smernica (EÚ) 2016/1148 (smernica NIS 2) (Ú. v. EÚ L 333, 27.12.2022) v platnom znení (ďalej len „smernica NIS 2“) do právneho poriadku Slovenskej republiky a zabezpečenie nevyhnutnej právnej úpravy vyplývajúcej z praxe.</w:t>
      </w:r>
    </w:p>
    <w:p w14:paraId="51189992" w14:textId="77777777" w:rsidR="00507E84" w:rsidRPr="00507E84" w:rsidRDefault="00507E84" w:rsidP="00507E84">
      <w:pPr>
        <w:spacing w:after="150"/>
        <w:jc w:val="both"/>
        <w:rPr>
          <w:rFonts w:ascii="Times New Roman" w:hAnsi="Times New Roman" w:cs="Times New Roman"/>
          <w:color w:val="000000" w:themeColor="text1"/>
        </w:rPr>
      </w:pPr>
      <w:r w:rsidRPr="00507E84">
        <w:rPr>
          <w:rFonts w:ascii="Times New Roman" w:hAnsi="Times New Roman" w:cs="Times New Roman"/>
          <w:color w:val="000000" w:themeColor="text1"/>
        </w:rPr>
        <w:t>Návrh zákona predpokladá modernizáciu existujúcej právnej úpravy, čím sa zvýši celková úroveň kybernetickej bezpečnosti na národnej úrovni a znížia sa riziká, ktoré prichádzajú s rýchlym technologickým vývojom a digitalizáciou.</w:t>
      </w:r>
    </w:p>
    <w:p w14:paraId="37C85C8B" w14:textId="77777777" w:rsidR="00507E84" w:rsidRPr="00507E84" w:rsidRDefault="00507E84" w:rsidP="00507E84">
      <w:pPr>
        <w:spacing w:after="150"/>
        <w:jc w:val="both"/>
        <w:rPr>
          <w:rFonts w:ascii="Times New Roman" w:hAnsi="Times New Roman" w:cs="Times New Roman"/>
          <w:color w:val="000000" w:themeColor="text1"/>
        </w:rPr>
      </w:pPr>
      <w:r w:rsidRPr="00507E84">
        <w:rPr>
          <w:rFonts w:ascii="Times New Roman" w:hAnsi="Times New Roman" w:cs="Times New Roman"/>
          <w:color w:val="000000" w:themeColor="text1"/>
        </w:rPr>
        <w:t>Návrhom zákona nedochádza k výraznému nárastu regulovaných odvetví, avšak zmenou prístupu k identifikácii povinných subjektov, tzv. prevádzkovateľov základnej služby, dochádza k rozšíreniu pôsobnosti na ďalšie subjekty mimo verejnej správy.</w:t>
      </w:r>
    </w:p>
    <w:p w14:paraId="1C93068E" w14:textId="77777777" w:rsidR="00507E84" w:rsidRPr="00507E84" w:rsidRDefault="00507E84" w:rsidP="00507E84">
      <w:pPr>
        <w:spacing w:after="150"/>
        <w:jc w:val="both"/>
        <w:rPr>
          <w:rFonts w:ascii="Times New Roman" w:hAnsi="Times New Roman" w:cs="Times New Roman"/>
          <w:color w:val="000000" w:themeColor="text1"/>
        </w:rPr>
      </w:pPr>
      <w:r w:rsidRPr="00507E84">
        <w:rPr>
          <w:rFonts w:ascii="Times New Roman" w:hAnsi="Times New Roman" w:cs="Times New Roman"/>
          <w:color w:val="000000" w:themeColor="text1"/>
        </w:rPr>
        <w:lastRenderedPageBreak/>
        <w:t>Upravuje sa a precizuje hlásenie incidentov, podporuje sa dobrovoľné hlásenie, ako aj  hlásenie zraniteľností. Smernicou NIS 2 sa odstraňuje rozdiel medzi prevádzkovateľom základnej služby a poskytovateľom digitálnej služby, a samotné regulované subjekty – prevádzkovatelia základných služieb, sa de facto rozdeľujú na základe ich dôležitosti do dvoch kategórií, na kľúčové subjekty – prevádzkujúce kritickú základnú službu a dôležité subjekty – ostatní prevádzkovatelia základných služieb. Návrh zákona tak podľa pravidiel smernice NIS 2 zavádza prahovú hodnotu veľkosti subjektu (stredné podniky podľa článku 2 prílohy k odporúčaniu 2003/361/ES alebo presahujúce limity pre stredné podniky), do regulácie ale spadajú aj subjekty kritického významu bez hodnotenia ich veľkosti.</w:t>
      </w:r>
    </w:p>
    <w:p w14:paraId="4F6F490E" w14:textId="77777777" w:rsidR="00507E84" w:rsidRPr="00507E84" w:rsidRDefault="00507E84" w:rsidP="00507E84">
      <w:pPr>
        <w:spacing w:after="150"/>
        <w:jc w:val="both"/>
        <w:rPr>
          <w:rFonts w:ascii="Times New Roman" w:hAnsi="Times New Roman" w:cs="Times New Roman"/>
          <w:color w:val="000000" w:themeColor="text1"/>
        </w:rPr>
      </w:pPr>
      <w:r w:rsidRPr="00507E84">
        <w:rPr>
          <w:rFonts w:ascii="Times New Roman" w:hAnsi="Times New Roman" w:cs="Times New Roman"/>
          <w:color w:val="000000" w:themeColor="text1"/>
        </w:rPr>
        <w:t>V návrhu zákona sa upravujú a precizujú bezpečnostné opatrenia tak, aby reflektovali nové bezpečnostné štandardy a posilňuje sa nástroj analýzy rizík pre aplikáciu bezpečnostných opatrení. Zavádza sa minimálna úroveň bezpečnostných opatrení ako základná prahová hodnota určujúca bazálnu úroveň bezpečnosti v štáte. Taktiež sa posilňuje dohľadová činnosť, podporuje sa vzdelávanie, dopĺňa sa zodpovednosť a posilňuje sa funkcia manažéra kybernetickej bezpečnosti.</w:t>
      </w:r>
    </w:p>
    <w:p w14:paraId="7B528542" w14:textId="77777777" w:rsidR="00507E84" w:rsidRPr="00507E84" w:rsidRDefault="00507E84" w:rsidP="00507E84">
      <w:pPr>
        <w:rPr>
          <w:rFonts w:ascii="Times New Roman" w:hAnsi="Times New Roman" w:cs="Times New Roman"/>
          <w:lang w:eastAsia="sk-SK"/>
        </w:rPr>
      </w:pPr>
    </w:p>
    <w:p w14:paraId="27CF39C0"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2.2.2. Charakteristika návrhu:</w:t>
      </w:r>
    </w:p>
    <w:p w14:paraId="53E74F7E" w14:textId="77777777" w:rsidR="00507E84" w:rsidRPr="00507E84" w:rsidRDefault="00507E84" w:rsidP="00507E84">
      <w:pPr>
        <w:rPr>
          <w:rFonts w:ascii="Times New Roman" w:hAnsi="Times New Roman" w:cs="Times New Roman"/>
          <w:lang w:eastAsia="sk-SK"/>
        </w:rPr>
      </w:pPr>
    </w:p>
    <w:p w14:paraId="6BE17F52"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b/>
          <w:bdr w:val="single" w:sz="4" w:space="0" w:color="auto"/>
          <w:lang w:eastAsia="sk-SK"/>
        </w:rPr>
        <w:t xml:space="preserve">     </w:t>
      </w:r>
      <w:r w:rsidRPr="00507E84">
        <w:rPr>
          <w:rFonts w:ascii="Times New Roman" w:hAnsi="Times New Roman" w:cs="Times New Roman"/>
          <w:b/>
          <w:lang w:eastAsia="sk-SK"/>
        </w:rPr>
        <w:t xml:space="preserve">  </w:t>
      </w:r>
      <w:r w:rsidRPr="00507E84">
        <w:rPr>
          <w:rFonts w:ascii="Times New Roman" w:hAnsi="Times New Roman" w:cs="Times New Roman"/>
          <w:lang w:eastAsia="sk-SK"/>
        </w:rPr>
        <w:t>zmena sadzby</w:t>
      </w:r>
    </w:p>
    <w:p w14:paraId="44DE51DE"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bdr w:val="single" w:sz="4" w:space="0" w:color="auto"/>
          <w:lang w:eastAsia="sk-SK"/>
        </w:rPr>
        <w:t xml:space="preserve">     </w:t>
      </w:r>
      <w:r w:rsidRPr="00507E84">
        <w:rPr>
          <w:rFonts w:ascii="Times New Roman" w:hAnsi="Times New Roman" w:cs="Times New Roman"/>
          <w:lang w:eastAsia="sk-SK"/>
        </w:rPr>
        <w:t xml:space="preserve">  zmena v nároku</w:t>
      </w:r>
    </w:p>
    <w:p w14:paraId="1FF78CD7"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bdr w:val="single" w:sz="4" w:space="0" w:color="auto"/>
          <w:lang w:eastAsia="sk-SK"/>
        </w:rPr>
        <w:t xml:space="preserve">     </w:t>
      </w:r>
      <w:r w:rsidRPr="00507E84">
        <w:rPr>
          <w:rFonts w:ascii="Times New Roman" w:hAnsi="Times New Roman" w:cs="Times New Roman"/>
          <w:lang w:eastAsia="sk-SK"/>
        </w:rPr>
        <w:t xml:space="preserve">  nová služba alebo nariadenie (alebo ich zrušenie)</w:t>
      </w:r>
    </w:p>
    <w:p w14:paraId="76E2C9C0"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bdr w:val="single" w:sz="4" w:space="0" w:color="auto"/>
          <w:lang w:eastAsia="sk-SK"/>
        </w:rPr>
        <w:t xml:space="preserve">     </w:t>
      </w:r>
      <w:r w:rsidRPr="00507E84">
        <w:rPr>
          <w:rFonts w:ascii="Times New Roman" w:hAnsi="Times New Roman" w:cs="Times New Roman"/>
          <w:lang w:eastAsia="sk-SK"/>
        </w:rPr>
        <w:t xml:space="preserve">  kombinovaný návrh</w:t>
      </w:r>
    </w:p>
    <w:p w14:paraId="7562CD0C"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bdr w:val="single" w:sz="4" w:space="0" w:color="auto"/>
          <w:lang w:eastAsia="sk-SK"/>
        </w:rPr>
        <w:t xml:space="preserve"> X </w:t>
      </w:r>
      <w:r w:rsidRPr="00507E84">
        <w:rPr>
          <w:rFonts w:ascii="Times New Roman" w:hAnsi="Times New Roman" w:cs="Times New Roman"/>
          <w:lang w:eastAsia="sk-SK"/>
        </w:rPr>
        <w:t xml:space="preserve">  iné </w:t>
      </w:r>
    </w:p>
    <w:p w14:paraId="6A6140C4" w14:textId="77777777" w:rsidR="00507E84" w:rsidRPr="00507E84" w:rsidRDefault="00507E84" w:rsidP="00507E84">
      <w:pPr>
        <w:rPr>
          <w:rFonts w:ascii="Times New Roman" w:hAnsi="Times New Roman" w:cs="Times New Roman"/>
          <w:lang w:eastAsia="sk-SK"/>
        </w:rPr>
      </w:pPr>
    </w:p>
    <w:p w14:paraId="2FFE7F56"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b/>
          <w:bCs/>
          <w:lang w:eastAsia="sk-SK"/>
        </w:rPr>
        <w:t>2.2.3. Predpoklady vývoja objemu aktivít:</w:t>
      </w:r>
    </w:p>
    <w:p w14:paraId="5167E1CE" w14:textId="77777777" w:rsidR="00507E84" w:rsidRPr="00507E84" w:rsidRDefault="00507E84" w:rsidP="00507E84">
      <w:pPr>
        <w:rPr>
          <w:rFonts w:ascii="Times New Roman" w:hAnsi="Times New Roman" w:cs="Times New Roman"/>
          <w:lang w:eastAsia="sk-SK"/>
        </w:rPr>
      </w:pPr>
    </w:p>
    <w:p w14:paraId="194E7454" w14:textId="77777777" w:rsidR="00507E84" w:rsidRPr="00507E84" w:rsidRDefault="00507E84" w:rsidP="00507E84">
      <w:pPr>
        <w:ind w:firstLine="708"/>
        <w:jc w:val="both"/>
        <w:rPr>
          <w:rFonts w:ascii="Times New Roman" w:hAnsi="Times New Roman" w:cs="Times New Roman"/>
          <w:lang w:eastAsia="sk-SK"/>
        </w:rPr>
      </w:pPr>
      <w:r w:rsidRPr="00507E84">
        <w:rPr>
          <w:rFonts w:ascii="Times New Roman" w:hAnsi="Times New Roman" w:cs="Times New Roman"/>
          <w:lang w:eastAsia="sk-SK"/>
        </w:rPr>
        <w:t>Jasne popíšte, v prípade potreby použite nižšie uvedenú tabuľku. Uveďte aj odhady základov daní a/alebo poplatkov, ak sa ich táto zmena týka.</w:t>
      </w:r>
    </w:p>
    <w:p w14:paraId="71D181D8" w14:textId="77777777" w:rsidR="00507E84" w:rsidRPr="00507E84" w:rsidRDefault="00507E84" w:rsidP="00507E84">
      <w:pPr>
        <w:jc w:val="right"/>
        <w:rPr>
          <w:rFonts w:ascii="Times New Roman" w:hAnsi="Times New Roman" w:cs="Times New Roman"/>
          <w:sz w:val="20"/>
          <w:szCs w:val="20"/>
          <w:lang w:eastAsia="sk-SK"/>
        </w:rPr>
      </w:pPr>
      <w:r w:rsidRPr="00507E84">
        <w:rPr>
          <w:rFonts w:ascii="Times New Roman" w:hAnsi="Times New Roman" w:cs="Times New Roman"/>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507E84" w:rsidRPr="00507E84" w14:paraId="278EB72B" w14:textId="77777777" w:rsidTr="00507E84">
        <w:trPr>
          <w:cantSplit/>
          <w:trHeight w:val="70"/>
        </w:trPr>
        <w:tc>
          <w:tcPr>
            <w:tcW w:w="4530" w:type="dxa"/>
            <w:vMerge w:val="restart"/>
            <w:shd w:val="clear" w:color="auto" w:fill="BFBFBF" w:themeFill="background1" w:themeFillShade="BF"/>
            <w:vAlign w:val="center"/>
          </w:tcPr>
          <w:p w14:paraId="0D6F38AD" w14:textId="77777777" w:rsidR="00507E84" w:rsidRPr="00507E84" w:rsidRDefault="00507E84" w:rsidP="00507E84">
            <w:pPr>
              <w:autoSpaceDE w:val="0"/>
              <w:autoSpaceDN w:val="0"/>
              <w:adjustRightInd w:val="0"/>
              <w:jc w:val="center"/>
              <w:rPr>
                <w:rFonts w:ascii="Times New Roman" w:hAnsi="Times New Roman" w:cs="Times New Roman"/>
                <w:b/>
                <w:bCs/>
                <w:lang w:eastAsia="sk-SK"/>
              </w:rPr>
            </w:pPr>
            <w:r w:rsidRPr="00507E84">
              <w:rPr>
                <w:rFonts w:ascii="Times New Roman" w:hAnsi="Times New Roman" w:cs="Times New Roman"/>
                <w:b/>
                <w:bCs/>
                <w:lang w:eastAsia="sk-SK"/>
              </w:rPr>
              <w:t>Objem aktivít</w:t>
            </w:r>
          </w:p>
        </w:tc>
        <w:tc>
          <w:tcPr>
            <w:tcW w:w="4536" w:type="dxa"/>
            <w:gridSpan w:val="4"/>
            <w:shd w:val="clear" w:color="auto" w:fill="BFBFBF" w:themeFill="background1" w:themeFillShade="BF"/>
            <w:vAlign w:val="center"/>
          </w:tcPr>
          <w:p w14:paraId="7EDE0C67" w14:textId="77777777" w:rsidR="00507E84" w:rsidRPr="00507E84" w:rsidRDefault="00507E84" w:rsidP="00507E84">
            <w:pPr>
              <w:autoSpaceDE w:val="0"/>
              <w:autoSpaceDN w:val="0"/>
              <w:adjustRightInd w:val="0"/>
              <w:jc w:val="center"/>
              <w:rPr>
                <w:rFonts w:ascii="Times New Roman" w:hAnsi="Times New Roman" w:cs="Times New Roman"/>
                <w:b/>
                <w:bCs/>
                <w:lang w:eastAsia="sk-SK"/>
              </w:rPr>
            </w:pPr>
            <w:r w:rsidRPr="00507E84">
              <w:rPr>
                <w:rFonts w:ascii="Times New Roman" w:hAnsi="Times New Roman" w:cs="Times New Roman"/>
                <w:b/>
                <w:bCs/>
                <w:lang w:eastAsia="sk-SK"/>
              </w:rPr>
              <w:t>Odhadované objemy</w:t>
            </w:r>
          </w:p>
        </w:tc>
      </w:tr>
      <w:tr w:rsidR="00507E84" w:rsidRPr="00507E84" w14:paraId="5B7CB66B" w14:textId="77777777" w:rsidTr="00507E84">
        <w:trPr>
          <w:cantSplit/>
          <w:trHeight w:val="70"/>
        </w:trPr>
        <w:tc>
          <w:tcPr>
            <w:tcW w:w="4530" w:type="dxa"/>
            <w:vMerge/>
            <w:shd w:val="clear" w:color="auto" w:fill="BFBFBF" w:themeFill="background1" w:themeFillShade="BF"/>
          </w:tcPr>
          <w:p w14:paraId="2915A7E4" w14:textId="77777777" w:rsidR="00507E84" w:rsidRPr="00507E84" w:rsidRDefault="00507E84" w:rsidP="00507E84">
            <w:pPr>
              <w:autoSpaceDE w:val="0"/>
              <w:autoSpaceDN w:val="0"/>
              <w:adjustRightInd w:val="0"/>
              <w:jc w:val="center"/>
              <w:rPr>
                <w:rFonts w:ascii="Times New Roman" w:hAnsi="Times New Roman" w:cs="Times New Roman"/>
                <w:b/>
                <w:bCs/>
                <w:lang w:eastAsia="sk-SK"/>
              </w:rPr>
            </w:pPr>
          </w:p>
        </w:tc>
        <w:tc>
          <w:tcPr>
            <w:tcW w:w="1134" w:type="dxa"/>
            <w:shd w:val="clear" w:color="auto" w:fill="BFBFBF" w:themeFill="background1" w:themeFillShade="BF"/>
            <w:vAlign w:val="center"/>
          </w:tcPr>
          <w:p w14:paraId="3ED6A34E" w14:textId="77777777" w:rsidR="00507E84" w:rsidRPr="00507E84" w:rsidRDefault="00507E84" w:rsidP="00507E84">
            <w:pPr>
              <w:autoSpaceDE w:val="0"/>
              <w:autoSpaceDN w:val="0"/>
              <w:adjustRightInd w:val="0"/>
              <w:jc w:val="center"/>
              <w:rPr>
                <w:rFonts w:ascii="Times New Roman" w:hAnsi="Times New Roman" w:cs="Times New Roman"/>
                <w:b/>
                <w:bCs/>
                <w:lang w:eastAsia="sk-SK"/>
              </w:rPr>
            </w:pPr>
            <w:r w:rsidRPr="00507E84">
              <w:rPr>
                <w:rFonts w:ascii="Times New Roman" w:hAnsi="Times New Roman" w:cs="Times New Roman"/>
                <w:b/>
                <w:bCs/>
                <w:lang w:eastAsia="sk-SK"/>
              </w:rPr>
              <w:t>2025</w:t>
            </w:r>
          </w:p>
        </w:tc>
        <w:tc>
          <w:tcPr>
            <w:tcW w:w="1134" w:type="dxa"/>
            <w:shd w:val="clear" w:color="auto" w:fill="BFBFBF" w:themeFill="background1" w:themeFillShade="BF"/>
            <w:vAlign w:val="center"/>
          </w:tcPr>
          <w:p w14:paraId="4B43BA22" w14:textId="77777777" w:rsidR="00507E84" w:rsidRPr="00507E84" w:rsidRDefault="00507E84" w:rsidP="00507E84">
            <w:pPr>
              <w:autoSpaceDE w:val="0"/>
              <w:autoSpaceDN w:val="0"/>
              <w:adjustRightInd w:val="0"/>
              <w:jc w:val="center"/>
              <w:rPr>
                <w:rFonts w:ascii="Times New Roman" w:hAnsi="Times New Roman" w:cs="Times New Roman"/>
                <w:b/>
                <w:bCs/>
                <w:lang w:eastAsia="sk-SK"/>
              </w:rPr>
            </w:pPr>
            <w:r w:rsidRPr="00507E84">
              <w:rPr>
                <w:rFonts w:ascii="Times New Roman" w:hAnsi="Times New Roman" w:cs="Times New Roman"/>
                <w:b/>
                <w:bCs/>
                <w:lang w:eastAsia="sk-SK"/>
              </w:rPr>
              <w:t>2026</w:t>
            </w:r>
          </w:p>
        </w:tc>
        <w:tc>
          <w:tcPr>
            <w:tcW w:w="1134" w:type="dxa"/>
            <w:shd w:val="clear" w:color="auto" w:fill="BFBFBF" w:themeFill="background1" w:themeFillShade="BF"/>
            <w:vAlign w:val="center"/>
          </w:tcPr>
          <w:p w14:paraId="0048792E" w14:textId="77777777" w:rsidR="00507E84" w:rsidRPr="00507E84" w:rsidRDefault="00507E84" w:rsidP="00507E84">
            <w:pPr>
              <w:autoSpaceDE w:val="0"/>
              <w:autoSpaceDN w:val="0"/>
              <w:adjustRightInd w:val="0"/>
              <w:jc w:val="center"/>
              <w:rPr>
                <w:rFonts w:ascii="Times New Roman" w:hAnsi="Times New Roman" w:cs="Times New Roman"/>
                <w:b/>
                <w:bCs/>
                <w:lang w:eastAsia="sk-SK"/>
              </w:rPr>
            </w:pPr>
            <w:r w:rsidRPr="00507E84">
              <w:rPr>
                <w:rFonts w:ascii="Times New Roman" w:hAnsi="Times New Roman" w:cs="Times New Roman"/>
                <w:b/>
                <w:bCs/>
                <w:lang w:eastAsia="sk-SK"/>
              </w:rPr>
              <w:t>2027</w:t>
            </w:r>
          </w:p>
        </w:tc>
        <w:tc>
          <w:tcPr>
            <w:tcW w:w="1134" w:type="dxa"/>
            <w:shd w:val="clear" w:color="auto" w:fill="BFBFBF" w:themeFill="background1" w:themeFillShade="BF"/>
            <w:vAlign w:val="center"/>
          </w:tcPr>
          <w:p w14:paraId="775D907B" w14:textId="77777777" w:rsidR="00507E84" w:rsidRPr="00507E84" w:rsidRDefault="00507E84" w:rsidP="00507E84">
            <w:pPr>
              <w:autoSpaceDE w:val="0"/>
              <w:autoSpaceDN w:val="0"/>
              <w:adjustRightInd w:val="0"/>
              <w:jc w:val="center"/>
              <w:rPr>
                <w:rFonts w:ascii="Times New Roman" w:hAnsi="Times New Roman" w:cs="Times New Roman"/>
                <w:b/>
                <w:bCs/>
                <w:lang w:eastAsia="sk-SK"/>
              </w:rPr>
            </w:pPr>
            <w:r w:rsidRPr="00507E84">
              <w:rPr>
                <w:rFonts w:ascii="Times New Roman" w:hAnsi="Times New Roman" w:cs="Times New Roman"/>
                <w:b/>
                <w:bCs/>
                <w:lang w:eastAsia="sk-SK"/>
              </w:rPr>
              <w:t>2028</w:t>
            </w:r>
          </w:p>
        </w:tc>
      </w:tr>
      <w:tr w:rsidR="00507E84" w:rsidRPr="00507E84" w14:paraId="6CD8E2E2" w14:textId="77777777" w:rsidTr="00507E84">
        <w:trPr>
          <w:trHeight w:val="70"/>
        </w:trPr>
        <w:tc>
          <w:tcPr>
            <w:tcW w:w="4530" w:type="dxa"/>
          </w:tcPr>
          <w:p w14:paraId="5A6F1923" w14:textId="77777777" w:rsidR="00507E84" w:rsidRPr="00507E84" w:rsidRDefault="00507E84" w:rsidP="00507E84">
            <w:pPr>
              <w:autoSpaceDE w:val="0"/>
              <w:autoSpaceDN w:val="0"/>
              <w:adjustRightInd w:val="0"/>
              <w:rPr>
                <w:rFonts w:ascii="Times New Roman" w:hAnsi="Times New Roman" w:cs="Times New Roman"/>
                <w:color w:val="000000"/>
                <w:lang w:eastAsia="sk-SK"/>
              </w:rPr>
            </w:pPr>
            <w:r w:rsidRPr="00507E84">
              <w:rPr>
                <w:rFonts w:ascii="Times New Roman" w:hAnsi="Times New Roman" w:cs="Times New Roman"/>
                <w:color w:val="000000"/>
                <w:lang w:eastAsia="sk-SK"/>
              </w:rPr>
              <w:t>Počet nových subjektov spadajúcich pod zákon 69/2018</w:t>
            </w:r>
          </w:p>
        </w:tc>
        <w:tc>
          <w:tcPr>
            <w:tcW w:w="1134" w:type="dxa"/>
          </w:tcPr>
          <w:p w14:paraId="73242DA0" w14:textId="77777777" w:rsidR="00507E84" w:rsidRPr="00507E84" w:rsidRDefault="00507E84" w:rsidP="00507E84">
            <w:pPr>
              <w:autoSpaceDE w:val="0"/>
              <w:autoSpaceDN w:val="0"/>
              <w:adjustRightInd w:val="0"/>
              <w:jc w:val="right"/>
              <w:rPr>
                <w:rFonts w:ascii="Times New Roman" w:hAnsi="Times New Roman" w:cs="Times New Roman"/>
                <w:color w:val="000000"/>
                <w:lang w:eastAsia="sk-SK"/>
              </w:rPr>
            </w:pPr>
            <w:r w:rsidRPr="00507E84">
              <w:rPr>
                <w:rFonts w:ascii="Times New Roman" w:hAnsi="Times New Roman" w:cs="Times New Roman"/>
                <w:color w:val="000000"/>
                <w:lang w:eastAsia="sk-SK"/>
              </w:rPr>
              <w:t>3403</w:t>
            </w:r>
          </w:p>
        </w:tc>
        <w:tc>
          <w:tcPr>
            <w:tcW w:w="1134" w:type="dxa"/>
          </w:tcPr>
          <w:p w14:paraId="4DF75221" w14:textId="77777777" w:rsidR="00507E84" w:rsidRPr="00507E84" w:rsidRDefault="00507E84" w:rsidP="00507E84">
            <w:pPr>
              <w:autoSpaceDE w:val="0"/>
              <w:autoSpaceDN w:val="0"/>
              <w:adjustRightInd w:val="0"/>
              <w:jc w:val="right"/>
              <w:rPr>
                <w:rFonts w:ascii="Times New Roman" w:hAnsi="Times New Roman" w:cs="Times New Roman"/>
                <w:color w:val="000000"/>
                <w:lang w:eastAsia="sk-SK"/>
              </w:rPr>
            </w:pPr>
            <w:r w:rsidRPr="00507E84">
              <w:rPr>
                <w:rFonts w:ascii="Times New Roman" w:hAnsi="Times New Roman" w:cs="Times New Roman"/>
                <w:color w:val="000000"/>
                <w:lang w:eastAsia="sk-SK"/>
              </w:rPr>
              <w:t>3403</w:t>
            </w:r>
          </w:p>
        </w:tc>
        <w:tc>
          <w:tcPr>
            <w:tcW w:w="1134" w:type="dxa"/>
          </w:tcPr>
          <w:p w14:paraId="24169155" w14:textId="77777777" w:rsidR="00507E84" w:rsidRPr="00507E84" w:rsidRDefault="00507E84" w:rsidP="00507E84">
            <w:pPr>
              <w:autoSpaceDE w:val="0"/>
              <w:autoSpaceDN w:val="0"/>
              <w:adjustRightInd w:val="0"/>
              <w:jc w:val="right"/>
              <w:rPr>
                <w:rFonts w:ascii="Times New Roman" w:hAnsi="Times New Roman" w:cs="Times New Roman"/>
                <w:color w:val="000000"/>
                <w:lang w:eastAsia="sk-SK"/>
              </w:rPr>
            </w:pPr>
            <w:r w:rsidRPr="00507E84">
              <w:rPr>
                <w:rFonts w:ascii="Times New Roman" w:hAnsi="Times New Roman" w:cs="Times New Roman"/>
                <w:color w:val="000000"/>
                <w:lang w:eastAsia="sk-SK"/>
              </w:rPr>
              <w:t>3403</w:t>
            </w:r>
          </w:p>
        </w:tc>
        <w:tc>
          <w:tcPr>
            <w:tcW w:w="1134" w:type="dxa"/>
          </w:tcPr>
          <w:p w14:paraId="10D23F73" w14:textId="77777777" w:rsidR="00507E84" w:rsidRPr="00507E84" w:rsidRDefault="00507E84" w:rsidP="00507E84">
            <w:pPr>
              <w:autoSpaceDE w:val="0"/>
              <w:autoSpaceDN w:val="0"/>
              <w:adjustRightInd w:val="0"/>
              <w:jc w:val="right"/>
              <w:rPr>
                <w:rFonts w:ascii="Times New Roman" w:hAnsi="Times New Roman" w:cs="Times New Roman"/>
                <w:color w:val="000000"/>
                <w:lang w:eastAsia="sk-SK"/>
              </w:rPr>
            </w:pPr>
            <w:r w:rsidRPr="00507E84">
              <w:rPr>
                <w:rFonts w:ascii="Times New Roman" w:hAnsi="Times New Roman" w:cs="Times New Roman"/>
                <w:color w:val="000000"/>
                <w:lang w:eastAsia="sk-SK"/>
              </w:rPr>
              <w:t>3403</w:t>
            </w:r>
          </w:p>
        </w:tc>
      </w:tr>
      <w:tr w:rsidR="00507E84" w:rsidRPr="00507E84" w14:paraId="3B9802E2" w14:textId="77777777" w:rsidTr="00507E84">
        <w:trPr>
          <w:trHeight w:val="70"/>
        </w:trPr>
        <w:tc>
          <w:tcPr>
            <w:tcW w:w="4530" w:type="dxa"/>
          </w:tcPr>
          <w:p w14:paraId="5784FC93" w14:textId="77777777" w:rsidR="00507E84" w:rsidRPr="00507E84" w:rsidRDefault="00507E84" w:rsidP="00507E84">
            <w:pPr>
              <w:autoSpaceDE w:val="0"/>
              <w:autoSpaceDN w:val="0"/>
              <w:adjustRightInd w:val="0"/>
              <w:rPr>
                <w:rFonts w:ascii="Times New Roman" w:hAnsi="Times New Roman" w:cs="Times New Roman"/>
                <w:color w:val="000000"/>
                <w:lang w:eastAsia="sk-SK"/>
              </w:rPr>
            </w:pPr>
            <w:r w:rsidRPr="00507E84">
              <w:rPr>
                <w:rFonts w:ascii="Times New Roman" w:hAnsi="Times New Roman" w:cs="Times New Roman"/>
                <w:color w:val="000000"/>
                <w:lang w:eastAsia="sk-SK"/>
              </w:rPr>
              <w:t>Rozpočítaná priemerná výška pokuty</w:t>
            </w:r>
          </w:p>
        </w:tc>
        <w:tc>
          <w:tcPr>
            <w:tcW w:w="1134" w:type="dxa"/>
          </w:tcPr>
          <w:p w14:paraId="23DA72A3" w14:textId="77777777" w:rsidR="00507E84" w:rsidRPr="00507E84" w:rsidRDefault="00507E84" w:rsidP="00507E84">
            <w:pPr>
              <w:autoSpaceDE w:val="0"/>
              <w:autoSpaceDN w:val="0"/>
              <w:adjustRightInd w:val="0"/>
              <w:jc w:val="right"/>
              <w:rPr>
                <w:rFonts w:ascii="Times New Roman" w:hAnsi="Times New Roman" w:cs="Times New Roman"/>
                <w:color w:val="000000"/>
                <w:lang w:eastAsia="sk-SK"/>
              </w:rPr>
            </w:pPr>
            <w:r w:rsidRPr="00507E84">
              <w:rPr>
                <w:rFonts w:ascii="Times New Roman" w:hAnsi="Times New Roman" w:cs="Times New Roman"/>
                <w:color w:val="000000"/>
                <w:lang w:eastAsia="sk-SK"/>
              </w:rPr>
              <w:t>30</w:t>
            </w:r>
          </w:p>
        </w:tc>
        <w:tc>
          <w:tcPr>
            <w:tcW w:w="1134" w:type="dxa"/>
          </w:tcPr>
          <w:p w14:paraId="0E6CABE3" w14:textId="77777777" w:rsidR="00507E84" w:rsidRPr="00507E84" w:rsidRDefault="00507E84" w:rsidP="00507E84">
            <w:pPr>
              <w:autoSpaceDE w:val="0"/>
              <w:autoSpaceDN w:val="0"/>
              <w:adjustRightInd w:val="0"/>
              <w:jc w:val="right"/>
              <w:rPr>
                <w:rFonts w:ascii="Times New Roman" w:hAnsi="Times New Roman" w:cs="Times New Roman"/>
                <w:color w:val="000000"/>
                <w:lang w:eastAsia="sk-SK"/>
              </w:rPr>
            </w:pPr>
            <w:r w:rsidRPr="00507E84">
              <w:rPr>
                <w:rFonts w:ascii="Times New Roman" w:hAnsi="Times New Roman" w:cs="Times New Roman"/>
                <w:color w:val="000000"/>
                <w:lang w:eastAsia="sk-SK"/>
              </w:rPr>
              <w:t>30</w:t>
            </w:r>
          </w:p>
        </w:tc>
        <w:tc>
          <w:tcPr>
            <w:tcW w:w="1134" w:type="dxa"/>
          </w:tcPr>
          <w:p w14:paraId="7A0AE0AE" w14:textId="77777777" w:rsidR="00507E84" w:rsidRPr="00507E84" w:rsidRDefault="00507E84" w:rsidP="00507E84">
            <w:pPr>
              <w:autoSpaceDE w:val="0"/>
              <w:autoSpaceDN w:val="0"/>
              <w:adjustRightInd w:val="0"/>
              <w:jc w:val="right"/>
              <w:rPr>
                <w:rFonts w:ascii="Times New Roman" w:hAnsi="Times New Roman" w:cs="Times New Roman"/>
                <w:color w:val="000000"/>
                <w:lang w:eastAsia="sk-SK"/>
              </w:rPr>
            </w:pPr>
            <w:r w:rsidRPr="00507E84">
              <w:rPr>
                <w:rFonts w:ascii="Times New Roman" w:hAnsi="Times New Roman" w:cs="Times New Roman"/>
                <w:color w:val="000000"/>
                <w:lang w:eastAsia="sk-SK"/>
              </w:rPr>
              <w:t>30</w:t>
            </w:r>
          </w:p>
        </w:tc>
        <w:tc>
          <w:tcPr>
            <w:tcW w:w="1134" w:type="dxa"/>
          </w:tcPr>
          <w:p w14:paraId="0E5A5C6A" w14:textId="77777777" w:rsidR="00507E84" w:rsidRPr="00507E84" w:rsidRDefault="00507E84" w:rsidP="00507E84">
            <w:pPr>
              <w:autoSpaceDE w:val="0"/>
              <w:autoSpaceDN w:val="0"/>
              <w:adjustRightInd w:val="0"/>
              <w:jc w:val="right"/>
              <w:rPr>
                <w:rFonts w:ascii="Times New Roman" w:hAnsi="Times New Roman" w:cs="Times New Roman"/>
                <w:color w:val="000000"/>
                <w:lang w:eastAsia="sk-SK"/>
              </w:rPr>
            </w:pPr>
            <w:r w:rsidRPr="00507E84">
              <w:rPr>
                <w:rFonts w:ascii="Times New Roman" w:hAnsi="Times New Roman" w:cs="Times New Roman"/>
                <w:color w:val="000000"/>
                <w:lang w:eastAsia="sk-SK"/>
              </w:rPr>
              <w:t>30</w:t>
            </w:r>
          </w:p>
        </w:tc>
      </w:tr>
      <w:tr w:rsidR="00507E84" w:rsidRPr="00507E84" w14:paraId="1C2CFBB6" w14:textId="77777777" w:rsidTr="00507E84">
        <w:trPr>
          <w:trHeight w:val="70"/>
        </w:trPr>
        <w:tc>
          <w:tcPr>
            <w:tcW w:w="4530" w:type="dxa"/>
          </w:tcPr>
          <w:p w14:paraId="51B370AB" w14:textId="77777777" w:rsidR="00507E84" w:rsidRPr="00507E84" w:rsidRDefault="00507E84" w:rsidP="00507E84">
            <w:pPr>
              <w:autoSpaceDE w:val="0"/>
              <w:autoSpaceDN w:val="0"/>
              <w:adjustRightInd w:val="0"/>
              <w:rPr>
                <w:rFonts w:ascii="Times New Roman" w:hAnsi="Times New Roman" w:cs="Times New Roman"/>
                <w:color w:val="000000"/>
                <w:lang w:eastAsia="sk-SK"/>
              </w:rPr>
            </w:pPr>
            <w:r w:rsidRPr="00507E84">
              <w:rPr>
                <w:rFonts w:ascii="Times New Roman" w:hAnsi="Times New Roman" w:cs="Times New Roman"/>
                <w:color w:val="000000"/>
                <w:lang w:eastAsia="sk-SK"/>
              </w:rPr>
              <w:t>Počet školiacich stredísk</w:t>
            </w:r>
          </w:p>
        </w:tc>
        <w:tc>
          <w:tcPr>
            <w:tcW w:w="1134" w:type="dxa"/>
          </w:tcPr>
          <w:p w14:paraId="6BF61E6B" w14:textId="77777777" w:rsidR="00507E84" w:rsidRPr="00507E84" w:rsidRDefault="00507E84" w:rsidP="00507E84">
            <w:pPr>
              <w:autoSpaceDE w:val="0"/>
              <w:autoSpaceDN w:val="0"/>
              <w:adjustRightInd w:val="0"/>
              <w:jc w:val="right"/>
              <w:rPr>
                <w:rFonts w:ascii="Times New Roman" w:hAnsi="Times New Roman" w:cs="Times New Roman"/>
                <w:color w:val="000000"/>
                <w:lang w:eastAsia="sk-SK"/>
              </w:rPr>
            </w:pPr>
            <w:r w:rsidRPr="00507E84">
              <w:rPr>
                <w:rFonts w:ascii="Times New Roman" w:hAnsi="Times New Roman" w:cs="Times New Roman"/>
                <w:color w:val="000000"/>
                <w:lang w:eastAsia="sk-SK"/>
              </w:rPr>
              <w:t>3</w:t>
            </w:r>
          </w:p>
        </w:tc>
        <w:tc>
          <w:tcPr>
            <w:tcW w:w="1134" w:type="dxa"/>
          </w:tcPr>
          <w:p w14:paraId="5BF9E7F4" w14:textId="77777777" w:rsidR="00507E84" w:rsidRPr="00507E84" w:rsidRDefault="00507E84" w:rsidP="00507E84">
            <w:pPr>
              <w:autoSpaceDE w:val="0"/>
              <w:autoSpaceDN w:val="0"/>
              <w:adjustRightInd w:val="0"/>
              <w:jc w:val="right"/>
              <w:rPr>
                <w:rFonts w:ascii="Times New Roman" w:hAnsi="Times New Roman" w:cs="Times New Roman"/>
                <w:color w:val="000000"/>
                <w:lang w:eastAsia="sk-SK"/>
              </w:rPr>
            </w:pPr>
            <w:r w:rsidRPr="00507E84">
              <w:rPr>
                <w:rFonts w:ascii="Times New Roman" w:hAnsi="Times New Roman" w:cs="Times New Roman"/>
                <w:color w:val="000000"/>
                <w:lang w:eastAsia="sk-SK"/>
              </w:rPr>
              <w:t>1</w:t>
            </w:r>
          </w:p>
        </w:tc>
        <w:tc>
          <w:tcPr>
            <w:tcW w:w="1134" w:type="dxa"/>
          </w:tcPr>
          <w:p w14:paraId="1D4469DD" w14:textId="77777777" w:rsidR="00507E84" w:rsidRPr="00507E84" w:rsidRDefault="00507E84" w:rsidP="00507E84">
            <w:pPr>
              <w:autoSpaceDE w:val="0"/>
              <w:autoSpaceDN w:val="0"/>
              <w:adjustRightInd w:val="0"/>
              <w:jc w:val="right"/>
              <w:rPr>
                <w:rFonts w:ascii="Times New Roman" w:hAnsi="Times New Roman" w:cs="Times New Roman"/>
                <w:color w:val="000000"/>
                <w:lang w:eastAsia="sk-SK"/>
              </w:rPr>
            </w:pPr>
            <w:r w:rsidRPr="00507E84">
              <w:rPr>
                <w:rFonts w:ascii="Times New Roman" w:hAnsi="Times New Roman" w:cs="Times New Roman"/>
                <w:color w:val="000000"/>
                <w:lang w:eastAsia="sk-SK"/>
              </w:rPr>
              <w:t>1</w:t>
            </w:r>
          </w:p>
        </w:tc>
        <w:tc>
          <w:tcPr>
            <w:tcW w:w="1134" w:type="dxa"/>
          </w:tcPr>
          <w:p w14:paraId="649DFE2D" w14:textId="77777777" w:rsidR="00507E84" w:rsidRPr="00507E84" w:rsidRDefault="00507E84" w:rsidP="00507E84">
            <w:pPr>
              <w:autoSpaceDE w:val="0"/>
              <w:autoSpaceDN w:val="0"/>
              <w:adjustRightInd w:val="0"/>
              <w:jc w:val="right"/>
              <w:rPr>
                <w:rFonts w:ascii="Times New Roman" w:hAnsi="Times New Roman" w:cs="Times New Roman"/>
                <w:color w:val="000000"/>
                <w:lang w:eastAsia="sk-SK"/>
              </w:rPr>
            </w:pPr>
            <w:r w:rsidRPr="00507E84">
              <w:rPr>
                <w:rFonts w:ascii="Times New Roman" w:hAnsi="Times New Roman" w:cs="Times New Roman"/>
                <w:color w:val="000000"/>
                <w:lang w:eastAsia="sk-SK"/>
              </w:rPr>
              <w:t>1</w:t>
            </w:r>
          </w:p>
        </w:tc>
      </w:tr>
      <w:tr w:rsidR="00507E84" w:rsidRPr="00507E84" w14:paraId="010DF017" w14:textId="77777777" w:rsidTr="00507E84">
        <w:trPr>
          <w:trHeight w:val="70"/>
        </w:trPr>
        <w:tc>
          <w:tcPr>
            <w:tcW w:w="4530" w:type="dxa"/>
          </w:tcPr>
          <w:p w14:paraId="04C13629" w14:textId="77777777" w:rsidR="00507E84" w:rsidRPr="00507E84" w:rsidRDefault="00507E84" w:rsidP="00507E84">
            <w:pPr>
              <w:autoSpaceDE w:val="0"/>
              <w:autoSpaceDN w:val="0"/>
              <w:adjustRightInd w:val="0"/>
              <w:rPr>
                <w:rFonts w:ascii="Times New Roman" w:hAnsi="Times New Roman" w:cs="Times New Roman"/>
                <w:color w:val="000000"/>
                <w:lang w:eastAsia="sk-SK"/>
              </w:rPr>
            </w:pPr>
            <w:r w:rsidRPr="00507E84">
              <w:rPr>
                <w:rFonts w:ascii="Times New Roman" w:hAnsi="Times New Roman" w:cs="Times New Roman"/>
                <w:color w:val="000000"/>
                <w:lang w:eastAsia="sk-SK"/>
              </w:rPr>
              <w:t xml:space="preserve">Správny poplatok za </w:t>
            </w:r>
            <w:r w:rsidRPr="00507E84">
              <w:rPr>
                <w:rFonts w:ascii="Times New Roman" w:hAnsi="Times New Roman" w:cs="Times New Roman"/>
              </w:rPr>
              <w:t>podanie žiadosti o uznanie školiaceho strediska podľa § 52a zákona č. 452/2021 Z. z.</w:t>
            </w:r>
          </w:p>
        </w:tc>
        <w:tc>
          <w:tcPr>
            <w:tcW w:w="1134" w:type="dxa"/>
          </w:tcPr>
          <w:p w14:paraId="0347697D" w14:textId="77777777" w:rsidR="00507E84" w:rsidRPr="00507E84" w:rsidRDefault="00507E84" w:rsidP="00507E84">
            <w:pPr>
              <w:autoSpaceDE w:val="0"/>
              <w:autoSpaceDN w:val="0"/>
              <w:adjustRightInd w:val="0"/>
              <w:jc w:val="right"/>
              <w:rPr>
                <w:rFonts w:ascii="Times New Roman" w:hAnsi="Times New Roman" w:cs="Times New Roman"/>
                <w:color w:val="000000"/>
                <w:lang w:eastAsia="sk-SK"/>
              </w:rPr>
            </w:pPr>
            <w:r w:rsidRPr="00507E84">
              <w:rPr>
                <w:rFonts w:ascii="Times New Roman" w:hAnsi="Times New Roman" w:cs="Times New Roman"/>
                <w:color w:val="000000"/>
                <w:lang w:eastAsia="sk-SK"/>
              </w:rPr>
              <w:t>300</w:t>
            </w:r>
          </w:p>
        </w:tc>
        <w:tc>
          <w:tcPr>
            <w:tcW w:w="1134" w:type="dxa"/>
          </w:tcPr>
          <w:p w14:paraId="65A6826D" w14:textId="77777777" w:rsidR="00507E84" w:rsidRPr="00507E84" w:rsidRDefault="00507E84" w:rsidP="00507E84">
            <w:pPr>
              <w:autoSpaceDE w:val="0"/>
              <w:autoSpaceDN w:val="0"/>
              <w:adjustRightInd w:val="0"/>
              <w:jc w:val="right"/>
              <w:rPr>
                <w:rFonts w:ascii="Times New Roman" w:hAnsi="Times New Roman" w:cs="Times New Roman"/>
                <w:color w:val="000000"/>
                <w:lang w:eastAsia="sk-SK"/>
              </w:rPr>
            </w:pPr>
            <w:r w:rsidRPr="00507E84">
              <w:rPr>
                <w:rFonts w:ascii="Times New Roman" w:hAnsi="Times New Roman" w:cs="Times New Roman"/>
                <w:color w:val="000000"/>
                <w:lang w:eastAsia="sk-SK"/>
              </w:rPr>
              <w:t>300</w:t>
            </w:r>
          </w:p>
        </w:tc>
        <w:tc>
          <w:tcPr>
            <w:tcW w:w="1134" w:type="dxa"/>
          </w:tcPr>
          <w:p w14:paraId="3FE67B46" w14:textId="77777777" w:rsidR="00507E84" w:rsidRPr="00507E84" w:rsidRDefault="00507E84" w:rsidP="00507E84">
            <w:pPr>
              <w:autoSpaceDE w:val="0"/>
              <w:autoSpaceDN w:val="0"/>
              <w:adjustRightInd w:val="0"/>
              <w:jc w:val="right"/>
              <w:rPr>
                <w:rFonts w:ascii="Times New Roman" w:hAnsi="Times New Roman" w:cs="Times New Roman"/>
                <w:color w:val="000000"/>
                <w:lang w:eastAsia="sk-SK"/>
              </w:rPr>
            </w:pPr>
            <w:r w:rsidRPr="00507E84">
              <w:rPr>
                <w:rFonts w:ascii="Times New Roman" w:hAnsi="Times New Roman" w:cs="Times New Roman"/>
                <w:color w:val="000000"/>
                <w:lang w:eastAsia="sk-SK"/>
              </w:rPr>
              <w:t>300</w:t>
            </w:r>
          </w:p>
        </w:tc>
        <w:tc>
          <w:tcPr>
            <w:tcW w:w="1134" w:type="dxa"/>
          </w:tcPr>
          <w:p w14:paraId="0813F796" w14:textId="77777777" w:rsidR="00507E84" w:rsidRPr="00507E84" w:rsidRDefault="00507E84" w:rsidP="00507E84">
            <w:pPr>
              <w:autoSpaceDE w:val="0"/>
              <w:autoSpaceDN w:val="0"/>
              <w:adjustRightInd w:val="0"/>
              <w:jc w:val="right"/>
              <w:rPr>
                <w:rFonts w:ascii="Times New Roman" w:hAnsi="Times New Roman" w:cs="Times New Roman"/>
                <w:color w:val="000000"/>
                <w:lang w:eastAsia="sk-SK"/>
              </w:rPr>
            </w:pPr>
            <w:r w:rsidRPr="00507E84">
              <w:rPr>
                <w:rFonts w:ascii="Times New Roman" w:hAnsi="Times New Roman" w:cs="Times New Roman"/>
                <w:color w:val="000000"/>
                <w:lang w:eastAsia="sk-SK"/>
              </w:rPr>
              <w:t>300</w:t>
            </w:r>
          </w:p>
        </w:tc>
      </w:tr>
    </w:tbl>
    <w:p w14:paraId="0EC0577C" w14:textId="77777777" w:rsidR="00507E84" w:rsidRPr="00507E84" w:rsidRDefault="00507E84" w:rsidP="00507E84">
      <w:pPr>
        <w:rPr>
          <w:rFonts w:ascii="Times New Roman" w:hAnsi="Times New Roman" w:cs="Times New Roman"/>
          <w:highlight w:val="red"/>
          <w:lang w:eastAsia="sk-SK"/>
        </w:rPr>
      </w:pPr>
    </w:p>
    <w:p w14:paraId="03E8DB36" w14:textId="77777777" w:rsidR="00507E84" w:rsidRPr="00507E84" w:rsidRDefault="00507E84" w:rsidP="00507E84">
      <w:pPr>
        <w:rPr>
          <w:rFonts w:ascii="Times New Roman" w:hAnsi="Times New Roman" w:cs="Times New Roman"/>
          <w:highlight w:val="red"/>
          <w:lang w:eastAsia="sk-SK"/>
        </w:rPr>
      </w:pPr>
    </w:p>
    <w:p w14:paraId="172E5736"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lastRenderedPageBreak/>
        <w:t>2.2.4. Výpočty vplyvov na verejné financie</w:t>
      </w:r>
    </w:p>
    <w:p w14:paraId="67D4715E" w14:textId="77777777" w:rsidR="00507E84" w:rsidRPr="00507E84" w:rsidRDefault="00507E84" w:rsidP="00507E84">
      <w:pPr>
        <w:rPr>
          <w:rFonts w:ascii="Times New Roman" w:hAnsi="Times New Roman" w:cs="Times New Roman"/>
          <w:lang w:eastAsia="sk-SK"/>
        </w:rPr>
      </w:pPr>
    </w:p>
    <w:p w14:paraId="5C0E14ED" w14:textId="77777777" w:rsidR="00507E84" w:rsidRPr="008862CB" w:rsidRDefault="00507E84" w:rsidP="00507E84">
      <w:pPr>
        <w:jc w:val="both"/>
        <w:rPr>
          <w:rFonts w:ascii="Times New Roman" w:hAnsi="Times New Roman" w:cs="Times New Roman"/>
          <w:b/>
          <w:bCs/>
          <w:lang w:eastAsia="sk-SK"/>
        </w:rPr>
      </w:pPr>
      <w:r w:rsidRPr="008862CB">
        <w:rPr>
          <w:rFonts w:ascii="Times New Roman" w:hAnsi="Times New Roman" w:cs="Times New Roman"/>
          <w:b/>
          <w:bCs/>
          <w:lang w:eastAsia="sk-SK"/>
        </w:rPr>
        <w:t>Príjmy</w:t>
      </w:r>
    </w:p>
    <w:p w14:paraId="2345AE4D" w14:textId="77777777" w:rsidR="00507E84" w:rsidRPr="008862CB" w:rsidRDefault="00507E84" w:rsidP="00507E84">
      <w:pPr>
        <w:tabs>
          <w:tab w:val="num" w:pos="1080"/>
        </w:tabs>
        <w:jc w:val="both"/>
        <w:rPr>
          <w:rFonts w:ascii="Times New Roman" w:eastAsia="Calibri" w:hAnsi="Times New Roman" w:cs="Times New Roman"/>
          <w:bCs/>
          <w:color w:val="000000"/>
        </w:rPr>
      </w:pPr>
      <w:r w:rsidRPr="008862CB">
        <w:rPr>
          <w:rFonts w:ascii="Times New Roman" w:eastAsia="Calibri" w:hAnsi="Times New Roman" w:cs="Times New Roman"/>
          <w:bCs/>
          <w:color w:val="000000"/>
        </w:rPr>
        <w:t xml:space="preserve">V zmysle zákona č. 69/2018 o kybernetickej bezpečnosti je úrad oprávnený uložiť pokutu, ak PZS poruší svoje povinnosti, ktoré mu z tohto zákona vyplývajú. V roku 2022 vykonal úrad viacero kontrol plnenia zákonných povinností prevádzkovateľmi základnej služby. Úrad uložil pokutu dvom subjektom v celkovej výške 26 000 EUR. V roku 2023 bolo uložených 38 pokút v celkovej výške 28 300 EUR. Keďže výška pokút nerastie lineárne s počtom pokút, je možné výšku budúcich pokút, ktoré budú prijaté od nových subjektov, ktoré spadajú pod smernicu NIS2 len odhadnúť na o niečo viac ako 102 000 EUR ročne (viď aj doložka vplyvov na podnikateľské prostredie). </w:t>
      </w:r>
    </w:p>
    <w:p w14:paraId="433C9085" w14:textId="77777777" w:rsidR="00507E84" w:rsidRPr="008862CB" w:rsidRDefault="00507E84" w:rsidP="00507E84">
      <w:pPr>
        <w:widowControl w:val="0"/>
        <w:jc w:val="both"/>
        <w:rPr>
          <w:rFonts w:ascii="Times New Roman" w:eastAsia="Calibri" w:hAnsi="Times New Roman" w:cs="Times New Roman"/>
          <w:bCs/>
          <w:color w:val="000000"/>
        </w:rPr>
      </w:pPr>
    </w:p>
    <w:p w14:paraId="05812246" w14:textId="77777777" w:rsidR="00507E84" w:rsidRPr="008862CB" w:rsidRDefault="00507E84" w:rsidP="00507E84">
      <w:pPr>
        <w:tabs>
          <w:tab w:val="num" w:pos="1080"/>
        </w:tabs>
        <w:jc w:val="both"/>
        <w:rPr>
          <w:rFonts w:ascii="Times New Roman" w:hAnsi="Times New Roman" w:cs="Times New Roman"/>
          <w:bCs/>
          <w:highlight w:val="red"/>
          <w:lang w:eastAsia="sk-SK"/>
        </w:rPr>
      </w:pPr>
      <w:r w:rsidRPr="008862CB">
        <w:rPr>
          <w:rFonts w:ascii="Times New Roman" w:eastAsia="Calibri" w:hAnsi="Times New Roman" w:cs="Times New Roman"/>
          <w:bCs/>
          <w:color w:val="000000"/>
        </w:rPr>
        <w:t xml:space="preserve">Pokiaľ ide o príjmy týkajúce sa </w:t>
      </w:r>
      <w:r w:rsidRPr="008862CB">
        <w:rPr>
          <w:rFonts w:ascii="Times New Roman" w:hAnsi="Times New Roman" w:cs="Times New Roman"/>
        </w:rPr>
        <w:t xml:space="preserve">správneho poplatku za podanie žiadosti o uznanie školiaceho strediska podľa § 52a zákona č. 452/2021 Z. z. o elektronických komunikáciách v znení neskorších predpisov v sume 300 eur v novele zákona č. 145/1995 Z. z. o správnych poplatkoch v znení neskorších predpisov (čl. III), vychádzalo sa z odhadu možného počtu školiacich stredísk v nadväznosti na štatistiky o počte dopravných prostriedkov v rámci vodnej dopravy (celkovo 154 plavidiel), ktoré vykazuje Dopravný úrad a na základe toho stanovené dopytu po školiacich strediskách, ktorý je odhadovaný na 3 školiace strediská a následný možný maximálny nárast o jedno stredisko ročne. </w:t>
      </w:r>
    </w:p>
    <w:p w14:paraId="460C96BE" w14:textId="77777777" w:rsidR="00507E84" w:rsidRPr="008862CB" w:rsidRDefault="00507E84" w:rsidP="00507E84">
      <w:pPr>
        <w:tabs>
          <w:tab w:val="num" w:pos="1080"/>
        </w:tabs>
        <w:jc w:val="both"/>
        <w:rPr>
          <w:rFonts w:ascii="Times New Roman" w:hAnsi="Times New Roman" w:cs="Times New Roman"/>
          <w:bCs/>
          <w:lang w:eastAsia="sk-SK"/>
        </w:rPr>
      </w:pPr>
    </w:p>
    <w:p w14:paraId="6BFFE384" w14:textId="77777777" w:rsidR="00507E84" w:rsidRPr="008862CB" w:rsidRDefault="00507E84" w:rsidP="00507E84">
      <w:pPr>
        <w:tabs>
          <w:tab w:val="num" w:pos="1080"/>
        </w:tabs>
        <w:jc w:val="both"/>
        <w:rPr>
          <w:rFonts w:ascii="Times New Roman" w:hAnsi="Times New Roman" w:cs="Times New Roman"/>
          <w:b/>
          <w:lang w:eastAsia="sk-SK"/>
        </w:rPr>
      </w:pPr>
      <w:r w:rsidRPr="008862CB">
        <w:rPr>
          <w:rFonts w:ascii="Times New Roman" w:hAnsi="Times New Roman" w:cs="Times New Roman"/>
          <w:b/>
          <w:lang w:eastAsia="sk-SK"/>
        </w:rPr>
        <w:t>Výdavky</w:t>
      </w:r>
    </w:p>
    <w:p w14:paraId="52C83FC1" w14:textId="77777777" w:rsidR="00507E84" w:rsidRPr="008862CB" w:rsidRDefault="00507E84" w:rsidP="00507E84">
      <w:pPr>
        <w:tabs>
          <w:tab w:val="num" w:pos="1080"/>
        </w:tabs>
        <w:jc w:val="both"/>
        <w:rPr>
          <w:rFonts w:ascii="Times New Roman" w:hAnsi="Times New Roman" w:cs="Times New Roman"/>
        </w:rPr>
      </w:pPr>
      <w:r w:rsidRPr="008862CB">
        <w:rPr>
          <w:rFonts w:ascii="Times New Roman" w:hAnsi="Times New Roman" w:cs="Times New Roman"/>
          <w:bCs/>
          <w:lang w:eastAsia="sk-SK"/>
        </w:rPr>
        <w:t xml:space="preserve">Z hľadiska výdavkov  sa jedná o výdavky, ktoré sa </w:t>
      </w:r>
      <w:r w:rsidRPr="008862CB">
        <w:rPr>
          <w:rFonts w:ascii="Times New Roman" w:hAnsi="Times New Roman" w:cs="Times New Roman"/>
          <w:lang w:eastAsia="sk-SK"/>
        </w:rPr>
        <w:t>týkajú zabezpečenia povinností uvedených v návrhu zákona, ktorým sa mení a dopĺňa zákon č. 69/2018 Z. z. o kybernetickej bezpečnosti a o zmene a doplnení niektorých zákonov v znení neskorších predpisov a ktorým sa menia a dopĺňajú niektoré zákony, ktoré vyvolali potrebu úprav jednot</w:t>
      </w:r>
      <w:r w:rsidRPr="008862CB">
        <w:rPr>
          <w:rFonts w:ascii="Times New Roman" w:hAnsi="Times New Roman" w:cs="Times New Roman"/>
        </w:rPr>
        <w:t xml:space="preserve">ného informačného systému kybernetickej bezpečnosti. Úpravy informačného systému JISKB, sú realizované s cieľom lepšie slúžiť rastúcemu počtu regulovaných subjektov v regulovanom ekosystéme smernice NIS 2 v súlade so smernicou NIS2 a </w:t>
      </w:r>
      <w:r w:rsidRPr="008862CB">
        <w:rPr>
          <w:rFonts w:ascii="Times New Roman" w:hAnsi="Times New Roman" w:cs="Times New Roman"/>
          <w:lang w:eastAsia="sk-SK"/>
        </w:rPr>
        <w:t>zákonom, ktorým sa mení a dopĺňa zákon č. 69/2018 Z. z. o kybernetickej bezpečnosti a o zmene a doplnení niektorých zákonov v znení neskorších predpisov a ktorým sa menia a dopĺňajú niektoré zákony</w:t>
      </w:r>
      <w:r w:rsidRPr="008862CB">
        <w:rPr>
          <w:rFonts w:ascii="Times New Roman" w:hAnsi="Times New Roman" w:cs="Times New Roman"/>
        </w:rPr>
        <w:t>. Hlavné zmeny súvisia s vytvorením podmienok pre splnenie nových ustanovení zákona. Výška výdavkov bola stanovená v rámci projektu 101127928 - NIS2SK financovaného z Digital Europe Programme a odsúhlasená Európskou komisiou.</w:t>
      </w:r>
    </w:p>
    <w:p w14:paraId="6742B23E" w14:textId="77777777" w:rsidR="00507E84" w:rsidRPr="00507E84" w:rsidRDefault="00507E84" w:rsidP="00507E84">
      <w:pPr>
        <w:tabs>
          <w:tab w:val="num" w:pos="1080"/>
        </w:tabs>
        <w:jc w:val="both"/>
        <w:rPr>
          <w:rFonts w:ascii="Times New Roman" w:hAnsi="Times New Roman" w:cs="Times New Roman"/>
        </w:rPr>
      </w:pPr>
    </w:p>
    <w:p w14:paraId="04BCDA48" w14:textId="77777777" w:rsidR="00507E84" w:rsidRPr="00507E84" w:rsidRDefault="00507E84" w:rsidP="00507E84">
      <w:pPr>
        <w:tabs>
          <w:tab w:val="num" w:pos="1080"/>
        </w:tabs>
        <w:jc w:val="both"/>
        <w:rPr>
          <w:rFonts w:ascii="Times New Roman" w:hAnsi="Times New Roman" w:cs="Times New Roman"/>
          <w:bCs/>
          <w:lang w:eastAsia="sk-SK"/>
        </w:rPr>
      </w:pPr>
      <w:r w:rsidRPr="00507E84">
        <w:rPr>
          <w:rFonts w:ascii="Times New Roman" w:hAnsi="Times New Roman" w:cs="Times New Roman"/>
        </w:rPr>
        <w:t xml:space="preserve">Z hľadiska plnenia ostatných ustanovení zákona nepredpokladáme zvýšené výdavky v rámci rozpočtu verejnej správy, keďže subjekty verejnej správy vykonávajú plnenie povinnosti podľa v súčasnosti platného a účinného </w:t>
      </w:r>
      <w:r w:rsidRPr="00507E84">
        <w:rPr>
          <w:rFonts w:ascii="Times New Roman" w:hAnsi="Times New Roman" w:cs="Times New Roman"/>
          <w:lang w:eastAsia="sk-SK"/>
        </w:rPr>
        <w:t>zákona č. 69/2018 Z. z. a nové, resp. upravené povinnosti nevytvárajú predpoklad pre zvýšené nároky na rozpočet verejnej správy.</w:t>
      </w:r>
    </w:p>
    <w:p w14:paraId="5C0EA2E5" w14:textId="77777777" w:rsidR="00507E84" w:rsidRPr="00507E84" w:rsidRDefault="00507E84" w:rsidP="00507E84">
      <w:pPr>
        <w:pStyle w:val="TableParagraph"/>
        <w:ind w:left="151"/>
        <w:jc w:val="both"/>
        <w:rPr>
          <w:rFonts w:ascii="Times New Roman" w:hAnsi="Times New Roman" w:cs="Times New Roman"/>
        </w:rPr>
      </w:pPr>
    </w:p>
    <w:p w14:paraId="388C0182" w14:textId="77777777" w:rsidR="00507E84" w:rsidRPr="00507E84" w:rsidRDefault="00507E84" w:rsidP="00507E84">
      <w:pPr>
        <w:tabs>
          <w:tab w:val="num" w:pos="1080"/>
        </w:tabs>
        <w:jc w:val="both"/>
        <w:rPr>
          <w:rFonts w:ascii="Times New Roman" w:hAnsi="Times New Roman" w:cs="Times New Roman"/>
          <w:bCs/>
          <w:szCs w:val="20"/>
          <w:highlight w:val="red"/>
          <w:lang w:eastAsia="sk-SK"/>
        </w:rPr>
        <w:sectPr w:rsidR="00507E84" w:rsidRPr="00507E84" w:rsidSect="00507E84">
          <w:headerReference w:type="even" r:id="rId10"/>
          <w:footerReference w:type="even" r:id="rId11"/>
          <w:footerReference w:type="default" r:id="rId12"/>
          <w:headerReference w:type="first" r:id="rId13"/>
          <w:footerReference w:type="first" r:id="rId14"/>
          <w:pgSz w:w="11906" w:h="16838"/>
          <w:pgMar w:top="1417" w:right="1417" w:bottom="1276" w:left="1417" w:header="708" w:footer="708" w:gutter="0"/>
          <w:pgNumType w:start="1"/>
          <w:cols w:space="708"/>
          <w:docGrid w:linePitch="360"/>
        </w:sectPr>
      </w:pPr>
    </w:p>
    <w:p w14:paraId="6E22BBA7" w14:textId="77777777" w:rsidR="00507E84" w:rsidRPr="00507E84" w:rsidRDefault="00507E84" w:rsidP="00507E84">
      <w:pPr>
        <w:tabs>
          <w:tab w:val="num" w:pos="1080"/>
        </w:tabs>
        <w:jc w:val="center"/>
        <w:rPr>
          <w:rFonts w:ascii="Times New Roman" w:hAnsi="Times New Roman" w:cs="Times New Roman"/>
          <w:bCs/>
          <w:sz w:val="20"/>
          <w:szCs w:val="20"/>
          <w:lang w:eastAsia="sk-SK"/>
        </w:rPr>
      </w:pPr>
      <w:r w:rsidRPr="00507E84">
        <w:rPr>
          <w:rFonts w:ascii="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507E84" w:rsidRPr="00507E84" w14:paraId="0FE50898" w14:textId="77777777" w:rsidTr="00507E8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85F74B"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Príjmy (v eurách) -  celkom</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F6CDB60"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E28D7A1"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poznámka</w:t>
            </w:r>
          </w:p>
        </w:tc>
      </w:tr>
      <w:tr w:rsidR="00507E84" w:rsidRPr="00507E84" w14:paraId="0D2D6E43" w14:textId="77777777" w:rsidTr="00507E84">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60875F2C" w14:textId="77777777" w:rsidR="00507E84" w:rsidRPr="00507E84" w:rsidRDefault="00507E84" w:rsidP="00507E84">
            <w:pPr>
              <w:rPr>
                <w:rFonts w:ascii="Times New Roman" w:hAnsi="Times New Roman" w:cs="Times New Roman"/>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445AFE6A"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71DF03C5"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13A07F8D"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0F49F5C1"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2365A310" w14:textId="77777777" w:rsidR="00507E84" w:rsidRPr="00507E84" w:rsidRDefault="00507E84" w:rsidP="00507E84">
            <w:pPr>
              <w:rPr>
                <w:rFonts w:ascii="Times New Roman" w:hAnsi="Times New Roman" w:cs="Times New Roman"/>
                <w:b/>
                <w:bCs/>
                <w:color w:val="FFFFFF"/>
                <w:lang w:eastAsia="sk-SK"/>
              </w:rPr>
            </w:pPr>
          </w:p>
        </w:tc>
      </w:tr>
      <w:tr w:rsidR="00507E84" w:rsidRPr="00507E84" w14:paraId="31ECCAB8" w14:textId="77777777" w:rsidTr="00507E84">
        <w:trPr>
          <w:trHeight w:val="255"/>
        </w:trPr>
        <w:tc>
          <w:tcPr>
            <w:tcW w:w="4950" w:type="dxa"/>
            <w:tcBorders>
              <w:top w:val="nil"/>
              <w:left w:val="single" w:sz="4" w:space="0" w:color="auto"/>
              <w:bottom w:val="single" w:sz="4" w:space="0" w:color="auto"/>
              <w:right w:val="single" w:sz="4" w:space="0" w:color="auto"/>
            </w:tcBorders>
          </w:tcPr>
          <w:p w14:paraId="22EBC4D4" w14:textId="77777777" w:rsidR="00507E84" w:rsidRPr="00507E84" w:rsidRDefault="00507E84" w:rsidP="00507E84">
            <w:pPr>
              <w:rPr>
                <w:rFonts w:ascii="Times New Roman" w:hAnsi="Times New Roman" w:cs="Times New Roman"/>
                <w:b/>
                <w:bCs/>
                <w:vertAlign w:val="superscript"/>
                <w:lang w:eastAsia="sk-SK"/>
              </w:rPr>
            </w:pPr>
            <w:r w:rsidRPr="00507E84">
              <w:rPr>
                <w:rFonts w:ascii="Times New Roman" w:hAnsi="Times New Roman" w:cs="Times New Roman"/>
                <w:b/>
                <w:bCs/>
                <w:lang w:eastAsia="sk-SK"/>
              </w:rPr>
              <w:t>Daňové príjmy (100)</w:t>
            </w:r>
            <w:r w:rsidRPr="00507E84">
              <w:rPr>
                <w:rFonts w:ascii="Times New Roman" w:hAnsi="Times New Roman" w:cs="Times New Roman"/>
                <w:b/>
                <w:bCs/>
                <w:vertAlign w:val="superscript"/>
                <w:lang w:eastAsia="sk-SK"/>
              </w:rPr>
              <w:t>1</w:t>
            </w:r>
          </w:p>
        </w:tc>
        <w:tc>
          <w:tcPr>
            <w:tcW w:w="1500" w:type="dxa"/>
            <w:tcBorders>
              <w:top w:val="nil"/>
              <w:left w:val="nil"/>
              <w:bottom w:val="single" w:sz="4" w:space="0" w:color="auto"/>
              <w:right w:val="single" w:sz="4" w:space="0" w:color="auto"/>
            </w:tcBorders>
          </w:tcPr>
          <w:p w14:paraId="49EAAD3E"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tcPr>
          <w:p w14:paraId="4B04EE27"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tcPr>
          <w:p w14:paraId="173124B7"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tcPr>
          <w:p w14:paraId="535A2C16"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3000" w:type="dxa"/>
            <w:tcBorders>
              <w:top w:val="nil"/>
              <w:left w:val="nil"/>
              <w:bottom w:val="single" w:sz="4" w:space="0" w:color="auto"/>
              <w:right w:val="single" w:sz="4" w:space="0" w:color="auto"/>
            </w:tcBorders>
            <w:noWrap/>
            <w:vAlign w:val="bottom"/>
          </w:tcPr>
          <w:p w14:paraId="455A3D41"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7B234D88" w14:textId="77777777" w:rsidTr="00507E84">
        <w:trPr>
          <w:trHeight w:val="255"/>
        </w:trPr>
        <w:tc>
          <w:tcPr>
            <w:tcW w:w="4950" w:type="dxa"/>
            <w:tcBorders>
              <w:top w:val="nil"/>
              <w:left w:val="single" w:sz="4" w:space="0" w:color="auto"/>
              <w:bottom w:val="single" w:sz="4" w:space="0" w:color="auto"/>
              <w:right w:val="single" w:sz="4" w:space="0" w:color="auto"/>
            </w:tcBorders>
          </w:tcPr>
          <w:p w14:paraId="6429C218"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Nedaňové príjmy (200)</w:t>
            </w:r>
            <w:r w:rsidRPr="00507E84">
              <w:rPr>
                <w:rFonts w:ascii="Times New Roman" w:hAnsi="Times New Roman" w:cs="Times New Roman"/>
                <w:b/>
                <w:bCs/>
                <w:vertAlign w:val="superscript"/>
                <w:lang w:eastAsia="sk-SK"/>
              </w:rPr>
              <w:t xml:space="preserve">1 </w:t>
            </w:r>
            <w:r w:rsidRPr="00507E84">
              <w:rPr>
                <w:rFonts w:ascii="Times New Roman" w:hAnsi="Times New Roman" w:cs="Times New Roman"/>
                <w:lang w:eastAsia="sk-SK"/>
              </w:rPr>
              <w:t>222003</w:t>
            </w:r>
          </w:p>
        </w:tc>
        <w:tc>
          <w:tcPr>
            <w:tcW w:w="1500" w:type="dxa"/>
            <w:tcBorders>
              <w:top w:val="nil"/>
              <w:left w:val="nil"/>
              <w:bottom w:val="single" w:sz="4" w:space="0" w:color="auto"/>
              <w:right w:val="single" w:sz="4" w:space="0" w:color="auto"/>
            </w:tcBorders>
          </w:tcPr>
          <w:p w14:paraId="3107F6F9"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102 990</w:t>
            </w:r>
          </w:p>
        </w:tc>
        <w:tc>
          <w:tcPr>
            <w:tcW w:w="1500" w:type="dxa"/>
            <w:tcBorders>
              <w:top w:val="nil"/>
              <w:left w:val="nil"/>
              <w:bottom w:val="single" w:sz="4" w:space="0" w:color="auto"/>
              <w:right w:val="single" w:sz="4" w:space="0" w:color="auto"/>
            </w:tcBorders>
          </w:tcPr>
          <w:p w14:paraId="199A89A6"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102 390</w:t>
            </w:r>
          </w:p>
        </w:tc>
        <w:tc>
          <w:tcPr>
            <w:tcW w:w="1500" w:type="dxa"/>
            <w:tcBorders>
              <w:top w:val="nil"/>
              <w:left w:val="nil"/>
              <w:bottom w:val="single" w:sz="4" w:space="0" w:color="auto"/>
              <w:right w:val="single" w:sz="4" w:space="0" w:color="auto"/>
            </w:tcBorders>
          </w:tcPr>
          <w:p w14:paraId="589F5AF4"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102 390</w:t>
            </w:r>
          </w:p>
        </w:tc>
        <w:tc>
          <w:tcPr>
            <w:tcW w:w="1500" w:type="dxa"/>
            <w:tcBorders>
              <w:top w:val="nil"/>
              <w:left w:val="nil"/>
              <w:bottom w:val="single" w:sz="4" w:space="0" w:color="auto"/>
              <w:right w:val="single" w:sz="4" w:space="0" w:color="auto"/>
            </w:tcBorders>
          </w:tcPr>
          <w:p w14:paraId="74711E93"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102 390</w:t>
            </w:r>
          </w:p>
        </w:tc>
        <w:tc>
          <w:tcPr>
            <w:tcW w:w="3000" w:type="dxa"/>
            <w:tcBorders>
              <w:top w:val="nil"/>
              <w:left w:val="nil"/>
              <w:bottom w:val="single" w:sz="4" w:space="0" w:color="auto"/>
              <w:right w:val="single" w:sz="4" w:space="0" w:color="auto"/>
            </w:tcBorders>
            <w:noWrap/>
            <w:vAlign w:val="bottom"/>
          </w:tcPr>
          <w:p w14:paraId="32AEE8BC"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3DC181B5" w14:textId="77777777" w:rsidTr="00507E84">
        <w:trPr>
          <w:trHeight w:val="255"/>
        </w:trPr>
        <w:tc>
          <w:tcPr>
            <w:tcW w:w="4950" w:type="dxa"/>
            <w:tcBorders>
              <w:top w:val="nil"/>
              <w:left w:val="single" w:sz="4" w:space="0" w:color="auto"/>
              <w:bottom w:val="single" w:sz="4" w:space="0" w:color="auto"/>
              <w:right w:val="single" w:sz="4" w:space="0" w:color="auto"/>
            </w:tcBorders>
          </w:tcPr>
          <w:p w14:paraId="1462676D"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Granty a transfery (300)</w:t>
            </w:r>
            <w:r w:rsidRPr="00507E84">
              <w:rPr>
                <w:rFonts w:ascii="Times New Roman" w:hAnsi="Times New Roman" w:cs="Times New Roman"/>
                <w:b/>
                <w:bCs/>
                <w:vertAlign w:val="superscript"/>
                <w:lang w:eastAsia="sk-SK"/>
              </w:rPr>
              <w:t xml:space="preserve">1 </w:t>
            </w:r>
            <w:r w:rsidRPr="00507E84">
              <w:rPr>
                <w:rFonts w:ascii="Times New Roman" w:hAnsi="Times New Roman" w:cs="Times New Roman"/>
                <w:lang w:eastAsia="sk-SK"/>
              </w:rPr>
              <w:t>341</w:t>
            </w:r>
          </w:p>
        </w:tc>
        <w:tc>
          <w:tcPr>
            <w:tcW w:w="1500" w:type="dxa"/>
            <w:tcBorders>
              <w:top w:val="nil"/>
              <w:left w:val="nil"/>
              <w:bottom w:val="single" w:sz="4" w:space="0" w:color="auto"/>
              <w:right w:val="single" w:sz="4" w:space="0" w:color="auto"/>
            </w:tcBorders>
          </w:tcPr>
          <w:p w14:paraId="1E266E62"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335 000</w:t>
            </w:r>
          </w:p>
        </w:tc>
        <w:tc>
          <w:tcPr>
            <w:tcW w:w="1500" w:type="dxa"/>
            <w:tcBorders>
              <w:top w:val="nil"/>
              <w:left w:val="nil"/>
              <w:bottom w:val="single" w:sz="4" w:space="0" w:color="auto"/>
              <w:right w:val="single" w:sz="4" w:space="0" w:color="auto"/>
            </w:tcBorders>
          </w:tcPr>
          <w:p w14:paraId="43655867"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167 900</w:t>
            </w:r>
          </w:p>
        </w:tc>
        <w:tc>
          <w:tcPr>
            <w:tcW w:w="1500" w:type="dxa"/>
            <w:tcBorders>
              <w:top w:val="nil"/>
              <w:left w:val="nil"/>
              <w:bottom w:val="single" w:sz="4" w:space="0" w:color="auto"/>
              <w:right w:val="single" w:sz="4" w:space="0" w:color="auto"/>
            </w:tcBorders>
          </w:tcPr>
          <w:p w14:paraId="21FD471B"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tcPr>
          <w:p w14:paraId="0C9D8890"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3000" w:type="dxa"/>
            <w:tcBorders>
              <w:top w:val="nil"/>
              <w:left w:val="nil"/>
              <w:bottom w:val="single" w:sz="4" w:space="0" w:color="auto"/>
              <w:right w:val="single" w:sz="4" w:space="0" w:color="auto"/>
            </w:tcBorders>
            <w:noWrap/>
            <w:vAlign w:val="bottom"/>
          </w:tcPr>
          <w:p w14:paraId="128CC72B"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14962397" w14:textId="77777777" w:rsidTr="00507E84">
        <w:trPr>
          <w:trHeight w:val="255"/>
        </w:trPr>
        <w:tc>
          <w:tcPr>
            <w:tcW w:w="4950" w:type="dxa"/>
            <w:tcBorders>
              <w:top w:val="nil"/>
              <w:left w:val="single" w:sz="4" w:space="0" w:color="auto"/>
              <w:bottom w:val="single" w:sz="4" w:space="0" w:color="auto"/>
              <w:right w:val="single" w:sz="4" w:space="0" w:color="auto"/>
            </w:tcBorders>
          </w:tcPr>
          <w:p w14:paraId="4399C25D"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7CC239CE"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423093BD"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5CA095E5"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17A36309"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3000" w:type="dxa"/>
            <w:tcBorders>
              <w:top w:val="nil"/>
              <w:left w:val="nil"/>
              <w:bottom w:val="single" w:sz="4" w:space="0" w:color="auto"/>
              <w:right w:val="single" w:sz="4" w:space="0" w:color="auto"/>
            </w:tcBorders>
            <w:noWrap/>
            <w:vAlign w:val="bottom"/>
          </w:tcPr>
          <w:p w14:paraId="721B18DF"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40ED6AAF" w14:textId="77777777" w:rsidTr="00507E84">
        <w:trPr>
          <w:trHeight w:val="255"/>
        </w:trPr>
        <w:tc>
          <w:tcPr>
            <w:tcW w:w="4950" w:type="dxa"/>
            <w:tcBorders>
              <w:top w:val="nil"/>
              <w:left w:val="single" w:sz="4" w:space="0" w:color="auto"/>
              <w:bottom w:val="single" w:sz="4" w:space="0" w:color="auto"/>
              <w:right w:val="single" w:sz="4" w:space="0" w:color="auto"/>
            </w:tcBorders>
          </w:tcPr>
          <w:p w14:paraId="5EE02601"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581EDF82"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337174B0"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22966472"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7E984174"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3000" w:type="dxa"/>
            <w:tcBorders>
              <w:top w:val="nil"/>
              <w:left w:val="nil"/>
              <w:bottom w:val="single" w:sz="4" w:space="0" w:color="auto"/>
              <w:right w:val="single" w:sz="4" w:space="0" w:color="auto"/>
            </w:tcBorders>
            <w:noWrap/>
            <w:vAlign w:val="bottom"/>
          </w:tcPr>
          <w:p w14:paraId="3213E964"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7418A916" w14:textId="77777777" w:rsidTr="00507E84">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6F228EBE"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1BCB00B1"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437 990</w:t>
            </w:r>
          </w:p>
        </w:tc>
        <w:tc>
          <w:tcPr>
            <w:tcW w:w="1500" w:type="dxa"/>
            <w:tcBorders>
              <w:top w:val="nil"/>
              <w:left w:val="nil"/>
              <w:bottom w:val="single" w:sz="4" w:space="0" w:color="auto"/>
              <w:right w:val="single" w:sz="4" w:space="0" w:color="auto"/>
            </w:tcBorders>
            <w:shd w:val="clear" w:color="auto" w:fill="BFBFBF" w:themeFill="background1" w:themeFillShade="BF"/>
          </w:tcPr>
          <w:p w14:paraId="55E64EE8"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iCs/>
                <w:lang w:eastAsia="sk-SK"/>
              </w:rPr>
              <w:t>270 290</w:t>
            </w:r>
          </w:p>
        </w:tc>
        <w:tc>
          <w:tcPr>
            <w:tcW w:w="1500" w:type="dxa"/>
            <w:tcBorders>
              <w:top w:val="nil"/>
              <w:left w:val="nil"/>
              <w:bottom w:val="single" w:sz="4" w:space="0" w:color="auto"/>
              <w:right w:val="single" w:sz="4" w:space="0" w:color="auto"/>
            </w:tcBorders>
            <w:shd w:val="clear" w:color="auto" w:fill="BFBFBF" w:themeFill="background1" w:themeFillShade="BF"/>
          </w:tcPr>
          <w:p w14:paraId="7F6DF47E"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iCs/>
                <w:lang w:eastAsia="sk-SK"/>
              </w:rPr>
              <w:t>102 390</w:t>
            </w:r>
          </w:p>
        </w:tc>
        <w:tc>
          <w:tcPr>
            <w:tcW w:w="1500" w:type="dxa"/>
            <w:tcBorders>
              <w:top w:val="nil"/>
              <w:left w:val="nil"/>
              <w:bottom w:val="single" w:sz="4" w:space="0" w:color="auto"/>
              <w:right w:val="single" w:sz="4" w:space="0" w:color="auto"/>
            </w:tcBorders>
            <w:shd w:val="clear" w:color="auto" w:fill="BFBFBF" w:themeFill="background1" w:themeFillShade="BF"/>
          </w:tcPr>
          <w:p w14:paraId="38497A4A"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iCs/>
                <w:lang w:eastAsia="sk-SK"/>
              </w:rPr>
              <w:t>102 390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75E52DBD"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776152A2" w14:textId="77777777" w:rsidTr="00507E8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1BB3E4"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Príjmy (v eurách) - NBÚ</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4ED11841"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69C5B24"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poznámka</w:t>
            </w:r>
          </w:p>
        </w:tc>
      </w:tr>
      <w:tr w:rsidR="00507E84" w:rsidRPr="00507E84" w14:paraId="0C59BF1E" w14:textId="77777777" w:rsidTr="00507E84">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6BAC19E5" w14:textId="77777777" w:rsidR="00507E84" w:rsidRPr="00507E84" w:rsidRDefault="00507E84" w:rsidP="00507E84">
            <w:pPr>
              <w:rPr>
                <w:rFonts w:ascii="Times New Roman" w:hAnsi="Times New Roman" w:cs="Times New Roman"/>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446A4893"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3C6EF5E9"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07DCC291"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3B20DCC3"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76C2057F" w14:textId="77777777" w:rsidR="00507E84" w:rsidRPr="00507E84" w:rsidRDefault="00507E84" w:rsidP="00507E84">
            <w:pPr>
              <w:rPr>
                <w:rFonts w:ascii="Times New Roman" w:hAnsi="Times New Roman" w:cs="Times New Roman"/>
                <w:b/>
                <w:bCs/>
                <w:color w:val="FFFFFF"/>
                <w:lang w:eastAsia="sk-SK"/>
              </w:rPr>
            </w:pPr>
          </w:p>
        </w:tc>
      </w:tr>
      <w:tr w:rsidR="00507E84" w:rsidRPr="00507E84" w14:paraId="10D37FD1" w14:textId="77777777" w:rsidTr="00507E84">
        <w:trPr>
          <w:trHeight w:val="255"/>
        </w:trPr>
        <w:tc>
          <w:tcPr>
            <w:tcW w:w="4950" w:type="dxa"/>
            <w:tcBorders>
              <w:top w:val="nil"/>
              <w:left w:val="single" w:sz="4" w:space="0" w:color="auto"/>
              <w:bottom w:val="single" w:sz="4" w:space="0" w:color="auto"/>
              <w:right w:val="single" w:sz="4" w:space="0" w:color="auto"/>
            </w:tcBorders>
          </w:tcPr>
          <w:p w14:paraId="6A059D9D" w14:textId="77777777" w:rsidR="00507E84" w:rsidRPr="00507E84" w:rsidRDefault="00507E84" w:rsidP="00507E84">
            <w:pPr>
              <w:rPr>
                <w:rFonts w:ascii="Times New Roman" w:hAnsi="Times New Roman" w:cs="Times New Roman"/>
                <w:b/>
                <w:bCs/>
                <w:vertAlign w:val="superscript"/>
                <w:lang w:eastAsia="sk-SK"/>
              </w:rPr>
            </w:pPr>
            <w:r w:rsidRPr="00507E84">
              <w:rPr>
                <w:rFonts w:ascii="Times New Roman" w:hAnsi="Times New Roman" w:cs="Times New Roman"/>
                <w:b/>
                <w:bCs/>
                <w:lang w:eastAsia="sk-SK"/>
              </w:rPr>
              <w:t>Daňové príjmy (100)</w:t>
            </w:r>
            <w:r w:rsidRPr="00507E84">
              <w:rPr>
                <w:rFonts w:ascii="Times New Roman" w:hAnsi="Times New Roman" w:cs="Times New Roman"/>
                <w:b/>
                <w:bCs/>
                <w:vertAlign w:val="superscript"/>
                <w:lang w:eastAsia="sk-SK"/>
              </w:rPr>
              <w:t>1</w:t>
            </w:r>
          </w:p>
        </w:tc>
        <w:tc>
          <w:tcPr>
            <w:tcW w:w="1500" w:type="dxa"/>
            <w:tcBorders>
              <w:top w:val="nil"/>
              <w:left w:val="nil"/>
              <w:bottom w:val="single" w:sz="4" w:space="0" w:color="auto"/>
              <w:right w:val="single" w:sz="4" w:space="0" w:color="auto"/>
            </w:tcBorders>
          </w:tcPr>
          <w:p w14:paraId="747C8751"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tcPr>
          <w:p w14:paraId="68603538"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tcPr>
          <w:p w14:paraId="4DE69CDB"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tcPr>
          <w:p w14:paraId="231C4C89"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3000" w:type="dxa"/>
            <w:tcBorders>
              <w:top w:val="nil"/>
              <w:left w:val="nil"/>
              <w:bottom w:val="single" w:sz="4" w:space="0" w:color="auto"/>
              <w:right w:val="single" w:sz="4" w:space="0" w:color="auto"/>
            </w:tcBorders>
            <w:noWrap/>
            <w:vAlign w:val="bottom"/>
          </w:tcPr>
          <w:p w14:paraId="0FB0E87B"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5B3CC0B2" w14:textId="77777777" w:rsidTr="00507E84">
        <w:trPr>
          <w:trHeight w:val="255"/>
        </w:trPr>
        <w:tc>
          <w:tcPr>
            <w:tcW w:w="4950" w:type="dxa"/>
            <w:tcBorders>
              <w:top w:val="nil"/>
              <w:left w:val="single" w:sz="4" w:space="0" w:color="auto"/>
              <w:bottom w:val="single" w:sz="4" w:space="0" w:color="auto"/>
              <w:right w:val="single" w:sz="4" w:space="0" w:color="auto"/>
            </w:tcBorders>
          </w:tcPr>
          <w:p w14:paraId="1CDB3332"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Nedaňové príjmy (200)</w:t>
            </w:r>
            <w:r w:rsidRPr="00507E84">
              <w:rPr>
                <w:rFonts w:ascii="Times New Roman" w:hAnsi="Times New Roman" w:cs="Times New Roman"/>
                <w:b/>
                <w:bCs/>
                <w:vertAlign w:val="superscript"/>
                <w:lang w:eastAsia="sk-SK"/>
              </w:rPr>
              <w:t xml:space="preserve">1 </w:t>
            </w:r>
            <w:r w:rsidRPr="00507E84">
              <w:rPr>
                <w:rFonts w:ascii="Times New Roman" w:hAnsi="Times New Roman" w:cs="Times New Roman"/>
                <w:lang w:eastAsia="sk-SK"/>
              </w:rPr>
              <w:t>222003</w:t>
            </w:r>
          </w:p>
        </w:tc>
        <w:tc>
          <w:tcPr>
            <w:tcW w:w="1500" w:type="dxa"/>
            <w:tcBorders>
              <w:top w:val="nil"/>
              <w:left w:val="nil"/>
              <w:bottom w:val="single" w:sz="4" w:space="0" w:color="auto"/>
              <w:right w:val="single" w:sz="4" w:space="0" w:color="auto"/>
            </w:tcBorders>
          </w:tcPr>
          <w:p w14:paraId="2047B678"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102 090</w:t>
            </w:r>
          </w:p>
        </w:tc>
        <w:tc>
          <w:tcPr>
            <w:tcW w:w="1500" w:type="dxa"/>
            <w:tcBorders>
              <w:top w:val="nil"/>
              <w:left w:val="nil"/>
              <w:bottom w:val="single" w:sz="4" w:space="0" w:color="auto"/>
              <w:right w:val="single" w:sz="4" w:space="0" w:color="auto"/>
            </w:tcBorders>
          </w:tcPr>
          <w:p w14:paraId="7A2FE0FF"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102 090</w:t>
            </w:r>
          </w:p>
        </w:tc>
        <w:tc>
          <w:tcPr>
            <w:tcW w:w="1500" w:type="dxa"/>
            <w:tcBorders>
              <w:top w:val="nil"/>
              <w:left w:val="nil"/>
              <w:bottom w:val="single" w:sz="4" w:space="0" w:color="auto"/>
              <w:right w:val="single" w:sz="4" w:space="0" w:color="auto"/>
            </w:tcBorders>
          </w:tcPr>
          <w:p w14:paraId="19D79AD0"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102 090</w:t>
            </w:r>
          </w:p>
        </w:tc>
        <w:tc>
          <w:tcPr>
            <w:tcW w:w="1500" w:type="dxa"/>
            <w:tcBorders>
              <w:top w:val="nil"/>
              <w:left w:val="nil"/>
              <w:bottom w:val="single" w:sz="4" w:space="0" w:color="auto"/>
              <w:right w:val="single" w:sz="4" w:space="0" w:color="auto"/>
            </w:tcBorders>
          </w:tcPr>
          <w:p w14:paraId="7F5AE0EB"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102 090</w:t>
            </w:r>
          </w:p>
        </w:tc>
        <w:tc>
          <w:tcPr>
            <w:tcW w:w="3000" w:type="dxa"/>
            <w:tcBorders>
              <w:top w:val="nil"/>
              <w:left w:val="nil"/>
              <w:bottom w:val="single" w:sz="4" w:space="0" w:color="auto"/>
              <w:right w:val="single" w:sz="4" w:space="0" w:color="auto"/>
            </w:tcBorders>
            <w:noWrap/>
            <w:vAlign w:val="bottom"/>
          </w:tcPr>
          <w:p w14:paraId="5C73A2E3"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0EACC4F0" w14:textId="77777777" w:rsidTr="00507E84">
        <w:trPr>
          <w:trHeight w:val="255"/>
        </w:trPr>
        <w:tc>
          <w:tcPr>
            <w:tcW w:w="4950" w:type="dxa"/>
            <w:tcBorders>
              <w:top w:val="nil"/>
              <w:left w:val="single" w:sz="4" w:space="0" w:color="auto"/>
              <w:bottom w:val="single" w:sz="4" w:space="0" w:color="auto"/>
              <w:right w:val="single" w:sz="4" w:space="0" w:color="auto"/>
            </w:tcBorders>
          </w:tcPr>
          <w:p w14:paraId="44B94B86"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Granty a transfery (300)</w:t>
            </w:r>
            <w:r w:rsidRPr="00507E84">
              <w:rPr>
                <w:rFonts w:ascii="Times New Roman" w:hAnsi="Times New Roman" w:cs="Times New Roman"/>
                <w:b/>
                <w:bCs/>
                <w:vertAlign w:val="superscript"/>
                <w:lang w:eastAsia="sk-SK"/>
              </w:rPr>
              <w:t xml:space="preserve">1 </w:t>
            </w:r>
            <w:r w:rsidRPr="00507E84">
              <w:rPr>
                <w:rFonts w:ascii="Times New Roman" w:hAnsi="Times New Roman" w:cs="Times New Roman"/>
                <w:lang w:eastAsia="sk-SK"/>
              </w:rPr>
              <w:t>341</w:t>
            </w:r>
          </w:p>
        </w:tc>
        <w:tc>
          <w:tcPr>
            <w:tcW w:w="1500" w:type="dxa"/>
            <w:tcBorders>
              <w:top w:val="nil"/>
              <w:left w:val="nil"/>
              <w:bottom w:val="single" w:sz="4" w:space="0" w:color="auto"/>
              <w:right w:val="single" w:sz="4" w:space="0" w:color="auto"/>
            </w:tcBorders>
          </w:tcPr>
          <w:p w14:paraId="13932BE0"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335 000</w:t>
            </w:r>
          </w:p>
        </w:tc>
        <w:tc>
          <w:tcPr>
            <w:tcW w:w="1500" w:type="dxa"/>
            <w:tcBorders>
              <w:top w:val="nil"/>
              <w:left w:val="nil"/>
              <w:bottom w:val="single" w:sz="4" w:space="0" w:color="auto"/>
              <w:right w:val="single" w:sz="4" w:space="0" w:color="auto"/>
            </w:tcBorders>
          </w:tcPr>
          <w:p w14:paraId="1006DBD6"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167 900</w:t>
            </w:r>
          </w:p>
        </w:tc>
        <w:tc>
          <w:tcPr>
            <w:tcW w:w="1500" w:type="dxa"/>
            <w:tcBorders>
              <w:top w:val="nil"/>
              <w:left w:val="nil"/>
              <w:bottom w:val="single" w:sz="4" w:space="0" w:color="auto"/>
              <w:right w:val="single" w:sz="4" w:space="0" w:color="auto"/>
            </w:tcBorders>
          </w:tcPr>
          <w:p w14:paraId="722C61B4"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tcPr>
          <w:p w14:paraId="2BAD22BD"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3000" w:type="dxa"/>
            <w:tcBorders>
              <w:top w:val="nil"/>
              <w:left w:val="nil"/>
              <w:bottom w:val="single" w:sz="4" w:space="0" w:color="auto"/>
              <w:right w:val="single" w:sz="4" w:space="0" w:color="auto"/>
            </w:tcBorders>
            <w:noWrap/>
            <w:vAlign w:val="bottom"/>
          </w:tcPr>
          <w:p w14:paraId="2C1A7950"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4D485AF1" w14:textId="77777777" w:rsidTr="00507E84">
        <w:trPr>
          <w:trHeight w:val="255"/>
        </w:trPr>
        <w:tc>
          <w:tcPr>
            <w:tcW w:w="4950" w:type="dxa"/>
            <w:tcBorders>
              <w:top w:val="nil"/>
              <w:left w:val="single" w:sz="4" w:space="0" w:color="auto"/>
              <w:bottom w:val="single" w:sz="4" w:space="0" w:color="auto"/>
              <w:right w:val="single" w:sz="4" w:space="0" w:color="auto"/>
            </w:tcBorders>
          </w:tcPr>
          <w:p w14:paraId="150BDA9F"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02CEB86B"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4F858C41"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516279F9"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49EE2690"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3000" w:type="dxa"/>
            <w:tcBorders>
              <w:top w:val="nil"/>
              <w:left w:val="nil"/>
              <w:bottom w:val="single" w:sz="4" w:space="0" w:color="auto"/>
              <w:right w:val="single" w:sz="4" w:space="0" w:color="auto"/>
            </w:tcBorders>
            <w:noWrap/>
            <w:vAlign w:val="bottom"/>
          </w:tcPr>
          <w:p w14:paraId="504A4BBC"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00D1871B" w14:textId="77777777" w:rsidTr="00507E84">
        <w:trPr>
          <w:trHeight w:val="255"/>
        </w:trPr>
        <w:tc>
          <w:tcPr>
            <w:tcW w:w="4950" w:type="dxa"/>
            <w:tcBorders>
              <w:top w:val="nil"/>
              <w:left w:val="single" w:sz="4" w:space="0" w:color="auto"/>
              <w:bottom w:val="single" w:sz="4" w:space="0" w:color="auto"/>
              <w:right w:val="single" w:sz="4" w:space="0" w:color="auto"/>
            </w:tcBorders>
          </w:tcPr>
          <w:p w14:paraId="6BD59BC0"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7CC50A89"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2E32184A"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52DAA5B9"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2914980E"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3000" w:type="dxa"/>
            <w:tcBorders>
              <w:top w:val="nil"/>
              <w:left w:val="nil"/>
              <w:bottom w:val="single" w:sz="4" w:space="0" w:color="auto"/>
              <w:right w:val="single" w:sz="4" w:space="0" w:color="auto"/>
            </w:tcBorders>
            <w:noWrap/>
            <w:vAlign w:val="bottom"/>
          </w:tcPr>
          <w:p w14:paraId="161A0F81"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79DF4E76" w14:textId="77777777" w:rsidTr="00507E84">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0138D5FA"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7C759004"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437 090</w:t>
            </w:r>
          </w:p>
        </w:tc>
        <w:tc>
          <w:tcPr>
            <w:tcW w:w="1500" w:type="dxa"/>
            <w:tcBorders>
              <w:top w:val="nil"/>
              <w:left w:val="nil"/>
              <w:bottom w:val="single" w:sz="4" w:space="0" w:color="auto"/>
              <w:right w:val="single" w:sz="4" w:space="0" w:color="auto"/>
            </w:tcBorders>
            <w:shd w:val="clear" w:color="auto" w:fill="BFBFBF" w:themeFill="background1" w:themeFillShade="BF"/>
          </w:tcPr>
          <w:p w14:paraId="4522D7A2"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269 990</w:t>
            </w:r>
          </w:p>
        </w:tc>
        <w:tc>
          <w:tcPr>
            <w:tcW w:w="1500" w:type="dxa"/>
            <w:tcBorders>
              <w:top w:val="nil"/>
              <w:left w:val="nil"/>
              <w:bottom w:val="single" w:sz="4" w:space="0" w:color="auto"/>
              <w:right w:val="single" w:sz="4" w:space="0" w:color="auto"/>
            </w:tcBorders>
            <w:shd w:val="clear" w:color="auto" w:fill="BFBFBF" w:themeFill="background1" w:themeFillShade="BF"/>
          </w:tcPr>
          <w:p w14:paraId="64B73BD7"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102 090</w:t>
            </w:r>
          </w:p>
        </w:tc>
        <w:tc>
          <w:tcPr>
            <w:tcW w:w="1500" w:type="dxa"/>
            <w:tcBorders>
              <w:top w:val="nil"/>
              <w:left w:val="nil"/>
              <w:bottom w:val="single" w:sz="4" w:space="0" w:color="auto"/>
              <w:right w:val="single" w:sz="4" w:space="0" w:color="auto"/>
            </w:tcBorders>
            <w:shd w:val="clear" w:color="auto" w:fill="BFBFBF" w:themeFill="background1" w:themeFillShade="BF"/>
          </w:tcPr>
          <w:p w14:paraId="647F86B6"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102 090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0B5FEBA2"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5E4975A9" w14:textId="77777777" w:rsidTr="00507E8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D1EFF2"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 xml:space="preserve">Príjmy (v eurách) – </w:t>
            </w:r>
            <w:r w:rsidRPr="00507E84">
              <w:rPr>
                <w:rFonts w:ascii="Times New Roman" w:hAnsi="Times New Roman" w:cs="Times New Roman"/>
              </w:rPr>
              <w:t xml:space="preserve"> </w:t>
            </w:r>
            <w:r w:rsidRPr="00507E84">
              <w:rPr>
                <w:rFonts w:ascii="Times New Roman" w:hAnsi="Times New Roman" w:cs="Times New Roman"/>
                <w:b/>
                <w:bCs/>
              </w:rPr>
              <w:t>Všeobecná pokladničná správa</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EEEB9C2"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7590CB5"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poznámka</w:t>
            </w:r>
          </w:p>
        </w:tc>
      </w:tr>
      <w:tr w:rsidR="00507E84" w:rsidRPr="00507E84" w14:paraId="5998F5B4" w14:textId="77777777" w:rsidTr="00507E84">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4333C28A" w14:textId="77777777" w:rsidR="00507E84" w:rsidRPr="00507E84" w:rsidRDefault="00507E84" w:rsidP="00507E84">
            <w:pPr>
              <w:rPr>
                <w:rFonts w:ascii="Times New Roman" w:hAnsi="Times New Roman" w:cs="Times New Roman"/>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33BB026C"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2858BE5B"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6F8B69B8"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5263AEAE"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55312659" w14:textId="77777777" w:rsidR="00507E84" w:rsidRPr="00507E84" w:rsidRDefault="00507E84" w:rsidP="00507E84">
            <w:pPr>
              <w:rPr>
                <w:rFonts w:ascii="Times New Roman" w:hAnsi="Times New Roman" w:cs="Times New Roman"/>
                <w:b/>
                <w:bCs/>
                <w:color w:val="FFFFFF"/>
                <w:lang w:eastAsia="sk-SK"/>
              </w:rPr>
            </w:pPr>
          </w:p>
        </w:tc>
      </w:tr>
      <w:tr w:rsidR="00507E84" w:rsidRPr="00507E84" w14:paraId="6D4D96E8" w14:textId="77777777" w:rsidTr="00507E84">
        <w:trPr>
          <w:trHeight w:val="255"/>
        </w:trPr>
        <w:tc>
          <w:tcPr>
            <w:tcW w:w="4950" w:type="dxa"/>
            <w:tcBorders>
              <w:top w:val="nil"/>
              <w:left w:val="single" w:sz="4" w:space="0" w:color="auto"/>
              <w:bottom w:val="single" w:sz="4" w:space="0" w:color="auto"/>
              <w:right w:val="single" w:sz="4" w:space="0" w:color="auto"/>
            </w:tcBorders>
          </w:tcPr>
          <w:p w14:paraId="5C16DE45" w14:textId="77777777" w:rsidR="00507E84" w:rsidRPr="00507E84" w:rsidRDefault="00507E84" w:rsidP="00507E84">
            <w:pPr>
              <w:rPr>
                <w:rFonts w:ascii="Times New Roman" w:hAnsi="Times New Roman" w:cs="Times New Roman"/>
                <w:b/>
                <w:bCs/>
                <w:vertAlign w:val="superscript"/>
                <w:lang w:eastAsia="sk-SK"/>
              </w:rPr>
            </w:pPr>
            <w:r w:rsidRPr="00507E84">
              <w:rPr>
                <w:rFonts w:ascii="Times New Roman" w:hAnsi="Times New Roman" w:cs="Times New Roman"/>
                <w:b/>
                <w:bCs/>
                <w:lang w:eastAsia="sk-SK"/>
              </w:rPr>
              <w:lastRenderedPageBreak/>
              <w:t>Daňové príjmy (100)</w:t>
            </w:r>
            <w:r w:rsidRPr="00507E84">
              <w:rPr>
                <w:rFonts w:ascii="Times New Roman" w:hAnsi="Times New Roman" w:cs="Times New Roman"/>
                <w:b/>
                <w:bCs/>
                <w:vertAlign w:val="superscript"/>
                <w:lang w:eastAsia="sk-SK"/>
              </w:rPr>
              <w:t>1</w:t>
            </w:r>
          </w:p>
        </w:tc>
        <w:tc>
          <w:tcPr>
            <w:tcW w:w="1500" w:type="dxa"/>
            <w:tcBorders>
              <w:top w:val="nil"/>
              <w:left w:val="nil"/>
              <w:bottom w:val="single" w:sz="4" w:space="0" w:color="auto"/>
              <w:right w:val="single" w:sz="4" w:space="0" w:color="auto"/>
            </w:tcBorders>
          </w:tcPr>
          <w:p w14:paraId="7459DBC6"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tcPr>
          <w:p w14:paraId="36512B8C"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tcPr>
          <w:p w14:paraId="630073FF"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tcPr>
          <w:p w14:paraId="236EEB2F"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3000" w:type="dxa"/>
            <w:tcBorders>
              <w:top w:val="nil"/>
              <w:left w:val="nil"/>
              <w:bottom w:val="single" w:sz="4" w:space="0" w:color="auto"/>
              <w:right w:val="single" w:sz="4" w:space="0" w:color="auto"/>
            </w:tcBorders>
            <w:noWrap/>
            <w:vAlign w:val="bottom"/>
          </w:tcPr>
          <w:p w14:paraId="714132FA"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72214F2F" w14:textId="77777777" w:rsidTr="00507E84">
        <w:trPr>
          <w:trHeight w:val="255"/>
        </w:trPr>
        <w:tc>
          <w:tcPr>
            <w:tcW w:w="4950" w:type="dxa"/>
            <w:tcBorders>
              <w:top w:val="nil"/>
              <w:left w:val="single" w:sz="4" w:space="0" w:color="auto"/>
              <w:bottom w:val="single" w:sz="4" w:space="0" w:color="auto"/>
              <w:right w:val="single" w:sz="4" w:space="0" w:color="auto"/>
            </w:tcBorders>
          </w:tcPr>
          <w:p w14:paraId="54A3264F"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Nedaňové príjmy (200)</w:t>
            </w:r>
            <w:r w:rsidRPr="00507E84">
              <w:rPr>
                <w:rFonts w:ascii="Times New Roman" w:hAnsi="Times New Roman" w:cs="Times New Roman"/>
                <w:b/>
                <w:bCs/>
                <w:vertAlign w:val="superscript"/>
                <w:lang w:eastAsia="sk-SK"/>
              </w:rPr>
              <w:t xml:space="preserve">1 </w:t>
            </w:r>
            <w:r w:rsidRPr="00507E84">
              <w:rPr>
                <w:rFonts w:ascii="Times New Roman" w:hAnsi="Times New Roman" w:cs="Times New Roman"/>
                <w:lang w:eastAsia="sk-SK"/>
              </w:rPr>
              <w:t>221004</w:t>
            </w:r>
          </w:p>
        </w:tc>
        <w:tc>
          <w:tcPr>
            <w:tcW w:w="1500" w:type="dxa"/>
            <w:tcBorders>
              <w:top w:val="nil"/>
              <w:left w:val="nil"/>
              <w:bottom w:val="single" w:sz="4" w:space="0" w:color="auto"/>
              <w:right w:val="single" w:sz="4" w:space="0" w:color="auto"/>
            </w:tcBorders>
          </w:tcPr>
          <w:p w14:paraId="1201916C"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900</w:t>
            </w:r>
          </w:p>
        </w:tc>
        <w:tc>
          <w:tcPr>
            <w:tcW w:w="1500" w:type="dxa"/>
            <w:tcBorders>
              <w:top w:val="nil"/>
              <w:left w:val="nil"/>
              <w:bottom w:val="single" w:sz="4" w:space="0" w:color="auto"/>
              <w:right w:val="single" w:sz="4" w:space="0" w:color="auto"/>
            </w:tcBorders>
          </w:tcPr>
          <w:p w14:paraId="6134A536"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300</w:t>
            </w:r>
          </w:p>
        </w:tc>
        <w:tc>
          <w:tcPr>
            <w:tcW w:w="1500" w:type="dxa"/>
            <w:tcBorders>
              <w:top w:val="nil"/>
              <w:left w:val="nil"/>
              <w:bottom w:val="single" w:sz="4" w:space="0" w:color="auto"/>
              <w:right w:val="single" w:sz="4" w:space="0" w:color="auto"/>
            </w:tcBorders>
          </w:tcPr>
          <w:p w14:paraId="3BB305AC"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300</w:t>
            </w:r>
          </w:p>
        </w:tc>
        <w:tc>
          <w:tcPr>
            <w:tcW w:w="1500" w:type="dxa"/>
            <w:tcBorders>
              <w:top w:val="nil"/>
              <w:left w:val="nil"/>
              <w:bottom w:val="single" w:sz="4" w:space="0" w:color="auto"/>
              <w:right w:val="single" w:sz="4" w:space="0" w:color="auto"/>
            </w:tcBorders>
          </w:tcPr>
          <w:p w14:paraId="5DED7764"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300</w:t>
            </w:r>
          </w:p>
        </w:tc>
        <w:tc>
          <w:tcPr>
            <w:tcW w:w="3000" w:type="dxa"/>
            <w:tcBorders>
              <w:top w:val="nil"/>
              <w:left w:val="nil"/>
              <w:bottom w:val="single" w:sz="4" w:space="0" w:color="auto"/>
              <w:right w:val="single" w:sz="4" w:space="0" w:color="auto"/>
            </w:tcBorders>
            <w:noWrap/>
            <w:vAlign w:val="bottom"/>
          </w:tcPr>
          <w:p w14:paraId="7A0A2458"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2727D964" w14:textId="77777777" w:rsidTr="00507E84">
        <w:trPr>
          <w:trHeight w:val="255"/>
        </w:trPr>
        <w:tc>
          <w:tcPr>
            <w:tcW w:w="4950" w:type="dxa"/>
            <w:tcBorders>
              <w:top w:val="nil"/>
              <w:left w:val="single" w:sz="4" w:space="0" w:color="auto"/>
              <w:bottom w:val="single" w:sz="4" w:space="0" w:color="auto"/>
              <w:right w:val="single" w:sz="4" w:space="0" w:color="auto"/>
            </w:tcBorders>
          </w:tcPr>
          <w:p w14:paraId="02E7AACD"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Granty a transfery (300)</w:t>
            </w:r>
            <w:r w:rsidRPr="00507E84">
              <w:rPr>
                <w:rFonts w:ascii="Times New Roman" w:hAnsi="Times New Roman" w:cs="Times New Roman"/>
                <w:b/>
                <w:bCs/>
                <w:vertAlign w:val="superscript"/>
                <w:lang w:eastAsia="sk-SK"/>
              </w:rPr>
              <w:t>1</w:t>
            </w:r>
          </w:p>
        </w:tc>
        <w:tc>
          <w:tcPr>
            <w:tcW w:w="1500" w:type="dxa"/>
            <w:tcBorders>
              <w:top w:val="nil"/>
              <w:left w:val="nil"/>
              <w:bottom w:val="single" w:sz="4" w:space="0" w:color="auto"/>
              <w:right w:val="single" w:sz="4" w:space="0" w:color="auto"/>
            </w:tcBorders>
          </w:tcPr>
          <w:p w14:paraId="0C901D2B"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tcPr>
          <w:p w14:paraId="0FBBB1EC"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tcPr>
          <w:p w14:paraId="2EA57727"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tcPr>
          <w:p w14:paraId="1CD8E840"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3000" w:type="dxa"/>
            <w:tcBorders>
              <w:top w:val="nil"/>
              <w:left w:val="nil"/>
              <w:bottom w:val="single" w:sz="4" w:space="0" w:color="auto"/>
              <w:right w:val="single" w:sz="4" w:space="0" w:color="auto"/>
            </w:tcBorders>
            <w:noWrap/>
            <w:vAlign w:val="bottom"/>
          </w:tcPr>
          <w:p w14:paraId="4852AF9C"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10C9A664" w14:textId="77777777" w:rsidTr="00507E84">
        <w:trPr>
          <w:trHeight w:val="255"/>
        </w:trPr>
        <w:tc>
          <w:tcPr>
            <w:tcW w:w="4950" w:type="dxa"/>
            <w:tcBorders>
              <w:top w:val="nil"/>
              <w:left w:val="single" w:sz="4" w:space="0" w:color="auto"/>
              <w:bottom w:val="single" w:sz="4" w:space="0" w:color="auto"/>
              <w:right w:val="single" w:sz="4" w:space="0" w:color="auto"/>
            </w:tcBorders>
          </w:tcPr>
          <w:p w14:paraId="3ECB87BA"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2122BF77"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4D180A5A"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2E51FB88"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1A2B6C45"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3000" w:type="dxa"/>
            <w:tcBorders>
              <w:top w:val="nil"/>
              <w:left w:val="nil"/>
              <w:bottom w:val="single" w:sz="4" w:space="0" w:color="auto"/>
              <w:right w:val="single" w:sz="4" w:space="0" w:color="auto"/>
            </w:tcBorders>
            <w:noWrap/>
            <w:vAlign w:val="bottom"/>
          </w:tcPr>
          <w:p w14:paraId="0EE56112"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4ED67E7A" w14:textId="77777777" w:rsidTr="00507E84">
        <w:trPr>
          <w:trHeight w:val="255"/>
        </w:trPr>
        <w:tc>
          <w:tcPr>
            <w:tcW w:w="4950" w:type="dxa"/>
            <w:tcBorders>
              <w:top w:val="nil"/>
              <w:left w:val="single" w:sz="4" w:space="0" w:color="auto"/>
              <w:bottom w:val="single" w:sz="4" w:space="0" w:color="auto"/>
              <w:right w:val="single" w:sz="4" w:space="0" w:color="auto"/>
            </w:tcBorders>
          </w:tcPr>
          <w:p w14:paraId="2300FC4F"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77DC1C17"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522EA3CD"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624EDCA4"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500" w:type="dxa"/>
            <w:tcBorders>
              <w:top w:val="nil"/>
              <w:left w:val="nil"/>
              <w:bottom w:val="single" w:sz="4" w:space="0" w:color="auto"/>
              <w:right w:val="single" w:sz="4" w:space="0" w:color="auto"/>
            </w:tcBorders>
            <w:shd w:val="clear" w:color="auto" w:fill="auto"/>
          </w:tcPr>
          <w:p w14:paraId="0673725F"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3000" w:type="dxa"/>
            <w:tcBorders>
              <w:top w:val="nil"/>
              <w:left w:val="nil"/>
              <w:bottom w:val="single" w:sz="4" w:space="0" w:color="auto"/>
              <w:right w:val="single" w:sz="4" w:space="0" w:color="auto"/>
            </w:tcBorders>
            <w:noWrap/>
            <w:vAlign w:val="bottom"/>
          </w:tcPr>
          <w:p w14:paraId="15F7647B"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314A803C" w14:textId="77777777" w:rsidTr="00507E84">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15BEE637"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579281ED"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900</w:t>
            </w:r>
          </w:p>
        </w:tc>
        <w:tc>
          <w:tcPr>
            <w:tcW w:w="1500" w:type="dxa"/>
            <w:tcBorders>
              <w:top w:val="nil"/>
              <w:left w:val="nil"/>
              <w:bottom w:val="single" w:sz="4" w:space="0" w:color="auto"/>
              <w:right w:val="single" w:sz="4" w:space="0" w:color="auto"/>
            </w:tcBorders>
            <w:shd w:val="clear" w:color="auto" w:fill="BFBFBF" w:themeFill="background1" w:themeFillShade="BF"/>
          </w:tcPr>
          <w:p w14:paraId="2A8F58E9"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300</w:t>
            </w:r>
          </w:p>
        </w:tc>
        <w:tc>
          <w:tcPr>
            <w:tcW w:w="1500" w:type="dxa"/>
            <w:tcBorders>
              <w:top w:val="nil"/>
              <w:left w:val="nil"/>
              <w:bottom w:val="single" w:sz="4" w:space="0" w:color="auto"/>
              <w:right w:val="single" w:sz="4" w:space="0" w:color="auto"/>
            </w:tcBorders>
            <w:shd w:val="clear" w:color="auto" w:fill="BFBFBF" w:themeFill="background1" w:themeFillShade="BF"/>
          </w:tcPr>
          <w:p w14:paraId="5852A721"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300</w:t>
            </w:r>
          </w:p>
        </w:tc>
        <w:tc>
          <w:tcPr>
            <w:tcW w:w="1500" w:type="dxa"/>
            <w:tcBorders>
              <w:top w:val="nil"/>
              <w:left w:val="nil"/>
              <w:bottom w:val="single" w:sz="4" w:space="0" w:color="auto"/>
              <w:right w:val="single" w:sz="4" w:space="0" w:color="auto"/>
            </w:tcBorders>
            <w:shd w:val="clear" w:color="auto" w:fill="BFBFBF" w:themeFill="background1" w:themeFillShade="BF"/>
          </w:tcPr>
          <w:p w14:paraId="75E27793"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300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0C123366"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bl>
    <w:p w14:paraId="12264FC6" w14:textId="77777777" w:rsidR="00507E84" w:rsidRPr="00507E84" w:rsidRDefault="00507E84" w:rsidP="00507E84">
      <w:pPr>
        <w:tabs>
          <w:tab w:val="num" w:pos="1080"/>
        </w:tabs>
        <w:jc w:val="both"/>
        <w:rPr>
          <w:rFonts w:ascii="Times New Roman" w:hAnsi="Times New Roman" w:cs="Times New Roman"/>
          <w:bCs/>
          <w:szCs w:val="20"/>
          <w:highlight w:val="red"/>
          <w:lang w:eastAsia="sk-SK"/>
        </w:rPr>
      </w:pPr>
      <w:r w:rsidRPr="00507E84">
        <w:rPr>
          <w:rFonts w:ascii="Times New Roman" w:hAnsi="Times New Roman" w:cs="Times New Roman"/>
          <w:bCs/>
          <w:sz w:val="20"/>
          <w:szCs w:val="20"/>
          <w:lang w:eastAsia="sk-SK"/>
        </w:rPr>
        <w:t>1 –  príjmy rozpísať až do položiek platnej ekonomickej klasifikácie</w:t>
      </w:r>
    </w:p>
    <w:p w14:paraId="62CF0777" w14:textId="77777777" w:rsidR="00507E84" w:rsidRPr="00507E84" w:rsidRDefault="00507E84" w:rsidP="00507E84">
      <w:pPr>
        <w:tabs>
          <w:tab w:val="num" w:pos="1080"/>
        </w:tabs>
        <w:jc w:val="both"/>
        <w:rPr>
          <w:rFonts w:ascii="Times New Roman" w:hAnsi="Times New Roman" w:cs="Times New Roman"/>
          <w:bCs/>
          <w:szCs w:val="20"/>
          <w:lang w:eastAsia="sk-SK"/>
        </w:rPr>
      </w:pPr>
    </w:p>
    <w:p w14:paraId="3B5E4456" w14:textId="77777777" w:rsidR="00507E84" w:rsidRPr="00507E84" w:rsidRDefault="00507E84" w:rsidP="00507E84">
      <w:pPr>
        <w:tabs>
          <w:tab w:val="num" w:pos="1080"/>
        </w:tabs>
        <w:jc w:val="both"/>
        <w:rPr>
          <w:rFonts w:ascii="Times New Roman" w:hAnsi="Times New Roman" w:cs="Times New Roman"/>
          <w:b/>
          <w:bCs/>
          <w:szCs w:val="20"/>
          <w:lang w:eastAsia="sk-SK"/>
        </w:rPr>
      </w:pPr>
      <w:r w:rsidRPr="00507E84">
        <w:rPr>
          <w:rFonts w:ascii="Times New Roman" w:hAnsi="Times New Roman" w:cs="Times New Roman"/>
          <w:b/>
          <w:bCs/>
          <w:szCs w:val="20"/>
          <w:lang w:eastAsia="sk-SK"/>
        </w:rPr>
        <w:t>Poznámka:</w:t>
      </w:r>
    </w:p>
    <w:p w14:paraId="2A70647F" w14:textId="77777777" w:rsidR="00507E84" w:rsidRPr="00507E84" w:rsidRDefault="00507E84" w:rsidP="00507E84">
      <w:pPr>
        <w:tabs>
          <w:tab w:val="num" w:pos="1080"/>
        </w:tabs>
        <w:jc w:val="both"/>
        <w:rPr>
          <w:rFonts w:ascii="Times New Roman" w:hAnsi="Times New Roman" w:cs="Times New Roman"/>
          <w:bCs/>
          <w:szCs w:val="20"/>
          <w:lang w:eastAsia="sk-SK"/>
        </w:rPr>
      </w:pPr>
      <w:r w:rsidRPr="00507E84">
        <w:rPr>
          <w:rFonts w:ascii="Times New Roman" w:hAnsi="Times New Roman" w:cs="Times New Roman"/>
          <w:bCs/>
          <w:szCs w:val="20"/>
          <w:lang w:eastAsia="sk-SK"/>
        </w:rPr>
        <w:t>Ak sa vplyv týka viacerých subjektov verejnej správy, vypĺňa sa samostatná tabuľka za každý subjekt.</w:t>
      </w:r>
    </w:p>
    <w:p w14:paraId="08F236F3" w14:textId="77777777" w:rsidR="00507E84" w:rsidRPr="00507E84" w:rsidRDefault="00507E84" w:rsidP="00507E84">
      <w:pPr>
        <w:tabs>
          <w:tab w:val="num" w:pos="1080"/>
        </w:tabs>
        <w:jc w:val="both"/>
        <w:rPr>
          <w:rFonts w:ascii="Times New Roman" w:hAnsi="Times New Roman" w:cs="Times New Roman"/>
          <w:bCs/>
          <w:sz w:val="20"/>
          <w:szCs w:val="20"/>
          <w:lang w:eastAsia="sk-SK"/>
        </w:rPr>
      </w:pPr>
      <w:r w:rsidRPr="00507E84">
        <w:rPr>
          <w:rFonts w:ascii="Times New Roman" w:hAnsi="Times New Roman" w:cs="Times New Roman"/>
          <w:bCs/>
          <w:sz w:val="20"/>
          <w:szCs w:val="20"/>
          <w:lang w:eastAsia="sk-SK"/>
        </w:rPr>
        <w:t xml:space="preserve">                                                                                                                                                                                                                                                            Tabuľka č. 4/A</w:t>
      </w:r>
    </w:p>
    <w:tbl>
      <w:tblPr>
        <w:tblpPr w:leftFromText="141" w:rightFromText="141" w:vertAnchor="text" w:horzAnchor="page" w:tblpX="1458" w:tblpY="2"/>
        <w:tblW w:w="13984" w:type="dxa"/>
        <w:tblLayout w:type="fixed"/>
        <w:tblCellMar>
          <w:left w:w="70" w:type="dxa"/>
          <w:right w:w="70" w:type="dxa"/>
        </w:tblCellMar>
        <w:tblLook w:val="0000" w:firstRow="0" w:lastRow="0" w:firstColumn="0" w:lastColumn="0" w:noHBand="0" w:noVBand="0"/>
      </w:tblPr>
      <w:tblGrid>
        <w:gridCol w:w="6348"/>
        <w:gridCol w:w="1430"/>
        <w:gridCol w:w="1650"/>
        <w:gridCol w:w="1540"/>
        <w:gridCol w:w="1540"/>
        <w:gridCol w:w="1476"/>
      </w:tblGrid>
      <w:tr w:rsidR="00507E84" w:rsidRPr="00507E84" w14:paraId="2D45740C" w14:textId="77777777" w:rsidTr="00507E84">
        <w:trPr>
          <w:cantSplit/>
          <w:trHeight w:val="255"/>
        </w:trPr>
        <w:tc>
          <w:tcPr>
            <w:tcW w:w="6348"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4F32BDDA"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b/>
                <w:bCs/>
                <w:sz w:val="20"/>
                <w:szCs w:val="20"/>
                <w:lang w:eastAsia="sk-SK"/>
              </w:rPr>
              <w:t>Výdavky (v eurách) - Celkom</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8AA2929"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b/>
                <w:bCs/>
                <w:sz w:val="20"/>
                <w:szCs w:val="20"/>
                <w:lang w:eastAsia="sk-SK"/>
              </w:rPr>
              <w:t>Vplyv na rozpočet verejnej správy</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2FA0959"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poznámka</w:t>
            </w:r>
          </w:p>
        </w:tc>
      </w:tr>
      <w:tr w:rsidR="00507E84" w:rsidRPr="00507E84" w14:paraId="2D7304A6" w14:textId="77777777" w:rsidTr="00507E84">
        <w:trPr>
          <w:cantSplit/>
          <w:trHeight w:val="255"/>
        </w:trPr>
        <w:tc>
          <w:tcPr>
            <w:tcW w:w="6348" w:type="dxa"/>
            <w:vMerge/>
            <w:tcBorders>
              <w:top w:val="single" w:sz="4" w:space="0" w:color="auto"/>
              <w:left w:val="single" w:sz="4" w:space="0" w:color="auto"/>
              <w:bottom w:val="single" w:sz="4" w:space="0" w:color="000000"/>
              <w:right w:val="single" w:sz="4" w:space="0" w:color="auto"/>
            </w:tcBorders>
            <w:vAlign w:val="center"/>
          </w:tcPr>
          <w:p w14:paraId="5C81CC98" w14:textId="77777777" w:rsidR="00507E84" w:rsidRPr="00507E84" w:rsidRDefault="00507E84" w:rsidP="00507E84">
            <w:pPr>
              <w:rPr>
                <w:rFonts w:ascii="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14:paraId="7A92D40F"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b/>
                <w:bCs/>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14:paraId="6DDE326A"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b/>
                <w:bCs/>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00410D2A"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b/>
                <w:bCs/>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5AA2B316"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2028</w:t>
            </w:r>
          </w:p>
        </w:tc>
        <w:tc>
          <w:tcPr>
            <w:tcW w:w="1476" w:type="dxa"/>
            <w:vMerge/>
            <w:tcBorders>
              <w:top w:val="single" w:sz="4" w:space="0" w:color="auto"/>
              <w:left w:val="single" w:sz="4" w:space="0" w:color="auto"/>
              <w:bottom w:val="single" w:sz="4" w:space="0" w:color="auto"/>
              <w:right w:val="single" w:sz="4" w:space="0" w:color="auto"/>
            </w:tcBorders>
            <w:vAlign w:val="center"/>
          </w:tcPr>
          <w:p w14:paraId="2EBD40FD" w14:textId="77777777" w:rsidR="00507E84" w:rsidRPr="00507E84" w:rsidRDefault="00507E84" w:rsidP="00507E84">
            <w:pPr>
              <w:rPr>
                <w:rFonts w:ascii="Times New Roman" w:hAnsi="Times New Roman" w:cs="Times New Roman"/>
                <w:b/>
                <w:bCs/>
                <w:color w:val="FFFFFF"/>
                <w:lang w:eastAsia="sk-SK"/>
              </w:rPr>
            </w:pPr>
          </w:p>
        </w:tc>
      </w:tr>
      <w:tr w:rsidR="00507E84" w:rsidRPr="00507E84" w14:paraId="3743D73C" w14:textId="77777777" w:rsidTr="00507E84">
        <w:trPr>
          <w:trHeight w:val="255"/>
        </w:trPr>
        <w:tc>
          <w:tcPr>
            <w:tcW w:w="6348" w:type="dxa"/>
            <w:tcBorders>
              <w:top w:val="nil"/>
              <w:left w:val="single" w:sz="4" w:space="0" w:color="auto"/>
              <w:bottom w:val="single" w:sz="4" w:space="0" w:color="auto"/>
              <w:right w:val="single" w:sz="4" w:space="0" w:color="auto"/>
            </w:tcBorders>
          </w:tcPr>
          <w:p w14:paraId="30862CDF" w14:textId="77777777" w:rsidR="00507E84" w:rsidRPr="00507E84" w:rsidRDefault="00507E84" w:rsidP="00507E84">
            <w:pPr>
              <w:rPr>
                <w:rFonts w:ascii="Times New Roman" w:hAnsi="Times New Roman" w:cs="Times New Roman"/>
                <w:b/>
                <w:bCs/>
                <w:sz w:val="20"/>
                <w:szCs w:val="20"/>
                <w:lang w:eastAsia="sk-SK"/>
              </w:rPr>
            </w:pPr>
            <w:bookmarkStart w:id="2" w:name="_Hlk174617444"/>
            <w:r w:rsidRPr="00507E84">
              <w:rPr>
                <w:rFonts w:ascii="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26743550"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335 000</w:t>
            </w:r>
          </w:p>
        </w:tc>
        <w:tc>
          <w:tcPr>
            <w:tcW w:w="1650" w:type="dxa"/>
            <w:tcBorders>
              <w:top w:val="nil"/>
              <w:left w:val="nil"/>
              <w:bottom w:val="single" w:sz="4" w:space="0" w:color="auto"/>
              <w:right w:val="single" w:sz="4" w:space="0" w:color="auto"/>
            </w:tcBorders>
          </w:tcPr>
          <w:p w14:paraId="532E10C8"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167 900</w:t>
            </w:r>
          </w:p>
        </w:tc>
        <w:tc>
          <w:tcPr>
            <w:tcW w:w="1540" w:type="dxa"/>
            <w:tcBorders>
              <w:top w:val="nil"/>
              <w:left w:val="nil"/>
              <w:bottom w:val="single" w:sz="4" w:space="0" w:color="auto"/>
              <w:right w:val="single" w:sz="4" w:space="0" w:color="auto"/>
            </w:tcBorders>
          </w:tcPr>
          <w:p w14:paraId="2946B6E1"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18E290A2"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46D367D9"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41D10F99" w14:textId="77777777" w:rsidTr="00507E84">
        <w:trPr>
          <w:trHeight w:val="255"/>
        </w:trPr>
        <w:tc>
          <w:tcPr>
            <w:tcW w:w="6348" w:type="dxa"/>
            <w:tcBorders>
              <w:top w:val="nil"/>
              <w:left w:val="single" w:sz="4" w:space="0" w:color="auto"/>
              <w:bottom w:val="single" w:sz="4" w:space="0" w:color="auto"/>
              <w:right w:val="single" w:sz="4" w:space="0" w:color="auto"/>
            </w:tcBorders>
          </w:tcPr>
          <w:p w14:paraId="40A4E5C0" w14:textId="77777777" w:rsidR="00507E84" w:rsidRPr="00507E84" w:rsidRDefault="00507E84" w:rsidP="00507E84">
            <w:pPr>
              <w:rPr>
                <w:rFonts w:ascii="Times New Roman" w:hAnsi="Times New Roman" w:cs="Times New Roman"/>
                <w:sz w:val="20"/>
                <w:szCs w:val="20"/>
                <w:lang w:eastAsia="sk-SK"/>
              </w:rPr>
            </w:pPr>
            <w:r w:rsidRPr="00507E84">
              <w:rPr>
                <w:rFonts w:ascii="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110EBF22"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113 699</w:t>
            </w:r>
          </w:p>
        </w:tc>
        <w:tc>
          <w:tcPr>
            <w:tcW w:w="1650" w:type="dxa"/>
            <w:tcBorders>
              <w:top w:val="nil"/>
              <w:left w:val="nil"/>
              <w:bottom w:val="single" w:sz="4" w:space="0" w:color="auto"/>
              <w:right w:val="single" w:sz="4" w:space="0" w:color="auto"/>
            </w:tcBorders>
          </w:tcPr>
          <w:p w14:paraId="7DC740A8"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56 985</w:t>
            </w:r>
          </w:p>
        </w:tc>
        <w:tc>
          <w:tcPr>
            <w:tcW w:w="1540" w:type="dxa"/>
            <w:tcBorders>
              <w:top w:val="nil"/>
              <w:left w:val="nil"/>
              <w:bottom w:val="single" w:sz="4" w:space="0" w:color="auto"/>
              <w:right w:val="single" w:sz="4" w:space="0" w:color="auto"/>
            </w:tcBorders>
          </w:tcPr>
          <w:p w14:paraId="60086DE8"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3E6D474E"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01555601"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28A07A64" w14:textId="77777777" w:rsidTr="00507E84">
        <w:trPr>
          <w:trHeight w:val="255"/>
        </w:trPr>
        <w:tc>
          <w:tcPr>
            <w:tcW w:w="6348" w:type="dxa"/>
            <w:tcBorders>
              <w:top w:val="nil"/>
              <w:left w:val="single" w:sz="4" w:space="0" w:color="auto"/>
              <w:bottom w:val="single" w:sz="4" w:space="0" w:color="auto"/>
              <w:right w:val="single" w:sz="4" w:space="0" w:color="auto"/>
            </w:tcBorders>
          </w:tcPr>
          <w:p w14:paraId="0C503302" w14:textId="77777777" w:rsidR="00507E84" w:rsidRPr="00507E84" w:rsidRDefault="00507E84" w:rsidP="00507E84">
            <w:pPr>
              <w:rPr>
                <w:rFonts w:ascii="Times New Roman" w:hAnsi="Times New Roman" w:cs="Times New Roman"/>
                <w:sz w:val="20"/>
                <w:szCs w:val="20"/>
                <w:vertAlign w:val="superscript"/>
                <w:lang w:eastAsia="sk-SK"/>
              </w:rPr>
            </w:pPr>
            <w:r w:rsidRPr="00507E84">
              <w:rPr>
                <w:rFonts w:ascii="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7BC18B2C"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88 074</w:t>
            </w:r>
          </w:p>
        </w:tc>
        <w:tc>
          <w:tcPr>
            <w:tcW w:w="1650" w:type="dxa"/>
            <w:tcBorders>
              <w:top w:val="nil"/>
              <w:left w:val="nil"/>
              <w:bottom w:val="single" w:sz="4" w:space="0" w:color="auto"/>
              <w:right w:val="single" w:sz="4" w:space="0" w:color="auto"/>
            </w:tcBorders>
          </w:tcPr>
          <w:p w14:paraId="4B0500B5"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44 142</w:t>
            </w:r>
          </w:p>
        </w:tc>
        <w:tc>
          <w:tcPr>
            <w:tcW w:w="1540" w:type="dxa"/>
            <w:tcBorders>
              <w:top w:val="nil"/>
              <w:left w:val="nil"/>
              <w:bottom w:val="single" w:sz="4" w:space="0" w:color="auto"/>
              <w:right w:val="single" w:sz="4" w:space="0" w:color="auto"/>
            </w:tcBorders>
          </w:tcPr>
          <w:p w14:paraId="19F904FC"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0140FA3D"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34CC9C99"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7993E504" w14:textId="77777777" w:rsidTr="00507E84">
        <w:trPr>
          <w:trHeight w:val="255"/>
        </w:trPr>
        <w:tc>
          <w:tcPr>
            <w:tcW w:w="6348" w:type="dxa"/>
            <w:tcBorders>
              <w:top w:val="nil"/>
              <w:left w:val="single" w:sz="4" w:space="0" w:color="auto"/>
              <w:bottom w:val="single" w:sz="4" w:space="0" w:color="auto"/>
              <w:right w:val="single" w:sz="4" w:space="0" w:color="auto"/>
            </w:tcBorders>
          </w:tcPr>
          <w:p w14:paraId="2F842762" w14:textId="77777777" w:rsidR="00507E84" w:rsidRPr="00507E84" w:rsidRDefault="00507E84" w:rsidP="00507E84">
            <w:pPr>
              <w:rPr>
                <w:rFonts w:ascii="Times New Roman" w:hAnsi="Times New Roman" w:cs="Times New Roman"/>
                <w:sz w:val="20"/>
                <w:szCs w:val="20"/>
                <w:vertAlign w:val="superscript"/>
                <w:lang w:eastAsia="sk-SK"/>
              </w:rPr>
            </w:pPr>
            <w:r w:rsidRPr="00507E84">
              <w:rPr>
                <w:rFonts w:ascii="Times New Roman" w:hAnsi="Times New Roman" w:cs="Times New Roman"/>
                <w:sz w:val="20"/>
                <w:szCs w:val="20"/>
                <w:lang w:eastAsia="sk-SK"/>
              </w:rPr>
              <w:t xml:space="preserve">  Tovary a služby (630)</w:t>
            </w:r>
            <w:r w:rsidRPr="00507E84">
              <w:rPr>
                <w:rFonts w:ascii="Times New Roman" w:hAnsi="Times New Roman" w:cs="Times New Roman"/>
                <w:sz w:val="20"/>
                <w:szCs w:val="20"/>
                <w:vertAlign w:val="superscript"/>
                <w:lang w:eastAsia="sk-SK"/>
              </w:rPr>
              <w:t xml:space="preserve">2 </w:t>
            </w:r>
            <w:r w:rsidRPr="00507E84">
              <w:rPr>
                <w:rFonts w:ascii="Times New Roman" w:hAnsi="Times New Roman" w:cs="Times New Roman"/>
                <w:sz w:val="20"/>
                <w:szCs w:val="20"/>
                <w:lang w:eastAsia="sk-SK"/>
              </w:rPr>
              <w:t>635009</w:t>
            </w:r>
          </w:p>
        </w:tc>
        <w:tc>
          <w:tcPr>
            <w:tcW w:w="1430" w:type="dxa"/>
            <w:tcBorders>
              <w:top w:val="nil"/>
              <w:left w:val="nil"/>
              <w:bottom w:val="single" w:sz="4" w:space="0" w:color="auto"/>
              <w:right w:val="single" w:sz="4" w:space="0" w:color="auto"/>
            </w:tcBorders>
          </w:tcPr>
          <w:p w14:paraId="7BE79CA6"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133 227</w:t>
            </w:r>
          </w:p>
        </w:tc>
        <w:tc>
          <w:tcPr>
            <w:tcW w:w="1650" w:type="dxa"/>
            <w:tcBorders>
              <w:top w:val="nil"/>
              <w:left w:val="nil"/>
              <w:bottom w:val="single" w:sz="4" w:space="0" w:color="auto"/>
              <w:right w:val="single" w:sz="4" w:space="0" w:color="auto"/>
            </w:tcBorders>
          </w:tcPr>
          <w:p w14:paraId="7F717DC8"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66 773</w:t>
            </w:r>
          </w:p>
        </w:tc>
        <w:tc>
          <w:tcPr>
            <w:tcW w:w="1540" w:type="dxa"/>
            <w:tcBorders>
              <w:top w:val="nil"/>
              <w:left w:val="nil"/>
              <w:bottom w:val="single" w:sz="4" w:space="0" w:color="auto"/>
              <w:right w:val="single" w:sz="4" w:space="0" w:color="auto"/>
            </w:tcBorders>
          </w:tcPr>
          <w:p w14:paraId="3FF3526C"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74ADE14F"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4DA97900"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2BE99580" w14:textId="77777777" w:rsidTr="00507E84">
        <w:trPr>
          <w:trHeight w:val="255"/>
        </w:trPr>
        <w:tc>
          <w:tcPr>
            <w:tcW w:w="6348" w:type="dxa"/>
            <w:tcBorders>
              <w:top w:val="nil"/>
              <w:left w:val="single" w:sz="4" w:space="0" w:color="auto"/>
              <w:bottom w:val="single" w:sz="4" w:space="0" w:color="auto"/>
              <w:right w:val="single" w:sz="4" w:space="0" w:color="auto"/>
            </w:tcBorders>
          </w:tcPr>
          <w:p w14:paraId="39C5B97F" w14:textId="77777777" w:rsidR="00507E84" w:rsidRPr="00507E84" w:rsidRDefault="00507E84" w:rsidP="00507E84">
            <w:pPr>
              <w:rPr>
                <w:rFonts w:ascii="Times New Roman" w:hAnsi="Times New Roman" w:cs="Times New Roman"/>
                <w:sz w:val="20"/>
                <w:szCs w:val="20"/>
                <w:lang w:eastAsia="sk-SK"/>
              </w:rPr>
            </w:pPr>
            <w:r w:rsidRPr="00507E84">
              <w:rPr>
                <w:rFonts w:ascii="Times New Roman" w:hAnsi="Times New Roman" w:cs="Times New Roman"/>
                <w:sz w:val="20"/>
                <w:szCs w:val="20"/>
                <w:lang w:eastAsia="sk-SK"/>
              </w:rPr>
              <w:t xml:space="preserve">  Bežné transfery (640)</w:t>
            </w:r>
            <w:r w:rsidRPr="00507E84">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16A1E77"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650" w:type="dxa"/>
            <w:tcBorders>
              <w:top w:val="nil"/>
              <w:left w:val="nil"/>
              <w:bottom w:val="single" w:sz="4" w:space="0" w:color="auto"/>
              <w:right w:val="single" w:sz="4" w:space="0" w:color="auto"/>
            </w:tcBorders>
          </w:tcPr>
          <w:p w14:paraId="0F1FB990"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4F1E8661"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61161280"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26D09B7B"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5BA6D4D5" w14:textId="77777777" w:rsidTr="00507E84">
        <w:trPr>
          <w:trHeight w:val="255"/>
        </w:trPr>
        <w:tc>
          <w:tcPr>
            <w:tcW w:w="6348" w:type="dxa"/>
            <w:tcBorders>
              <w:top w:val="nil"/>
              <w:left w:val="single" w:sz="4" w:space="0" w:color="auto"/>
              <w:bottom w:val="single" w:sz="4" w:space="0" w:color="auto"/>
              <w:right w:val="single" w:sz="4" w:space="0" w:color="auto"/>
            </w:tcBorders>
            <w:vAlign w:val="center"/>
          </w:tcPr>
          <w:p w14:paraId="3B1924D8" w14:textId="77777777" w:rsidR="00507E84" w:rsidRPr="00507E84" w:rsidRDefault="00507E84" w:rsidP="00507E84">
            <w:pPr>
              <w:rPr>
                <w:rFonts w:ascii="Times New Roman" w:hAnsi="Times New Roman" w:cs="Times New Roman"/>
                <w:sz w:val="20"/>
                <w:szCs w:val="20"/>
                <w:lang w:eastAsia="sk-SK"/>
              </w:rPr>
            </w:pPr>
            <w:r w:rsidRPr="00507E84">
              <w:rPr>
                <w:rFonts w:ascii="Times New Roman" w:hAnsi="Times New Roman" w:cs="Times New Roman"/>
                <w:sz w:val="20"/>
                <w:szCs w:val="20"/>
                <w:lang w:eastAsia="sk-SK"/>
              </w:rPr>
              <w:lastRenderedPageBreak/>
              <w:t xml:space="preserve">  Splácanie úrokov a ostatné platby súvisiace s </w:t>
            </w:r>
            <w:r w:rsidRPr="00507E84">
              <w:rPr>
                <w:rFonts w:ascii="Times New Roman" w:hAnsi="Times New Roman" w:cs="Times New Roman"/>
              </w:rPr>
              <w:t xml:space="preserve"> </w:t>
            </w:r>
            <w:r w:rsidRPr="00507E84">
              <w:rPr>
                <w:rFonts w:ascii="Times New Roman" w:hAnsi="Times New Roman" w:cs="Times New Roman"/>
                <w:sz w:val="20"/>
                <w:szCs w:val="20"/>
                <w:lang w:eastAsia="sk-SK"/>
              </w:rPr>
              <w:t>úverom, pôžičkou, návratnou finančnou výpomocou a finančným prenájmom (650)</w:t>
            </w:r>
            <w:r w:rsidRPr="00507E84">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EA74809"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650" w:type="dxa"/>
            <w:tcBorders>
              <w:top w:val="nil"/>
              <w:left w:val="nil"/>
              <w:bottom w:val="single" w:sz="4" w:space="0" w:color="auto"/>
              <w:right w:val="single" w:sz="4" w:space="0" w:color="auto"/>
            </w:tcBorders>
          </w:tcPr>
          <w:p w14:paraId="02836BBF" w14:textId="77777777" w:rsidR="00507E84" w:rsidRPr="00507E84" w:rsidRDefault="00507E84" w:rsidP="00507E84">
            <w:pPr>
              <w:jc w:val="center"/>
              <w:rPr>
                <w:rFonts w:ascii="Times New Roman" w:hAnsi="Times New Roman" w:cs="Times New Roman"/>
                <w:sz w:val="20"/>
                <w:szCs w:val="20"/>
                <w:lang w:val="en-GB"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06C93623"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702E9596"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462D8728" w14:textId="77777777" w:rsidR="00507E84" w:rsidRPr="00507E84" w:rsidRDefault="00507E84" w:rsidP="00507E84">
            <w:pPr>
              <w:rPr>
                <w:rFonts w:ascii="Times New Roman" w:hAnsi="Times New Roman" w:cs="Times New Roman"/>
                <w:lang w:eastAsia="sk-SK"/>
              </w:rPr>
            </w:pPr>
          </w:p>
        </w:tc>
      </w:tr>
      <w:tr w:rsidR="00507E84" w:rsidRPr="00507E84" w14:paraId="6A02BA85" w14:textId="77777777" w:rsidTr="00507E84">
        <w:trPr>
          <w:trHeight w:val="255"/>
        </w:trPr>
        <w:tc>
          <w:tcPr>
            <w:tcW w:w="6348" w:type="dxa"/>
            <w:tcBorders>
              <w:top w:val="nil"/>
              <w:left w:val="single" w:sz="4" w:space="0" w:color="auto"/>
              <w:bottom w:val="single" w:sz="4" w:space="0" w:color="auto"/>
              <w:right w:val="single" w:sz="4" w:space="0" w:color="auto"/>
            </w:tcBorders>
          </w:tcPr>
          <w:p w14:paraId="2A3FDE46" w14:textId="77777777" w:rsidR="00507E84" w:rsidRPr="00507E84" w:rsidRDefault="00507E84" w:rsidP="00507E84">
            <w:pPr>
              <w:rPr>
                <w:rFonts w:ascii="Times New Roman" w:hAnsi="Times New Roman" w:cs="Times New Roman"/>
                <w:b/>
                <w:bCs/>
                <w:sz w:val="20"/>
                <w:szCs w:val="20"/>
                <w:lang w:eastAsia="sk-SK"/>
              </w:rPr>
            </w:pPr>
            <w:r w:rsidRPr="00507E84">
              <w:rPr>
                <w:rFonts w:ascii="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6F3EF6AC"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rPr>
              <w:t>0</w:t>
            </w:r>
          </w:p>
        </w:tc>
        <w:tc>
          <w:tcPr>
            <w:tcW w:w="1650" w:type="dxa"/>
            <w:tcBorders>
              <w:top w:val="nil"/>
              <w:left w:val="nil"/>
              <w:bottom w:val="single" w:sz="4" w:space="0" w:color="auto"/>
              <w:right w:val="single" w:sz="4" w:space="0" w:color="auto"/>
            </w:tcBorders>
          </w:tcPr>
          <w:p w14:paraId="5D8A1D1E"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168BF2D3"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11EF43D9"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230AA257"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703C8DC1" w14:textId="77777777" w:rsidTr="00507E84">
        <w:trPr>
          <w:trHeight w:val="255"/>
        </w:trPr>
        <w:tc>
          <w:tcPr>
            <w:tcW w:w="6348" w:type="dxa"/>
            <w:tcBorders>
              <w:top w:val="nil"/>
              <w:left w:val="single" w:sz="4" w:space="0" w:color="auto"/>
              <w:bottom w:val="single" w:sz="4" w:space="0" w:color="auto"/>
              <w:right w:val="single" w:sz="4" w:space="0" w:color="auto"/>
            </w:tcBorders>
          </w:tcPr>
          <w:p w14:paraId="05BA7522" w14:textId="77777777" w:rsidR="00507E84" w:rsidRPr="00507E84" w:rsidRDefault="00507E84" w:rsidP="00507E84">
            <w:pPr>
              <w:rPr>
                <w:rFonts w:ascii="Times New Roman" w:hAnsi="Times New Roman" w:cs="Times New Roman"/>
                <w:sz w:val="20"/>
                <w:szCs w:val="20"/>
                <w:lang w:eastAsia="sk-SK"/>
              </w:rPr>
            </w:pPr>
            <w:r w:rsidRPr="00507E84">
              <w:rPr>
                <w:rFonts w:ascii="Times New Roman" w:hAnsi="Times New Roman" w:cs="Times New Roman"/>
                <w:sz w:val="20"/>
                <w:szCs w:val="20"/>
                <w:lang w:eastAsia="sk-SK"/>
              </w:rPr>
              <w:t xml:space="preserve">  Obstarávanie kapitálových aktív (710)</w:t>
            </w:r>
            <w:r w:rsidRPr="00507E84">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5D2C53A5"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650" w:type="dxa"/>
            <w:tcBorders>
              <w:top w:val="nil"/>
              <w:left w:val="nil"/>
              <w:bottom w:val="single" w:sz="4" w:space="0" w:color="auto"/>
              <w:right w:val="single" w:sz="4" w:space="0" w:color="auto"/>
            </w:tcBorders>
          </w:tcPr>
          <w:p w14:paraId="0891C6EC"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5B890760"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32ECDE32"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4414E25B"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3347898C" w14:textId="77777777" w:rsidTr="00507E84">
        <w:trPr>
          <w:trHeight w:val="255"/>
        </w:trPr>
        <w:tc>
          <w:tcPr>
            <w:tcW w:w="6348" w:type="dxa"/>
            <w:tcBorders>
              <w:top w:val="nil"/>
              <w:left w:val="single" w:sz="4" w:space="0" w:color="auto"/>
              <w:bottom w:val="single" w:sz="4" w:space="0" w:color="auto"/>
              <w:right w:val="single" w:sz="4" w:space="0" w:color="auto"/>
            </w:tcBorders>
          </w:tcPr>
          <w:p w14:paraId="5E171701" w14:textId="77777777" w:rsidR="00507E84" w:rsidRPr="00507E84" w:rsidRDefault="00507E84" w:rsidP="00507E84">
            <w:pPr>
              <w:rPr>
                <w:rFonts w:ascii="Times New Roman" w:hAnsi="Times New Roman" w:cs="Times New Roman"/>
                <w:sz w:val="20"/>
                <w:szCs w:val="20"/>
                <w:lang w:eastAsia="sk-SK"/>
              </w:rPr>
            </w:pPr>
            <w:r w:rsidRPr="00507E84">
              <w:rPr>
                <w:rFonts w:ascii="Times New Roman" w:hAnsi="Times New Roman" w:cs="Times New Roman"/>
                <w:sz w:val="20"/>
                <w:szCs w:val="20"/>
                <w:lang w:eastAsia="sk-SK"/>
              </w:rPr>
              <w:t xml:space="preserve">  Kapitálové transfery (720)</w:t>
            </w:r>
            <w:r w:rsidRPr="00507E84">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36DA5ECD"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650" w:type="dxa"/>
            <w:tcBorders>
              <w:top w:val="nil"/>
              <w:left w:val="nil"/>
              <w:bottom w:val="single" w:sz="4" w:space="0" w:color="auto"/>
              <w:right w:val="single" w:sz="4" w:space="0" w:color="auto"/>
            </w:tcBorders>
          </w:tcPr>
          <w:p w14:paraId="7273A55A"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599B6774"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39DCAD6D"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61F5F1BB"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49E0961F" w14:textId="77777777" w:rsidTr="00507E84">
        <w:trPr>
          <w:trHeight w:val="255"/>
        </w:trPr>
        <w:tc>
          <w:tcPr>
            <w:tcW w:w="6348" w:type="dxa"/>
            <w:tcBorders>
              <w:top w:val="nil"/>
              <w:left w:val="single" w:sz="4" w:space="0" w:color="auto"/>
              <w:bottom w:val="single" w:sz="4" w:space="0" w:color="auto"/>
              <w:right w:val="single" w:sz="4" w:space="0" w:color="auto"/>
            </w:tcBorders>
          </w:tcPr>
          <w:p w14:paraId="5A7487F0" w14:textId="77777777" w:rsidR="00507E84" w:rsidRPr="00507E84" w:rsidRDefault="00507E84" w:rsidP="00507E84">
            <w:pPr>
              <w:rPr>
                <w:rFonts w:ascii="Times New Roman" w:hAnsi="Times New Roman" w:cs="Times New Roman"/>
                <w:b/>
                <w:bCs/>
                <w:sz w:val="20"/>
                <w:szCs w:val="20"/>
                <w:lang w:eastAsia="sk-SK"/>
              </w:rPr>
            </w:pPr>
            <w:r w:rsidRPr="00507E84">
              <w:rPr>
                <w:rFonts w:ascii="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438FF859"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rPr>
              <w:t>0</w:t>
            </w:r>
          </w:p>
        </w:tc>
        <w:tc>
          <w:tcPr>
            <w:tcW w:w="1650" w:type="dxa"/>
            <w:tcBorders>
              <w:top w:val="nil"/>
              <w:left w:val="nil"/>
              <w:bottom w:val="single" w:sz="4" w:space="0" w:color="auto"/>
              <w:right w:val="single" w:sz="4" w:space="0" w:color="auto"/>
            </w:tcBorders>
            <w:shd w:val="clear" w:color="auto" w:fill="auto"/>
          </w:tcPr>
          <w:p w14:paraId="05375955"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shd w:val="clear" w:color="auto" w:fill="auto"/>
          </w:tcPr>
          <w:p w14:paraId="376AD40B"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shd w:val="clear" w:color="auto" w:fill="auto"/>
          </w:tcPr>
          <w:p w14:paraId="18556C63"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202BC2E5"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2F1BC35E" w14:textId="77777777" w:rsidTr="00507E84">
        <w:trPr>
          <w:trHeight w:val="255"/>
        </w:trPr>
        <w:tc>
          <w:tcPr>
            <w:tcW w:w="6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EBEF50" w14:textId="77777777" w:rsidR="00507E84" w:rsidRPr="00507E84" w:rsidRDefault="00507E84" w:rsidP="00507E84">
            <w:pPr>
              <w:rPr>
                <w:rFonts w:ascii="Times New Roman" w:hAnsi="Times New Roman" w:cs="Times New Roman"/>
                <w:b/>
                <w:bCs/>
                <w:sz w:val="20"/>
                <w:szCs w:val="20"/>
                <w:lang w:eastAsia="sk-SK"/>
              </w:rPr>
            </w:pPr>
            <w:r w:rsidRPr="00507E84">
              <w:rPr>
                <w:rFonts w:ascii="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4148B7EA"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b/>
                <w:bCs/>
              </w:rPr>
              <w:t>335 000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1DC45C69"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b/>
                <w:bCs/>
              </w:rPr>
              <w:t>167 900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1119D7CD"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7789B08"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sz w:val="20"/>
                <w:lang w:eastAsia="sk-SK"/>
              </w:rPr>
              <w:t>0</w:t>
            </w:r>
          </w:p>
        </w:tc>
        <w:tc>
          <w:tcPr>
            <w:tcW w:w="1476"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8E0474A"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bookmarkEnd w:id="2"/>
      <w:tr w:rsidR="00507E84" w:rsidRPr="00507E84" w14:paraId="0E35CF60" w14:textId="77777777" w:rsidTr="00507E84">
        <w:trPr>
          <w:cantSplit/>
          <w:trHeight w:val="255"/>
        </w:trPr>
        <w:tc>
          <w:tcPr>
            <w:tcW w:w="6348"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5722ACB0"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b/>
                <w:bCs/>
                <w:sz w:val="20"/>
                <w:szCs w:val="20"/>
                <w:lang w:eastAsia="sk-SK"/>
              </w:rPr>
              <w:t>Výdavky (v eurách) - NBÚ</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847B6F9"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b/>
                <w:bCs/>
                <w:sz w:val="20"/>
                <w:szCs w:val="20"/>
                <w:lang w:eastAsia="sk-SK"/>
              </w:rPr>
              <w:t>Vplyv na rozpočet verejnej správy</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24362E6"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poznámka</w:t>
            </w:r>
          </w:p>
        </w:tc>
      </w:tr>
      <w:tr w:rsidR="00507E84" w:rsidRPr="00507E84" w14:paraId="5E9A0686" w14:textId="77777777" w:rsidTr="00507E84">
        <w:trPr>
          <w:cantSplit/>
          <w:trHeight w:val="255"/>
        </w:trPr>
        <w:tc>
          <w:tcPr>
            <w:tcW w:w="6348" w:type="dxa"/>
            <w:vMerge/>
            <w:tcBorders>
              <w:top w:val="single" w:sz="4" w:space="0" w:color="auto"/>
              <w:left w:val="single" w:sz="4" w:space="0" w:color="auto"/>
              <w:bottom w:val="single" w:sz="4" w:space="0" w:color="000000"/>
              <w:right w:val="single" w:sz="4" w:space="0" w:color="auto"/>
            </w:tcBorders>
            <w:vAlign w:val="center"/>
          </w:tcPr>
          <w:p w14:paraId="416143BB" w14:textId="77777777" w:rsidR="00507E84" w:rsidRPr="00507E84" w:rsidRDefault="00507E84" w:rsidP="00507E84">
            <w:pPr>
              <w:rPr>
                <w:rFonts w:ascii="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14:paraId="4B703D11"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b/>
                <w:bCs/>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14:paraId="2BE390BD"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b/>
                <w:bCs/>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54347B26"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b/>
                <w:bCs/>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7C654E7F"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2028</w:t>
            </w:r>
          </w:p>
        </w:tc>
        <w:tc>
          <w:tcPr>
            <w:tcW w:w="1476" w:type="dxa"/>
            <w:vMerge/>
            <w:tcBorders>
              <w:top w:val="single" w:sz="4" w:space="0" w:color="auto"/>
              <w:left w:val="single" w:sz="4" w:space="0" w:color="auto"/>
              <w:bottom w:val="single" w:sz="4" w:space="0" w:color="auto"/>
              <w:right w:val="single" w:sz="4" w:space="0" w:color="auto"/>
            </w:tcBorders>
            <w:vAlign w:val="center"/>
          </w:tcPr>
          <w:p w14:paraId="55815B57" w14:textId="77777777" w:rsidR="00507E84" w:rsidRPr="00507E84" w:rsidRDefault="00507E84" w:rsidP="00507E84">
            <w:pPr>
              <w:rPr>
                <w:rFonts w:ascii="Times New Roman" w:hAnsi="Times New Roman" w:cs="Times New Roman"/>
                <w:b/>
                <w:bCs/>
                <w:color w:val="FFFFFF"/>
                <w:lang w:eastAsia="sk-SK"/>
              </w:rPr>
            </w:pPr>
          </w:p>
        </w:tc>
      </w:tr>
      <w:tr w:rsidR="00507E84" w:rsidRPr="00507E84" w14:paraId="2DD105E4" w14:textId="77777777" w:rsidTr="00507E84">
        <w:trPr>
          <w:trHeight w:val="255"/>
        </w:trPr>
        <w:tc>
          <w:tcPr>
            <w:tcW w:w="6348" w:type="dxa"/>
            <w:tcBorders>
              <w:top w:val="nil"/>
              <w:left w:val="single" w:sz="4" w:space="0" w:color="auto"/>
              <w:bottom w:val="single" w:sz="4" w:space="0" w:color="auto"/>
              <w:right w:val="single" w:sz="4" w:space="0" w:color="auto"/>
            </w:tcBorders>
          </w:tcPr>
          <w:p w14:paraId="55F92E6D" w14:textId="77777777" w:rsidR="00507E84" w:rsidRPr="00507E84" w:rsidRDefault="00507E84" w:rsidP="00507E84">
            <w:pPr>
              <w:rPr>
                <w:rFonts w:ascii="Times New Roman" w:hAnsi="Times New Roman" w:cs="Times New Roman"/>
                <w:b/>
                <w:bCs/>
                <w:sz w:val="20"/>
                <w:szCs w:val="20"/>
                <w:lang w:eastAsia="sk-SK"/>
              </w:rPr>
            </w:pPr>
            <w:r w:rsidRPr="00507E84">
              <w:rPr>
                <w:rFonts w:ascii="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5376ED14"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335 000</w:t>
            </w:r>
          </w:p>
        </w:tc>
        <w:tc>
          <w:tcPr>
            <w:tcW w:w="1650" w:type="dxa"/>
            <w:tcBorders>
              <w:top w:val="nil"/>
              <w:left w:val="nil"/>
              <w:bottom w:val="single" w:sz="4" w:space="0" w:color="auto"/>
              <w:right w:val="single" w:sz="4" w:space="0" w:color="auto"/>
            </w:tcBorders>
          </w:tcPr>
          <w:p w14:paraId="1471FE2C"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167 900</w:t>
            </w:r>
          </w:p>
        </w:tc>
        <w:tc>
          <w:tcPr>
            <w:tcW w:w="1540" w:type="dxa"/>
            <w:tcBorders>
              <w:top w:val="nil"/>
              <w:left w:val="nil"/>
              <w:bottom w:val="single" w:sz="4" w:space="0" w:color="auto"/>
              <w:right w:val="single" w:sz="4" w:space="0" w:color="auto"/>
            </w:tcBorders>
          </w:tcPr>
          <w:p w14:paraId="743092A8"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06772B79"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24CB7EED"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7DEDA221" w14:textId="77777777" w:rsidTr="00507E84">
        <w:trPr>
          <w:trHeight w:val="255"/>
        </w:trPr>
        <w:tc>
          <w:tcPr>
            <w:tcW w:w="6348" w:type="dxa"/>
            <w:tcBorders>
              <w:top w:val="nil"/>
              <w:left w:val="single" w:sz="4" w:space="0" w:color="auto"/>
              <w:bottom w:val="single" w:sz="4" w:space="0" w:color="auto"/>
              <w:right w:val="single" w:sz="4" w:space="0" w:color="auto"/>
            </w:tcBorders>
          </w:tcPr>
          <w:p w14:paraId="46DBD3B8" w14:textId="77777777" w:rsidR="00507E84" w:rsidRPr="00507E84" w:rsidRDefault="00507E84" w:rsidP="00507E84">
            <w:pPr>
              <w:rPr>
                <w:rFonts w:ascii="Times New Roman" w:hAnsi="Times New Roman" w:cs="Times New Roman"/>
                <w:sz w:val="20"/>
                <w:szCs w:val="20"/>
                <w:lang w:eastAsia="sk-SK"/>
              </w:rPr>
            </w:pPr>
            <w:r w:rsidRPr="00507E84">
              <w:rPr>
                <w:rFonts w:ascii="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7A561627"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113 699</w:t>
            </w:r>
          </w:p>
        </w:tc>
        <w:tc>
          <w:tcPr>
            <w:tcW w:w="1650" w:type="dxa"/>
            <w:tcBorders>
              <w:top w:val="nil"/>
              <w:left w:val="nil"/>
              <w:bottom w:val="single" w:sz="4" w:space="0" w:color="auto"/>
              <w:right w:val="single" w:sz="4" w:space="0" w:color="auto"/>
            </w:tcBorders>
          </w:tcPr>
          <w:p w14:paraId="539CCDFA"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56 985</w:t>
            </w:r>
          </w:p>
        </w:tc>
        <w:tc>
          <w:tcPr>
            <w:tcW w:w="1540" w:type="dxa"/>
            <w:tcBorders>
              <w:top w:val="nil"/>
              <w:left w:val="nil"/>
              <w:bottom w:val="single" w:sz="4" w:space="0" w:color="auto"/>
              <w:right w:val="single" w:sz="4" w:space="0" w:color="auto"/>
            </w:tcBorders>
          </w:tcPr>
          <w:p w14:paraId="4196DABE"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53528C94"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20E7F6A3"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2260F476" w14:textId="77777777" w:rsidTr="00507E84">
        <w:trPr>
          <w:trHeight w:val="255"/>
        </w:trPr>
        <w:tc>
          <w:tcPr>
            <w:tcW w:w="6348" w:type="dxa"/>
            <w:tcBorders>
              <w:top w:val="nil"/>
              <w:left w:val="single" w:sz="4" w:space="0" w:color="auto"/>
              <w:bottom w:val="single" w:sz="4" w:space="0" w:color="auto"/>
              <w:right w:val="single" w:sz="4" w:space="0" w:color="auto"/>
            </w:tcBorders>
          </w:tcPr>
          <w:p w14:paraId="2071C0CE" w14:textId="77777777" w:rsidR="00507E84" w:rsidRPr="00507E84" w:rsidRDefault="00507E84" w:rsidP="00507E84">
            <w:pPr>
              <w:rPr>
                <w:rFonts w:ascii="Times New Roman" w:hAnsi="Times New Roman" w:cs="Times New Roman"/>
                <w:sz w:val="20"/>
                <w:szCs w:val="20"/>
                <w:vertAlign w:val="superscript"/>
                <w:lang w:eastAsia="sk-SK"/>
              </w:rPr>
            </w:pPr>
            <w:r w:rsidRPr="00507E84">
              <w:rPr>
                <w:rFonts w:ascii="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46FE5934"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88 074</w:t>
            </w:r>
          </w:p>
        </w:tc>
        <w:tc>
          <w:tcPr>
            <w:tcW w:w="1650" w:type="dxa"/>
            <w:tcBorders>
              <w:top w:val="nil"/>
              <w:left w:val="nil"/>
              <w:bottom w:val="single" w:sz="4" w:space="0" w:color="auto"/>
              <w:right w:val="single" w:sz="4" w:space="0" w:color="auto"/>
            </w:tcBorders>
          </w:tcPr>
          <w:p w14:paraId="26B10CD7"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44 142</w:t>
            </w:r>
          </w:p>
        </w:tc>
        <w:tc>
          <w:tcPr>
            <w:tcW w:w="1540" w:type="dxa"/>
            <w:tcBorders>
              <w:top w:val="nil"/>
              <w:left w:val="nil"/>
              <w:bottom w:val="single" w:sz="4" w:space="0" w:color="auto"/>
              <w:right w:val="single" w:sz="4" w:space="0" w:color="auto"/>
            </w:tcBorders>
          </w:tcPr>
          <w:p w14:paraId="71464BA0"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30D029D2"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3CE117F5"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50B5DC48" w14:textId="77777777" w:rsidTr="00507E84">
        <w:trPr>
          <w:trHeight w:val="255"/>
        </w:trPr>
        <w:tc>
          <w:tcPr>
            <w:tcW w:w="6348" w:type="dxa"/>
            <w:tcBorders>
              <w:top w:val="nil"/>
              <w:left w:val="single" w:sz="4" w:space="0" w:color="auto"/>
              <w:bottom w:val="single" w:sz="4" w:space="0" w:color="auto"/>
              <w:right w:val="single" w:sz="4" w:space="0" w:color="auto"/>
            </w:tcBorders>
          </w:tcPr>
          <w:p w14:paraId="7C8F2044" w14:textId="77777777" w:rsidR="00507E84" w:rsidRPr="00507E84" w:rsidRDefault="00507E84" w:rsidP="00507E84">
            <w:pPr>
              <w:rPr>
                <w:rFonts w:ascii="Times New Roman" w:hAnsi="Times New Roman" w:cs="Times New Roman"/>
                <w:sz w:val="20"/>
                <w:szCs w:val="20"/>
                <w:vertAlign w:val="superscript"/>
                <w:lang w:eastAsia="sk-SK"/>
              </w:rPr>
            </w:pPr>
            <w:r w:rsidRPr="00507E84">
              <w:rPr>
                <w:rFonts w:ascii="Times New Roman" w:hAnsi="Times New Roman" w:cs="Times New Roman"/>
                <w:sz w:val="20"/>
                <w:szCs w:val="20"/>
                <w:lang w:eastAsia="sk-SK"/>
              </w:rPr>
              <w:t xml:space="preserve">  Tovary a služby (630)</w:t>
            </w:r>
            <w:r w:rsidRPr="00507E84">
              <w:rPr>
                <w:rFonts w:ascii="Times New Roman" w:hAnsi="Times New Roman" w:cs="Times New Roman"/>
                <w:sz w:val="20"/>
                <w:szCs w:val="20"/>
                <w:vertAlign w:val="superscript"/>
                <w:lang w:eastAsia="sk-SK"/>
              </w:rPr>
              <w:t xml:space="preserve">2 </w:t>
            </w:r>
            <w:r w:rsidRPr="00507E84">
              <w:rPr>
                <w:rFonts w:ascii="Times New Roman" w:hAnsi="Times New Roman" w:cs="Times New Roman"/>
                <w:sz w:val="20"/>
                <w:szCs w:val="20"/>
                <w:lang w:eastAsia="sk-SK"/>
              </w:rPr>
              <w:t>635009</w:t>
            </w:r>
          </w:p>
        </w:tc>
        <w:tc>
          <w:tcPr>
            <w:tcW w:w="1430" w:type="dxa"/>
            <w:tcBorders>
              <w:top w:val="nil"/>
              <w:left w:val="nil"/>
              <w:bottom w:val="single" w:sz="4" w:space="0" w:color="auto"/>
              <w:right w:val="single" w:sz="4" w:space="0" w:color="auto"/>
            </w:tcBorders>
          </w:tcPr>
          <w:p w14:paraId="19D5C2E6"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133 227</w:t>
            </w:r>
          </w:p>
        </w:tc>
        <w:tc>
          <w:tcPr>
            <w:tcW w:w="1650" w:type="dxa"/>
            <w:tcBorders>
              <w:top w:val="nil"/>
              <w:left w:val="nil"/>
              <w:bottom w:val="single" w:sz="4" w:space="0" w:color="auto"/>
              <w:right w:val="single" w:sz="4" w:space="0" w:color="auto"/>
            </w:tcBorders>
          </w:tcPr>
          <w:p w14:paraId="38A29E23"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66 773</w:t>
            </w:r>
          </w:p>
        </w:tc>
        <w:tc>
          <w:tcPr>
            <w:tcW w:w="1540" w:type="dxa"/>
            <w:tcBorders>
              <w:top w:val="nil"/>
              <w:left w:val="nil"/>
              <w:bottom w:val="single" w:sz="4" w:space="0" w:color="auto"/>
              <w:right w:val="single" w:sz="4" w:space="0" w:color="auto"/>
            </w:tcBorders>
          </w:tcPr>
          <w:p w14:paraId="5199817A"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0908FA38"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3873E21A"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30EEDBFC" w14:textId="77777777" w:rsidTr="00507E84">
        <w:trPr>
          <w:trHeight w:val="255"/>
        </w:trPr>
        <w:tc>
          <w:tcPr>
            <w:tcW w:w="6348" w:type="dxa"/>
            <w:tcBorders>
              <w:top w:val="nil"/>
              <w:left w:val="single" w:sz="4" w:space="0" w:color="auto"/>
              <w:bottom w:val="single" w:sz="4" w:space="0" w:color="auto"/>
              <w:right w:val="single" w:sz="4" w:space="0" w:color="auto"/>
            </w:tcBorders>
          </w:tcPr>
          <w:p w14:paraId="6BD09204" w14:textId="77777777" w:rsidR="00507E84" w:rsidRPr="00507E84" w:rsidRDefault="00507E84" w:rsidP="00507E84">
            <w:pPr>
              <w:rPr>
                <w:rFonts w:ascii="Times New Roman" w:hAnsi="Times New Roman" w:cs="Times New Roman"/>
                <w:sz w:val="20"/>
                <w:szCs w:val="20"/>
                <w:lang w:eastAsia="sk-SK"/>
              </w:rPr>
            </w:pPr>
            <w:r w:rsidRPr="00507E84">
              <w:rPr>
                <w:rFonts w:ascii="Times New Roman" w:hAnsi="Times New Roman" w:cs="Times New Roman"/>
                <w:sz w:val="20"/>
                <w:szCs w:val="20"/>
                <w:lang w:eastAsia="sk-SK"/>
              </w:rPr>
              <w:t xml:space="preserve">  Bežné transfery (640)</w:t>
            </w:r>
            <w:r w:rsidRPr="00507E84">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3B7E97D1"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650" w:type="dxa"/>
            <w:tcBorders>
              <w:top w:val="nil"/>
              <w:left w:val="nil"/>
              <w:bottom w:val="single" w:sz="4" w:space="0" w:color="auto"/>
              <w:right w:val="single" w:sz="4" w:space="0" w:color="auto"/>
            </w:tcBorders>
          </w:tcPr>
          <w:p w14:paraId="02930A37"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5DFB98ED"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182697BD"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1B97FDC3"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4B4ECA35" w14:textId="77777777" w:rsidTr="00507E84">
        <w:trPr>
          <w:trHeight w:val="255"/>
        </w:trPr>
        <w:tc>
          <w:tcPr>
            <w:tcW w:w="6348" w:type="dxa"/>
            <w:tcBorders>
              <w:top w:val="nil"/>
              <w:left w:val="single" w:sz="4" w:space="0" w:color="auto"/>
              <w:bottom w:val="single" w:sz="4" w:space="0" w:color="auto"/>
              <w:right w:val="single" w:sz="4" w:space="0" w:color="auto"/>
            </w:tcBorders>
            <w:vAlign w:val="center"/>
          </w:tcPr>
          <w:p w14:paraId="567A2A96" w14:textId="77777777" w:rsidR="00507E84" w:rsidRPr="00507E84" w:rsidRDefault="00507E84" w:rsidP="00507E84">
            <w:pPr>
              <w:rPr>
                <w:rFonts w:ascii="Times New Roman" w:hAnsi="Times New Roman" w:cs="Times New Roman"/>
                <w:sz w:val="20"/>
                <w:szCs w:val="20"/>
                <w:lang w:eastAsia="sk-SK"/>
              </w:rPr>
            </w:pPr>
            <w:r w:rsidRPr="00507E84">
              <w:rPr>
                <w:rFonts w:ascii="Times New Roman" w:hAnsi="Times New Roman" w:cs="Times New Roman"/>
                <w:sz w:val="20"/>
                <w:szCs w:val="20"/>
                <w:lang w:eastAsia="sk-SK"/>
              </w:rPr>
              <w:t xml:space="preserve">  Splácanie úrokov a ostatné platby súvisiace s </w:t>
            </w:r>
            <w:r w:rsidRPr="00507E84">
              <w:rPr>
                <w:rFonts w:ascii="Times New Roman" w:hAnsi="Times New Roman" w:cs="Times New Roman"/>
              </w:rPr>
              <w:t xml:space="preserve"> </w:t>
            </w:r>
            <w:r w:rsidRPr="00507E84">
              <w:rPr>
                <w:rFonts w:ascii="Times New Roman" w:hAnsi="Times New Roman" w:cs="Times New Roman"/>
                <w:sz w:val="20"/>
                <w:szCs w:val="20"/>
                <w:lang w:eastAsia="sk-SK"/>
              </w:rPr>
              <w:t>úverom, pôžičkou, návratnou finančnou výpomocou a finančným prenájmom (650)</w:t>
            </w:r>
            <w:r w:rsidRPr="00507E84">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7C0A6BE"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650" w:type="dxa"/>
            <w:tcBorders>
              <w:top w:val="nil"/>
              <w:left w:val="nil"/>
              <w:bottom w:val="single" w:sz="4" w:space="0" w:color="auto"/>
              <w:right w:val="single" w:sz="4" w:space="0" w:color="auto"/>
            </w:tcBorders>
          </w:tcPr>
          <w:p w14:paraId="24C9903B"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63AEECAA"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48BA2FAA"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29C37AE7" w14:textId="77777777" w:rsidR="00507E84" w:rsidRPr="00507E84" w:rsidRDefault="00507E84" w:rsidP="00507E84">
            <w:pPr>
              <w:rPr>
                <w:rFonts w:ascii="Times New Roman" w:hAnsi="Times New Roman" w:cs="Times New Roman"/>
                <w:lang w:eastAsia="sk-SK"/>
              </w:rPr>
            </w:pPr>
          </w:p>
        </w:tc>
      </w:tr>
      <w:tr w:rsidR="00507E84" w:rsidRPr="00507E84" w14:paraId="0D07A5DD" w14:textId="77777777" w:rsidTr="00507E84">
        <w:trPr>
          <w:trHeight w:val="255"/>
        </w:trPr>
        <w:tc>
          <w:tcPr>
            <w:tcW w:w="6348" w:type="dxa"/>
            <w:tcBorders>
              <w:top w:val="nil"/>
              <w:left w:val="single" w:sz="4" w:space="0" w:color="auto"/>
              <w:bottom w:val="single" w:sz="4" w:space="0" w:color="auto"/>
              <w:right w:val="single" w:sz="4" w:space="0" w:color="auto"/>
            </w:tcBorders>
          </w:tcPr>
          <w:p w14:paraId="28B02860" w14:textId="77777777" w:rsidR="00507E84" w:rsidRPr="00507E84" w:rsidRDefault="00507E84" w:rsidP="00507E84">
            <w:pPr>
              <w:rPr>
                <w:rFonts w:ascii="Times New Roman" w:hAnsi="Times New Roman" w:cs="Times New Roman"/>
                <w:b/>
                <w:bCs/>
                <w:sz w:val="20"/>
                <w:szCs w:val="20"/>
                <w:lang w:eastAsia="sk-SK"/>
              </w:rPr>
            </w:pPr>
            <w:r w:rsidRPr="00507E84">
              <w:rPr>
                <w:rFonts w:ascii="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0909AB8B"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rPr>
              <w:t>0</w:t>
            </w:r>
          </w:p>
        </w:tc>
        <w:tc>
          <w:tcPr>
            <w:tcW w:w="1650" w:type="dxa"/>
            <w:tcBorders>
              <w:top w:val="nil"/>
              <w:left w:val="nil"/>
              <w:bottom w:val="single" w:sz="4" w:space="0" w:color="auto"/>
              <w:right w:val="single" w:sz="4" w:space="0" w:color="auto"/>
            </w:tcBorders>
          </w:tcPr>
          <w:p w14:paraId="53069D9B"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3FD9204C"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07B8C70C"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56B8DD1E"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66E4BF76" w14:textId="77777777" w:rsidTr="00507E84">
        <w:trPr>
          <w:trHeight w:val="255"/>
        </w:trPr>
        <w:tc>
          <w:tcPr>
            <w:tcW w:w="6348" w:type="dxa"/>
            <w:tcBorders>
              <w:top w:val="nil"/>
              <w:left w:val="single" w:sz="4" w:space="0" w:color="auto"/>
              <w:bottom w:val="single" w:sz="4" w:space="0" w:color="auto"/>
              <w:right w:val="single" w:sz="4" w:space="0" w:color="auto"/>
            </w:tcBorders>
          </w:tcPr>
          <w:p w14:paraId="7972BA37" w14:textId="77777777" w:rsidR="00507E84" w:rsidRPr="00507E84" w:rsidRDefault="00507E84" w:rsidP="00507E84">
            <w:pPr>
              <w:rPr>
                <w:rFonts w:ascii="Times New Roman" w:hAnsi="Times New Roman" w:cs="Times New Roman"/>
                <w:sz w:val="20"/>
                <w:szCs w:val="20"/>
                <w:lang w:eastAsia="sk-SK"/>
              </w:rPr>
            </w:pPr>
            <w:r w:rsidRPr="00507E84">
              <w:rPr>
                <w:rFonts w:ascii="Times New Roman" w:hAnsi="Times New Roman" w:cs="Times New Roman"/>
                <w:sz w:val="20"/>
                <w:szCs w:val="20"/>
                <w:lang w:eastAsia="sk-SK"/>
              </w:rPr>
              <w:t xml:space="preserve">  Obstarávanie kapitálových aktív (710)</w:t>
            </w:r>
            <w:r w:rsidRPr="00507E84">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15ED341"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650" w:type="dxa"/>
            <w:tcBorders>
              <w:top w:val="nil"/>
              <w:left w:val="nil"/>
              <w:bottom w:val="single" w:sz="4" w:space="0" w:color="auto"/>
              <w:right w:val="single" w:sz="4" w:space="0" w:color="auto"/>
            </w:tcBorders>
          </w:tcPr>
          <w:p w14:paraId="6DDB4771"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1050AA4C"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01A1DCFC"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39A76BF1"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5215988D" w14:textId="77777777" w:rsidTr="00507E84">
        <w:trPr>
          <w:trHeight w:val="255"/>
        </w:trPr>
        <w:tc>
          <w:tcPr>
            <w:tcW w:w="6348" w:type="dxa"/>
            <w:tcBorders>
              <w:top w:val="nil"/>
              <w:left w:val="single" w:sz="4" w:space="0" w:color="auto"/>
              <w:bottom w:val="single" w:sz="4" w:space="0" w:color="auto"/>
              <w:right w:val="single" w:sz="4" w:space="0" w:color="auto"/>
            </w:tcBorders>
          </w:tcPr>
          <w:p w14:paraId="7091FF09" w14:textId="77777777" w:rsidR="00507E84" w:rsidRPr="00507E84" w:rsidRDefault="00507E84" w:rsidP="00507E84">
            <w:pPr>
              <w:rPr>
                <w:rFonts w:ascii="Times New Roman" w:hAnsi="Times New Roman" w:cs="Times New Roman"/>
                <w:sz w:val="20"/>
                <w:szCs w:val="20"/>
                <w:lang w:eastAsia="sk-SK"/>
              </w:rPr>
            </w:pPr>
            <w:r w:rsidRPr="00507E84">
              <w:rPr>
                <w:rFonts w:ascii="Times New Roman" w:hAnsi="Times New Roman" w:cs="Times New Roman"/>
                <w:sz w:val="20"/>
                <w:szCs w:val="20"/>
                <w:lang w:eastAsia="sk-SK"/>
              </w:rPr>
              <w:t xml:space="preserve">  Kapitálové transfery (720)</w:t>
            </w:r>
            <w:r w:rsidRPr="00507E84">
              <w:rPr>
                <w:rFonts w:ascii="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BF1EF10"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650" w:type="dxa"/>
            <w:tcBorders>
              <w:top w:val="nil"/>
              <w:left w:val="nil"/>
              <w:bottom w:val="single" w:sz="4" w:space="0" w:color="auto"/>
              <w:right w:val="single" w:sz="4" w:space="0" w:color="auto"/>
            </w:tcBorders>
          </w:tcPr>
          <w:p w14:paraId="7B6CF6C6"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1E441274" w14:textId="77777777" w:rsidR="00507E84" w:rsidRPr="00507E84" w:rsidRDefault="00507E84" w:rsidP="00507E84">
            <w:pPr>
              <w:jc w:val="center"/>
              <w:rPr>
                <w:rFonts w:ascii="Times New Roman" w:hAnsi="Times New Roman" w:cs="Times New Roman"/>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tcPr>
          <w:p w14:paraId="34849DD2"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5EA7452C"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7554E969" w14:textId="77777777" w:rsidTr="00507E84">
        <w:trPr>
          <w:trHeight w:val="255"/>
        </w:trPr>
        <w:tc>
          <w:tcPr>
            <w:tcW w:w="6348" w:type="dxa"/>
            <w:tcBorders>
              <w:top w:val="nil"/>
              <w:left w:val="single" w:sz="4" w:space="0" w:color="auto"/>
              <w:bottom w:val="single" w:sz="4" w:space="0" w:color="auto"/>
              <w:right w:val="single" w:sz="4" w:space="0" w:color="auto"/>
            </w:tcBorders>
          </w:tcPr>
          <w:p w14:paraId="218A44D2" w14:textId="77777777" w:rsidR="00507E84" w:rsidRPr="00507E84" w:rsidRDefault="00507E84" w:rsidP="00507E84">
            <w:pPr>
              <w:rPr>
                <w:rFonts w:ascii="Times New Roman" w:hAnsi="Times New Roman" w:cs="Times New Roman"/>
                <w:b/>
                <w:bCs/>
                <w:sz w:val="20"/>
                <w:szCs w:val="20"/>
                <w:lang w:eastAsia="sk-SK"/>
              </w:rPr>
            </w:pPr>
            <w:r w:rsidRPr="00507E84">
              <w:rPr>
                <w:rFonts w:ascii="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507EFFD5"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rPr>
              <w:t>0</w:t>
            </w:r>
          </w:p>
        </w:tc>
        <w:tc>
          <w:tcPr>
            <w:tcW w:w="1650" w:type="dxa"/>
            <w:tcBorders>
              <w:top w:val="nil"/>
              <w:left w:val="nil"/>
              <w:bottom w:val="single" w:sz="4" w:space="0" w:color="auto"/>
              <w:right w:val="single" w:sz="4" w:space="0" w:color="auto"/>
            </w:tcBorders>
            <w:shd w:val="clear" w:color="auto" w:fill="auto"/>
          </w:tcPr>
          <w:p w14:paraId="33297C86"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shd w:val="clear" w:color="auto" w:fill="auto"/>
          </w:tcPr>
          <w:p w14:paraId="599AFAF8"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rPr>
              <w:t>0</w:t>
            </w:r>
          </w:p>
        </w:tc>
        <w:tc>
          <w:tcPr>
            <w:tcW w:w="1540" w:type="dxa"/>
            <w:tcBorders>
              <w:top w:val="nil"/>
              <w:left w:val="nil"/>
              <w:bottom w:val="single" w:sz="4" w:space="0" w:color="auto"/>
              <w:right w:val="single" w:sz="4" w:space="0" w:color="auto"/>
            </w:tcBorders>
            <w:shd w:val="clear" w:color="auto" w:fill="auto"/>
          </w:tcPr>
          <w:p w14:paraId="299AD137"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rPr>
              <w:t>0</w:t>
            </w:r>
          </w:p>
        </w:tc>
        <w:tc>
          <w:tcPr>
            <w:tcW w:w="1476" w:type="dxa"/>
            <w:tcBorders>
              <w:top w:val="nil"/>
              <w:left w:val="nil"/>
              <w:bottom w:val="single" w:sz="4" w:space="0" w:color="auto"/>
              <w:right w:val="single" w:sz="4" w:space="0" w:color="auto"/>
            </w:tcBorders>
            <w:noWrap/>
            <w:vAlign w:val="bottom"/>
          </w:tcPr>
          <w:p w14:paraId="3358EBA5"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3E92A355" w14:textId="77777777" w:rsidTr="00507E84">
        <w:trPr>
          <w:trHeight w:val="255"/>
        </w:trPr>
        <w:tc>
          <w:tcPr>
            <w:tcW w:w="6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8B647E" w14:textId="77777777" w:rsidR="00507E84" w:rsidRPr="00507E84" w:rsidRDefault="00507E84" w:rsidP="00507E84">
            <w:pPr>
              <w:rPr>
                <w:rFonts w:ascii="Times New Roman" w:hAnsi="Times New Roman" w:cs="Times New Roman"/>
                <w:b/>
                <w:bCs/>
                <w:sz w:val="20"/>
                <w:szCs w:val="20"/>
                <w:lang w:eastAsia="sk-SK"/>
              </w:rPr>
            </w:pPr>
            <w:r w:rsidRPr="00507E84">
              <w:rPr>
                <w:rFonts w:ascii="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5F9B1FA5"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b/>
                <w:bCs/>
              </w:rPr>
              <w:t>335 000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5D19F008"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b/>
                <w:bCs/>
              </w:rPr>
              <w:t>167 900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71A3CBF" w14:textId="77777777" w:rsidR="00507E84" w:rsidRPr="00507E84" w:rsidRDefault="00507E84" w:rsidP="00507E84">
            <w:pPr>
              <w:jc w:val="center"/>
              <w:rPr>
                <w:rFonts w:ascii="Times New Roman" w:hAnsi="Times New Roman" w:cs="Times New Roman"/>
                <w:b/>
                <w:bCs/>
                <w:sz w:val="20"/>
                <w:szCs w:val="20"/>
                <w:lang w:eastAsia="sk-SK"/>
              </w:rPr>
            </w:pPr>
            <w:r w:rsidRPr="00507E84">
              <w:rPr>
                <w:rFonts w:ascii="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4993D0F"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sz w:val="20"/>
                <w:lang w:eastAsia="sk-SK"/>
              </w:rPr>
              <w:t>0</w:t>
            </w:r>
          </w:p>
        </w:tc>
        <w:tc>
          <w:tcPr>
            <w:tcW w:w="1476"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5C841D7"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bl>
    <w:p w14:paraId="1A90BFA2" w14:textId="77777777" w:rsidR="00507E84" w:rsidRPr="00507E84" w:rsidRDefault="00507E84" w:rsidP="00507E84">
      <w:pPr>
        <w:tabs>
          <w:tab w:val="num" w:pos="1080"/>
        </w:tabs>
        <w:ind w:left="-900"/>
        <w:jc w:val="both"/>
        <w:rPr>
          <w:rFonts w:ascii="Times New Roman" w:hAnsi="Times New Roman" w:cs="Times New Roman"/>
          <w:bCs/>
          <w:sz w:val="20"/>
          <w:szCs w:val="20"/>
          <w:lang w:eastAsia="sk-SK"/>
        </w:rPr>
      </w:pPr>
      <w:r w:rsidRPr="00507E84">
        <w:rPr>
          <w:rFonts w:ascii="Times New Roman" w:hAnsi="Times New Roman" w:cs="Times New Roman"/>
          <w:bCs/>
          <w:sz w:val="20"/>
          <w:szCs w:val="20"/>
          <w:lang w:eastAsia="sk-SK"/>
        </w:rPr>
        <w:lastRenderedPageBreak/>
        <w:t xml:space="preserve">  </w:t>
      </w:r>
      <w:r w:rsidRPr="00507E84">
        <w:rPr>
          <w:rFonts w:ascii="Times New Roman" w:hAnsi="Times New Roman" w:cs="Times New Roman"/>
          <w:bCs/>
          <w:sz w:val="20"/>
          <w:szCs w:val="20"/>
          <w:lang w:eastAsia="sk-SK"/>
        </w:rPr>
        <w:tab/>
        <w:t>2 –  výdavky rozpísať až do položiek platnej ekonomickej klasifikácie</w:t>
      </w:r>
    </w:p>
    <w:p w14:paraId="3E1475D4" w14:textId="77777777" w:rsidR="00507E84" w:rsidRPr="00507E84" w:rsidRDefault="00507E84" w:rsidP="00507E84">
      <w:pPr>
        <w:tabs>
          <w:tab w:val="num" w:pos="1080"/>
        </w:tabs>
        <w:ind w:left="-900"/>
        <w:jc w:val="both"/>
        <w:rPr>
          <w:rFonts w:ascii="Times New Roman" w:hAnsi="Times New Roman" w:cs="Times New Roman"/>
          <w:bCs/>
          <w:szCs w:val="20"/>
          <w:lang w:eastAsia="sk-SK"/>
        </w:rPr>
      </w:pPr>
    </w:p>
    <w:p w14:paraId="31F926E6" w14:textId="77777777" w:rsidR="00507E84" w:rsidRPr="00507E84" w:rsidRDefault="00507E84" w:rsidP="00507E84">
      <w:pPr>
        <w:tabs>
          <w:tab w:val="num" w:pos="1080"/>
        </w:tabs>
        <w:jc w:val="both"/>
        <w:rPr>
          <w:rFonts w:ascii="Times New Roman" w:hAnsi="Times New Roman" w:cs="Times New Roman"/>
          <w:b/>
          <w:bCs/>
          <w:sz w:val="20"/>
          <w:szCs w:val="20"/>
          <w:lang w:eastAsia="sk-SK"/>
        </w:rPr>
      </w:pPr>
      <w:r w:rsidRPr="00507E84">
        <w:rPr>
          <w:rFonts w:ascii="Times New Roman" w:hAnsi="Times New Roman" w:cs="Times New Roman"/>
          <w:b/>
          <w:bCs/>
          <w:szCs w:val="20"/>
          <w:lang w:eastAsia="sk-SK"/>
        </w:rPr>
        <w:t xml:space="preserve"> Poznámka:</w:t>
      </w:r>
    </w:p>
    <w:p w14:paraId="3E561A13" w14:textId="77777777" w:rsidR="00507E84" w:rsidRPr="00507E84" w:rsidRDefault="00507E84" w:rsidP="00507E84">
      <w:pPr>
        <w:tabs>
          <w:tab w:val="num" w:pos="1080"/>
        </w:tabs>
        <w:jc w:val="both"/>
        <w:rPr>
          <w:rFonts w:ascii="Times New Roman" w:hAnsi="Times New Roman" w:cs="Times New Roman"/>
          <w:bCs/>
          <w:sz w:val="20"/>
          <w:szCs w:val="20"/>
          <w:lang w:eastAsia="sk-SK"/>
        </w:rPr>
      </w:pPr>
      <w:r w:rsidRPr="00507E84">
        <w:rPr>
          <w:rFonts w:ascii="Times New Roman" w:hAnsi="Times New Roman" w:cs="Times New Roman"/>
          <w:bCs/>
          <w:szCs w:val="20"/>
          <w:lang w:eastAsia="sk-SK"/>
        </w:rPr>
        <w:t xml:space="preserve"> Ak sa vplyv týka viacerých subjektov verejnej správy, vypĺňa sa samostatná tabuľka za každý subjekt.</w:t>
      </w:r>
    </w:p>
    <w:p w14:paraId="0833208D" w14:textId="77777777" w:rsidR="00507E84" w:rsidRPr="00507E84" w:rsidRDefault="00507E84" w:rsidP="00507E84">
      <w:pPr>
        <w:tabs>
          <w:tab w:val="num" w:pos="1080"/>
        </w:tabs>
        <w:jc w:val="both"/>
        <w:rPr>
          <w:rFonts w:ascii="Times New Roman" w:hAnsi="Times New Roman" w:cs="Times New Roman"/>
          <w:bCs/>
          <w:sz w:val="20"/>
          <w:szCs w:val="20"/>
          <w:lang w:eastAsia="sk-SK"/>
        </w:rPr>
      </w:pPr>
    </w:p>
    <w:p w14:paraId="2C7465F0" w14:textId="77777777" w:rsidR="00507E84" w:rsidRPr="00507E84" w:rsidRDefault="00507E84" w:rsidP="00507E84">
      <w:pPr>
        <w:tabs>
          <w:tab w:val="num" w:pos="1080"/>
        </w:tabs>
        <w:jc w:val="both"/>
        <w:rPr>
          <w:rFonts w:ascii="Times New Roman" w:hAnsi="Times New Roman" w:cs="Times New Roman"/>
          <w:b/>
          <w:sz w:val="20"/>
          <w:szCs w:val="20"/>
          <w:lang w:eastAsia="sk-SK"/>
        </w:rPr>
      </w:pPr>
      <w:r w:rsidRPr="00507E84">
        <w:rPr>
          <w:rFonts w:ascii="Times New Roman" w:hAnsi="Times New Roman" w:cs="Times New Roman"/>
          <w:b/>
          <w:sz w:val="20"/>
          <w:szCs w:val="20"/>
          <w:lang w:eastAsia="sk-SK"/>
        </w:rPr>
        <w:t>Bez vplyvu na štátny rozpočet, výdavky sú hradené zo zdrojov EÚ</w:t>
      </w:r>
    </w:p>
    <w:p w14:paraId="343D3B71" w14:textId="77777777" w:rsidR="00507E84" w:rsidRPr="00507E84" w:rsidRDefault="00507E84" w:rsidP="00507E84">
      <w:pPr>
        <w:tabs>
          <w:tab w:val="num" w:pos="1080"/>
        </w:tabs>
        <w:ind w:left="-900"/>
        <w:jc w:val="both"/>
        <w:rPr>
          <w:rFonts w:ascii="Times New Roman" w:hAnsi="Times New Roman" w:cs="Times New Roman"/>
          <w:bCs/>
          <w:sz w:val="20"/>
          <w:szCs w:val="20"/>
          <w:lang w:eastAsia="sk-SK"/>
        </w:rPr>
      </w:pPr>
      <w:r w:rsidRPr="00507E84">
        <w:rPr>
          <w:rFonts w:ascii="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507E84" w:rsidRPr="00507E84" w14:paraId="14B2A3A5" w14:textId="77777777" w:rsidTr="00507E8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2C1E3232"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r w:rsidRPr="00507E84">
              <w:rPr>
                <w:rFonts w:ascii="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D788155"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r w:rsidRPr="00507E84">
              <w:rPr>
                <w:rFonts w:ascii="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3065333" w14:textId="77777777" w:rsidR="00507E84" w:rsidRPr="00507E84" w:rsidRDefault="00507E84" w:rsidP="00507E84">
            <w:pPr>
              <w:jc w:val="center"/>
              <w:rPr>
                <w:rFonts w:ascii="Times New Roman" w:hAnsi="Times New Roman" w:cs="Times New Roman"/>
                <w:b/>
                <w:bCs/>
                <w:color w:val="000000" w:themeColor="text1"/>
                <w:lang w:eastAsia="sk-SK"/>
              </w:rPr>
            </w:pPr>
            <w:r w:rsidRPr="00507E84">
              <w:rPr>
                <w:rFonts w:ascii="Times New Roman" w:hAnsi="Times New Roman" w:cs="Times New Roman"/>
                <w:b/>
                <w:bCs/>
                <w:color w:val="000000" w:themeColor="text1"/>
                <w:lang w:eastAsia="sk-SK"/>
              </w:rPr>
              <w:t>poznámka</w:t>
            </w:r>
          </w:p>
        </w:tc>
      </w:tr>
      <w:tr w:rsidR="00507E84" w:rsidRPr="00507E84" w14:paraId="2C3A16D5" w14:textId="77777777" w:rsidTr="00507E8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43CBBCC" w14:textId="77777777" w:rsidR="00507E84" w:rsidRPr="00507E84" w:rsidRDefault="00507E84" w:rsidP="00507E84">
            <w:pPr>
              <w:rPr>
                <w:rFonts w:ascii="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14:paraId="48FD4631"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r w:rsidRPr="00507E84">
              <w:rPr>
                <w:rFonts w:ascii="Times New Roman" w:hAnsi="Times New Roman" w:cs="Times New Roman"/>
                <w:b/>
                <w:bCs/>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14:paraId="377AB1C6"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r w:rsidRPr="00507E84">
              <w:rPr>
                <w:rFonts w:ascii="Times New Roman" w:hAnsi="Times New Roman" w:cs="Times New Roman"/>
                <w:b/>
                <w:bCs/>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7902C8F3"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r w:rsidRPr="00507E84">
              <w:rPr>
                <w:rFonts w:ascii="Times New Roman" w:hAnsi="Times New Roman" w:cs="Times New Roman"/>
                <w:b/>
                <w:bCs/>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7AE4122D" w14:textId="77777777" w:rsidR="00507E84" w:rsidRPr="00507E84" w:rsidRDefault="00507E84" w:rsidP="00507E84">
            <w:pPr>
              <w:jc w:val="center"/>
              <w:rPr>
                <w:rFonts w:ascii="Times New Roman" w:hAnsi="Times New Roman" w:cs="Times New Roman"/>
                <w:b/>
                <w:bCs/>
                <w:color w:val="000000" w:themeColor="text1"/>
                <w:lang w:eastAsia="sk-SK"/>
              </w:rPr>
            </w:pPr>
            <w:r w:rsidRPr="00507E84">
              <w:rPr>
                <w:rFonts w:ascii="Times New Roman" w:hAnsi="Times New Roman" w:cs="Times New Roman"/>
                <w:b/>
                <w:bCs/>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1A9A4AF3" w14:textId="77777777" w:rsidR="00507E84" w:rsidRPr="00507E84" w:rsidRDefault="00507E84" w:rsidP="00507E84">
            <w:pPr>
              <w:rPr>
                <w:rFonts w:ascii="Times New Roman" w:hAnsi="Times New Roman" w:cs="Times New Roman"/>
                <w:b/>
                <w:bCs/>
                <w:color w:val="000000" w:themeColor="text1"/>
                <w:lang w:eastAsia="sk-SK"/>
              </w:rPr>
            </w:pPr>
          </w:p>
        </w:tc>
      </w:tr>
      <w:tr w:rsidR="00507E84" w:rsidRPr="00507E84" w14:paraId="7900834B" w14:textId="77777777" w:rsidTr="00507E84">
        <w:trPr>
          <w:trHeight w:val="255"/>
        </w:trPr>
        <w:tc>
          <w:tcPr>
            <w:tcW w:w="7070" w:type="dxa"/>
            <w:tcBorders>
              <w:top w:val="nil"/>
              <w:left w:val="single" w:sz="4" w:space="0" w:color="auto"/>
              <w:bottom w:val="single" w:sz="4" w:space="0" w:color="auto"/>
              <w:right w:val="single" w:sz="4" w:space="0" w:color="auto"/>
            </w:tcBorders>
          </w:tcPr>
          <w:p w14:paraId="4B8AB8F4" w14:textId="77777777" w:rsidR="00507E84" w:rsidRPr="00507E84" w:rsidRDefault="00507E84" w:rsidP="00507E84">
            <w:pPr>
              <w:rPr>
                <w:rFonts w:ascii="Times New Roman" w:hAnsi="Times New Roman" w:cs="Times New Roman"/>
                <w:b/>
                <w:bCs/>
                <w:color w:val="000000" w:themeColor="text1"/>
                <w:sz w:val="20"/>
                <w:szCs w:val="20"/>
                <w:lang w:eastAsia="sk-SK"/>
              </w:rPr>
            </w:pPr>
            <w:r w:rsidRPr="00507E84">
              <w:rPr>
                <w:rFonts w:ascii="Times New Roman" w:hAnsi="Times New Roman" w:cs="Times New Roman"/>
                <w:b/>
                <w:bCs/>
                <w:color w:val="000000" w:themeColor="text1"/>
                <w:sz w:val="20"/>
                <w:szCs w:val="20"/>
                <w:lang w:eastAsia="sk-SK"/>
              </w:rPr>
              <w:t>Kapitálové príjmy (230)</w:t>
            </w:r>
          </w:p>
        </w:tc>
        <w:tc>
          <w:tcPr>
            <w:tcW w:w="1430" w:type="dxa"/>
            <w:tcBorders>
              <w:top w:val="single" w:sz="4" w:space="0" w:color="auto"/>
              <w:left w:val="nil"/>
              <w:bottom w:val="single" w:sz="4" w:space="0" w:color="auto"/>
              <w:right w:val="single" w:sz="4" w:space="0" w:color="auto"/>
              <w:tr2bl w:val="single" w:sz="4" w:space="0" w:color="auto"/>
            </w:tcBorders>
          </w:tcPr>
          <w:p w14:paraId="23E63EBC"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p>
        </w:tc>
        <w:tc>
          <w:tcPr>
            <w:tcW w:w="1650" w:type="dxa"/>
            <w:tcBorders>
              <w:top w:val="single" w:sz="4" w:space="0" w:color="auto"/>
              <w:left w:val="nil"/>
              <w:bottom w:val="single" w:sz="4" w:space="0" w:color="auto"/>
              <w:right w:val="single" w:sz="4" w:space="0" w:color="auto"/>
              <w:tr2bl w:val="single" w:sz="4" w:space="0" w:color="auto"/>
            </w:tcBorders>
          </w:tcPr>
          <w:p w14:paraId="530180D2"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7BB7DFE9"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5815F5DD" w14:textId="77777777" w:rsidR="00507E84" w:rsidRPr="00507E84" w:rsidRDefault="00507E84" w:rsidP="00507E84">
            <w:pPr>
              <w:jc w:val="center"/>
              <w:rPr>
                <w:rFonts w:ascii="Times New Roman" w:hAnsi="Times New Roman" w:cs="Times New Roman"/>
                <w:b/>
                <w:bCs/>
                <w:color w:val="000000" w:themeColor="text1"/>
                <w:lang w:eastAsia="sk-SK"/>
              </w:rPr>
            </w:pPr>
          </w:p>
        </w:tc>
        <w:tc>
          <w:tcPr>
            <w:tcW w:w="1649" w:type="dxa"/>
            <w:tcBorders>
              <w:top w:val="single" w:sz="4" w:space="0" w:color="auto"/>
              <w:left w:val="nil"/>
              <w:bottom w:val="single" w:sz="4" w:space="0" w:color="auto"/>
              <w:right w:val="single" w:sz="4" w:space="0" w:color="auto"/>
              <w:tr2bl w:val="single" w:sz="4" w:space="0" w:color="auto"/>
            </w:tcBorders>
            <w:noWrap/>
          </w:tcPr>
          <w:p w14:paraId="5D8601D0" w14:textId="77777777" w:rsidR="00507E84" w:rsidRPr="00507E84" w:rsidRDefault="00507E84" w:rsidP="00507E84">
            <w:pPr>
              <w:rPr>
                <w:rFonts w:ascii="Times New Roman" w:hAnsi="Times New Roman" w:cs="Times New Roman"/>
                <w:color w:val="000000" w:themeColor="text1"/>
                <w:lang w:eastAsia="sk-SK"/>
              </w:rPr>
            </w:pPr>
          </w:p>
        </w:tc>
      </w:tr>
      <w:tr w:rsidR="00507E84" w:rsidRPr="00507E84" w14:paraId="181DD502" w14:textId="77777777" w:rsidTr="00507E84">
        <w:trPr>
          <w:trHeight w:val="255"/>
        </w:trPr>
        <w:tc>
          <w:tcPr>
            <w:tcW w:w="7070" w:type="dxa"/>
            <w:tcBorders>
              <w:top w:val="nil"/>
              <w:left w:val="single" w:sz="4" w:space="0" w:color="auto"/>
              <w:bottom w:val="single" w:sz="4" w:space="0" w:color="auto"/>
              <w:right w:val="single" w:sz="4" w:space="0" w:color="auto"/>
            </w:tcBorders>
          </w:tcPr>
          <w:p w14:paraId="23B9C251" w14:textId="77777777" w:rsidR="00507E84" w:rsidRPr="00507E84" w:rsidRDefault="00507E84" w:rsidP="00507E84">
            <w:pPr>
              <w:rPr>
                <w:rFonts w:ascii="Times New Roman" w:hAnsi="Times New Roman" w:cs="Times New Roman"/>
                <w:b/>
                <w:bCs/>
                <w:color w:val="000000" w:themeColor="text1"/>
                <w:sz w:val="20"/>
                <w:szCs w:val="20"/>
                <w:lang w:eastAsia="sk-SK"/>
              </w:rPr>
            </w:pPr>
            <w:r w:rsidRPr="00507E84">
              <w:rPr>
                <w:rFonts w:ascii="Times New Roman" w:hAnsi="Times New Roman" w:cs="Times New Roman"/>
                <w:b/>
                <w:bCs/>
                <w:color w:val="000000" w:themeColor="text1"/>
                <w:sz w:val="20"/>
                <w:szCs w:val="20"/>
                <w:lang w:eastAsia="sk-SK"/>
              </w:rPr>
              <w:t>Bežné výdavky (600)</w:t>
            </w:r>
          </w:p>
        </w:tc>
        <w:tc>
          <w:tcPr>
            <w:tcW w:w="1430" w:type="dxa"/>
            <w:tcBorders>
              <w:top w:val="single" w:sz="4" w:space="0" w:color="auto"/>
              <w:left w:val="nil"/>
              <w:bottom w:val="single" w:sz="4" w:space="0" w:color="auto"/>
              <w:right w:val="single" w:sz="4" w:space="0" w:color="auto"/>
              <w:tr2bl w:val="single" w:sz="4" w:space="0" w:color="auto"/>
            </w:tcBorders>
          </w:tcPr>
          <w:p w14:paraId="286070D3"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p>
        </w:tc>
        <w:tc>
          <w:tcPr>
            <w:tcW w:w="1650" w:type="dxa"/>
            <w:tcBorders>
              <w:top w:val="single" w:sz="4" w:space="0" w:color="auto"/>
              <w:left w:val="nil"/>
              <w:bottom w:val="single" w:sz="4" w:space="0" w:color="auto"/>
              <w:right w:val="single" w:sz="4" w:space="0" w:color="auto"/>
              <w:tr2bl w:val="single" w:sz="4" w:space="0" w:color="auto"/>
            </w:tcBorders>
          </w:tcPr>
          <w:p w14:paraId="16D50880"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05B3D2AC"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5EA5BE7D" w14:textId="77777777" w:rsidR="00507E84" w:rsidRPr="00507E84" w:rsidRDefault="00507E84" w:rsidP="00507E84">
            <w:pPr>
              <w:jc w:val="center"/>
              <w:rPr>
                <w:rFonts w:ascii="Times New Roman" w:hAnsi="Times New Roman" w:cs="Times New Roman"/>
                <w:b/>
                <w:bCs/>
                <w:color w:val="000000" w:themeColor="text1"/>
                <w:lang w:eastAsia="sk-SK"/>
              </w:rPr>
            </w:pPr>
          </w:p>
        </w:tc>
        <w:tc>
          <w:tcPr>
            <w:tcW w:w="1649" w:type="dxa"/>
            <w:tcBorders>
              <w:top w:val="single" w:sz="4" w:space="0" w:color="auto"/>
              <w:left w:val="nil"/>
              <w:bottom w:val="single" w:sz="4" w:space="0" w:color="auto"/>
              <w:right w:val="single" w:sz="4" w:space="0" w:color="auto"/>
              <w:tr2bl w:val="single" w:sz="4" w:space="0" w:color="auto"/>
            </w:tcBorders>
            <w:noWrap/>
          </w:tcPr>
          <w:p w14:paraId="1789AF7C" w14:textId="77777777" w:rsidR="00507E84" w:rsidRPr="00507E84" w:rsidRDefault="00507E84" w:rsidP="00507E84">
            <w:pPr>
              <w:rPr>
                <w:rFonts w:ascii="Times New Roman" w:hAnsi="Times New Roman" w:cs="Times New Roman"/>
                <w:color w:val="000000" w:themeColor="text1"/>
                <w:lang w:eastAsia="sk-SK"/>
              </w:rPr>
            </w:pPr>
            <w:r w:rsidRPr="00507E84">
              <w:rPr>
                <w:rFonts w:ascii="Times New Roman" w:hAnsi="Times New Roman" w:cs="Times New Roman"/>
                <w:color w:val="000000" w:themeColor="text1"/>
                <w:lang w:eastAsia="sk-SK"/>
              </w:rPr>
              <w:t> </w:t>
            </w:r>
          </w:p>
        </w:tc>
      </w:tr>
      <w:tr w:rsidR="00507E84" w:rsidRPr="00507E84" w14:paraId="41CDC517" w14:textId="77777777" w:rsidTr="00507E84">
        <w:trPr>
          <w:trHeight w:val="255"/>
        </w:trPr>
        <w:tc>
          <w:tcPr>
            <w:tcW w:w="7070" w:type="dxa"/>
            <w:tcBorders>
              <w:top w:val="nil"/>
              <w:left w:val="single" w:sz="4" w:space="0" w:color="auto"/>
              <w:bottom w:val="single" w:sz="4" w:space="0" w:color="auto"/>
              <w:right w:val="single" w:sz="4" w:space="0" w:color="auto"/>
            </w:tcBorders>
          </w:tcPr>
          <w:p w14:paraId="4B81609A" w14:textId="77777777" w:rsidR="00507E84" w:rsidRPr="00507E84" w:rsidRDefault="00507E84" w:rsidP="00507E84">
            <w:pPr>
              <w:rPr>
                <w:rFonts w:ascii="Times New Roman" w:hAnsi="Times New Roman" w:cs="Times New Roman"/>
                <w:color w:val="000000" w:themeColor="text1"/>
                <w:sz w:val="20"/>
                <w:szCs w:val="20"/>
                <w:lang w:eastAsia="sk-SK"/>
              </w:rPr>
            </w:pPr>
            <w:r w:rsidRPr="00507E84">
              <w:rPr>
                <w:rFonts w:ascii="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single" w:sz="4" w:space="0" w:color="auto"/>
              <w:left w:val="nil"/>
              <w:bottom w:val="single" w:sz="4" w:space="0" w:color="auto"/>
              <w:right w:val="single" w:sz="4" w:space="0" w:color="auto"/>
              <w:tr2bl w:val="single" w:sz="4" w:space="0" w:color="auto"/>
            </w:tcBorders>
          </w:tcPr>
          <w:p w14:paraId="3D63DA99"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650" w:type="dxa"/>
            <w:tcBorders>
              <w:top w:val="single" w:sz="4" w:space="0" w:color="auto"/>
              <w:left w:val="nil"/>
              <w:bottom w:val="single" w:sz="4" w:space="0" w:color="auto"/>
              <w:right w:val="single" w:sz="4" w:space="0" w:color="auto"/>
              <w:tr2bl w:val="single" w:sz="4" w:space="0" w:color="auto"/>
            </w:tcBorders>
          </w:tcPr>
          <w:p w14:paraId="3AC5F394"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571E3FFE"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3E89DB33" w14:textId="77777777" w:rsidR="00507E84" w:rsidRPr="00507E84" w:rsidRDefault="00507E84" w:rsidP="00507E84">
            <w:pPr>
              <w:jc w:val="center"/>
              <w:rPr>
                <w:rFonts w:ascii="Times New Roman" w:hAnsi="Times New Roman" w:cs="Times New Roman"/>
                <w:color w:val="000000" w:themeColor="text1"/>
                <w:lang w:eastAsia="sk-SK"/>
              </w:rPr>
            </w:pPr>
          </w:p>
        </w:tc>
        <w:tc>
          <w:tcPr>
            <w:tcW w:w="1649" w:type="dxa"/>
            <w:tcBorders>
              <w:top w:val="single" w:sz="4" w:space="0" w:color="auto"/>
              <w:left w:val="nil"/>
              <w:bottom w:val="single" w:sz="4" w:space="0" w:color="auto"/>
              <w:right w:val="single" w:sz="4" w:space="0" w:color="auto"/>
              <w:tr2bl w:val="single" w:sz="4" w:space="0" w:color="auto"/>
            </w:tcBorders>
            <w:noWrap/>
          </w:tcPr>
          <w:p w14:paraId="49AB0AE5" w14:textId="77777777" w:rsidR="00507E84" w:rsidRPr="00507E84" w:rsidRDefault="00507E84" w:rsidP="00507E84">
            <w:pPr>
              <w:rPr>
                <w:rFonts w:ascii="Times New Roman" w:hAnsi="Times New Roman" w:cs="Times New Roman"/>
                <w:color w:val="000000" w:themeColor="text1"/>
                <w:lang w:eastAsia="sk-SK"/>
              </w:rPr>
            </w:pPr>
            <w:r w:rsidRPr="00507E84">
              <w:rPr>
                <w:rFonts w:ascii="Times New Roman" w:hAnsi="Times New Roman" w:cs="Times New Roman"/>
                <w:color w:val="000000" w:themeColor="text1"/>
                <w:lang w:eastAsia="sk-SK"/>
              </w:rPr>
              <w:t> </w:t>
            </w:r>
          </w:p>
        </w:tc>
      </w:tr>
      <w:tr w:rsidR="00507E84" w:rsidRPr="00507E84" w14:paraId="7999DD36" w14:textId="77777777" w:rsidTr="00507E84">
        <w:trPr>
          <w:trHeight w:val="255"/>
        </w:trPr>
        <w:tc>
          <w:tcPr>
            <w:tcW w:w="7070" w:type="dxa"/>
            <w:tcBorders>
              <w:top w:val="nil"/>
              <w:left w:val="single" w:sz="4" w:space="0" w:color="auto"/>
              <w:bottom w:val="single" w:sz="4" w:space="0" w:color="auto"/>
              <w:right w:val="single" w:sz="4" w:space="0" w:color="auto"/>
            </w:tcBorders>
          </w:tcPr>
          <w:p w14:paraId="0E0ECB4A" w14:textId="77777777" w:rsidR="00507E84" w:rsidRPr="00507E84" w:rsidRDefault="00507E84" w:rsidP="00507E84">
            <w:pPr>
              <w:rPr>
                <w:rFonts w:ascii="Times New Roman" w:hAnsi="Times New Roman" w:cs="Times New Roman"/>
                <w:color w:val="000000" w:themeColor="text1"/>
                <w:sz w:val="20"/>
                <w:szCs w:val="20"/>
                <w:vertAlign w:val="superscript"/>
                <w:lang w:eastAsia="sk-SK"/>
              </w:rPr>
            </w:pPr>
            <w:r w:rsidRPr="00507E84">
              <w:rPr>
                <w:rFonts w:ascii="Times New Roman" w:hAnsi="Times New Roman" w:cs="Times New Roman"/>
                <w:color w:val="000000" w:themeColor="text1"/>
                <w:sz w:val="20"/>
                <w:szCs w:val="20"/>
                <w:lang w:eastAsia="sk-SK"/>
              </w:rPr>
              <w:t xml:space="preserve">  Poistné a príspevok do poisťovní (620)</w:t>
            </w:r>
          </w:p>
        </w:tc>
        <w:tc>
          <w:tcPr>
            <w:tcW w:w="1430" w:type="dxa"/>
            <w:tcBorders>
              <w:top w:val="single" w:sz="4" w:space="0" w:color="auto"/>
              <w:left w:val="nil"/>
              <w:bottom w:val="single" w:sz="4" w:space="0" w:color="auto"/>
              <w:right w:val="single" w:sz="4" w:space="0" w:color="auto"/>
              <w:tr2bl w:val="single" w:sz="4" w:space="0" w:color="auto"/>
            </w:tcBorders>
          </w:tcPr>
          <w:p w14:paraId="689997BE"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650" w:type="dxa"/>
            <w:tcBorders>
              <w:top w:val="single" w:sz="4" w:space="0" w:color="auto"/>
              <w:left w:val="nil"/>
              <w:bottom w:val="single" w:sz="4" w:space="0" w:color="auto"/>
              <w:right w:val="single" w:sz="4" w:space="0" w:color="auto"/>
              <w:tr2bl w:val="single" w:sz="4" w:space="0" w:color="auto"/>
            </w:tcBorders>
          </w:tcPr>
          <w:p w14:paraId="675F4743"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4D3DBD1D"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548CF154" w14:textId="77777777" w:rsidR="00507E84" w:rsidRPr="00507E84" w:rsidRDefault="00507E84" w:rsidP="00507E84">
            <w:pPr>
              <w:jc w:val="center"/>
              <w:rPr>
                <w:rFonts w:ascii="Times New Roman" w:hAnsi="Times New Roman" w:cs="Times New Roman"/>
                <w:color w:val="000000" w:themeColor="text1"/>
                <w:lang w:eastAsia="sk-SK"/>
              </w:rPr>
            </w:pPr>
          </w:p>
        </w:tc>
        <w:tc>
          <w:tcPr>
            <w:tcW w:w="1649" w:type="dxa"/>
            <w:tcBorders>
              <w:top w:val="single" w:sz="4" w:space="0" w:color="auto"/>
              <w:left w:val="nil"/>
              <w:bottom w:val="single" w:sz="4" w:space="0" w:color="auto"/>
              <w:right w:val="single" w:sz="4" w:space="0" w:color="auto"/>
              <w:tr2bl w:val="single" w:sz="4" w:space="0" w:color="auto"/>
            </w:tcBorders>
            <w:noWrap/>
          </w:tcPr>
          <w:p w14:paraId="3E12FDA8" w14:textId="77777777" w:rsidR="00507E84" w:rsidRPr="00507E84" w:rsidRDefault="00507E84" w:rsidP="00507E84">
            <w:pPr>
              <w:rPr>
                <w:rFonts w:ascii="Times New Roman" w:hAnsi="Times New Roman" w:cs="Times New Roman"/>
                <w:color w:val="000000" w:themeColor="text1"/>
                <w:lang w:eastAsia="sk-SK"/>
              </w:rPr>
            </w:pPr>
            <w:r w:rsidRPr="00507E84">
              <w:rPr>
                <w:rFonts w:ascii="Times New Roman" w:hAnsi="Times New Roman" w:cs="Times New Roman"/>
                <w:color w:val="000000" w:themeColor="text1"/>
                <w:lang w:eastAsia="sk-SK"/>
              </w:rPr>
              <w:t> </w:t>
            </w:r>
          </w:p>
        </w:tc>
      </w:tr>
      <w:tr w:rsidR="00507E84" w:rsidRPr="00507E84" w14:paraId="2F8426A5" w14:textId="77777777" w:rsidTr="00507E84">
        <w:trPr>
          <w:trHeight w:val="255"/>
        </w:trPr>
        <w:tc>
          <w:tcPr>
            <w:tcW w:w="7070" w:type="dxa"/>
            <w:tcBorders>
              <w:top w:val="nil"/>
              <w:left w:val="single" w:sz="4" w:space="0" w:color="auto"/>
              <w:bottom w:val="single" w:sz="4" w:space="0" w:color="auto"/>
              <w:right w:val="single" w:sz="4" w:space="0" w:color="auto"/>
            </w:tcBorders>
          </w:tcPr>
          <w:p w14:paraId="1EC84FE3" w14:textId="77777777" w:rsidR="00507E84" w:rsidRPr="00507E84" w:rsidRDefault="00507E84" w:rsidP="00507E84">
            <w:pPr>
              <w:rPr>
                <w:rFonts w:ascii="Times New Roman" w:hAnsi="Times New Roman" w:cs="Times New Roman"/>
                <w:color w:val="000000" w:themeColor="text1"/>
                <w:sz w:val="20"/>
                <w:szCs w:val="20"/>
                <w:vertAlign w:val="superscript"/>
                <w:lang w:eastAsia="sk-SK"/>
              </w:rPr>
            </w:pPr>
            <w:r w:rsidRPr="00507E84">
              <w:rPr>
                <w:rFonts w:ascii="Times New Roman" w:hAnsi="Times New Roman" w:cs="Times New Roman"/>
                <w:color w:val="000000" w:themeColor="text1"/>
                <w:sz w:val="20"/>
                <w:szCs w:val="20"/>
                <w:lang w:eastAsia="sk-SK"/>
              </w:rPr>
              <w:t xml:space="preserve">  Tovary a služby (630)</w:t>
            </w:r>
            <w:r w:rsidRPr="00507E84">
              <w:rPr>
                <w:rFonts w:ascii="Times New Roman" w:hAnsi="Times New Roman" w:cs="Times New Roman"/>
                <w:color w:val="000000" w:themeColor="text1"/>
                <w:sz w:val="20"/>
                <w:szCs w:val="20"/>
                <w:vertAlign w:val="superscript"/>
                <w:lang w:eastAsia="sk-SK"/>
              </w:rPr>
              <w:t>2</w:t>
            </w:r>
          </w:p>
        </w:tc>
        <w:tc>
          <w:tcPr>
            <w:tcW w:w="1430" w:type="dxa"/>
            <w:tcBorders>
              <w:top w:val="single" w:sz="4" w:space="0" w:color="auto"/>
              <w:left w:val="nil"/>
              <w:bottom w:val="single" w:sz="4" w:space="0" w:color="auto"/>
              <w:right w:val="single" w:sz="4" w:space="0" w:color="auto"/>
              <w:tr2bl w:val="single" w:sz="4" w:space="0" w:color="auto"/>
            </w:tcBorders>
          </w:tcPr>
          <w:p w14:paraId="05AD8744"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650" w:type="dxa"/>
            <w:tcBorders>
              <w:top w:val="single" w:sz="4" w:space="0" w:color="auto"/>
              <w:left w:val="nil"/>
              <w:bottom w:val="single" w:sz="4" w:space="0" w:color="auto"/>
              <w:right w:val="single" w:sz="4" w:space="0" w:color="auto"/>
              <w:tr2bl w:val="single" w:sz="4" w:space="0" w:color="auto"/>
            </w:tcBorders>
          </w:tcPr>
          <w:p w14:paraId="6D2B0056"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25B8CBC5"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3D6E0707" w14:textId="77777777" w:rsidR="00507E84" w:rsidRPr="00507E84" w:rsidRDefault="00507E84" w:rsidP="00507E84">
            <w:pPr>
              <w:jc w:val="center"/>
              <w:rPr>
                <w:rFonts w:ascii="Times New Roman" w:hAnsi="Times New Roman" w:cs="Times New Roman"/>
                <w:color w:val="000000" w:themeColor="text1"/>
                <w:lang w:eastAsia="sk-SK"/>
              </w:rPr>
            </w:pPr>
          </w:p>
        </w:tc>
        <w:tc>
          <w:tcPr>
            <w:tcW w:w="1649" w:type="dxa"/>
            <w:tcBorders>
              <w:top w:val="single" w:sz="4" w:space="0" w:color="auto"/>
              <w:left w:val="nil"/>
              <w:bottom w:val="single" w:sz="4" w:space="0" w:color="auto"/>
              <w:right w:val="single" w:sz="4" w:space="0" w:color="auto"/>
              <w:tr2bl w:val="single" w:sz="4" w:space="0" w:color="auto"/>
            </w:tcBorders>
            <w:noWrap/>
          </w:tcPr>
          <w:p w14:paraId="411075CE" w14:textId="77777777" w:rsidR="00507E84" w:rsidRPr="00507E84" w:rsidRDefault="00507E84" w:rsidP="00507E84">
            <w:pPr>
              <w:rPr>
                <w:rFonts w:ascii="Times New Roman" w:hAnsi="Times New Roman" w:cs="Times New Roman"/>
                <w:color w:val="000000" w:themeColor="text1"/>
                <w:lang w:eastAsia="sk-SK"/>
              </w:rPr>
            </w:pPr>
            <w:r w:rsidRPr="00507E84">
              <w:rPr>
                <w:rFonts w:ascii="Times New Roman" w:hAnsi="Times New Roman" w:cs="Times New Roman"/>
                <w:color w:val="000000" w:themeColor="text1"/>
                <w:lang w:eastAsia="sk-SK"/>
              </w:rPr>
              <w:t> </w:t>
            </w:r>
          </w:p>
        </w:tc>
      </w:tr>
      <w:tr w:rsidR="00507E84" w:rsidRPr="00507E84" w14:paraId="02B56449" w14:textId="77777777" w:rsidTr="00507E84">
        <w:trPr>
          <w:trHeight w:val="255"/>
        </w:trPr>
        <w:tc>
          <w:tcPr>
            <w:tcW w:w="7070" w:type="dxa"/>
            <w:tcBorders>
              <w:top w:val="nil"/>
              <w:left w:val="single" w:sz="4" w:space="0" w:color="auto"/>
              <w:bottom w:val="single" w:sz="4" w:space="0" w:color="auto"/>
              <w:right w:val="single" w:sz="4" w:space="0" w:color="auto"/>
            </w:tcBorders>
          </w:tcPr>
          <w:p w14:paraId="7BCB545D" w14:textId="77777777" w:rsidR="00507E84" w:rsidRPr="00507E84" w:rsidRDefault="00507E84" w:rsidP="00507E84">
            <w:pPr>
              <w:rPr>
                <w:rFonts w:ascii="Times New Roman" w:hAnsi="Times New Roman" w:cs="Times New Roman"/>
                <w:color w:val="000000" w:themeColor="text1"/>
                <w:sz w:val="20"/>
                <w:szCs w:val="20"/>
                <w:lang w:eastAsia="sk-SK"/>
              </w:rPr>
            </w:pPr>
            <w:r w:rsidRPr="00507E84">
              <w:rPr>
                <w:rFonts w:ascii="Times New Roman" w:hAnsi="Times New Roman" w:cs="Times New Roman"/>
                <w:color w:val="000000" w:themeColor="text1"/>
                <w:sz w:val="20"/>
                <w:szCs w:val="20"/>
                <w:lang w:eastAsia="sk-SK"/>
              </w:rPr>
              <w:t xml:space="preserve">  Bežné transfery (640)</w:t>
            </w:r>
            <w:r w:rsidRPr="00507E84">
              <w:rPr>
                <w:rFonts w:ascii="Times New Roman" w:hAnsi="Times New Roman" w:cs="Times New Roman"/>
                <w:color w:val="000000" w:themeColor="text1"/>
                <w:sz w:val="20"/>
                <w:szCs w:val="20"/>
                <w:vertAlign w:val="superscript"/>
                <w:lang w:eastAsia="sk-SK"/>
              </w:rPr>
              <w:t>2</w:t>
            </w:r>
          </w:p>
        </w:tc>
        <w:tc>
          <w:tcPr>
            <w:tcW w:w="1430" w:type="dxa"/>
            <w:tcBorders>
              <w:top w:val="single" w:sz="4" w:space="0" w:color="auto"/>
              <w:left w:val="nil"/>
              <w:bottom w:val="single" w:sz="4" w:space="0" w:color="auto"/>
              <w:right w:val="single" w:sz="4" w:space="0" w:color="auto"/>
              <w:tr2bl w:val="single" w:sz="4" w:space="0" w:color="auto"/>
            </w:tcBorders>
          </w:tcPr>
          <w:p w14:paraId="42707E7A"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650" w:type="dxa"/>
            <w:tcBorders>
              <w:top w:val="single" w:sz="4" w:space="0" w:color="auto"/>
              <w:left w:val="nil"/>
              <w:bottom w:val="single" w:sz="4" w:space="0" w:color="auto"/>
              <w:right w:val="single" w:sz="4" w:space="0" w:color="auto"/>
              <w:tr2bl w:val="single" w:sz="4" w:space="0" w:color="auto"/>
            </w:tcBorders>
          </w:tcPr>
          <w:p w14:paraId="70B0F08C"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4F093015"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2E866DF9" w14:textId="77777777" w:rsidR="00507E84" w:rsidRPr="00507E84" w:rsidRDefault="00507E84" w:rsidP="00507E84">
            <w:pPr>
              <w:jc w:val="center"/>
              <w:rPr>
                <w:rFonts w:ascii="Times New Roman" w:hAnsi="Times New Roman" w:cs="Times New Roman"/>
                <w:color w:val="000000" w:themeColor="text1"/>
                <w:lang w:eastAsia="sk-SK"/>
              </w:rPr>
            </w:pPr>
          </w:p>
        </w:tc>
        <w:tc>
          <w:tcPr>
            <w:tcW w:w="1649" w:type="dxa"/>
            <w:tcBorders>
              <w:top w:val="single" w:sz="4" w:space="0" w:color="auto"/>
              <w:left w:val="nil"/>
              <w:bottom w:val="single" w:sz="4" w:space="0" w:color="auto"/>
              <w:right w:val="single" w:sz="4" w:space="0" w:color="auto"/>
              <w:tr2bl w:val="single" w:sz="4" w:space="0" w:color="auto"/>
            </w:tcBorders>
            <w:noWrap/>
          </w:tcPr>
          <w:p w14:paraId="7635A2D9" w14:textId="77777777" w:rsidR="00507E84" w:rsidRPr="00507E84" w:rsidRDefault="00507E84" w:rsidP="00507E84">
            <w:pPr>
              <w:rPr>
                <w:rFonts w:ascii="Times New Roman" w:hAnsi="Times New Roman" w:cs="Times New Roman"/>
                <w:color w:val="000000" w:themeColor="text1"/>
                <w:lang w:eastAsia="sk-SK"/>
              </w:rPr>
            </w:pPr>
            <w:r w:rsidRPr="00507E84">
              <w:rPr>
                <w:rFonts w:ascii="Times New Roman" w:hAnsi="Times New Roman" w:cs="Times New Roman"/>
                <w:color w:val="000000" w:themeColor="text1"/>
                <w:lang w:eastAsia="sk-SK"/>
              </w:rPr>
              <w:t> </w:t>
            </w:r>
          </w:p>
        </w:tc>
      </w:tr>
      <w:tr w:rsidR="00507E84" w:rsidRPr="00507E84" w14:paraId="647BEE3C" w14:textId="77777777" w:rsidTr="00507E84">
        <w:trPr>
          <w:trHeight w:val="255"/>
        </w:trPr>
        <w:tc>
          <w:tcPr>
            <w:tcW w:w="7070" w:type="dxa"/>
            <w:tcBorders>
              <w:top w:val="nil"/>
              <w:left w:val="single" w:sz="4" w:space="0" w:color="auto"/>
              <w:bottom w:val="single" w:sz="4" w:space="0" w:color="auto"/>
              <w:right w:val="single" w:sz="4" w:space="0" w:color="auto"/>
            </w:tcBorders>
            <w:vAlign w:val="center"/>
          </w:tcPr>
          <w:p w14:paraId="03D4E4F8" w14:textId="77777777" w:rsidR="00507E84" w:rsidRPr="00507E84" w:rsidRDefault="00507E84" w:rsidP="00507E84">
            <w:pPr>
              <w:rPr>
                <w:rFonts w:ascii="Times New Roman" w:hAnsi="Times New Roman" w:cs="Times New Roman"/>
                <w:color w:val="000000" w:themeColor="text1"/>
                <w:sz w:val="20"/>
                <w:szCs w:val="20"/>
                <w:lang w:eastAsia="sk-SK"/>
              </w:rPr>
            </w:pPr>
            <w:r w:rsidRPr="00507E84">
              <w:rPr>
                <w:rFonts w:ascii="Times New Roman" w:hAnsi="Times New Roman" w:cs="Times New Roman"/>
                <w:color w:val="000000" w:themeColor="text1"/>
                <w:sz w:val="20"/>
                <w:szCs w:val="20"/>
                <w:lang w:eastAsia="sk-SK"/>
              </w:rPr>
              <w:t xml:space="preserve">  Splácanie úrokov a ostatné platby súvisiace s </w:t>
            </w:r>
            <w:r w:rsidRPr="00507E84">
              <w:rPr>
                <w:rFonts w:ascii="Times New Roman" w:hAnsi="Times New Roman" w:cs="Times New Roman"/>
                <w:color w:val="000000" w:themeColor="text1"/>
              </w:rPr>
              <w:t xml:space="preserve"> </w:t>
            </w:r>
            <w:r w:rsidRPr="00507E84">
              <w:rPr>
                <w:rFonts w:ascii="Times New Roman" w:hAnsi="Times New Roman" w:cs="Times New Roman"/>
                <w:color w:val="000000" w:themeColor="text1"/>
                <w:sz w:val="20"/>
                <w:szCs w:val="20"/>
                <w:lang w:eastAsia="sk-SK"/>
              </w:rPr>
              <w:t>úverom, pôžičkou, návratnou finančnou výpomocou a finančným prenájmom (650)</w:t>
            </w:r>
            <w:r w:rsidRPr="00507E84">
              <w:rPr>
                <w:rFonts w:ascii="Times New Roman" w:hAnsi="Times New Roman" w:cs="Times New Roman"/>
                <w:color w:val="000000" w:themeColor="text1"/>
                <w:sz w:val="20"/>
                <w:szCs w:val="20"/>
                <w:vertAlign w:val="superscript"/>
                <w:lang w:eastAsia="sk-SK"/>
              </w:rPr>
              <w:t>2</w:t>
            </w:r>
          </w:p>
        </w:tc>
        <w:tc>
          <w:tcPr>
            <w:tcW w:w="1430" w:type="dxa"/>
            <w:tcBorders>
              <w:top w:val="single" w:sz="4" w:space="0" w:color="auto"/>
              <w:left w:val="nil"/>
              <w:bottom w:val="single" w:sz="4" w:space="0" w:color="auto"/>
              <w:right w:val="single" w:sz="4" w:space="0" w:color="auto"/>
              <w:tr2bl w:val="single" w:sz="4" w:space="0" w:color="auto"/>
            </w:tcBorders>
          </w:tcPr>
          <w:p w14:paraId="1960A42A"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650" w:type="dxa"/>
            <w:tcBorders>
              <w:top w:val="single" w:sz="4" w:space="0" w:color="auto"/>
              <w:left w:val="nil"/>
              <w:bottom w:val="single" w:sz="4" w:space="0" w:color="auto"/>
              <w:right w:val="single" w:sz="4" w:space="0" w:color="auto"/>
              <w:tr2bl w:val="single" w:sz="4" w:space="0" w:color="auto"/>
            </w:tcBorders>
          </w:tcPr>
          <w:p w14:paraId="2B868DDB"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63FCD466"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756D3A56" w14:textId="77777777" w:rsidR="00507E84" w:rsidRPr="00507E84" w:rsidRDefault="00507E84" w:rsidP="00507E84">
            <w:pPr>
              <w:jc w:val="center"/>
              <w:rPr>
                <w:rFonts w:ascii="Times New Roman" w:hAnsi="Times New Roman" w:cs="Times New Roman"/>
                <w:color w:val="000000" w:themeColor="text1"/>
                <w:lang w:eastAsia="sk-SK"/>
              </w:rPr>
            </w:pPr>
          </w:p>
        </w:tc>
        <w:tc>
          <w:tcPr>
            <w:tcW w:w="1649" w:type="dxa"/>
            <w:tcBorders>
              <w:top w:val="single" w:sz="4" w:space="0" w:color="auto"/>
              <w:left w:val="nil"/>
              <w:bottom w:val="single" w:sz="4" w:space="0" w:color="auto"/>
              <w:right w:val="single" w:sz="4" w:space="0" w:color="auto"/>
              <w:tr2bl w:val="single" w:sz="4" w:space="0" w:color="auto"/>
            </w:tcBorders>
            <w:noWrap/>
          </w:tcPr>
          <w:p w14:paraId="7A63DF56" w14:textId="77777777" w:rsidR="00507E84" w:rsidRPr="00507E84" w:rsidRDefault="00507E84" w:rsidP="00507E84">
            <w:pPr>
              <w:rPr>
                <w:rFonts w:ascii="Times New Roman" w:hAnsi="Times New Roman" w:cs="Times New Roman"/>
                <w:color w:val="000000" w:themeColor="text1"/>
                <w:lang w:eastAsia="sk-SK"/>
              </w:rPr>
            </w:pPr>
          </w:p>
        </w:tc>
      </w:tr>
      <w:tr w:rsidR="00507E84" w:rsidRPr="00507E84" w14:paraId="02F0A9D9" w14:textId="77777777" w:rsidTr="00507E84">
        <w:trPr>
          <w:trHeight w:val="255"/>
        </w:trPr>
        <w:tc>
          <w:tcPr>
            <w:tcW w:w="7070" w:type="dxa"/>
            <w:tcBorders>
              <w:top w:val="nil"/>
              <w:left w:val="single" w:sz="4" w:space="0" w:color="auto"/>
              <w:bottom w:val="single" w:sz="4" w:space="0" w:color="auto"/>
              <w:right w:val="single" w:sz="4" w:space="0" w:color="auto"/>
            </w:tcBorders>
          </w:tcPr>
          <w:p w14:paraId="016F67B7" w14:textId="77777777" w:rsidR="00507E84" w:rsidRPr="00507E84" w:rsidRDefault="00507E84" w:rsidP="00507E84">
            <w:pPr>
              <w:rPr>
                <w:rFonts w:ascii="Times New Roman" w:hAnsi="Times New Roman" w:cs="Times New Roman"/>
                <w:b/>
                <w:bCs/>
                <w:color w:val="000000" w:themeColor="text1"/>
                <w:sz w:val="20"/>
                <w:szCs w:val="20"/>
                <w:lang w:eastAsia="sk-SK"/>
              </w:rPr>
            </w:pPr>
            <w:r w:rsidRPr="00507E84">
              <w:rPr>
                <w:rFonts w:ascii="Times New Roman" w:hAnsi="Times New Roman" w:cs="Times New Roman"/>
                <w:b/>
                <w:bCs/>
                <w:color w:val="000000" w:themeColor="text1"/>
                <w:sz w:val="20"/>
                <w:szCs w:val="20"/>
                <w:lang w:eastAsia="sk-SK"/>
              </w:rPr>
              <w:t>Kapitálové výdavky (700)</w:t>
            </w:r>
          </w:p>
        </w:tc>
        <w:tc>
          <w:tcPr>
            <w:tcW w:w="1430" w:type="dxa"/>
            <w:tcBorders>
              <w:top w:val="single" w:sz="4" w:space="0" w:color="auto"/>
              <w:left w:val="nil"/>
              <w:bottom w:val="single" w:sz="4" w:space="0" w:color="auto"/>
              <w:right w:val="single" w:sz="4" w:space="0" w:color="auto"/>
              <w:tr2bl w:val="single" w:sz="4" w:space="0" w:color="auto"/>
            </w:tcBorders>
          </w:tcPr>
          <w:p w14:paraId="29EA8AE2"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p>
        </w:tc>
        <w:tc>
          <w:tcPr>
            <w:tcW w:w="1650" w:type="dxa"/>
            <w:tcBorders>
              <w:top w:val="single" w:sz="4" w:space="0" w:color="auto"/>
              <w:left w:val="nil"/>
              <w:bottom w:val="single" w:sz="4" w:space="0" w:color="auto"/>
              <w:right w:val="single" w:sz="4" w:space="0" w:color="auto"/>
              <w:tr2bl w:val="single" w:sz="4" w:space="0" w:color="auto"/>
            </w:tcBorders>
          </w:tcPr>
          <w:p w14:paraId="25DECACF"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6F1729D8"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66AD4654" w14:textId="77777777" w:rsidR="00507E84" w:rsidRPr="00507E84" w:rsidRDefault="00507E84" w:rsidP="00507E84">
            <w:pPr>
              <w:jc w:val="center"/>
              <w:rPr>
                <w:rFonts w:ascii="Times New Roman" w:hAnsi="Times New Roman" w:cs="Times New Roman"/>
                <w:b/>
                <w:bCs/>
                <w:color w:val="000000" w:themeColor="text1"/>
                <w:lang w:eastAsia="sk-SK"/>
              </w:rPr>
            </w:pPr>
          </w:p>
        </w:tc>
        <w:tc>
          <w:tcPr>
            <w:tcW w:w="1649" w:type="dxa"/>
            <w:tcBorders>
              <w:top w:val="single" w:sz="4" w:space="0" w:color="auto"/>
              <w:left w:val="nil"/>
              <w:bottom w:val="single" w:sz="4" w:space="0" w:color="auto"/>
              <w:right w:val="single" w:sz="4" w:space="0" w:color="auto"/>
              <w:tr2bl w:val="single" w:sz="4" w:space="0" w:color="auto"/>
            </w:tcBorders>
            <w:noWrap/>
          </w:tcPr>
          <w:p w14:paraId="206FFAAE" w14:textId="77777777" w:rsidR="00507E84" w:rsidRPr="00507E84" w:rsidRDefault="00507E84" w:rsidP="00507E84">
            <w:pPr>
              <w:rPr>
                <w:rFonts w:ascii="Times New Roman" w:hAnsi="Times New Roman" w:cs="Times New Roman"/>
                <w:color w:val="000000" w:themeColor="text1"/>
                <w:lang w:eastAsia="sk-SK"/>
              </w:rPr>
            </w:pPr>
            <w:r w:rsidRPr="00507E84">
              <w:rPr>
                <w:rFonts w:ascii="Times New Roman" w:hAnsi="Times New Roman" w:cs="Times New Roman"/>
                <w:color w:val="000000" w:themeColor="text1"/>
                <w:lang w:eastAsia="sk-SK"/>
              </w:rPr>
              <w:t> </w:t>
            </w:r>
          </w:p>
        </w:tc>
      </w:tr>
      <w:tr w:rsidR="00507E84" w:rsidRPr="00507E84" w14:paraId="76B2F983" w14:textId="77777777" w:rsidTr="00507E84">
        <w:trPr>
          <w:trHeight w:val="255"/>
        </w:trPr>
        <w:tc>
          <w:tcPr>
            <w:tcW w:w="7070" w:type="dxa"/>
            <w:tcBorders>
              <w:top w:val="nil"/>
              <w:left w:val="single" w:sz="4" w:space="0" w:color="auto"/>
              <w:bottom w:val="single" w:sz="4" w:space="0" w:color="auto"/>
              <w:right w:val="single" w:sz="4" w:space="0" w:color="auto"/>
            </w:tcBorders>
          </w:tcPr>
          <w:p w14:paraId="65B0ABFE" w14:textId="77777777" w:rsidR="00507E84" w:rsidRPr="00507E84" w:rsidRDefault="00507E84" w:rsidP="00507E84">
            <w:pPr>
              <w:rPr>
                <w:rFonts w:ascii="Times New Roman" w:hAnsi="Times New Roman" w:cs="Times New Roman"/>
                <w:color w:val="000000" w:themeColor="text1"/>
                <w:sz w:val="20"/>
                <w:szCs w:val="20"/>
                <w:lang w:eastAsia="sk-SK"/>
              </w:rPr>
            </w:pPr>
            <w:r w:rsidRPr="00507E84">
              <w:rPr>
                <w:rFonts w:ascii="Times New Roman" w:hAnsi="Times New Roman" w:cs="Times New Roman"/>
                <w:color w:val="000000" w:themeColor="text1"/>
                <w:sz w:val="20"/>
                <w:szCs w:val="20"/>
                <w:lang w:eastAsia="sk-SK"/>
              </w:rPr>
              <w:t xml:space="preserve">  Obstarávanie kapitálových aktív (710)</w:t>
            </w:r>
            <w:r w:rsidRPr="00507E84">
              <w:rPr>
                <w:rFonts w:ascii="Times New Roman" w:hAnsi="Times New Roman" w:cs="Times New Roman"/>
                <w:color w:val="000000" w:themeColor="text1"/>
                <w:sz w:val="20"/>
                <w:szCs w:val="20"/>
                <w:vertAlign w:val="superscript"/>
                <w:lang w:eastAsia="sk-SK"/>
              </w:rPr>
              <w:t>2</w:t>
            </w:r>
          </w:p>
        </w:tc>
        <w:tc>
          <w:tcPr>
            <w:tcW w:w="1430" w:type="dxa"/>
            <w:tcBorders>
              <w:top w:val="single" w:sz="4" w:space="0" w:color="auto"/>
              <w:left w:val="nil"/>
              <w:bottom w:val="single" w:sz="4" w:space="0" w:color="auto"/>
              <w:right w:val="single" w:sz="4" w:space="0" w:color="auto"/>
              <w:tr2bl w:val="single" w:sz="4" w:space="0" w:color="auto"/>
            </w:tcBorders>
          </w:tcPr>
          <w:p w14:paraId="45C31807"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650" w:type="dxa"/>
            <w:tcBorders>
              <w:top w:val="single" w:sz="4" w:space="0" w:color="auto"/>
              <w:left w:val="nil"/>
              <w:bottom w:val="single" w:sz="4" w:space="0" w:color="auto"/>
              <w:right w:val="single" w:sz="4" w:space="0" w:color="auto"/>
              <w:tr2bl w:val="single" w:sz="4" w:space="0" w:color="auto"/>
            </w:tcBorders>
          </w:tcPr>
          <w:p w14:paraId="687D8C79"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3382E62F"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3FC565F3" w14:textId="77777777" w:rsidR="00507E84" w:rsidRPr="00507E84" w:rsidRDefault="00507E84" w:rsidP="00507E84">
            <w:pPr>
              <w:jc w:val="center"/>
              <w:rPr>
                <w:rFonts w:ascii="Times New Roman" w:hAnsi="Times New Roman" w:cs="Times New Roman"/>
                <w:color w:val="000000" w:themeColor="text1"/>
                <w:lang w:eastAsia="sk-SK"/>
              </w:rPr>
            </w:pPr>
          </w:p>
        </w:tc>
        <w:tc>
          <w:tcPr>
            <w:tcW w:w="1649" w:type="dxa"/>
            <w:tcBorders>
              <w:top w:val="single" w:sz="4" w:space="0" w:color="auto"/>
              <w:left w:val="nil"/>
              <w:bottom w:val="single" w:sz="4" w:space="0" w:color="auto"/>
              <w:right w:val="single" w:sz="4" w:space="0" w:color="auto"/>
              <w:tr2bl w:val="single" w:sz="4" w:space="0" w:color="auto"/>
            </w:tcBorders>
            <w:noWrap/>
          </w:tcPr>
          <w:p w14:paraId="12E5030E" w14:textId="77777777" w:rsidR="00507E84" w:rsidRPr="00507E84" w:rsidRDefault="00507E84" w:rsidP="00507E84">
            <w:pPr>
              <w:rPr>
                <w:rFonts w:ascii="Times New Roman" w:hAnsi="Times New Roman" w:cs="Times New Roman"/>
                <w:color w:val="000000" w:themeColor="text1"/>
                <w:lang w:eastAsia="sk-SK"/>
              </w:rPr>
            </w:pPr>
            <w:r w:rsidRPr="00507E84">
              <w:rPr>
                <w:rFonts w:ascii="Times New Roman" w:hAnsi="Times New Roman" w:cs="Times New Roman"/>
                <w:color w:val="000000" w:themeColor="text1"/>
                <w:lang w:eastAsia="sk-SK"/>
              </w:rPr>
              <w:t> </w:t>
            </w:r>
          </w:p>
        </w:tc>
      </w:tr>
      <w:tr w:rsidR="00507E84" w:rsidRPr="00507E84" w14:paraId="4273DF7C" w14:textId="77777777" w:rsidTr="00507E84">
        <w:trPr>
          <w:trHeight w:val="255"/>
        </w:trPr>
        <w:tc>
          <w:tcPr>
            <w:tcW w:w="7070" w:type="dxa"/>
            <w:tcBorders>
              <w:top w:val="nil"/>
              <w:left w:val="single" w:sz="4" w:space="0" w:color="auto"/>
              <w:bottom w:val="single" w:sz="4" w:space="0" w:color="auto"/>
              <w:right w:val="single" w:sz="4" w:space="0" w:color="auto"/>
            </w:tcBorders>
          </w:tcPr>
          <w:p w14:paraId="4B1B1717" w14:textId="77777777" w:rsidR="00507E84" w:rsidRPr="00507E84" w:rsidRDefault="00507E84" w:rsidP="00507E84">
            <w:pPr>
              <w:rPr>
                <w:rFonts w:ascii="Times New Roman" w:hAnsi="Times New Roman" w:cs="Times New Roman"/>
                <w:color w:val="000000" w:themeColor="text1"/>
                <w:sz w:val="20"/>
                <w:szCs w:val="20"/>
                <w:lang w:eastAsia="sk-SK"/>
              </w:rPr>
            </w:pPr>
            <w:r w:rsidRPr="00507E84">
              <w:rPr>
                <w:rFonts w:ascii="Times New Roman" w:hAnsi="Times New Roman" w:cs="Times New Roman"/>
                <w:color w:val="000000" w:themeColor="text1"/>
                <w:sz w:val="20"/>
                <w:szCs w:val="20"/>
                <w:lang w:eastAsia="sk-SK"/>
              </w:rPr>
              <w:t xml:space="preserve">  Kapitálové transfery (720)</w:t>
            </w:r>
            <w:r w:rsidRPr="00507E84">
              <w:rPr>
                <w:rFonts w:ascii="Times New Roman" w:hAnsi="Times New Roman" w:cs="Times New Roman"/>
                <w:color w:val="000000" w:themeColor="text1"/>
                <w:sz w:val="20"/>
                <w:szCs w:val="20"/>
                <w:vertAlign w:val="superscript"/>
                <w:lang w:eastAsia="sk-SK"/>
              </w:rPr>
              <w:t>2</w:t>
            </w:r>
          </w:p>
        </w:tc>
        <w:tc>
          <w:tcPr>
            <w:tcW w:w="1430" w:type="dxa"/>
            <w:tcBorders>
              <w:top w:val="single" w:sz="4" w:space="0" w:color="auto"/>
              <w:left w:val="nil"/>
              <w:bottom w:val="single" w:sz="4" w:space="0" w:color="auto"/>
              <w:right w:val="single" w:sz="4" w:space="0" w:color="auto"/>
              <w:tr2bl w:val="single" w:sz="4" w:space="0" w:color="auto"/>
            </w:tcBorders>
          </w:tcPr>
          <w:p w14:paraId="6951BAF9"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650" w:type="dxa"/>
            <w:tcBorders>
              <w:top w:val="single" w:sz="4" w:space="0" w:color="auto"/>
              <w:left w:val="nil"/>
              <w:bottom w:val="single" w:sz="4" w:space="0" w:color="auto"/>
              <w:right w:val="single" w:sz="4" w:space="0" w:color="auto"/>
              <w:tr2bl w:val="single" w:sz="4" w:space="0" w:color="auto"/>
            </w:tcBorders>
          </w:tcPr>
          <w:p w14:paraId="7F7ED8B1"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404BF044" w14:textId="77777777" w:rsidR="00507E84" w:rsidRPr="00507E84" w:rsidRDefault="00507E84" w:rsidP="00507E84">
            <w:pPr>
              <w:jc w:val="center"/>
              <w:rPr>
                <w:rFonts w:ascii="Times New Roman" w:hAnsi="Times New Roman" w:cs="Times New Roman"/>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r2bl w:val="single" w:sz="4" w:space="0" w:color="auto"/>
            </w:tcBorders>
          </w:tcPr>
          <w:p w14:paraId="3C4D452F" w14:textId="77777777" w:rsidR="00507E84" w:rsidRPr="00507E84" w:rsidRDefault="00507E84" w:rsidP="00507E84">
            <w:pPr>
              <w:jc w:val="center"/>
              <w:rPr>
                <w:rFonts w:ascii="Times New Roman" w:hAnsi="Times New Roman" w:cs="Times New Roman"/>
                <w:color w:val="000000" w:themeColor="text1"/>
                <w:lang w:eastAsia="sk-SK"/>
              </w:rPr>
            </w:pPr>
          </w:p>
        </w:tc>
        <w:tc>
          <w:tcPr>
            <w:tcW w:w="1649" w:type="dxa"/>
            <w:tcBorders>
              <w:top w:val="single" w:sz="4" w:space="0" w:color="auto"/>
              <w:left w:val="nil"/>
              <w:bottom w:val="single" w:sz="4" w:space="0" w:color="auto"/>
              <w:right w:val="single" w:sz="4" w:space="0" w:color="auto"/>
              <w:tr2bl w:val="single" w:sz="4" w:space="0" w:color="auto"/>
            </w:tcBorders>
            <w:noWrap/>
          </w:tcPr>
          <w:p w14:paraId="7B63E5CD" w14:textId="77777777" w:rsidR="00507E84" w:rsidRPr="00507E84" w:rsidRDefault="00507E84" w:rsidP="00507E84">
            <w:pPr>
              <w:rPr>
                <w:rFonts w:ascii="Times New Roman" w:hAnsi="Times New Roman" w:cs="Times New Roman"/>
                <w:color w:val="000000" w:themeColor="text1"/>
                <w:lang w:eastAsia="sk-SK"/>
              </w:rPr>
            </w:pPr>
            <w:r w:rsidRPr="00507E84">
              <w:rPr>
                <w:rFonts w:ascii="Times New Roman" w:hAnsi="Times New Roman" w:cs="Times New Roman"/>
                <w:color w:val="000000" w:themeColor="text1"/>
                <w:lang w:eastAsia="sk-SK"/>
              </w:rPr>
              <w:t> </w:t>
            </w:r>
          </w:p>
        </w:tc>
      </w:tr>
      <w:tr w:rsidR="00507E84" w:rsidRPr="00507E84" w14:paraId="46114CF3" w14:textId="77777777" w:rsidTr="00507E8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1752E" w14:textId="77777777" w:rsidR="00507E84" w:rsidRPr="00507E84" w:rsidRDefault="00507E84" w:rsidP="00507E84">
            <w:pPr>
              <w:rPr>
                <w:rFonts w:ascii="Times New Roman" w:hAnsi="Times New Roman" w:cs="Times New Roman"/>
                <w:b/>
                <w:bCs/>
                <w:color w:val="000000" w:themeColor="text1"/>
                <w:sz w:val="20"/>
                <w:szCs w:val="20"/>
                <w:lang w:eastAsia="sk-SK"/>
              </w:rPr>
            </w:pPr>
            <w:r w:rsidRPr="00507E84">
              <w:rPr>
                <w:rFonts w:ascii="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3A095D72"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r w:rsidRPr="00507E84">
              <w:rPr>
                <w:rFonts w:ascii="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1452C272"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r w:rsidRPr="00507E84">
              <w:rPr>
                <w:rFonts w:ascii="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5FA55B2" w14:textId="77777777" w:rsidR="00507E84" w:rsidRPr="00507E84" w:rsidRDefault="00507E84" w:rsidP="00507E84">
            <w:pPr>
              <w:jc w:val="center"/>
              <w:rPr>
                <w:rFonts w:ascii="Times New Roman" w:hAnsi="Times New Roman" w:cs="Times New Roman"/>
                <w:b/>
                <w:bCs/>
                <w:color w:val="000000" w:themeColor="text1"/>
                <w:sz w:val="20"/>
                <w:szCs w:val="20"/>
                <w:lang w:eastAsia="sk-SK"/>
              </w:rPr>
            </w:pPr>
            <w:r w:rsidRPr="00507E84">
              <w:rPr>
                <w:rFonts w:ascii="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FB6760A" w14:textId="77777777" w:rsidR="00507E84" w:rsidRPr="00507E84" w:rsidRDefault="00507E84" w:rsidP="00507E84">
            <w:pPr>
              <w:jc w:val="center"/>
              <w:rPr>
                <w:rFonts w:ascii="Times New Roman" w:hAnsi="Times New Roman" w:cs="Times New Roman"/>
                <w:b/>
                <w:bCs/>
                <w:color w:val="000000" w:themeColor="text1"/>
                <w:lang w:eastAsia="sk-SK"/>
              </w:rPr>
            </w:pPr>
            <w:r w:rsidRPr="00507E84">
              <w:rPr>
                <w:rFonts w:ascii="Times New Roman" w:hAnsi="Times New Roman" w:cs="Times New Roman"/>
                <w:b/>
                <w:bCs/>
                <w:color w:val="000000" w:themeColor="text1"/>
                <w:sz w:val="20"/>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5DB3873" w14:textId="77777777" w:rsidR="00507E84" w:rsidRPr="00507E84" w:rsidRDefault="00507E84" w:rsidP="00507E84">
            <w:pPr>
              <w:rPr>
                <w:rFonts w:ascii="Times New Roman" w:hAnsi="Times New Roman" w:cs="Times New Roman"/>
                <w:color w:val="000000" w:themeColor="text1"/>
                <w:lang w:eastAsia="sk-SK"/>
              </w:rPr>
            </w:pPr>
            <w:r w:rsidRPr="00507E84">
              <w:rPr>
                <w:rFonts w:ascii="Times New Roman" w:hAnsi="Times New Roman" w:cs="Times New Roman"/>
                <w:color w:val="000000" w:themeColor="text1"/>
                <w:lang w:eastAsia="sk-SK"/>
              </w:rPr>
              <w:t> </w:t>
            </w:r>
          </w:p>
        </w:tc>
      </w:tr>
    </w:tbl>
    <w:p w14:paraId="20C1D075" w14:textId="77777777" w:rsidR="00507E84" w:rsidRPr="00507E84" w:rsidRDefault="00507E84" w:rsidP="00507E84">
      <w:pPr>
        <w:tabs>
          <w:tab w:val="num" w:pos="1080"/>
        </w:tabs>
        <w:ind w:left="-900"/>
        <w:jc w:val="both"/>
        <w:rPr>
          <w:rFonts w:ascii="Times New Roman" w:hAnsi="Times New Roman" w:cs="Times New Roman"/>
          <w:bCs/>
          <w:sz w:val="20"/>
          <w:szCs w:val="20"/>
          <w:lang w:eastAsia="sk-SK"/>
        </w:rPr>
      </w:pPr>
      <w:r w:rsidRPr="00507E84">
        <w:rPr>
          <w:rFonts w:ascii="Times New Roman" w:hAnsi="Times New Roman" w:cs="Times New Roman"/>
          <w:bCs/>
          <w:color w:val="000000" w:themeColor="text1"/>
          <w:sz w:val="20"/>
          <w:szCs w:val="20"/>
          <w:lang w:eastAsia="sk-SK"/>
        </w:rPr>
        <w:t xml:space="preserve">  2 –  výdavky rozpísať až do podpo</w:t>
      </w:r>
      <w:r w:rsidRPr="00507E84">
        <w:rPr>
          <w:rFonts w:ascii="Times New Roman" w:hAnsi="Times New Roman" w:cs="Times New Roman"/>
          <w:bCs/>
          <w:sz w:val="20"/>
          <w:szCs w:val="20"/>
          <w:lang w:eastAsia="sk-SK"/>
        </w:rPr>
        <w:t>ložiek platnej ekonomickej klasifikácie</w:t>
      </w:r>
    </w:p>
    <w:p w14:paraId="4666EB99" w14:textId="77777777" w:rsidR="00507E84" w:rsidRPr="00507E84" w:rsidRDefault="00507E84" w:rsidP="00507E84">
      <w:pPr>
        <w:tabs>
          <w:tab w:val="num" w:pos="1080"/>
        </w:tabs>
        <w:ind w:left="-900"/>
        <w:jc w:val="both"/>
        <w:rPr>
          <w:rFonts w:ascii="Times New Roman" w:hAnsi="Times New Roman" w:cs="Times New Roman"/>
          <w:bCs/>
          <w:szCs w:val="20"/>
          <w:lang w:eastAsia="sk-SK"/>
        </w:rPr>
      </w:pPr>
    </w:p>
    <w:p w14:paraId="75693747" w14:textId="77777777" w:rsidR="00507E84" w:rsidRPr="00507E84" w:rsidRDefault="00507E84" w:rsidP="00507E84">
      <w:pPr>
        <w:tabs>
          <w:tab w:val="num" w:pos="1080"/>
        </w:tabs>
        <w:ind w:left="-900"/>
        <w:jc w:val="both"/>
        <w:rPr>
          <w:rFonts w:ascii="Times New Roman" w:hAnsi="Times New Roman" w:cs="Times New Roman"/>
          <w:b/>
          <w:bCs/>
          <w:sz w:val="20"/>
          <w:szCs w:val="20"/>
          <w:lang w:eastAsia="sk-SK"/>
        </w:rPr>
      </w:pPr>
      <w:r w:rsidRPr="00507E84">
        <w:rPr>
          <w:rFonts w:ascii="Times New Roman" w:hAnsi="Times New Roman" w:cs="Times New Roman"/>
          <w:b/>
          <w:bCs/>
          <w:szCs w:val="20"/>
          <w:lang w:eastAsia="sk-SK"/>
        </w:rPr>
        <w:t xml:space="preserve">  Poznámka:</w:t>
      </w:r>
    </w:p>
    <w:p w14:paraId="607A91CE" w14:textId="77777777" w:rsidR="00507E84" w:rsidRPr="00507E84" w:rsidRDefault="00507E84" w:rsidP="00507E84">
      <w:pPr>
        <w:tabs>
          <w:tab w:val="num" w:pos="1080"/>
        </w:tabs>
        <w:ind w:left="-900"/>
        <w:jc w:val="both"/>
        <w:rPr>
          <w:rFonts w:ascii="Times New Roman" w:hAnsi="Times New Roman" w:cs="Times New Roman"/>
          <w:bCs/>
          <w:sz w:val="20"/>
          <w:szCs w:val="20"/>
          <w:lang w:eastAsia="sk-SK"/>
        </w:rPr>
      </w:pPr>
      <w:r w:rsidRPr="00507E84">
        <w:rPr>
          <w:rFonts w:ascii="Times New Roman" w:hAnsi="Times New Roman" w:cs="Times New Roman"/>
          <w:bCs/>
          <w:szCs w:val="20"/>
          <w:lang w:eastAsia="sk-SK"/>
        </w:rPr>
        <w:t xml:space="preserve">  Ak sa vplyv týka viacerých subjektov verejnej správy, vypĺňa sa samostatná tabuľka za každý subjekt.</w:t>
      </w:r>
    </w:p>
    <w:p w14:paraId="2423AC62" w14:textId="77777777" w:rsidR="00507E84" w:rsidRPr="00507E84" w:rsidRDefault="00507E84" w:rsidP="00507E84">
      <w:pPr>
        <w:tabs>
          <w:tab w:val="num" w:pos="1080"/>
        </w:tabs>
        <w:jc w:val="both"/>
        <w:rPr>
          <w:rFonts w:ascii="Times New Roman" w:hAnsi="Times New Roman" w:cs="Times New Roman"/>
          <w:bCs/>
          <w:sz w:val="20"/>
          <w:szCs w:val="20"/>
          <w:lang w:eastAsia="sk-SK"/>
        </w:rPr>
      </w:pPr>
      <w:r w:rsidRPr="00507E84">
        <w:rPr>
          <w:rFonts w:ascii="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507E84" w:rsidRPr="00507E84" w14:paraId="6965EA08" w14:textId="77777777" w:rsidTr="00507E84">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98E034"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0EDDF200"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399ABEF"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poznámka</w:t>
            </w:r>
          </w:p>
        </w:tc>
      </w:tr>
      <w:tr w:rsidR="00507E84" w:rsidRPr="00507E84" w14:paraId="1D0DBD4A" w14:textId="77777777" w:rsidTr="00507E84">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D018A4" w14:textId="77777777" w:rsidR="00507E84" w:rsidRPr="00507E84" w:rsidRDefault="00507E84" w:rsidP="00507E84">
            <w:pPr>
              <w:rPr>
                <w:rFonts w:ascii="Times New Roman" w:hAnsi="Times New Roman" w:cs="Times New Roman"/>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14:paraId="1B4DF5FD"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2025</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14:paraId="18E2BD69"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2026</w:t>
            </w:r>
          </w:p>
        </w:tc>
        <w:tc>
          <w:tcPr>
            <w:tcW w:w="1878" w:type="dxa"/>
            <w:gridSpan w:val="2"/>
            <w:tcBorders>
              <w:top w:val="nil"/>
              <w:left w:val="nil"/>
              <w:bottom w:val="single" w:sz="4" w:space="0" w:color="auto"/>
              <w:right w:val="single" w:sz="4" w:space="0" w:color="auto"/>
            </w:tcBorders>
            <w:shd w:val="clear" w:color="auto" w:fill="BFBFBF" w:themeFill="background1" w:themeFillShade="BF"/>
            <w:vAlign w:val="center"/>
          </w:tcPr>
          <w:p w14:paraId="4D891818"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2027</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14:paraId="1F6E3E57"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2028</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5A5F7A" w14:textId="77777777" w:rsidR="00507E84" w:rsidRPr="00507E84" w:rsidRDefault="00507E84" w:rsidP="00507E84">
            <w:pPr>
              <w:rPr>
                <w:rFonts w:ascii="Times New Roman" w:hAnsi="Times New Roman" w:cs="Times New Roman"/>
                <w:b/>
                <w:bCs/>
                <w:color w:val="FFFFFF"/>
                <w:lang w:eastAsia="sk-SK"/>
              </w:rPr>
            </w:pPr>
          </w:p>
        </w:tc>
      </w:tr>
      <w:tr w:rsidR="00507E84" w:rsidRPr="00507E84" w14:paraId="07D6826B" w14:textId="77777777" w:rsidTr="00507E84">
        <w:trPr>
          <w:trHeight w:val="255"/>
        </w:trPr>
        <w:tc>
          <w:tcPr>
            <w:tcW w:w="6188" w:type="dxa"/>
            <w:tcBorders>
              <w:top w:val="nil"/>
              <w:left w:val="single" w:sz="4" w:space="0" w:color="auto"/>
              <w:bottom w:val="single" w:sz="4" w:space="0" w:color="auto"/>
              <w:right w:val="single" w:sz="4" w:space="0" w:color="auto"/>
            </w:tcBorders>
          </w:tcPr>
          <w:p w14:paraId="33237DED"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Počet zamestnancov celkom</w:t>
            </w:r>
          </w:p>
        </w:tc>
        <w:tc>
          <w:tcPr>
            <w:tcW w:w="1698" w:type="dxa"/>
            <w:tcBorders>
              <w:top w:val="single" w:sz="4" w:space="0" w:color="auto"/>
              <w:left w:val="nil"/>
              <w:bottom w:val="single" w:sz="4" w:space="0" w:color="auto"/>
              <w:right w:val="single" w:sz="4" w:space="0" w:color="auto"/>
              <w:tr2bl w:val="single" w:sz="4" w:space="0" w:color="auto"/>
            </w:tcBorders>
          </w:tcPr>
          <w:p w14:paraId="73A2AFDB" w14:textId="77777777" w:rsidR="00507E84" w:rsidRPr="00507E84" w:rsidRDefault="00507E84" w:rsidP="00507E84">
            <w:pPr>
              <w:jc w:val="center"/>
              <w:rPr>
                <w:rFonts w:ascii="Times New Roman" w:hAnsi="Times New Roman" w:cs="Times New Roman"/>
                <w:b/>
                <w:bCs/>
                <w:lang w:eastAsia="sk-SK"/>
              </w:rPr>
            </w:pPr>
          </w:p>
        </w:tc>
        <w:tc>
          <w:tcPr>
            <w:tcW w:w="1788" w:type="dxa"/>
            <w:tcBorders>
              <w:top w:val="single" w:sz="4" w:space="0" w:color="auto"/>
              <w:left w:val="nil"/>
              <w:bottom w:val="single" w:sz="4" w:space="0" w:color="auto"/>
              <w:right w:val="single" w:sz="4" w:space="0" w:color="auto"/>
              <w:tr2bl w:val="single" w:sz="4" w:space="0" w:color="auto"/>
            </w:tcBorders>
          </w:tcPr>
          <w:p w14:paraId="43415EB1" w14:textId="77777777" w:rsidR="00507E84" w:rsidRPr="00507E84" w:rsidRDefault="00507E84" w:rsidP="00507E84">
            <w:pPr>
              <w:jc w:val="center"/>
              <w:rPr>
                <w:rFonts w:ascii="Times New Roman" w:hAnsi="Times New Roman" w:cs="Times New Roman"/>
                <w:b/>
                <w:bCs/>
                <w:lang w:eastAsia="sk-SK"/>
              </w:rPr>
            </w:pPr>
          </w:p>
        </w:tc>
        <w:tc>
          <w:tcPr>
            <w:tcW w:w="1878" w:type="dxa"/>
            <w:gridSpan w:val="2"/>
            <w:tcBorders>
              <w:top w:val="single" w:sz="4" w:space="0" w:color="auto"/>
              <w:left w:val="nil"/>
              <w:bottom w:val="single" w:sz="4" w:space="0" w:color="auto"/>
              <w:right w:val="single" w:sz="4" w:space="0" w:color="auto"/>
              <w:tr2bl w:val="single" w:sz="4" w:space="0" w:color="auto"/>
            </w:tcBorders>
          </w:tcPr>
          <w:p w14:paraId="3DDA8923" w14:textId="77777777" w:rsidR="00507E84" w:rsidRPr="00507E84" w:rsidRDefault="00507E84" w:rsidP="00507E84">
            <w:pPr>
              <w:jc w:val="center"/>
              <w:rPr>
                <w:rFonts w:ascii="Times New Roman" w:hAnsi="Times New Roman" w:cs="Times New Roman"/>
                <w:b/>
                <w:bCs/>
                <w:lang w:eastAsia="sk-SK"/>
              </w:rPr>
            </w:pPr>
          </w:p>
        </w:tc>
        <w:tc>
          <w:tcPr>
            <w:tcW w:w="1560" w:type="dxa"/>
            <w:tcBorders>
              <w:top w:val="single" w:sz="4" w:space="0" w:color="auto"/>
              <w:left w:val="nil"/>
              <w:bottom w:val="single" w:sz="4" w:space="0" w:color="auto"/>
              <w:right w:val="single" w:sz="4" w:space="0" w:color="auto"/>
              <w:tr2bl w:val="single" w:sz="4" w:space="0" w:color="auto"/>
            </w:tcBorders>
          </w:tcPr>
          <w:p w14:paraId="03CBDF95" w14:textId="77777777" w:rsidR="00507E84" w:rsidRPr="00507E84" w:rsidRDefault="00507E84" w:rsidP="00507E84">
            <w:pPr>
              <w:jc w:val="center"/>
              <w:rPr>
                <w:rFonts w:ascii="Times New Roman" w:hAnsi="Times New Roman" w:cs="Times New Roman"/>
                <w:b/>
                <w:bCs/>
                <w:lang w:eastAsia="sk-SK"/>
              </w:rPr>
            </w:pPr>
          </w:p>
        </w:tc>
        <w:tc>
          <w:tcPr>
            <w:tcW w:w="1842" w:type="dxa"/>
            <w:gridSpan w:val="2"/>
            <w:tcBorders>
              <w:top w:val="single" w:sz="4" w:space="0" w:color="auto"/>
              <w:left w:val="nil"/>
              <w:bottom w:val="single" w:sz="4" w:space="0" w:color="auto"/>
              <w:right w:val="single" w:sz="4" w:space="0" w:color="auto"/>
              <w:tr2bl w:val="single" w:sz="4" w:space="0" w:color="auto"/>
            </w:tcBorders>
            <w:noWrap/>
          </w:tcPr>
          <w:p w14:paraId="3F4CFEC4"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2A0143B9" w14:textId="77777777" w:rsidTr="00507E84">
        <w:trPr>
          <w:trHeight w:val="255"/>
        </w:trPr>
        <w:tc>
          <w:tcPr>
            <w:tcW w:w="6188" w:type="dxa"/>
            <w:tcBorders>
              <w:top w:val="nil"/>
              <w:left w:val="single" w:sz="4" w:space="0" w:color="auto"/>
              <w:bottom w:val="single" w:sz="4" w:space="0" w:color="auto"/>
              <w:right w:val="single" w:sz="4" w:space="0" w:color="auto"/>
            </w:tcBorders>
          </w:tcPr>
          <w:p w14:paraId="4B55F4D9"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 xml:space="preserve">   z toho vplyv na ŠR</w:t>
            </w:r>
          </w:p>
        </w:tc>
        <w:tc>
          <w:tcPr>
            <w:tcW w:w="1698" w:type="dxa"/>
            <w:tcBorders>
              <w:top w:val="single" w:sz="4" w:space="0" w:color="auto"/>
              <w:left w:val="nil"/>
              <w:bottom w:val="single" w:sz="4" w:space="0" w:color="auto"/>
              <w:right w:val="single" w:sz="4" w:space="0" w:color="auto"/>
              <w:tr2bl w:val="single" w:sz="4" w:space="0" w:color="auto"/>
            </w:tcBorders>
          </w:tcPr>
          <w:p w14:paraId="3B9F0897" w14:textId="77777777" w:rsidR="00507E84" w:rsidRPr="00507E84" w:rsidRDefault="00507E84" w:rsidP="00507E84">
            <w:pPr>
              <w:jc w:val="center"/>
              <w:rPr>
                <w:rFonts w:ascii="Times New Roman" w:hAnsi="Times New Roman" w:cs="Times New Roman"/>
                <w:b/>
                <w:bCs/>
                <w:lang w:eastAsia="sk-SK"/>
              </w:rPr>
            </w:pPr>
          </w:p>
        </w:tc>
        <w:tc>
          <w:tcPr>
            <w:tcW w:w="1788" w:type="dxa"/>
            <w:tcBorders>
              <w:top w:val="single" w:sz="4" w:space="0" w:color="auto"/>
              <w:left w:val="nil"/>
              <w:bottom w:val="single" w:sz="4" w:space="0" w:color="auto"/>
              <w:right w:val="single" w:sz="4" w:space="0" w:color="auto"/>
              <w:tr2bl w:val="single" w:sz="4" w:space="0" w:color="auto"/>
            </w:tcBorders>
          </w:tcPr>
          <w:p w14:paraId="5F1967F0" w14:textId="77777777" w:rsidR="00507E84" w:rsidRPr="00507E84" w:rsidRDefault="00507E84" w:rsidP="00507E84">
            <w:pPr>
              <w:jc w:val="center"/>
              <w:rPr>
                <w:rFonts w:ascii="Times New Roman" w:hAnsi="Times New Roman" w:cs="Times New Roman"/>
                <w:b/>
                <w:bCs/>
                <w:lang w:eastAsia="sk-SK"/>
              </w:rPr>
            </w:pPr>
          </w:p>
        </w:tc>
        <w:tc>
          <w:tcPr>
            <w:tcW w:w="1878" w:type="dxa"/>
            <w:gridSpan w:val="2"/>
            <w:tcBorders>
              <w:top w:val="single" w:sz="4" w:space="0" w:color="auto"/>
              <w:left w:val="nil"/>
              <w:bottom w:val="single" w:sz="4" w:space="0" w:color="auto"/>
              <w:right w:val="single" w:sz="4" w:space="0" w:color="auto"/>
              <w:tr2bl w:val="single" w:sz="4" w:space="0" w:color="auto"/>
            </w:tcBorders>
          </w:tcPr>
          <w:p w14:paraId="6CB54F48" w14:textId="77777777" w:rsidR="00507E84" w:rsidRPr="00507E84" w:rsidRDefault="00507E84" w:rsidP="00507E84">
            <w:pPr>
              <w:jc w:val="center"/>
              <w:rPr>
                <w:rFonts w:ascii="Times New Roman" w:hAnsi="Times New Roman" w:cs="Times New Roman"/>
                <w:b/>
                <w:bCs/>
                <w:lang w:eastAsia="sk-SK"/>
              </w:rPr>
            </w:pPr>
          </w:p>
        </w:tc>
        <w:tc>
          <w:tcPr>
            <w:tcW w:w="1560" w:type="dxa"/>
            <w:tcBorders>
              <w:top w:val="single" w:sz="4" w:space="0" w:color="auto"/>
              <w:left w:val="nil"/>
              <w:bottom w:val="single" w:sz="4" w:space="0" w:color="auto"/>
              <w:right w:val="single" w:sz="4" w:space="0" w:color="auto"/>
              <w:tr2bl w:val="single" w:sz="4" w:space="0" w:color="auto"/>
            </w:tcBorders>
          </w:tcPr>
          <w:p w14:paraId="02AF68FB" w14:textId="77777777" w:rsidR="00507E84" w:rsidRPr="00507E84" w:rsidRDefault="00507E84" w:rsidP="00507E84">
            <w:pPr>
              <w:jc w:val="center"/>
              <w:rPr>
                <w:rFonts w:ascii="Times New Roman" w:hAnsi="Times New Roman" w:cs="Times New Roman"/>
                <w:b/>
                <w:bCs/>
                <w:lang w:eastAsia="sk-SK"/>
              </w:rPr>
            </w:pPr>
          </w:p>
        </w:tc>
        <w:tc>
          <w:tcPr>
            <w:tcW w:w="1842" w:type="dxa"/>
            <w:gridSpan w:val="2"/>
            <w:tcBorders>
              <w:top w:val="single" w:sz="4" w:space="0" w:color="auto"/>
              <w:left w:val="nil"/>
              <w:bottom w:val="single" w:sz="4" w:space="0" w:color="auto"/>
              <w:right w:val="single" w:sz="4" w:space="0" w:color="auto"/>
              <w:tr2bl w:val="single" w:sz="4" w:space="0" w:color="auto"/>
            </w:tcBorders>
            <w:noWrap/>
          </w:tcPr>
          <w:p w14:paraId="1E5B2759" w14:textId="77777777" w:rsidR="00507E84" w:rsidRPr="00507E84" w:rsidRDefault="00507E84" w:rsidP="00507E84">
            <w:pPr>
              <w:rPr>
                <w:rFonts w:ascii="Times New Roman" w:hAnsi="Times New Roman" w:cs="Times New Roman"/>
                <w:lang w:eastAsia="sk-SK"/>
              </w:rPr>
            </w:pPr>
          </w:p>
        </w:tc>
      </w:tr>
      <w:tr w:rsidR="00507E84" w:rsidRPr="00507E84" w14:paraId="2CE73E81" w14:textId="77777777" w:rsidTr="00507E84">
        <w:trPr>
          <w:trHeight w:val="255"/>
        </w:trPr>
        <w:tc>
          <w:tcPr>
            <w:tcW w:w="6188" w:type="dxa"/>
            <w:tcBorders>
              <w:top w:val="nil"/>
              <w:left w:val="single" w:sz="4" w:space="0" w:color="auto"/>
              <w:bottom w:val="single" w:sz="4" w:space="0" w:color="auto"/>
              <w:right w:val="single" w:sz="4" w:space="0" w:color="auto"/>
            </w:tcBorders>
          </w:tcPr>
          <w:p w14:paraId="0D8FD824"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Priemerný mzdový výdavok (v eurách)</w:t>
            </w:r>
          </w:p>
        </w:tc>
        <w:tc>
          <w:tcPr>
            <w:tcW w:w="1698" w:type="dxa"/>
            <w:tcBorders>
              <w:top w:val="single" w:sz="4" w:space="0" w:color="auto"/>
              <w:left w:val="nil"/>
              <w:bottom w:val="single" w:sz="4" w:space="0" w:color="auto"/>
              <w:right w:val="single" w:sz="4" w:space="0" w:color="auto"/>
              <w:tr2bl w:val="single" w:sz="4" w:space="0" w:color="auto"/>
            </w:tcBorders>
          </w:tcPr>
          <w:p w14:paraId="62639EF0" w14:textId="77777777" w:rsidR="00507E84" w:rsidRPr="00507E84" w:rsidRDefault="00507E84" w:rsidP="00507E84">
            <w:pPr>
              <w:jc w:val="center"/>
              <w:rPr>
                <w:rFonts w:ascii="Times New Roman" w:hAnsi="Times New Roman" w:cs="Times New Roman"/>
                <w:b/>
                <w:bCs/>
                <w:lang w:eastAsia="sk-SK"/>
              </w:rPr>
            </w:pPr>
          </w:p>
        </w:tc>
        <w:tc>
          <w:tcPr>
            <w:tcW w:w="1788" w:type="dxa"/>
            <w:tcBorders>
              <w:top w:val="single" w:sz="4" w:space="0" w:color="auto"/>
              <w:left w:val="nil"/>
              <w:bottom w:val="single" w:sz="4" w:space="0" w:color="auto"/>
              <w:right w:val="single" w:sz="4" w:space="0" w:color="auto"/>
              <w:tr2bl w:val="single" w:sz="4" w:space="0" w:color="auto"/>
            </w:tcBorders>
          </w:tcPr>
          <w:p w14:paraId="22D5506E" w14:textId="77777777" w:rsidR="00507E84" w:rsidRPr="00507E84" w:rsidRDefault="00507E84" w:rsidP="00507E84">
            <w:pPr>
              <w:jc w:val="center"/>
              <w:rPr>
                <w:rFonts w:ascii="Times New Roman" w:hAnsi="Times New Roman" w:cs="Times New Roman"/>
                <w:b/>
                <w:bCs/>
                <w:lang w:eastAsia="sk-SK"/>
              </w:rPr>
            </w:pPr>
          </w:p>
        </w:tc>
        <w:tc>
          <w:tcPr>
            <w:tcW w:w="1878" w:type="dxa"/>
            <w:gridSpan w:val="2"/>
            <w:tcBorders>
              <w:top w:val="single" w:sz="4" w:space="0" w:color="auto"/>
              <w:left w:val="nil"/>
              <w:bottom w:val="single" w:sz="4" w:space="0" w:color="auto"/>
              <w:right w:val="single" w:sz="4" w:space="0" w:color="auto"/>
              <w:tr2bl w:val="single" w:sz="4" w:space="0" w:color="auto"/>
            </w:tcBorders>
          </w:tcPr>
          <w:p w14:paraId="6C7B4D5F" w14:textId="77777777" w:rsidR="00507E84" w:rsidRPr="00507E84" w:rsidRDefault="00507E84" w:rsidP="00507E84">
            <w:pPr>
              <w:jc w:val="center"/>
              <w:rPr>
                <w:rFonts w:ascii="Times New Roman" w:hAnsi="Times New Roman" w:cs="Times New Roman"/>
                <w:b/>
                <w:bCs/>
                <w:lang w:eastAsia="sk-SK"/>
              </w:rPr>
            </w:pPr>
          </w:p>
        </w:tc>
        <w:tc>
          <w:tcPr>
            <w:tcW w:w="1560" w:type="dxa"/>
            <w:tcBorders>
              <w:top w:val="single" w:sz="4" w:space="0" w:color="auto"/>
              <w:left w:val="nil"/>
              <w:bottom w:val="single" w:sz="4" w:space="0" w:color="auto"/>
              <w:right w:val="single" w:sz="4" w:space="0" w:color="auto"/>
              <w:tr2bl w:val="single" w:sz="4" w:space="0" w:color="auto"/>
            </w:tcBorders>
          </w:tcPr>
          <w:p w14:paraId="5154254E" w14:textId="77777777" w:rsidR="00507E84" w:rsidRPr="00507E84" w:rsidRDefault="00507E84" w:rsidP="00507E84">
            <w:pPr>
              <w:jc w:val="center"/>
              <w:rPr>
                <w:rFonts w:ascii="Times New Roman" w:hAnsi="Times New Roman" w:cs="Times New Roman"/>
                <w:b/>
                <w:bCs/>
                <w:lang w:eastAsia="sk-SK"/>
              </w:rPr>
            </w:pPr>
          </w:p>
        </w:tc>
        <w:tc>
          <w:tcPr>
            <w:tcW w:w="1842" w:type="dxa"/>
            <w:gridSpan w:val="2"/>
            <w:tcBorders>
              <w:top w:val="single" w:sz="4" w:space="0" w:color="auto"/>
              <w:left w:val="nil"/>
              <w:bottom w:val="single" w:sz="4" w:space="0" w:color="auto"/>
              <w:right w:val="single" w:sz="4" w:space="0" w:color="auto"/>
              <w:tr2bl w:val="single" w:sz="4" w:space="0" w:color="auto"/>
            </w:tcBorders>
            <w:noWrap/>
          </w:tcPr>
          <w:p w14:paraId="2427FB7A"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11885AF0" w14:textId="77777777" w:rsidTr="00507E84">
        <w:trPr>
          <w:trHeight w:val="255"/>
        </w:trPr>
        <w:tc>
          <w:tcPr>
            <w:tcW w:w="6188" w:type="dxa"/>
            <w:tcBorders>
              <w:top w:val="nil"/>
              <w:left w:val="single" w:sz="4" w:space="0" w:color="auto"/>
              <w:bottom w:val="single" w:sz="4" w:space="0" w:color="auto"/>
              <w:right w:val="single" w:sz="4" w:space="0" w:color="auto"/>
            </w:tcBorders>
          </w:tcPr>
          <w:p w14:paraId="3E55A3C5"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b/>
                <w:bCs/>
                <w:lang w:eastAsia="sk-SK"/>
              </w:rPr>
              <w:t xml:space="preserve">   z toho vplyv na ŠR</w:t>
            </w:r>
          </w:p>
        </w:tc>
        <w:tc>
          <w:tcPr>
            <w:tcW w:w="1698" w:type="dxa"/>
            <w:tcBorders>
              <w:top w:val="single" w:sz="4" w:space="0" w:color="auto"/>
              <w:left w:val="nil"/>
              <w:bottom w:val="single" w:sz="4" w:space="0" w:color="auto"/>
              <w:right w:val="single" w:sz="4" w:space="0" w:color="auto"/>
              <w:tr2bl w:val="single" w:sz="4" w:space="0" w:color="auto"/>
            </w:tcBorders>
          </w:tcPr>
          <w:p w14:paraId="76788C4A"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 </w:t>
            </w:r>
          </w:p>
        </w:tc>
        <w:tc>
          <w:tcPr>
            <w:tcW w:w="1788" w:type="dxa"/>
            <w:tcBorders>
              <w:top w:val="single" w:sz="4" w:space="0" w:color="auto"/>
              <w:left w:val="nil"/>
              <w:bottom w:val="single" w:sz="4" w:space="0" w:color="auto"/>
              <w:right w:val="single" w:sz="4" w:space="0" w:color="auto"/>
              <w:tr2bl w:val="single" w:sz="4" w:space="0" w:color="auto"/>
            </w:tcBorders>
          </w:tcPr>
          <w:p w14:paraId="09AAD6EA"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 </w:t>
            </w:r>
          </w:p>
        </w:tc>
        <w:tc>
          <w:tcPr>
            <w:tcW w:w="1878" w:type="dxa"/>
            <w:gridSpan w:val="2"/>
            <w:tcBorders>
              <w:top w:val="single" w:sz="4" w:space="0" w:color="auto"/>
              <w:left w:val="nil"/>
              <w:bottom w:val="single" w:sz="4" w:space="0" w:color="auto"/>
              <w:right w:val="single" w:sz="4" w:space="0" w:color="auto"/>
              <w:tr2bl w:val="single" w:sz="4" w:space="0" w:color="auto"/>
            </w:tcBorders>
          </w:tcPr>
          <w:p w14:paraId="7A03955D"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 </w:t>
            </w:r>
          </w:p>
        </w:tc>
        <w:tc>
          <w:tcPr>
            <w:tcW w:w="1560" w:type="dxa"/>
            <w:tcBorders>
              <w:top w:val="single" w:sz="4" w:space="0" w:color="auto"/>
              <w:left w:val="nil"/>
              <w:bottom w:val="single" w:sz="4" w:space="0" w:color="auto"/>
              <w:right w:val="single" w:sz="4" w:space="0" w:color="auto"/>
              <w:tr2bl w:val="single" w:sz="4" w:space="0" w:color="auto"/>
            </w:tcBorders>
          </w:tcPr>
          <w:p w14:paraId="76860020"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 </w:t>
            </w:r>
          </w:p>
        </w:tc>
        <w:tc>
          <w:tcPr>
            <w:tcW w:w="1842" w:type="dxa"/>
            <w:gridSpan w:val="2"/>
            <w:tcBorders>
              <w:top w:val="single" w:sz="4" w:space="0" w:color="auto"/>
              <w:left w:val="nil"/>
              <w:bottom w:val="single" w:sz="4" w:space="0" w:color="auto"/>
              <w:right w:val="single" w:sz="4" w:space="0" w:color="auto"/>
              <w:tr2bl w:val="single" w:sz="4" w:space="0" w:color="auto"/>
            </w:tcBorders>
            <w:noWrap/>
          </w:tcPr>
          <w:p w14:paraId="0DBFC8D5"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6CE499C3" w14:textId="77777777" w:rsidTr="00507E84">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37156E92"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Osobné výdavky celkom (v eurách)</w:t>
            </w:r>
          </w:p>
        </w:tc>
        <w:tc>
          <w:tcPr>
            <w:tcW w:w="1698" w:type="dxa"/>
            <w:tcBorders>
              <w:top w:val="single" w:sz="4" w:space="0" w:color="auto"/>
              <w:left w:val="nil"/>
              <w:bottom w:val="single" w:sz="4" w:space="0" w:color="auto"/>
              <w:right w:val="single" w:sz="4" w:space="0" w:color="auto"/>
            </w:tcBorders>
            <w:shd w:val="clear" w:color="auto" w:fill="BFBFBF" w:themeFill="background1" w:themeFillShade="BF"/>
          </w:tcPr>
          <w:p w14:paraId="4C3FB885"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rPr>
              <w:t>201 773</w:t>
            </w:r>
          </w:p>
        </w:tc>
        <w:tc>
          <w:tcPr>
            <w:tcW w:w="1788" w:type="dxa"/>
            <w:tcBorders>
              <w:top w:val="single" w:sz="4" w:space="0" w:color="auto"/>
              <w:left w:val="nil"/>
              <w:bottom w:val="single" w:sz="4" w:space="0" w:color="auto"/>
              <w:right w:val="single" w:sz="4" w:space="0" w:color="auto"/>
            </w:tcBorders>
            <w:shd w:val="clear" w:color="auto" w:fill="BFBFBF" w:themeFill="background1" w:themeFillShade="BF"/>
          </w:tcPr>
          <w:p w14:paraId="4396AC38"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rPr>
              <w:t>101 127</w:t>
            </w:r>
          </w:p>
        </w:tc>
        <w:tc>
          <w:tcPr>
            <w:tcW w:w="1878" w:type="dxa"/>
            <w:gridSpan w:val="2"/>
            <w:tcBorders>
              <w:top w:val="single" w:sz="4" w:space="0" w:color="auto"/>
              <w:left w:val="nil"/>
              <w:bottom w:val="single" w:sz="4" w:space="0" w:color="auto"/>
              <w:right w:val="single" w:sz="4" w:space="0" w:color="auto"/>
            </w:tcBorders>
            <w:shd w:val="clear" w:color="auto" w:fill="BFBFBF" w:themeFill="background1" w:themeFillShade="BF"/>
          </w:tcPr>
          <w:p w14:paraId="0659BB63"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0</w:t>
            </w: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tcPr>
          <w:p w14:paraId="3B766CAD" w14:textId="77777777" w:rsidR="00507E84" w:rsidRPr="00507E84" w:rsidRDefault="00507E84" w:rsidP="00507E84">
            <w:pPr>
              <w:jc w:val="center"/>
              <w:rPr>
                <w:rFonts w:ascii="Times New Roman" w:hAnsi="Times New Roman" w:cs="Times New Roman"/>
                <w:b/>
                <w:bCs/>
                <w:lang w:eastAsia="sk-SK"/>
              </w:rPr>
            </w:pPr>
            <w:r w:rsidRPr="00507E84">
              <w:rPr>
                <w:rFonts w:ascii="Times New Roman" w:hAnsi="Times New Roman" w:cs="Times New Roman"/>
                <w:b/>
                <w:bCs/>
                <w:lang w:eastAsia="sk-SK"/>
              </w:rPr>
              <w:t>0</w:t>
            </w:r>
          </w:p>
        </w:tc>
        <w:tc>
          <w:tcPr>
            <w:tcW w:w="1842" w:type="dxa"/>
            <w:gridSpan w:val="2"/>
            <w:tcBorders>
              <w:top w:val="single" w:sz="4" w:space="0" w:color="auto"/>
              <w:left w:val="nil"/>
              <w:bottom w:val="single" w:sz="4" w:space="0" w:color="auto"/>
              <w:right w:val="single" w:sz="4" w:space="0" w:color="auto"/>
            </w:tcBorders>
            <w:shd w:val="clear" w:color="auto" w:fill="BFBFBF" w:themeFill="background1" w:themeFillShade="BF"/>
            <w:noWrap/>
          </w:tcPr>
          <w:p w14:paraId="49340D07"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 </w:t>
            </w:r>
          </w:p>
        </w:tc>
      </w:tr>
      <w:tr w:rsidR="00507E84" w:rsidRPr="00507E84" w14:paraId="03AF181F" w14:textId="77777777" w:rsidTr="00507E84">
        <w:trPr>
          <w:trHeight w:val="255"/>
        </w:trPr>
        <w:tc>
          <w:tcPr>
            <w:tcW w:w="6188" w:type="dxa"/>
            <w:tcBorders>
              <w:top w:val="nil"/>
              <w:left w:val="single" w:sz="4" w:space="0" w:color="auto"/>
              <w:bottom w:val="single" w:sz="4" w:space="0" w:color="auto"/>
              <w:right w:val="single" w:sz="4" w:space="0" w:color="auto"/>
            </w:tcBorders>
          </w:tcPr>
          <w:p w14:paraId="18EBADFA"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Mzdy, platy, služobné príjmy a ostatné osobné vyrovnania (610)</w:t>
            </w:r>
          </w:p>
        </w:tc>
        <w:tc>
          <w:tcPr>
            <w:tcW w:w="1698" w:type="dxa"/>
            <w:tcBorders>
              <w:top w:val="single" w:sz="4" w:space="0" w:color="auto"/>
              <w:left w:val="nil"/>
              <w:bottom w:val="single" w:sz="4" w:space="0" w:color="auto"/>
              <w:right w:val="single" w:sz="4" w:space="0" w:color="auto"/>
            </w:tcBorders>
            <w:vAlign w:val="center"/>
          </w:tcPr>
          <w:p w14:paraId="247E0519"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color w:val="000000"/>
              </w:rPr>
              <w:t>113 699</w:t>
            </w:r>
          </w:p>
        </w:tc>
        <w:tc>
          <w:tcPr>
            <w:tcW w:w="1788" w:type="dxa"/>
            <w:tcBorders>
              <w:top w:val="single" w:sz="4" w:space="0" w:color="auto"/>
              <w:left w:val="nil"/>
              <w:bottom w:val="single" w:sz="4" w:space="0" w:color="auto"/>
              <w:right w:val="single" w:sz="4" w:space="0" w:color="auto"/>
            </w:tcBorders>
            <w:vAlign w:val="center"/>
          </w:tcPr>
          <w:p w14:paraId="1196492E"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color w:val="000000"/>
              </w:rPr>
              <w:t>56 985</w:t>
            </w:r>
          </w:p>
        </w:tc>
        <w:tc>
          <w:tcPr>
            <w:tcW w:w="1878" w:type="dxa"/>
            <w:gridSpan w:val="2"/>
            <w:tcBorders>
              <w:top w:val="single" w:sz="4" w:space="0" w:color="auto"/>
              <w:left w:val="nil"/>
              <w:bottom w:val="single" w:sz="4" w:space="0" w:color="auto"/>
              <w:right w:val="single" w:sz="4" w:space="0" w:color="auto"/>
            </w:tcBorders>
            <w:vAlign w:val="center"/>
          </w:tcPr>
          <w:p w14:paraId="4D822CEC"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0</w:t>
            </w:r>
          </w:p>
        </w:tc>
        <w:tc>
          <w:tcPr>
            <w:tcW w:w="1560" w:type="dxa"/>
            <w:tcBorders>
              <w:top w:val="single" w:sz="4" w:space="0" w:color="auto"/>
              <w:left w:val="nil"/>
              <w:bottom w:val="single" w:sz="4" w:space="0" w:color="auto"/>
              <w:right w:val="single" w:sz="4" w:space="0" w:color="auto"/>
            </w:tcBorders>
            <w:vAlign w:val="center"/>
          </w:tcPr>
          <w:p w14:paraId="160230F4"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0</w:t>
            </w:r>
          </w:p>
        </w:tc>
        <w:tc>
          <w:tcPr>
            <w:tcW w:w="1842" w:type="dxa"/>
            <w:gridSpan w:val="2"/>
            <w:tcBorders>
              <w:top w:val="single" w:sz="4" w:space="0" w:color="auto"/>
              <w:left w:val="nil"/>
              <w:bottom w:val="single" w:sz="4" w:space="0" w:color="auto"/>
              <w:right w:val="single" w:sz="4" w:space="0" w:color="auto"/>
            </w:tcBorders>
            <w:noWrap/>
          </w:tcPr>
          <w:p w14:paraId="6D1CC499"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 </w:t>
            </w:r>
          </w:p>
        </w:tc>
      </w:tr>
      <w:tr w:rsidR="00507E84" w:rsidRPr="00507E84" w14:paraId="78C005DC" w14:textId="77777777" w:rsidTr="00507E84">
        <w:trPr>
          <w:trHeight w:val="255"/>
        </w:trPr>
        <w:tc>
          <w:tcPr>
            <w:tcW w:w="6188" w:type="dxa"/>
            <w:tcBorders>
              <w:top w:val="nil"/>
              <w:left w:val="single" w:sz="4" w:space="0" w:color="auto"/>
              <w:bottom w:val="single" w:sz="4" w:space="0" w:color="auto"/>
              <w:right w:val="single" w:sz="4" w:space="0" w:color="auto"/>
            </w:tcBorders>
          </w:tcPr>
          <w:p w14:paraId="6F3D1E86"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b/>
                <w:bCs/>
                <w:lang w:eastAsia="sk-SK"/>
              </w:rPr>
              <w:t xml:space="preserve">   z toho vplyv na ŠR</w:t>
            </w:r>
          </w:p>
        </w:tc>
        <w:tc>
          <w:tcPr>
            <w:tcW w:w="1698" w:type="dxa"/>
            <w:tcBorders>
              <w:top w:val="single" w:sz="4" w:space="0" w:color="auto"/>
              <w:left w:val="nil"/>
              <w:bottom w:val="single" w:sz="4" w:space="0" w:color="auto"/>
              <w:right w:val="single" w:sz="4" w:space="0" w:color="auto"/>
            </w:tcBorders>
            <w:vAlign w:val="center"/>
          </w:tcPr>
          <w:p w14:paraId="16C8DC8A"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color w:val="000000"/>
              </w:rPr>
              <w:t>113 699</w:t>
            </w:r>
          </w:p>
        </w:tc>
        <w:tc>
          <w:tcPr>
            <w:tcW w:w="1788" w:type="dxa"/>
            <w:tcBorders>
              <w:top w:val="single" w:sz="4" w:space="0" w:color="auto"/>
              <w:left w:val="nil"/>
              <w:bottom w:val="single" w:sz="4" w:space="0" w:color="auto"/>
              <w:right w:val="single" w:sz="4" w:space="0" w:color="auto"/>
            </w:tcBorders>
            <w:vAlign w:val="center"/>
          </w:tcPr>
          <w:p w14:paraId="32C1564D"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color w:val="000000"/>
              </w:rPr>
              <w:t>56 985</w:t>
            </w:r>
          </w:p>
        </w:tc>
        <w:tc>
          <w:tcPr>
            <w:tcW w:w="1878" w:type="dxa"/>
            <w:gridSpan w:val="2"/>
            <w:tcBorders>
              <w:top w:val="single" w:sz="4" w:space="0" w:color="auto"/>
              <w:left w:val="nil"/>
              <w:bottom w:val="single" w:sz="4" w:space="0" w:color="auto"/>
              <w:right w:val="single" w:sz="4" w:space="0" w:color="auto"/>
            </w:tcBorders>
            <w:vAlign w:val="center"/>
          </w:tcPr>
          <w:p w14:paraId="3E189C58"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0</w:t>
            </w:r>
          </w:p>
        </w:tc>
        <w:tc>
          <w:tcPr>
            <w:tcW w:w="1560" w:type="dxa"/>
            <w:tcBorders>
              <w:top w:val="single" w:sz="4" w:space="0" w:color="auto"/>
              <w:left w:val="nil"/>
              <w:bottom w:val="single" w:sz="4" w:space="0" w:color="auto"/>
              <w:right w:val="single" w:sz="4" w:space="0" w:color="auto"/>
            </w:tcBorders>
            <w:vAlign w:val="center"/>
          </w:tcPr>
          <w:p w14:paraId="5132A3AD"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0</w:t>
            </w:r>
          </w:p>
        </w:tc>
        <w:tc>
          <w:tcPr>
            <w:tcW w:w="1842" w:type="dxa"/>
            <w:gridSpan w:val="2"/>
            <w:tcBorders>
              <w:top w:val="single" w:sz="4" w:space="0" w:color="auto"/>
              <w:left w:val="nil"/>
              <w:bottom w:val="single" w:sz="4" w:space="0" w:color="auto"/>
              <w:right w:val="single" w:sz="4" w:space="0" w:color="auto"/>
            </w:tcBorders>
            <w:noWrap/>
          </w:tcPr>
          <w:p w14:paraId="1EBDF72C"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402BE8AA" w14:textId="77777777" w:rsidTr="00507E84">
        <w:trPr>
          <w:trHeight w:val="255"/>
        </w:trPr>
        <w:tc>
          <w:tcPr>
            <w:tcW w:w="6188" w:type="dxa"/>
            <w:tcBorders>
              <w:top w:val="nil"/>
              <w:left w:val="single" w:sz="4" w:space="0" w:color="auto"/>
              <w:bottom w:val="single" w:sz="4" w:space="0" w:color="auto"/>
              <w:right w:val="single" w:sz="4" w:space="0" w:color="auto"/>
            </w:tcBorders>
          </w:tcPr>
          <w:p w14:paraId="79ADAF92"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Poistné a príspevok do poisťovní (620)</w:t>
            </w:r>
          </w:p>
        </w:tc>
        <w:tc>
          <w:tcPr>
            <w:tcW w:w="1698" w:type="dxa"/>
            <w:tcBorders>
              <w:top w:val="single" w:sz="4" w:space="0" w:color="auto"/>
              <w:left w:val="nil"/>
              <w:bottom w:val="single" w:sz="4" w:space="0" w:color="auto"/>
              <w:right w:val="single" w:sz="4" w:space="0" w:color="auto"/>
            </w:tcBorders>
            <w:vAlign w:val="center"/>
          </w:tcPr>
          <w:p w14:paraId="17356E8D"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color w:val="000000"/>
              </w:rPr>
              <w:t>88 074</w:t>
            </w:r>
          </w:p>
        </w:tc>
        <w:tc>
          <w:tcPr>
            <w:tcW w:w="1788" w:type="dxa"/>
            <w:tcBorders>
              <w:top w:val="single" w:sz="4" w:space="0" w:color="auto"/>
              <w:left w:val="nil"/>
              <w:bottom w:val="single" w:sz="4" w:space="0" w:color="auto"/>
              <w:right w:val="single" w:sz="4" w:space="0" w:color="auto"/>
            </w:tcBorders>
            <w:vAlign w:val="center"/>
          </w:tcPr>
          <w:p w14:paraId="77DECA19"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color w:val="000000"/>
              </w:rPr>
              <w:t>44 142</w:t>
            </w:r>
          </w:p>
        </w:tc>
        <w:tc>
          <w:tcPr>
            <w:tcW w:w="1878" w:type="dxa"/>
            <w:gridSpan w:val="2"/>
            <w:tcBorders>
              <w:top w:val="single" w:sz="4" w:space="0" w:color="auto"/>
              <w:left w:val="nil"/>
              <w:bottom w:val="single" w:sz="4" w:space="0" w:color="auto"/>
              <w:right w:val="single" w:sz="4" w:space="0" w:color="auto"/>
            </w:tcBorders>
            <w:vAlign w:val="center"/>
          </w:tcPr>
          <w:p w14:paraId="38FC07BC"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0</w:t>
            </w:r>
          </w:p>
        </w:tc>
        <w:tc>
          <w:tcPr>
            <w:tcW w:w="1560" w:type="dxa"/>
            <w:tcBorders>
              <w:top w:val="single" w:sz="4" w:space="0" w:color="auto"/>
              <w:left w:val="nil"/>
              <w:bottom w:val="single" w:sz="4" w:space="0" w:color="auto"/>
              <w:right w:val="single" w:sz="4" w:space="0" w:color="auto"/>
            </w:tcBorders>
            <w:vAlign w:val="center"/>
          </w:tcPr>
          <w:p w14:paraId="37C18B71"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0</w:t>
            </w:r>
          </w:p>
        </w:tc>
        <w:tc>
          <w:tcPr>
            <w:tcW w:w="1842" w:type="dxa"/>
            <w:gridSpan w:val="2"/>
            <w:tcBorders>
              <w:top w:val="single" w:sz="4" w:space="0" w:color="auto"/>
              <w:left w:val="nil"/>
              <w:bottom w:val="single" w:sz="4" w:space="0" w:color="auto"/>
              <w:right w:val="single" w:sz="4" w:space="0" w:color="auto"/>
            </w:tcBorders>
            <w:noWrap/>
          </w:tcPr>
          <w:p w14:paraId="170F4738"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 </w:t>
            </w:r>
          </w:p>
        </w:tc>
      </w:tr>
      <w:tr w:rsidR="00507E84" w:rsidRPr="00507E84" w14:paraId="18F01E02" w14:textId="77777777" w:rsidTr="00507E84">
        <w:trPr>
          <w:trHeight w:val="255"/>
        </w:trPr>
        <w:tc>
          <w:tcPr>
            <w:tcW w:w="6188" w:type="dxa"/>
            <w:tcBorders>
              <w:top w:val="nil"/>
              <w:left w:val="single" w:sz="4" w:space="0" w:color="auto"/>
              <w:bottom w:val="single" w:sz="4" w:space="0" w:color="auto"/>
              <w:right w:val="single" w:sz="4" w:space="0" w:color="auto"/>
            </w:tcBorders>
          </w:tcPr>
          <w:p w14:paraId="6F8999DF"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b/>
                <w:bCs/>
                <w:lang w:eastAsia="sk-SK"/>
              </w:rPr>
              <w:t xml:space="preserve">   z toho vplyv na ŠR</w:t>
            </w:r>
          </w:p>
        </w:tc>
        <w:tc>
          <w:tcPr>
            <w:tcW w:w="1698" w:type="dxa"/>
            <w:tcBorders>
              <w:top w:val="single" w:sz="4" w:space="0" w:color="auto"/>
              <w:left w:val="nil"/>
              <w:bottom w:val="single" w:sz="4" w:space="0" w:color="auto"/>
              <w:right w:val="single" w:sz="4" w:space="0" w:color="auto"/>
            </w:tcBorders>
            <w:vAlign w:val="center"/>
          </w:tcPr>
          <w:p w14:paraId="0CE0F13B"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color w:val="000000"/>
              </w:rPr>
              <w:t>88 074</w:t>
            </w:r>
          </w:p>
        </w:tc>
        <w:tc>
          <w:tcPr>
            <w:tcW w:w="1788" w:type="dxa"/>
            <w:tcBorders>
              <w:top w:val="single" w:sz="4" w:space="0" w:color="auto"/>
              <w:left w:val="nil"/>
              <w:bottom w:val="single" w:sz="4" w:space="0" w:color="auto"/>
              <w:right w:val="single" w:sz="4" w:space="0" w:color="auto"/>
            </w:tcBorders>
            <w:vAlign w:val="center"/>
          </w:tcPr>
          <w:p w14:paraId="2C932998"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color w:val="000000"/>
              </w:rPr>
              <w:t>44 142</w:t>
            </w:r>
          </w:p>
        </w:tc>
        <w:tc>
          <w:tcPr>
            <w:tcW w:w="1878" w:type="dxa"/>
            <w:gridSpan w:val="2"/>
            <w:tcBorders>
              <w:top w:val="single" w:sz="4" w:space="0" w:color="auto"/>
              <w:left w:val="nil"/>
              <w:bottom w:val="single" w:sz="4" w:space="0" w:color="auto"/>
              <w:right w:val="single" w:sz="4" w:space="0" w:color="auto"/>
            </w:tcBorders>
            <w:vAlign w:val="center"/>
          </w:tcPr>
          <w:p w14:paraId="24AF78CC"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0</w:t>
            </w:r>
          </w:p>
        </w:tc>
        <w:tc>
          <w:tcPr>
            <w:tcW w:w="1560" w:type="dxa"/>
            <w:tcBorders>
              <w:top w:val="single" w:sz="4" w:space="0" w:color="auto"/>
              <w:left w:val="nil"/>
              <w:bottom w:val="single" w:sz="4" w:space="0" w:color="auto"/>
              <w:right w:val="single" w:sz="4" w:space="0" w:color="auto"/>
            </w:tcBorders>
            <w:vAlign w:val="center"/>
          </w:tcPr>
          <w:p w14:paraId="7AB9F602" w14:textId="77777777" w:rsidR="00507E84" w:rsidRPr="00507E84" w:rsidRDefault="00507E84" w:rsidP="00507E84">
            <w:pPr>
              <w:jc w:val="center"/>
              <w:rPr>
                <w:rFonts w:ascii="Times New Roman" w:hAnsi="Times New Roman" w:cs="Times New Roman"/>
                <w:lang w:eastAsia="sk-SK"/>
              </w:rPr>
            </w:pPr>
            <w:r w:rsidRPr="00507E84">
              <w:rPr>
                <w:rFonts w:ascii="Times New Roman" w:hAnsi="Times New Roman" w:cs="Times New Roman"/>
                <w:lang w:eastAsia="sk-SK"/>
              </w:rPr>
              <w:t>0</w:t>
            </w:r>
          </w:p>
        </w:tc>
        <w:tc>
          <w:tcPr>
            <w:tcW w:w="1842" w:type="dxa"/>
            <w:gridSpan w:val="2"/>
            <w:tcBorders>
              <w:top w:val="single" w:sz="4" w:space="0" w:color="auto"/>
              <w:left w:val="nil"/>
              <w:bottom w:val="single" w:sz="4" w:space="0" w:color="auto"/>
              <w:right w:val="single" w:sz="4" w:space="0" w:color="auto"/>
            </w:tcBorders>
            <w:noWrap/>
          </w:tcPr>
          <w:p w14:paraId="4B1FAB01"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 </w:t>
            </w:r>
          </w:p>
        </w:tc>
      </w:tr>
      <w:tr w:rsidR="00507E84" w:rsidRPr="00507E84" w14:paraId="3C48F9E7" w14:textId="77777777" w:rsidTr="00507E84">
        <w:trPr>
          <w:trHeight w:val="255"/>
        </w:trPr>
        <w:tc>
          <w:tcPr>
            <w:tcW w:w="6188" w:type="dxa"/>
            <w:tcBorders>
              <w:top w:val="nil"/>
              <w:left w:val="nil"/>
              <w:bottom w:val="nil"/>
              <w:right w:val="nil"/>
            </w:tcBorders>
            <w:noWrap/>
            <w:vAlign w:val="bottom"/>
          </w:tcPr>
          <w:p w14:paraId="4EBBE1A2" w14:textId="77777777" w:rsidR="00507E84" w:rsidRPr="00507E84" w:rsidRDefault="00507E84" w:rsidP="00507E84">
            <w:pPr>
              <w:rPr>
                <w:rFonts w:ascii="Times New Roman" w:hAnsi="Times New Roman" w:cs="Times New Roman"/>
                <w:lang w:eastAsia="sk-SK"/>
              </w:rPr>
            </w:pPr>
          </w:p>
        </w:tc>
        <w:tc>
          <w:tcPr>
            <w:tcW w:w="1698" w:type="dxa"/>
            <w:tcBorders>
              <w:top w:val="nil"/>
              <w:left w:val="nil"/>
              <w:bottom w:val="nil"/>
              <w:right w:val="nil"/>
            </w:tcBorders>
            <w:noWrap/>
            <w:vAlign w:val="bottom"/>
          </w:tcPr>
          <w:p w14:paraId="18CBD274" w14:textId="77777777" w:rsidR="00507E84" w:rsidRPr="00507E84" w:rsidRDefault="00507E84" w:rsidP="00507E84">
            <w:pPr>
              <w:rPr>
                <w:rFonts w:ascii="Times New Roman" w:hAnsi="Times New Roman" w:cs="Times New Roman"/>
                <w:lang w:eastAsia="sk-SK"/>
              </w:rPr>
            </w:pPr>
          </w:p>
        </w:tc>
        <w:tc>
          <w:tcPr>
            <w:tcW w:w="1788" w:type="dxa"/>
            <w:tcBorders>
              <w:top w:val="nil"/>
              <w:left w:val="nil"/>
              <w:bottom w:val="nil"/>
              <w:right w:val="nil"/>
            </w:tcBorders>
            <w:noWrap/>
            <w:vAlign w:val="bottom"/>
          </w:tcPr>
          <w:p w14:paraId="5E55745F" w14:textId="77777777" w:rsidR="00507E84" w:rsidRPr="00507E84" w:rsidRDefault="00507E84" w:rsidP="00507E84">
            <w:pPr>
              <w:rPr>
                <w:rFonts w:ascii="Times New Roman" w:hAnsi="Times New Roman" w:cs="Times New Roman"/>
                <w:lang w:eastAsia="sk-SK"/>
              </w:rPr>
            </w:pPr>
          </w:p>
        </w:tc>
        <w:tc>
          <w:tcPr>
            <w:tcW w:w="1878" w:type="dxa"/>
            <w:gridSpan w:val="2"/>
            <w:tcBorders>
              <w:top w:val="nil"/>
              <w:left w:val="nil"/>
              <w:bottom w:val="nil"/>
              <w:right w:val="nil"/>
            </w:tcBorders>
            <w:noWrap/>
            <w:vAlign w:val="bottom"/>
          </w:tcPr>
          <w:p w14:paraId="0F5E3E40" w14:textId="77777777" w:rsidR="00507E84" w:rsidRPr="00507E84" w:rsidRDefault="00507E84" w:rsidP="00507E84">
            <w:pPr>
              <w:rPr>
                <w:rFonts w:ascii="Times New Roman" w:hAnsi="Times New Roman" w:cs="Times New Roman"/>
                <w:lang w:eastAsia="sk-SK"/>
              </w:rPr>
            </w:pPr>
          </w:p>
        </w:tc>
        <w:tc>
          <w:tcPr>
            <w:tcW w:w="1560" w:type="dxa"/>
            <w:tcBorders>
              <w:top w:val="nil"/>
              <w:left w:val="nil"/>
              <w:bottom w:val="nil"/>
              <w:right w:val="nil"/>
            </w:tcBorders>
            <w:noWrap/>
            <w:vAlign w:val="bottom"/>
          </w:tcPr>
          <w:p w14:paraId="2D86D9A5" w14:textId="77777777" w:rsidR="00507E84" w:rsidRPr="00507E84" w:rsidRDefault="00507E84" w:rsidP="00507E84">
            <w:pPr>
              <w:rPr>
                <w:rFonts w:ascii="Times New Roman" w:hAnsi="Times New Roman" w:cs="Times New Roman"/>
                <w:lang w:eastAsia="sk-SK"/>
              </w:rPr>
            </w:pPr>
          </w:p>
        </w:tc>
        <w:tc>
          <w:tcPr>
            <w:tcW w:w="1842" w:type="dxa"/>
            <w:gridSpan w:val="2"/>
            <w:tcBorders>
              <w:top w:val="nil"/>
              <w:left w:val="nil"/>
              <w:bottom w:val="nil"/>
              <w:right w:val="nil"/>
            </w:tcBorders>
            <w:noWrap/>
            <w:vAlign w:val="bottom"/>
          </w:tcPr>
          <w:p w14:paraId="295851DB" w14:textId="77777777" w:rsidR="00507E84" w:rsidRPr="00507E84" w:rsidRDefault="00507E84" w:rsidP="00507E84">
            <w:pPr>
              <w:rPr>
                <w:rFonts w:ascii="Times New Roman" w:hAnsi="Times New Roman" w:cs="Times New Roman"/>
                <w:lang w:eastAsia="sk-SK"/>
              </w:rPr>
            </w:pPr>
          </w:p>
        </w:tc>
      </w:tr>
      <w:tr w:rsidR="00507E84" w:rsidRPr="00507E84" w14:paraId="4BFBB881" w14:textId="77777777" w:rsidTr="00507E84">
        <w:trPr>
          <w:trHeight w:val="255"/>
        </w:trPr>
        <w:tc>
          <w:tcPr>
            <w:tcW w:w="6188" w:type="dxa"/>
            <w:tcBorders>
              <w:top w:val="nil"/>
              <w:left w:val="nil"/>
              <w:bottom w:val="nil"/>
              <w:right w:val="nil"/>
            </w:tcBorders>
          </w:tcPr>
          <w:p w14:paraId="56A7E75C" w14:textId="77777777" w:rsidR="00507E84" w:rsidRPr="00507E84" w:rsidRDefault="00507E84" w:rsidP="00507E84">
            <w:pPr>
              <w:rPr>
                <w:rFonts w:ascii="Times New Roman" w:hAnsi="Times New Roman" w:cs="Times New Roman"/>
                <w:b/>
                <w:bCs/>
                <w:lang w:eastAsia="sk-SK"/>
              </w:rPr>
            </w:pPr>
            <w:r w:rsidRPr="00507E84">
              <w:rPr>
                <w:rFonts w:ascii="Times New Roman" w:hAnsi="Times New Roman" w:cs="Times New Roman"/>
                <w:b/>
                <w:bCs/>
                <w:lang w:eastAsia="sk-SK"/>
              </w:rPr>
              <w:t>Poznámka:</w:t>
            </w:r>
          </w:p>
        </w:tc>
        <w:tc>
          <w:tcPr>
            <w:tcW w:w="1698" w:type="dxa"/>
            <w:tcBorders>
              <w:top w:val="nil"/>
              <w:left w:val="nil"/>
              <w:bottom w:val="nil"/>
              <w:right w:val="nil"/>
            </w:tcBorders>
            <w:noWrap/>
            <w:vAlign w:val="bottom"/>
          </w:tcPr>
          <w:p w14:paraId="0263A977" w14:textId="77777777" w:rsidR="00507E84" w:rsidRPr="00507E84" w:rsidRDefault="00507E84" w:rsidP="00507E84">
            <w:pPr>
              <w:rPr>
                <w:rFonts w:ascii="Times New Roman" w:hAnsi="Times New Roman" w:cs="Times New Roman"/>
                <w:lang w:eastAsia="sk-SK"/>
              </w:rPr>
            </w:pPr>
          </w:p>
        </w:tc>
        <w:tc>
          <w:tcPr>
            <w:tcW w:w="1788" w:type="dxa"/>
            <w:tcBorders>
              <w:top w:val="nil"/>
              <w:left w:val="nil"/>
              <w:bottom w:val="nil"/>
              <w:right w:val="nil"/>
            </w:tcBorders>
            <w:noWrap/>
            <w:vAlign w:val="bottom"/>
          </w:tcPr>
          <w:p w14:paraId="4468E311" w14:textId="77777777" w:rsidR="00507E84" w:rsidRPr="00507E84" w:rsidRDefault="00507E84" w:rsidP="00507E84">
            <w:pPr>
              <w:rPr>
                <w:rFonts w:ascii="Times New Roman" w:hAnsi="Times New Roman" w:cs="Times New Roman"/>
                <w:lang w:eastAsia="sk-SK"/>
              </w:rPr>
            </w:pPr>
          </w:p>
        </w:tc>
        <w:tc>
          <w:tcPr>
            <w:tcW w:w="1878" w:type="dxa"/>
            <w:gridSpan w:val="2"/>
            <w:tcBorders>
              <w:top w:val="nil"/>
              <w:left w:val="nil"/>
              <w:bottom w:val="nil"/>
              <w:right w:val="nil"/>
            </w:tcBorders>
            <w:noWrap/>
            <w:vAlign w:val="bottom"/>
          </w:tcPr>
          <w:p w14:paraId="06DBDCCC" w14:textId="77777777" w:rsidR="00507E84" w:rsidRPr="00507E84" w:rsidRDefault="00507E84" w:rsidP="00507E84">
            <w:pPr>
              <w:rPr>
                <w:rFonts w:ascii="Times New Roman" w:hAnsi="Times New Roman" w:cs="Times New Roman"/>
                <w:lang w:eastAsia="sk-SK"/>
              </w:rPr>
            </w:pPr>
          </w:p>
        </w:tc>
        <w:tc>
          <w:tcPr>
            <w:tcW w:w="1560" w:type="dxa"/>
            <w:tcBorders>
              <w:top w:val="nil"/>
              <w:left w:val="nil"/>
              <w:bottom w:val="nil"/>
              <w:right w:val="nil"/>
            </w:tcBorders>
            <w:noWrap/>
            <w:vAlign w:val="bottom"/>
          </w:tcPr>
          <w:p w14:paraId="3BB22B84" w14:textId="77777777" w:rsidR="00507E84" w:rsidRPr="00507E84" w:rsidRDefault="00507E84" w:rsidP="00507E84">
            <w:pPr>
              <w:rPr>
                <w:rFonts w:ascii="Times New Roman" w:hAnsi="Times New Roman" w:cs="Times New Roman"/>
                <w:lang w:eastAsia="sk-SK"/>
              </w:rPr>
            </w:pPr>
          </w:p>
        </w:tc>
        <w:tc>
          <w:tcPr>
            <w:tcW w:w="1842" w:type="dxa"/>
            <w:gridSpan w:val="2"/>
            <w:tcBorders>
              <w:top w:val="nil"/>
              <w:left w:val="nil"/>
              <w:bottom w:val="nil"/>
              <w:right w:val="nil"/>
            </w:tcBorders>
            <w:noWrap/>
            <w:vAlign w:val="bottom"/>
          </w:tcPr>
          <w:p w14:paraId="3D3C43A4" w14:textId="77777777" w:rsidR="00507E84" w:rsidRPr="00507E84" w:rsidRDefault="00507E84" w:rsidP="00507E84">
            <w:pPr>
              <w:rPr>
                <w:rFonts w:ascii="Times New Roman" w:hAnsi="Times New Roman" w:cs="Times New Roman"/>
                <w:lang w:eastAsia="sk-SK"/>
              </w:rPr>
            </w:pPr>
          </w:p>
        </w:tc>
      </w:tr>
      <w:tr w:rsidR="00507E84" w:rsidRPr="00507E84" w14:paraId="21E0F363" w14:textId="77777777" w:rsidTr="00507E84">
        <w:trPr>
          <w:trHeight w:val="255"/>
        </w:trPr>
        <w:tc>
          <w:tcPr>
            <w:tcW w:w="13112" w:type="dxa"/>
            <w:gridSpan w:val="6"/>
            <w:tcBorders>
              <w:top w:val="nil"/>
              <w:left w:val="nil"/>
              <w:bottom w:val="nil"/>
              <w:right w:val="nil"/>
            </w:tcBorders>
            <w:noWrap/>
          </w:tcPr>
          <w:p w14:paraId="12E2031C" w14:textId="77777777" w:rsidR="00507E84" w:rsidRPr="00507E84" w:rsidRDefault="00507E84" w:rsidP="00507E84">
            <w:pPr>
              <w:tabs>
                <w:tab w:val="num" w:pos="1080"/>
              </w:tabs>
              <w:jc w:val="both"/>
              <w:rPr>
                <w:rFonts w:ascii="Times New Roman" w:hAnsi="Times New Roman" w:cs="Times New Roman"/>
                <w:bCs/>
                <w:szCs w:val="20"/>
                <w:lang w:eastAsia="sk-SK"/>
              </w:rPr>
            </w:pPr>
            <w:r w:rsidRPr="00507E84">
              <w:rPr>
                <w:rFonts w:ascii="Times New Roman" w:hAnsi="Times New Roman" w:cs="Times New Roman"/>
                <w:bCs/>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039DFF46"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5F56D973" w14:textId="77777777" w:rsidR="00507E84" w:rsidRPr="00507E84" w:rsidRDefault="00507E84" w:rsidP="00507E84">
            <w:pPr>
              <w:rPr>
                <w:rFonts w:ascii="Times New Roman" w:hAnsi="Times New Roman" w:cs="Times New Roman"/>
                <w:lang w:eastAsia="sk-SK"/>
              </w:rPr>
            </w:pPr>
          </w:p>
        </w:tc>
      </w:tr>
      <w:tr w:rsidR="00507E84" w:rsidRPr="00507E84" w14:paraId="1301C556" w14:textId="77777777" w:rsidTr="00507E84">
        <w:trPr>
          <w:trHeight w:val="255"/>
        </w:trPr>
        <w:tc>
          <w:tcPr>
            <w:tcW w:w="10394" w:type="dxa"/>
            <w:gridSpan w:val="4"/>
            <w:tcBorders>
              <w:top w:val="nil"/>
              <w:left w:val="nil"/>
              <w:bottom w:val="nil"/>
              <w:right w:val="nil"/>
            </w:tcBorders>
            <w:noWrap/>
            <w:vAlign w:val="bottom"/>
          </w:tcPr>
          <w:p w14:paraId="4DE5D1F0" w14:textId="77777777" w:rsidR="00507E84" w:rsidRPr="00507E84" w:rsidRDefault="00507E84" w:rsidP="00507E84">
            <w:pPr>
              <w:rPr>
                <w:rFonts w:ascii="Times New Roman" w:hAnsi="Times New Roman" w:cs="Times New Roman"/>
                <w:lang w:eastAsia="sk-SK"/>
              </w:rPr>
            </w:pPr>
            <w:r w:rsidRPr="00507E84">
              <w:rPr>
                <w:rFonts w:ascii="Times New Roman" w:hAnsi="Times New Roman" w:cs="Times New Roman"/>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04B3CE24" w14:textId="77777777" w:rsidR="00507E84" w:rsidRPr="00507E84" w:rsidRDefault="00507E84" w:rsidP="00507E84">
            <w:pPr>
              <w:rPr>
                <w:rFonts w:ascii="Times New Roman" w:hAnsi="Times New Roman" w:cs="Times New Roman"/>
                <w:lang w:eastAsia="sk-SK"/>
              </w:rPr>
            </w:pPr>
          </w:p>
        </w:tc>
        <w:tc>
          <w:tcPr>
            <w:tcW w:w="2892" w:type="dxa"/>
            <w:gridSpan w:val="2"/>
            <w:tcBorders>
              <w:top w:val="nil"/>
              <w:left w:val="nil"/>
              <w:bottom w:val="nil"/>
              <w:right w:val="nil"/>
            </w:tcBorders>
            <w:noWrap/>
            <w:vAlign w:val="bottom"/>
          </w:tcPr>
          <w:p w14:paraId="00F7E86A" w14:textId="77777777" w:rsidR="00507E84" w:rsidRPr="00507E84" w:rsidRDefault="00507E84" w:rsidP="00507E84">
            <w:pPr>
              <w:rPr>
                <w:rFonts w:ascii="Times New Roman" w:hAnsi="Times New Roman" w:cs="Times New Roman"/>
                <w:lang w:eastAsia="sk-SK"/>
              </w:rPr>
            </w:pPr>
          </w:p>
        </w:tc>
        <w:tc>
          <w:tcPr>
            <w:tcW w:w="510" w:type="dxa"/>
            <w:tcBorders>
              <w:top w:val="nil"/>
              <w:left w:val="nil"/>
              <w:bottom w:val="nil"/>
              <w:right w:val="nil"/>
            </w:tcBorders>
            <w:noWrap/>
            <w:vAlign w:val="bottom"/>
          </w:tcPr>
          <w:p w14:paraId="419BD9DD" w14:textId="77777777" w:rsidR="00507E84" w:rsidRPr="00507E84" w:rsidRDefault="00507E84" w:rsidP="00507E84">
            <w:pPr>
              <w:rPr>
                <w:rFonts w:ascii="Times New Roman" w:hAnsi="Times New Roman" w:cs="Times New Roman"/>
                <w:lang w:eastAsia="sk-SK"/>
              </w:rPr>
            </w:pPr>
          </w:p>
        </w:tc>
      </w:tr>
    </w:tbl>
    <w:p w14:paraId="5E3D6278" w14:textId="0408A782" w:rsidR="00507E84" w:rsidRPr="00507E84" w:rsidRDefault="00507E84" w:rsidP="00507E84">
      <w:pPr>
        <w:rPr>
          <w:rFonts w:ascii="Times New Roman" w:hAnsi="Times New Roman" w:cs="Times New Roman"/>
          <w:b/>
          <w:bCs/>
          <w:lang w:eastAsia="sk-SK"/>
        </w:rPr>
      </w:pPr>
    </w:p>
    <w:p w14:paraId="73F772CD" w14:textId="77777777" w:rsidR="00507E84" w:rsidRPr="00507E84" w:rsidRDefault="00507E84" w:rsidP="00507E84">
      <w:pPr>
        <w:jc w:val="both"/>
        <w:rPr>
          <w:rFonts w:ascii="Times New Roman" w:hAnsi="Times New Roman" w:cs="Times New Roman"/>
          <w:b/>
          <w:lang w:eastAsia="sk-SK"/>
        </w:rPr>
      </w:pPr>
      <w:r w:rsidRPr="00507E84">
        <w:rPr>
          <w:rFonts w:ascii="Times New Roman" w:hAnsi="Times New Roman" w:cs="Times New Roman"/>
          <w:b/>
          <w:lang w:eastAsia="sk-SK"/>
        </w:rPr>
        <w:lastRenderedPageBreak/>
        <w:t xml:space="preserve">2.2.5. Výpočet vplyvov na dlhodobú udržateľnosť verejných financií </w:t>
      </w:r>
    </w:p>
    <w:p w14:paraId="76FC212C" w14:textId="77777777" w:rsidR="00507E84" w:rsidRPr="00507E84" w:rsidRDefault="00507E84" w:rsidP="00507E84">
      <w:pPr>
        <w:jc w:val="both"/>
        <w:rPr>
          <w:rFonts w:ascii="Times New Roman" w:hAnsi="Times New Roman" w:cs="Times New Roman"/>
          <w:lang w:eastAsia="sk-SK"/>
        </w:rPr>
      </w:pPr>
    </w:p>
    <w:p w14:paraId="41919B2E" w14:textId="77777777" w:rsidR="00507E84" w:rsidRPr="00507E84" w:rsidRDefault="00507E84" w:rsidP="00507E84">
      <w:pPr>
        <w:ind w:firstLine="708"/>
        <w:jc w:val="both"/>
        <w:rPr>
          <w:rFonts w:ascii="Times New Roman" w:hAnsi="Times New Roman" w:cs="Times New Roman"/>
          <w:lang w:eastAsia="sk-SK"/>
        </w:rPr>
      </w:pPr>
      <w:r w:rsidRPr="00507E84">
        <w:rPr>
          <w:rFonts w:ascii="Times New Roman" w:hAnsi="Times New Roman" w:cs="Times New Roman"/>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09FB19D8" w14:textId="77777777" w:rsidR="00507E84" w:rsidRPr="00507E84" w:rsidRDefault="00507E84" w:rsidP="00507E84">
      <w:pPr>
        <w:jc w:val="both"/>
        <w:rPr>
          <w:rFonts w:ascii="Times New Roman" w:hAnsi="Times New Roman" w:cs="Times New Roman"/>
          <w:lang w:eastAsia="sk-SK"/>
        </w:rPr>
      </w:pPr>
    </w:p>
    <w:p w14:paraId="011B16B0" w14:textId="7A1AEB53" w:rsidR="00507E84" w:rsidRPr="00507E84" w:rsidRDefault="00507E84" w:rsidP="00507E84">
      <w:pPr>
        <w:jc w:val="both"/>
        <w:rPr>
          <w:rFonts w:ascii="Times New Roman" w:hAnsi="Times New Roman" w:cs="Times New Roman"/>
          <w:b/>
          <w:bCs/>
          <w:lang w:eastAsia="sk-SK"/>
        </w:rPr>
      </w:pPr>
      <w:r w:rsidRPr="00507E84">
        <w:rPr>
          <w:rFonts w:ascii="Times New Roman" w:hAnsi="Times New Roman" w:cs="Times New Roman"/>
          <w:b/>
          <w:bCs/>
          <w:lang w:eastAsia="sk-SK"/>
        </w:rPr>
        <w:t xml:space="preserve">Bez vplyvu </w:t>
      </w:r>
    </w:p>
    <w:p w14:paraId="07421FA7" w14:textId="77777777" w:rsidR="00507E84" w:rsidRPr="00507E84" w:rsidRDefault="00507E84" w:rsidP="00507E84">
      <w:pPr>
        <w:jc w:val="both"/>
        <w:rPr>
          <w:rFonts w:ascii="Times New Roman" w:hAnsi="Times New Roman" w:cs="Times New Roman"/>
          <w:sz w:val="20"/>
          <w:szCs w:val="20"/>
          <w:lang w:eastAsia="sk-SK"/>
        </w:rPr>
      </w:pPr>
      <w:r w:rsidRPr="00507E84">
        <w:rPr>
          <w:rFonts w:ascii="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507E84" w:rsidRPr="00507E84" w14:paraId="7F1E8286" w14:textId="77777777" w:rsidTr="00507E84">
        <w:trPr>
          <w:trHeight w:val="284"/>
        </w:trPr>
        <w:tc>
          <w:tcPr>
            <w:tcW w:w="2943" w:type="dxa"/>
            <w:vMerge w:val="restart"/>
            <w:shd w:val="clear" w:color="auto" w:fill="BFBFBF" w:themeFill="background1" w:themeFillShade="BF"/>
            <w:vAlign w:val="center"/>
          </w:tcPr>
          <w:p w14:paraId="0EC5089D" w14:textId="77777777" w:rsidR="00507E84" w:rsidRPr="00507E84" w:rsidRDefault="00507E84" w:rsidP="00507E84">
            <w:pPr>
              <w:widowControl w:val="0"/>
              <w:overflowPunct w:val="0"/>
              <w:autoSpaceDE w:val="0"/>
              <w:autoSpaceDN w:val="0"/>
              <w:adjustRightInd w:val="0"/>
              <w:jc w:val="center"/>
              <w:textAlignment w:val="baseline"/>
              <w:rPr>
                <w:rFonts w:ascii="Times New Roman" w:hAnsi="Times New Roman" w:cs="Times New Roman"/>
                <w:b/>
                <w:lang w:eastAsia="sk-SK"/>
              </w:rPr>
            </w:pPr>
            <w:r w:rsidRPr="00507E84">
              <w:rPr>
                <w:rFonts w:ascii="Times New Roman" w:hAnsi="Times New Roman" w:cs="Times New Roman"/>
                <w:b/>
                <w:lang w:eastAsia="sk-SK"/>
              </w:rPr>
              <w:t>Dlhodobá udržateľnosť</w:t>
            </w:r>
          </w:p>
        </w:tc>
        <w:tc>
          <w:tcPr>
            <w:tcW w:w="7967" w:type="dxa"/>
            <w:gridSpan w:val="5"/>
            <w:shd w:val="clear" w:color="auto" w:fill="BFBFBF" w:themeFill="background1" w:themeFillShade="BF"/>
          </w:tcPr>
          <w:p w14:paraId="37E81DD4" w14:textId="77777777" w:rsidR="00507E84" w:rsidRPr="00507E84" w:rsidRDefault="00507E84" w:rsidP="00507E84">
            <w:pPr>
              <w:widowControl w:val="0"/>
              <w:overflowPunct w:val="0"/>
              <w:autoSpaceDE w:val="0"/>
              <w:autoSpaceDN w:val="0"/>
              <w:adjustRightInd w:val="0"/>
              <w:jc w:val="center"/>
              <w:textAlignment w:val="baseline"/>
              <w:rPr>
                <w:rFonts w:ascii="Times New Roman" w:hAnsi="Times New Roman" w:cs="Times New Roman"/>
                <w:b/>
                <w:lang w:eastAsia="sk-SK"/>
              </w:rPr>
            </w:pPr>
            <w:r w:rsidRPr="00507E84">
              <w:rPr>
                <w:rFonts w:ascii="Times New Roman" w:hAnsi="Times New Roman" w:cs="Times New Roman"/>
                <w:b/>
                <w:lang w:eastAsia="sk-SK"/>
              </w:rPr>
              <w:t>Vplyv na verejné financie</w:t>
            </w:r>
          </w:p>
        </w:tc>
        <w:tc>
          <w:tcPr>
            <w:tcW w:w="3119" w:type="dxa"/>
            <w:vMerge w:val="restart"/>
            <w:shd w:val="clear" w:color="auto" w:fill="BFBFBF" w:themeFill="background1" w:themeFillShade="BF"/>
            <w:vAlign w:val="center"/>
          </w:tcPr>
          <w:p w14:paraId="5ECD2558" w14:textId="77777777" w:rsidR="00507E84" w:rsidRPr="00507E84" w:rsidRDefault="00507E84" w:rsidP="00507E84">
            <w:pPr>
              <w:widowControl w:val="0"/>
              <w:overflowPunct w:val="0"/>
              <w:autoSpaceDE w:val="0"/>
              <w:autoSpaceDN w:val="0"/>
              <w:adjustRightInd w:val="0"/>
              <w:jc w:val="center"/>
              <w:textAlignment w:val="baseline"/>
              <w:rPr>
                <w:rFonts w:ascii="Times New Roman" w:hAnsi="Times New Roman" w:cs="Times New Roman"/>
                <w:b/>
                <w:lang w:eastAsia="sk-SK"/>
              </w:rPr>
            </w:pPr>
            <w:r w:rsidRPr="00507E84">
              <w:rPr>
                <w:rFonts w:ascii="Times New Roman" w:hAnsi="Times New Roman" w:cs="Times New Roman"/>
                <w:b/>
                <w:lang w:eastAsia="sk-SK"/>
              </w:rPr>
              <w:t>Poznámka</w:t>
            </w:r>
          </w:p>
        </w:tc>
      </w:tr>
      <w:tr w:rsidR="00507E84" w:rsidRPr="00507E84" w14:paraId="7FCDB1B7" w14:textId="77777777" w:rsidTr="00507E84">
        <w:trPr>
          <w:trHeight w:val="284"/>
        </w:trPr>
        <w:tc>
          <w:tcPr>
            <w:tcW w:w="2943" w:type="dxa"/>
            <w:vMerge/>
            <w:shd w:val="clear" w:color="auto" w:fill="BFBFBF" w:themeFill="background1" w:themeFillShade="BF"/>
          </w:tcPr>
          <w:p w14:paraId="50823B8D"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c>
          <w:tcPr>
            <w:tcW w:w="1447" w:type="dxa"/>
            <w:tcBorders>
              <w:bottom w:val="single" w:sz="4" w:space="0" w:color="auto"/>
            </w:tcBorders>
            <w:shd w:val="clear" w:color="auto" w:fill="BFBFBF" w:themeFill="background1" w:themeFillShade="BF"/>
          </w:tcPr>
          <w:p w14:paraId="2F336737" w14:textId="77777777" w:rsidR="00507E84" w:rsidRPr="00507E84" w:rsidRDefault="00507E84" w:rsidP="00507E84">
            <w:pPr>
              <w:widowControl w:val="0"/>
              <w:overflowPunct w:val="0"/>
              <w:autoSpaceDE w:val="0"/>
              <w:autoSpaceDN w:val="0"/>
              <w:adjustRightInd w:val="0"/>
              <w:jc w:val="center"/>
              <w:textAlignment w:val="baseline"/>
              <w:rPr>
                <w:rFonts w:ascii="Times New Roman" w:hAnsi="Times New Roman" w:cs="Times New Roman"/>
                <w:lang w:eastAsia="sk-SK"/>
              </w:rPr>
            </w:pPr>
            <w:r w:rsidRPr="00507E84">
              <w:rPr>
                <w:rFonts w:ascii="Times New Roman" w:hAnsi="Times New Roman" w:cs="Times New Roman"/>
                <w:lang w:eastAsia="sk-SK"/>
              </w:rPr>
              <w:t>d</w:t>
            </w:r>
          </w:p>
        </w:tc>
        <w:tc>
          <w:tcPr>
            <w:tcW w:w="1559" w:type="dxa"/>
            <w:tcBorders>
              <w:bottom w:val="single" w:sz="4" w:space="0" w:color="auto"/>
            </w:tcBorders>
            <w:shd w:val="clear" w:color="auto" w:fill="BFBFBF" w:themeFill="background1" w:themeFillShade="BF"/>
          </w:tcPr>
          <w:p w14:paraId="620B7E66" w14:textId="77777777" w:rsidR="00507E84" w:rsidRPr="00507E84" w:rsidRDefault="00507E84" w:rsidP="00507E84">
            <w:pPr>
              <w:widowControl w:val="0"/>
              <w:overflowPunct w:val="0"/>
              <w:autoSpaceDE w:val="0"/>
              <w:autoSpaceDN w:val="0"/>
              <w:adjustRightInd w:val="0"/>
              <w:jc w:val="center"/>
              <w:textAlignment w:val="baseline"/>
              <w:rPr>
                <w:rFonts w:ascii="Times New Roman" w:hAnsi="Times New Roman" w:cs="Times New Roman"/>
                <w:lang w:eastAsia="sk-SK"/>
              </w:rPr>
            </w:pPr>
            <w:r w:rsidRPr="00507E84">
              <w:rPr>
                <w:rFonts w:ascii="Times New Roman" w:hAnsi="Times New Roman" w:cs="Times New Roman"/>
                <w:lang w:eastAsia="sk-SK"/>
              </w:rPr>
              <w:t>d + 10</w:t>
            </w:r>
          </w:p>
        </w:tc>
        <w:tc>
          <w:tcPr>
            <w:tcW w:w="1559" w:type="dxa"/>
            <w:tcBorders>
              <w:bottom w:val="single" w:sz="4" w:space="0" w:color="auto"/>
            </w:tcBorders>
            <w:shd w:val="clear" w:color="auto" w:fill="BFBFBF" w:themeFill="background1" w:themeFillShade="BF"/>
          </w:tcPr>
          <w:p w14:paraId="6DFCEB97" w14:textId="77777777" w:rsidR="00507E84" w:rsidRPr="00507E84" w:rsidRDefault="00507E84" w:rsidP="00507E84">
            <w:pPr>
              <w:widowControl w:val="0"/>
              <w:overflowPunct w:val="0"/>
              <w:autoSpaceDE w:val="0"/>
              <w:autoSpaceDN w:val="0"/>
              <w:adjustRightInd w:val="0"/>
              <w:jc w:val="center"/>
              <w:textAlignment w:val="baseline"/>
              <w:rPr>
                <w:rFonts w:ascii="Times New Roman" w:hAnsi="Times New Roman" w:cs="Times New Roman"/>
                <w:lang w:eastAsia="sk-SK"/>
              </w:rPr>
            </w:pPr>
            <w:r w:rsidRPr="00507E84">
              <w:rPr>
                <w:rFonts w:ascii="Times New Roman" w:hAnsi="Times New Roman" w:cs="Times New Roman"/>
                <w:lang w:eastAsia="sk-SK"/>
              </w:rPr>
              <w:t>d + 20</w:t>
            </w:r>
          </w:p>
        </w:tc>
        <w:tc>
          <w:tcPr>
            <w:tcW w:w="1418" w:type="dxa"/>
            <w:tcBorders>
              <w:bottom w:val="single" w:sz="4" w:space="0" w:color="auto"/>
            </w:tcBorders>
            <w:shd w:val="clear" w:color="auto" w:fill="BFBFBF" w:themeFill="background1" w:themeFillShade="BF"/>
          </w:tcPr>
          <w:p w14:paraId="1AE6E636" w14:textId="77777777" w:rsidR="00507E84" w:rsidRPr="00507E84" w:rsidRDefault="00507E84" w:rsidP="00507E84">
            <w:pPr>
              <w:widowControl w:val="0"/>
              <w:overflowPunct w:val="0"/>
              <w:autoSpaceDE w:val="0"/>
              <w:autoSpaceDN w:val="0"/>
              <w:adjustRightInd w:val="0"/>
              <w:jc w:val="center"/>
              <w:textAlignment w:val="baseline"/>
              <w:rPr>
                <w:rFonts w:ascii="Times New Roman" w:hAnsi="Times New Roman" w:cs="Times New Roman"/>
                <w:lang w:eastAsia="sk-SK"/>
              </w:rPr>
            </w:pPr>
            <w:r w:rsidRPr="00507E84">
              <w:rPr>
                <w:rFonts w:ascii="Times New Roman" w:hAnsi="Times New Roman" w:cs="Times New Roman"/>
                <w:lang w:eastAsia="sk-SK"/>
              </w:rPr>
              <w:t>d + 30</w:t>
            </w:r>
          </w:p>
        </w:tc>
        <w:tc>
          <w:tcPr>
            <w:tcW w:w="1984" w:type="dxa"/>
            <w:tcBorders>
              <w:bottom w:val="single" w:sz="4" w:space="0" w:color="auto"/>
            </w:tcBorders>
            <w:shd w:val="clear" w:color="auto" w:fill="BFBFBF" w:themeFill="background1" w:themeFillShade="BF"/>
          </w:tcPr>
          <w:p w14:paraId="271A5DE4" w14:textId="77777777" w:rsidR="00507E84" w:rsidRPr="00507E84" w:rsidRDefault="00507E84" w:rsidP="00507E84">
            <w:pPr>
              <w:widowControl w:val="0"/>
              <w:overflowPunct w:val="0"/>
              <w:autoSpaceDE w:val="0"/>
              <w:autoSpaceDN w:val="0"/>
              <w:adjustRightInd w:val="0"/>
              <w:jc w:val="center"/>
              <w:textAlignment w:val="baseline"/>
              <w:rPr>
                <w:rFonts w:ascii="Times New Roman" w:hAnsi="Times New Roman" w:cs="Times New Roman"/>
                <w:lang w:eastAsia="sk-SK"/>
              </w:rPr>
            </w:pPr>
            <w:r w:rsidRPr="00507E84">
              <w:rPr>
                <w:rFonts w:ascii="Times New Roman" w:hAnsi="Times New Roman" w:cs="Times New Roman"/>
                <w:lang w:eastAsia="sk-SK"/>
              </w:rPr>
              <w:t>d + 40</w:t>
            </w:r>
          </w:p>
        </w:tc>
        <w:tc>
          <w:tcPr>
            <w:tcW w:w="3119" w:type="dxa"/>
            <w:vMerge/>
            <w:tcBorders>
              <w:bottom w:val="single" w:sz="4" w:space="0" w:color="auto"/>
            </w:tcBorders>
            <w:shd w:val="clear" w:color="auto" w:fill="BFBFBF" w:themeFill="background1" w:themeFillShade="BF"/>
          </w:tcPr>
          <w:p w14:paraId="3990B71D"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r>
      <w:tr w:rsidR="00507E84" w:rsidRPr="00507E84" w14:paraId="4419DE13" w14:textId="77777777" w:rsidTr="00507E84">
        <w:trPr>
          <w:trHeight w:val="284"/>
        </w:trPr>
        <w:tc>
          <w:tcPr>
            <w:tcW w:w="2943" w:type="dxa"/>
            <w:shd w:val="clear" w:color="auto" w:fill="auto"/>
            <w:vAlign w:val="bottom"/>
          </w:tcPr>
          <w:p w14:paraId="1127C60D" w14:textId="77777777" w:rsidR="00507E84" w:rsidRPr="00507E84" w:rsidRDefault="00507E84" w:rsidP="00507E84">
            <w:pPr>
              <w:widowControl w:val="0"/>
              <w:overflowPunct w:val="0"/>
              <w:autoSpaceDE w:val="0"/>
              <w:autoSpaceDN w:val="0"/>
              <w:adjustRightInd w:val="0"/>
              <w:textAlignment w:val="baseline"/>
              <w:rPr>
                <w:rFonts w:ascii="Times New Roman" w:hAnsi="Times New Roman" w:cs="Times New Roman"/>
                <w:lang w:eastAsia="sk-SK"/>
              </w:rPr>
            </w:pPr>
            <w:r w:rsidRPr="00507E84">
              <w:rPr>
                <w:rFonts w:ascii="Times New Roman" w:hAnsi="Times New Roman" w:cs="Times New Roman"/>
                <w:lang w:eastAsia="sk-SK"/>
              </w:rPr>
              <w:t>Vplyv na výdavky v p. b. HDP</w:t>
            </w:r>
          </w:p>
        </w:tc>
        <w:tc>
          <w:tcPr>
            <w:tcW w:w="1447" w:type="dxa"/>
            <w:tcBorders>
              <w:tr2bl w:val="single" w:sz="4" w:space="0" w:color="auto"/>
            </w:tcBorders>
            <w:shd w:val="clear" w:color="auto" w:fill="auto"/>
          </w:tcPr>
          <w:p w14:paraId="3DE58AE8"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c>
          <w:tcPr>
            <w:tcW w:w="1559" w:type="dxa"/>
            <w:tcBorders>
              <w:tr2bl w:val="single" w:sz="4" w:space="0" w:color="auto"/>
            </w:tcBorders>
            <w:shd w:val="clear" w:color="auto" w:fill="auto"/>
          </w:tcPr>
          <w:p w14:paraId="2A0ECA3D"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c>
          <w:tcPr>
            <w:tcW w:w="1559" w:type="dxa"/>
            <w:tcBorders>
              <w:tr2bl w:val="single" w:sz="4" w:space="0" w:color="auto"/>
            </w:tcBorders>
            <w:shd w:val="clear" w:color="auto" w:fill="auto"/>
          </w:tcPr>
          <w:p w14:paraId="1471457A"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c>
          <w:tcPr>
            <w:tcW w:w="1418" w:type="dxa"/>
            <w:tcBorders>
              <w:tr2bl w:val="single" w:sz="4" w:space="0" w:color="auto"/>
            </w:tcBorders>
            <w:shd w:val="clear" w:color="auto" w:fill="auto"/>
          </w:tcPr>
          <w:p w14:paraId="58831F74"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c>
          <w:tcPr>
            <w:tcW w:w="1984" w:type="dxa"/>
            <w:tcBorders>
              <w:tr2bl w:val="single" w:sz="4" w:space="0" w:color="auto"/>
            </w:tcBorders>
            <w:shd w:val="clear" w:color="auto" w:fill="auto"/>
          </w:tcPr>
          <w:p w14:paraId="395A7F94"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c>
          <w:tcPr>
            <w:tcW w:w="3119" w:type="dxa"/>
            <w:tcBorders>
              <w:tr2bl w:val="single" w:sz="4" w:space="0" w:color="auto"/>
            </w:tcBorders>
            <w:shd w:val="clear" w:color="auto" w:fill="auto"/>
          </w:tcPr>
          <w:p w14:paraId="5FDD33D2"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r>
      <w:tr w:rsidR="00507E84" w:rsidRPr="00507E84" w14:paraId="622E1792" w14:textId="77777777" w:rsidTr="00507E84">
        <w:trPr>
          <w:trHeight w:val="284"/>
        </w:trPr>
        <w:tc>
          <w:tcPr>
            <w:tcW w:w="2943" w:type="dxa"/>
            <w:shd w:val="clear" w:color="auto" w:fill="auto"/>
          </w:tcPr>
          <w:p w14:paraId="2F695020" w14:textId="77777777" w:rsidR="00507E84" w:rsidRPr="00507E84" w:rsidRDefault="00507E84" w:rsidP="00507E84">
            <w:pPr>
              <w:widowControl w:val="0"/>
              <w:overflowPunct w:val="0"/>
              <w:autoSpaceDE w:val="0"/>
              <w:autoSpaceDN w:val="0"/>
              <w:adjustRightInd w:val="0"/>
              <w:textAlignment w:val="baseline"/>
              <w:rPr>
                <w:rFonts w:ascii="Times New Roman" w:hAnsi="Times New Roman" w:cs="Times New Roman"/>
                <w:lang w:eastAsia="sk-SK"/>
              </w:rPr>
            </w:pPr>
            <w:r w:rsidRPr="00507E84">
              <w:rPr>
                <w:rFonts w:ascii="Times New Roman" w:hAnsi="Times New Roman" w:cs="Times New Roman"/>
                <w:lang w:eastAsia="sk-SK"/>
              </w:rPr>
              <w:t>Vplyv na príjmy v p. b. HDP</w:t>
            </w:r>
          </w:p>
        </w:tc>
        <w:tc>
          <w:tcPr>
            <w:tcW w:w="1447" w:type="dxa"/>
            <w:tcBorders>
              <w:tr2bl w:val="single" w:sz="4" w:space="0" w:color="auto"/>
            </w:tcBorders>
            <w:shd w:val="clear" w:color="auto" w:fill="auto"/>
          </w:tcPr>
          <w:p w14:paraId="7633B191"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c>
          <w:tcPr>
            <w:tcW w:w="1559" w:type="dxa"/>
            <w:tcBorders>
              <w:tr2bl w:val="single" w:sz="4" w:space="0" w:color="auto"/>
            </w:tcBorders>
            <w:shd w:val="clear" w:color="auto" w:fill="auto"/>
          </w:tcPr>
          <w:p w14:paraId="382FEEA1"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c>
          <w:tcPr>
            <w:tcW w:w="1559" w:type="dxa"/>
            <w:tcBorders>
              <w:tr2bl w:val="single" w:sz="4" w:space="0" w:color="auto"/>
            </w:tcBorders>
            <w:shd w:val="clear" w:color="auto" w:fill="auto"/>
          </w:tcPr>
          <w:p w14:paraId="21E26025"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c>
          <w:tcPr>
            <w:tcW w:w="1418" w:type="dxa"/>
            <w:tcBorders>
              <w:tr2bl w:val="single" w:sz="4" w:space="0" w:color="auto"/>
            </w:tcBorders>
            <w:shd w:val="clear" w:color="auto" w:fill="auto"/>
          </w:tcPr>
          <w:p w14:paraId="048F3420"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c>
          <w:tcPr>
            <w:tcW w:w="1984" w:type="dxa"/>
            <w:tcBorders>
              <w:tr2bl w:val="single" w:sz="4" w:space="0" w:color="auto"/>
            </w:tcBorders>
            <w:shd w:val="clear" w:color="auto" w:fill="auto"/>
          </w:tcPr>
          <w:p w14:paraId="04CF6A73"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c>
          <w:tcPr>
            <w:tcW w:w="3119" w:type="dxa"/>
            <w:tcBorders>
              <w:tr2bl w:val="single" w:sz="4" w:space="0" w:color="auto"/>
            </w:tcBorders>
            <w:shd w:val="clear" w:color="auto" w:fill="auto"/>
          </w:tcPr>
          <w:p w14:paraId="24336172"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r>
      <w:tr w:rsidR="00507E84" w:rsidRPr="00507E84" w14:paraId="7C6984E1" w14:textId="77777777" w:rsidTr="00507E84">
        <w:trPr>
          <w:trHeight w:val="284"/>
        </w:trPr>
        <w:tc>
          <w:tcPr>
            <w:tcW w:w="2943" w:type="dxa"/>
            <w:shd w:val="clear" w:color="auto" w:fill="auto"/>
          </w:tcPr>
          <w:p w14:paraId="1D4B2EFB" w14:textId="77777777" w:rsidR="00507E84" w:rsidRPr="00507E84" w:rsidRDefault="00507E84" w:rsidP="00507E84">
            <w:pPr>
              <w:widowControl w:val="0"/>
              <w:overflowPunct w:val="0"/>
              <w:autoSpaceDE w:val="0"/>
              <w:autoSpaceDN w:val="0"/>
              <w:adjustRightInd w:val="0"/>
              <w:textAlignment w:val="baseline"/>
              <w:rPr>
                <w:rFonts w:ascii="Times New Roman" w:hAnsi="Times New Roman" w:cs="Times New Roman"/>
                <w:lang w:eastAsia="sk-SK"/>
              </w:rPr>
            </w:pPr>
            <w:r w:rsidRPr="00507E84">
              <w:rPr>
                <w:rFonts w:ascii="Times New Roman" w:hAnsi="Times New Roman" w:cs="Times New Roman"/>
                <w:lang w:eastAsia="sk-SK"/>
              </w:rPr>
              <w:t>Vplyv na bilanciu  v p. b. HDP</w:t>
            </w:r>
          </w:p>
        </w:tc>
        <w:tc>
          <w:tcPr>
            <w:tcW w:w="1447" w:type="dxa"/>
            <w:tcBorders>
              <w:tr2bl w:val="single" w:sz="4" w:space="0" w:color="auto"/>
            </w:tcBorders>
            <w:shd w:val="clear" w:color="auto" w:fill="auto"/>
          </w:tcPr>
          <w:p w14:paraId="68561F15"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c>
          <w:tcPr>
            <w:tcW w:w="1559" w:type="dxa"/>
            <w:tcBorders>
              <w:tr2bl w:val="single" w:sz="4" w:space="0" w:color="auto"/>
            </w:tcBorders>
            <w:shd w:val="clear" w:color="auto" w:fill="auto"/>
          </w:tcPr>
          <w:p w14:paraId="4AF368E8"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c>
          <w:tcPr>
            <w:tcW w:w="1559" w:type="dxa"/>
            <w:tcBorders>
              <w:tr2bl w:val="single" w:sz="4" w:space="0" w:color="auto"/>
            </w:tcBorders>
            <w:shd w:val="clear" w:color="auto" w:fill="auto"/>
          </w:tcPr>
          <w:p w14:paraId="770C64EB"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c>
          <w:tcPr>
            <w:tcW w:w="1418" w:type="dxa"/>
            <w:tcBorders>
              <w:tr2bl w:val="single" w:sz="4" w:space="0" w:color="auto"/>
            </w:tcBorders>
            <w:shd w:val="clear" w:color="auto" w:fill="auto"/>
          </w:tcPr>
          <w:p w14:paraId="31888701"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c>
          <w:tcPr>
            <w:tcW w:w="1984" w:type="dxa"/>
            <w:tcBorders>
              <w:tr2bl w:val="single" w:sz="4" w:space="0" w:color="auto"/>
            </w:tcBorders>
            <w:shd w:val="clear" w:color="auto" w:fill="auto"/>
          </w:tcPr>
          <w:p w14:paraId="5DB0001D"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c>
          <w:tcPr>
            <w:tcW w:w="3119" w:type="dxa"/>
            <w:tcBorders>
              <w:tr2bl w:val="single" w:sz="4" w:space="0" w:color="auto"/>
            </w:tcBorders>
            <w:shd w:val="clear" w:color="auto" w:fill="auto"/>
          </w:tcPr>
          <w:p w14:paraId="44012EB4" w14:textId="77777777" w:rsidR="00507E84" w:rsidRPr="00507E84" w:rsidRDefault="00507E84" w:rsidP="00507E84">
            <w:pPr>
              <w:widowControl w:val="0"/>
              <w:overflowPunct w:val="0"/>
              <w:autoSpaceDE w:val="0"/>
              <w:autoSpaceDN w:val="0"/>
              <w:adjustRightInd w:val="0"/>
              <w:jc w:val="both"/>
              <w:textAlignment w:val="baseline"/>
              <w:rPr>
                <w:rFonts w:ascii="Times New Roman" w:hAnsi="Times New Roman" w:cs="Times New Roman"/>
                <w:lang w:eastAsia="sk-SK"/>
              </w:rPr>
            </w:pPr>
          </w:p>
        </w:tc>
      </w:tr>
    </w:tbl>
    <w:p w14:paraId="771BB59A" w14:textId="77777777" w:rsidR="00507E84" w:rsidRPr="00507E84" w:rsidRDefault="00507E84" w:rsidP="00507E84">
      <w:pPr>
        <w:jc w:val="both"/>
        <w:rPr>
          <w:rFonts w:ascii="Times New Roman" w:hAnsi="Times New Roman" w:cs="Times New Roman"/>
          <w:lang w:eastAsia="sk-SK"/>
        </w:rPr>
      </w:pPr>
    </w:p>
    <w:p w14:paraId="7D12DD89" w14:textId="77777777" w:rsidR="00507E84" w:rsidRPr="00507E84" w:rsidRDefault="00507E84" w:rsidP="00507E84">
      <w:pPr>
        <w:jc w:val="both"/>
        <w:rPr>
          <w:rFonts w:ascii="Times New Roman" w:hAnsi="Times New Roman" w:cs="Times New Roman"/>
          <w:b/>
          <w:lang w:eastAsia="sk-SK"/>
        </w:rPr>
      </w:pPr>
      <w:r w:rsidRPr="00507E84">
        <w:rPr>
          <w:rFonts w:ascii="Times New Roman" w:hAnsi="Times New Roman" w:cs="Times New Roman"/>
          <w:b/>
          <w:lang w:eastAsia="sk-SK"/>
        </w:rPr>
        <w:t xml:space="preserve">Poznámka: </w:t>
      </w:r>
    </w:p>
    <w:p w14:paraId="57C9D611" w14:textId="77777777" w:rsidR="00507E84" w:rsidRPr="00507E84" w:rsidRDefault="00507E84" w:rsidP="00507E84">
      <w:pPr>
        <w:jc w:val="both"/>
        <w:rPr>
          <w:rFonts w:ascii="Times New Roman" w:hAnsi="Times New Roman" w:cs="Times New Roman"/>
          <w:lang w:eastAsia="sk-SK"/>
        </w:rPr>
      </w:pPr>
      <w:r w:rsidRPr="00507E84">
        <w:rPr>
          <w:rFonts w:ascii="Times New Roman" w:hAnsi="Times New Roman" w:cs="Times New Roman"/>
          <w:lang w:eastAsia="sk-SK"/>
        </w:rPr>
        <w:t xml:space="preserve">Písmeno „d“ označuje prvý rok nasledujúcej dekády. </w:t>
      </w:r>
    </w:p>
    <w:p w14:paraId="75262968" w14:textId="2132E096" w:rsidR="00507E84" w:rsidRPr="00507E84" w:rsidRDefault="00507E84" w:rsidP="00507E84">
      <w:pPr>
        <w:jc w:val="both"/>
        <w:rPr>
          <w:rFonts w:ascii="Times New Roman" w:hAnsi="Times New Roman" w:cs="Times New Roman"/>
          <w:lang w:eastAsia="sk-SK"/>
        </w:rPr>
      </w:pPr>
      <w:r w:rsidRPr="00507E84">
        <w:rPr>
          <w:rFonts w:ascii="Times New Roman" w:hAnsi="Times New Roman" w:cs="Times New Roman"/>
          <w:lang w:eastAsia="sk-SK"/>
        </w:rPr>
        <w:t>Tabuľka sa vypĺňa pre každé opatrenie samostatne. V prípade zavádzania viacerých opatrení sa vyplní aj tabuľka obsahujúca aj kumulatívny efekt zaveden</w:t>
      </w:r>
      <w:r w:rsidR="00091B2A">
        <w:rPr>
          <w:rFonts w:ascii="Times New Roman" w:hAnsi="Times New Roman" w:cs="Times New Roman"/>
          <w:lang w:eastAsia="sk-SK"/>
        </w:rPr>
        <w:t>ia všetkých opatrení súčasne.“</w:t>
      </w:r>
    </w:p>
    <w:p w14:paraId="540F75D0" w14:textId="77777777" w:rsidR="00507E84" w:rsidRPr="00507E84" w:rsidRDefault="00507E84" w:rsidP="00507E84">
      <w:pPr>
        <w:rPr>
          <w:rFonts w:ascii="Times New Roman" w:hAnsi="Times New Roman" w:cs="Times New Roman"/>
          <w:b/>
          <w:bCs/>
          <w:highlight w:val="red"/>
          <w:lang w:eastAsia="sk-SK"/>
        </w:rPr>
        <w:sectPr w:rsidR="00507E84" w:rsidRPr="00507E84" w:rsidSect="00507E84">
          <w:headerReference w:type="default" r:id="rId15"/>
          <w:pgSz w:w="16838" w:h="11906" w:orient="landscape"/>
          <w:pgMar w:top="1124" w:right="1418" w:bottom="1418" w:left="1418" w:header="709" w:footer="709" w:gutter="0"/>
          <w:cols w:space="708"/>
          <w:docGrid w:linePitch="360"/>
        </w:sectPr>
      </w:pPr>
    </w:p>
    <w:p w14:paraId="6B146E19" w14:textId="77777777" w:rsidR="00F45F58" w:rsidRPr="003441A3" w:rsidRDefault="00F45F58" w:rsidP="00F45F58">
      <w:pPr>
        <w:jc w:val="center"/>
        <w:rPr>
          <w:rFonts w:ascii="Times New Roman" w:hAnsi="Times New Roman" w:cs="Times New Roman"/>
          <w:b/>
          <w:color w:val="000000" w:themeColor="text1"/>
          <w:sz w:val="24"/>
          <w:szCs w:val="24"/>
          <w:lang w:eastAsia="sk-SK"/>
        </w:rPr>
      </w:pPr>
      <w:r w:rsidRPr="003441A3">
        <w:rPr>
          <w:rFonts w:ascii="Times New Roman" w:hAnsi="Times New Roman" w:cs="Times New Roman"/>
          <w:b/>
          <w:sz w:val="24"/>
          <w:szCs w:val="24"/>
          <w:lang w:eastAsia="sk-SK"/>
        </w:rPr>
        <w:lastRenderedPageBreak/>
        <w:t xml:space="preserve">Metodický postup pre analýzu </w:t>
      </w:r>
      <w:r w:rsidRPr="003441A3">
        <w:rPr>
          <w:rFonts w:ascii="Times New Roman" w:hAnsi="Times New Roman" w:cs="Times New Roman"/>
          <w:b/>
          <w:color w:val="000000" w:themeColor="text1"/>
          <w:sz w:val="24"/>
          <w:szCs w:val="24"/>
          <w:lang w:eastAsia="sk-SK"/>
        </w:rPr>
        <w:t>vplyvov na rozpočet verejnej správy,</w:t>
      </w:r>
      <w:r w:rsidRPr="003441A3">
        <w:rPr>
          <w:rFonts w:ascii="Times New Roman" w:hAnsi="Times New Roman" w:cs="Times New Roman"/>
          <w:b/>
          <w:color w:val="000000" w:themeColor="text1"/>
          <w:sz w:val="24"/>
          <w:szCs w:val="24"/>
          <w:lang w:eastAsia="sk-SK"/>
        </w:rPr>
        <w:br/>
        <w:t>na zamestnanosť vo verejnej správe a financovanie návrhu</w:t>
      </w:r>
    </w:p>
    <w:p w14:paraId="265D2821" w14:textId="77777777" w:rsidR="00F45F58" w:rsidRPr="003441A3" w:rsidRDefault="00F45F58" w:rsidP="00F45F58">
      <w:pPr>
        <w:rPr>
          <w:rFonts w:ascii="Times New Roman" w:hAnsi="Times New Roman" w:cs="Times New Roman"/>
          <w:bCs/>
          <w:color w:val="000000" w:themeColor="text1"/>
          <w:sz w:val="24"/>
          <w:szCs w:val="24"/>
          <w:lang w:eastAsia="sk-SK"/>
        </w:rPr>
      </w:pPr>
    </w:p>
    <w:p w14:paraId="5ED939FA" w14:textId="77777777" w:rsidR="00F45F58" w:rsidRPr="003441A3" w:rsidRDefault="00F45F58" w:rsidP="00F45F58">
      <w:pPr>
        <w:rPr>
          <w:rFonts w:ascii="Times New Roman" w:hAnsi="Times New Roman" w:cs="Times New Roman"/>
          <w:b/>
          <w:bCs/>
          <w:iCs/>
          <w:color w:val="000000" w:themeColor="text1"/>
          <w:sz w:val="24"/>
          <w:szCs w:val="24"/>
          <w:u w:val="single"/>
          <w:lang w:eastAsia="sk-SK"/>
        </w:rPr>
      </w:pPr>
      <w:r w:rsidRPr="003441A3">
        <w:rPr>
          <w:rFonts w:ascii="Times New Roman" w:hAnsi="Times New Roman" w:cs="Times New Roman"/>
          <w:b/>
          <w:bCs/>
          <w:iCs/>
          <w:color w:val="000000" w:themeColor="text1"/>
          <w:sz w:val="24"/>
          <w:szCs w:val="24"/>
          <w:u w:val="single"/>
          <w:lang w:eastAsia="sk-SK"/>
        </w:rPr>
        <w:t>2.1. Zhrnutie vplyvov na rozpočet verejnej správy v návrhu</w:t>
      </w:r>
    </w:p>
    <w:p w14:paraId="4E920A4E" w14:textId="77777777" w:rsidR="00F45F58" w:rsidRPr="003441A3" w:rsidRDefault="00F45F58" w:rsidP="00F45F58">
      <w:pPr>
        <w:rPr>
          <w:rFonts w:ascii="Times New Roman" w:hAnsi="Times New Roman" w:cs="Times New Roman"/>
          <w:b/>
          <w:bCs/>
          <w:iCs/>
          <w:color w:val="000000" w:themeColor="text1"/>
          <w:sz w:val="24"/>
          <w:szCs w:val="24"/>
          <w:u w:val="single"/>
          <w:lang w:eastAsia="sk-SK"/>
        </w:rPr>
      </w:pPr>
      <w:r w:rsidRPr="003441A3">
        <w:rPr>
          <w:rFonts w:ascii="Times New Roman" w:hAnsi="Times New Roman" w:cs="Times New Roman"/>
          <w:b/>
          <w:bCs/>
          <w:iCs/>
          <w:color w:val="000000" w:themeColor="text1"/>
          <w:sz w:val="24"/>
          <w:szCs w:val="24"/>
          <w:u w:val="single"/>
          <w:lang w:eastAsia="sk-SK"/>
        </w:rPr>
        <w:t xml:space="preserve"> </w:t>
      </w:r>
    </w:p>
    <w:p w14:paraId="53A22E0C" w14:textId="77777777" w:rsidR="00F45F58" w:rsidRPr="003441A3" w:rsidRDefault="00F45F58" w:rsidP="00F45F58">
      <w:pPr>
        <w:rPr>
          <w:rFonts w:ascii="Times New Roman" w:hAnsi="Times New Roman" w:cs="Times New Roman"/>
          <w:b/>
          <w:bCs/>
          <w:iCs/>
          <w:color w:val="000000" w:themeColor="text1"/>
          <w:sz w:val="24"/>
          <w:szCs w:val="24"/>
          <w:lang w:eastAsia="sk-SK"/>
        </w:rPr>
      </w:pPr>
      <w:r w:rsidRPr="003441A3">
        <w:rPr>
          <w:rFonts w:ascii="Times New Roman" w:hAnsi="Times New Roman" w:cs="Times New Roman"/>
          <w:b/>
          <w:bCs/>
          <w:iCs/>
          <w:color w:val="000000" w:themeColor="text1"/>
          <w:sz w:val="24"/>
          <w:szCs w:val="24"/>
          <w:lang w:eastAsia="sk-SK"/>
        </w:rPr>
        <w:t>2.1.1. Financovanie návrhu</w:t>
      </w:r>
    </w:p>
    <w:p w14:paraId="0FCD68CA" w14:textId="77777777" w:rsidR="00F45F58" w:rsidRPr="003441A3" w:rsidRDefault="00F45F58" w:rsidP="00F45F58">
      <w:pPr>
        <w:rPr>
          <w:rFonts w:ascii="Times New Roman" w:hAnsi="Times New Roman" w:cs="Times New Roman"/>
          <w:color w:val="000000" w:themeColor="text1"/>
          <w:sz w:val="24"/>
          <w:szCs w:val="24"/>
          <w:lang w:eastAsia="sk-SK"/>
        </w:rPr>
      </w:pPr>
    </w:p>
    <w:p w14:paraId="5639CC79" w14:textId="77777777" w:rsidR="00F45F58" w:rsidRPr="003441A3" w:rsidRDefault="00F45F58" w:rsidP="00F45F58">
      <w:pPr>
        <w:ind w:firstLine="708"/>
        <w:jc w:val="both"/>
        <w:rPr>
          <w:rFonts w:ascii="Times New Roman" w:hAnsi="Times New Roman" w:cs="Times New Roman"/>
          <w:color w:val="000000" w:themeColor="text1"/>
          <w:sz w:val="24"/>
          <w:szCs w:val="24"/>
        </w:rPr>
      </w:pPr>
      <w:r w:rsidRPr="003441A3">
        <w:rPr>
          <w:rFonts w:ascii="Times New Roman" w:hAnsi="Times New Roman" w:cs="Times New Roman"/>
          <w:bCs/>
          <w:iCs/>
          <w:color w:val="000000" w:themeColor="text1"/>
          <w:sz w:val="24"/>
          <w:szCs w:val="24"/>
          <w:lang w:eastAsia="sk-SK"/>
        </w:rPr>
        <w:t>Predkladateľ:</w:t>
      </w:r>
      <w:r w:rsidRPr="003441A3">
        <w:rPr>
          <w:rFonts w:ascii="Times New Roman" w:hAnsi="Times New Roman" w:cs="Times New Roman"/>
          <w:color w:val="000000" w:themeColor="text1"/>
          <w:sz w:val="24"/>
          <w:szCs w:val="24"/>
          <w:lang w:eastAsia="sk-SK"/>
        </w:rPr>
        <w:t xml:space="preserve"> Vypĺňa informácie v tabuľke č. 1/A na základe detailných informácií o príjmoch, výdavkoch a financovaní uvedených v tabuľkách č. 3, č. 4/A a č. 5. V prípade potreby je možné vložiť ďalšie riadky do tabuľky č. 1/A, aby boli zaradené všetky subjekty verejnej správy, na ktoré má návrh vplyv. Ak sa vplyvom predkladaného materiálu príjmy/výdavky subjektu verejnej správy znížia, použije sa znamienko mínus (-), ak sa príjmy/výdavky subjektu verejnej správy zvýšia použije sa znamienko plus (+). Vplyv na obce a VÚC v riadku „z toho vplyv nových úloh v zmysle ods. 2 Čl. 6 ústavného zákona č. 493/2011 Z. z. o rozpočtovej zodpovednosti“ sa vypĺňa v prípade zavedenia nových úloh pri úprave pôsobnosti pre obce alebo vyššie územné celky, pričom štát na ich plnenie súčasne zabezpečí obci alebo vyššiemu územnému celku zodpovedajúce finančné prostriedky. V prípade, ak materiál má vplyv na rozpočet verejnej správy vyjadrený v metodike ESA 2010 (pričom na hotovostnom princípe k vplyvu nedochádza</w:t>
      </w:r>
      <w:r w:rsidRPr="003441A3">
        <w:rPr>
          <w:rFonts w:ascii="Times New Roman" w:hAnsi="Times New Roman" w:cs="Times New Roman"/>
          <w:sz w:val="24"/>
          <w:szCs w:val="24"/>
        </w:rPr>
        <w:t xml:space="preserve"> </w:t>
      </w:r>
      <w:r w:rsidRPr="003441A3">
        <w:rPr>
          <w:rFonts w:ascii="Times New Roman" w:hAnsi="Times New Roman" w:cs="Times New Roman"/>
          <w:color w:val="000000" w:themeColor="text1"/>
          <w:sz w:val="24"/>
          <w:szCs w:val="24"/>
          <w:lang w:eastAsia="sk-SK"/>
        </w:rPr>
        <w:t xml:space="preserve">alebo sa hotovostný vplyv od vplyvu vyjadreného v metodike ESA 2010 odlišuje), je potrebné, aby predkladateľ v takýchto prípadoch uviedol v komentári aj vplyv na rozpočet vyjadrený v metodike ESA 2010. </w:t>
      </w:r>
      <w:r w:rsidRPr="003441A3">
        <w:rPr>
          <w:rFonts w:ascii="Times New Roman" w:hAnsi="Times New Roman" w:cs="Times New Roman"/>
          <w:color w:val="000000" w:themeColor="text1"/>
          <w:sz w:val="24"/>
          <w:szCs w:val="24"/>
        </w:rPr>
        <w:t>Údaje sa uvádzajú za bežný rok a tri nasledujúce roky.</w:t>
      </w:r>
    </w:p>
    <w:p w14:paraId="0266158D" w14:textId="77777777" w:rsidR="00F45F58" w:rsidRPr="003441A3" w:rsidRDefault="00F45F58" w:rsidP="00F45F58">
      <w:pPr>
        <w:ind w:firstLine="708"/>
        <w:jc w:val="both"/>
        <w:rPr>
          <w:rFonts w:ascii="Times New Roman" w:hAnsi="Times New Roman" w:cs="Times New Roman"/>
          <w:color w:val="000000" w:themeColor="text1"/>
          <w:sz w:val="24"/>
          <w:szCs w:val="24"/>
        </w:rPr>
      </w:pPr>
    </w:p>
    <w:p w14:paraId="215582AA"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color w:val="000000" w:themeColor="text1"/>
          <w:sz w:val="24"/>
          <w:szCs w:val="24"/>
          <w:lang w:eastAsia="sk-SK"/>
        </w:rPr>
        <w:t>Vypĺňa informácie v tabuľke č. 1/B na základe detailných informácií o vplyvoch v metodike ESA 2010 a financovaní uvedených v tabuľkách č. 4/B a č. 5. V prípade potreby je možné vložiť ďalšie riadky do tabuľky č. 1/B, aby boli zaradené všetky subjekty verejnej správy, na ktoré má návrh vplyv.</w:t>
      </w:r>
      <w:r w:rsidRPr="003441A3">
        <w:rPr>
          <w:rFonts w:ascii="Times New Roman" w:hAnsi="Times New Roman" w:cs="Times New Roman"/>
          <w:color w:val="000000" w:themeColor="text1"/>
          <w:sz w:val="24"/>
          <w:szCs w:val="24"/>
        </w:rPr>
        <w:t xml:space="preserve"> V riadku „vplyv na limit verejných výdavkov ďalších súčastí rozpočtu verejnej správy“ sa uvádzajú napr. vplyvy na verejné zdravotné poistenie, zdravotnícke zariadenia, verejné vysoké školy a verejné výskumné inštitúcie. L</w:t>
      </w:r>
      <w:r w:rsidRPr="003441A3">
        <w:rPr>
          <w:rFonts w:ascii="Times New Roman" w:hAnsi="Times New Roman" w:cs="Times New Roman"/>
          <w:color w:val="000000" w:themeColor="text1"/>
          <w:sz w:val="24"/>
          <w:szCs w:val="24"/>
          <w:lang w:eastAsia="sk-SK"/>
        </w:rPr>
        <w:t>imit verejných výdavkov sa nevzťahuje na výdavky územnej samosprávy, prostriedky z rozpočtu Európskej únie a prostriedky štátneho rozpočtu určené na financovanie spoločných programov Slovenskej republiky a Európskej únie, odvody Európskej únii, výdavky na správu dlhu verejnej správy, jednorazové výdavky a vplyv hospodárskeho cyklu na výdavky verejnej správy. Za prostriedky z rozpočtu Európskej únie sa považujú aj prostriedky mechanizmu na podporu obnovy a odolnosti. Ak sa vplyvom predkladaného materiálu vplyvy na limit verejných výdavkov znížia, použije sa znamienko mínus (-), ak sa výdavky subjektu verejnej správy zvýšia použije sa znamienko plus (+).</w:t>
      </w:r>
    </w:p>
    <w:p w14:paraId="68826F53" w14:textId="77777777" w:rsidR="00F45F58" w:rsidRPr="003441A3" w:rsidRDefault="00F45F58" w:rsidP="00F45F58">
      <w:pPr>
        <w:ind w:firstLine="708"/>
        <w:jc w:val="both"/>
        <w:rPr>
          <w:rFonts w:ascii="Times New Roman" w:hAnsi="Times New Roman" w:cs="Times New Roman"/>
          <w:color w:val="000000" w:themeColor="text1"/>
          <w:sz w:val="24"/>
          <w:szCs w:val="24"/>
          <w:u w:val="single"/>
          <w:lang w:eastAsia="sk-SK"/>
        </w:rPr>
      </w:pPr>
    </w:p>
    <w:p w14:paraId="6EF5C381"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color w:val="000000" w:themeColor="text1"/>
          <w:sz w:val="24"/>
          <w:szCs w:val="24"/>
          <w:lang w:eastAsia="sk-SK"/>
        </w:rPr>
        <w:t xml:space="preserve">Posledným krokom v procese posudzovania vplyvov na rozpočet verejnej správy je uviesť, aká časť tohto vplyvu si vyžiada zmeny rozpočtu verejnej správy. V niektorých prípadoch by bolo možné výdavky návrhu zvažovať v priebehu rozpočtového procesu a zahrnúť potrebné výdavky (aspoň čiastočne) do rozpočtu alebo strednodobého rozpočtového </w:t>
      </w:r>
      <w:r w:rsidRPr="003441A3">
        <w:rPr>
          <w:rFonts w:ascii="Times New Roman" w:hAnsi="Times New Roman" w:cs="Times New Roman"/>
          <w:color w:val="000000" w:themeColor="text1"/>
          <w:sz w:val="24"/>
          <w:szCs w:val="24"/>
          <w:lang w:eastAsia="sk-SK"/>
        </w:rPr>
        <w:lastRenderedPageBreak/>
        <w:t>rámca. Rovnako sa môžu na financovanie politík použiť iné ako rozpočtové zdroje, napr. dary, zdroje z podnikateľskej sféry alebo osobitné schémy financovania. V takýchto prípadoch nebude mať realizácia daného návrhu žiadne vplyvy na schválené rozpočtové limity. Časť vplyvu bude môcť dotknutý subjekt vykryť aj racionalizačnými opatreniami vedúcimi k úspore v iných výdavkoch.</w:t>
      </w:r>
    </w:p>
    <w:p w14:paraId="655A0B78"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p>
    <w:p w14:paraId="4A76F21B"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color w:val="000000" w:themeColor="text1"/>
          <w:sz w:val="24"/>
          <w:szCs w:val="24"/>
          <w:lang w:eastAsia="sk-SK"/>
        </w:rPr>
        <w:t>V prípade identifikovaného vplyvu na dlhodobú udržateľnosť verejných financií sa vypĺňajú informácie o vplyve na príjmy, výdavky a bilanciu verejných financií v p. b. HDP uvedené v tabuľke č. 6. Ak sa vplyvom predkladaného materiálu príjmy/výdavky znížia, použije sa znamienko mínus (-), ak sa príjmy/výdavky zvýšia, použije sa znamienko plus (+). Vypĺňa sa len v prípade zmien v I. a II. pilieri univerzálneho systému dôchodkového zabezpečenia s identifikovaným vplyvom od 0,1 % HDP (vrátane) na dlhodobom horizonte.</w:t>
      </w:r>
    </w:p>
    <w:p w14:paraId="5032C4C8" w14:textId="77777777" w:rsidR="00F45F58" w:rsidRPr="003441A3" w:rsidRDefault="00F45F58" w:rsidP="00F45F58">
      <w:pPr>
        <w:jc w:val="both"/>
        <w:rPr>
          <w:rFonts w:ascii="Times New Roman" w:hAnsi="Times New Roman" w:cs="Times New Roman"/>
          <w:color w:val="000000" w:themeColor="text1"/>
          <w:sz w:val="24"/>
          <w:szCs w:val="24"/>
          <w:u w:val="single"/>
          <w:lang w:eastAsia="sk-SK"/>
        </w:rPr>
      </w:pPr>
    </w:p>
    <w:p w14:paraId="46B417BB"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Cs/>
          <w:color w:val="000000" w:themeColor="text1"/>
          <w:sz w:val="24"/>
          <w:szCs w:val="24"/>
          <w:lang w:eastAsia="sk-SK"/>
        </w:rPr>
        <w:t>MF SR:</w:t>
      </w:r>
      <w:r w:rsidRPr="003441A3">
        <w:rPr>
          <w:rFonts w:ascii="Times New Roman" w:hAnsi="Times New Roman" w:cs="Times New Roman"/>
          <w:iCs/>
          <w:color w:val="000000" w:themeColor="text1"/>
          <w:sz w:val="24"/>
          <w:szCs w:val="24"/>
          <w:lang w:eastAsia="sk-SK"/>
        </w:rPr>
        <w:t xml:space="preserve"> </w:t>
      </w:r>
      <w:r w:rsidRPr="003441A3">
        <w:rPr>
          <w:rFonts w:ascii="Times New Roman" w:hAnsi="Times New Roman" w:cs="Times New Roman"/>
          <w:color w:val="000000" w:themeColor="text1"/>
          <w:sz w:val="24"/>
          <w:szCs w:val="24"/>
          <w:lang w:eastAsia="sk-SK"/>
        </w:rPr>
        <w:t>Preskúma všetky uvedené návrhy financovania z hľadiska ich primeranosti vrátane posúdenia návrhu na vplyv na rozpočet verejnej správy, ako aj vplyv na dlhodobú udržateľnosť. Potvrdí, že sa uvádzajú všetky možné zdroje financovania návrhu. V prípade akýchkoľvek rozporov požiada predkladateľa, aby daný návrh upravil.</w:t>
      </w:r>
    </w:p>
    <w:p w14:paraId="28FD8C71" w14:textId="77777777" w:rsidR="00F45F58" w:rsidRPr="003441A3" w:rsidRDefault="00F45F58" w:rsidP="00F45F58">
      <w:pPr>
        <w:jc w:val="both"/>
        <w:rPr>
          <w:rFonts w:ascii="Times New Roman" w:hAnsi="Times New Roman" w:cs="Times New Roman"/>
          <w:b/>
          <w:bCs/>
          <w:color w:val="000000" w:themeColor="text1"/>
          <w:sz w:val="24"/>
          <w:szCs w:val="24"/>
          <w:lang w:eastAsia="sk-SK"/>
        </w:rPr>
      </w:pPr>
    </w:p>
    <w:p w14:paraId="2201A2B8" w14:textId="77777777" w:rsidR="00F45F58" w:rsidRPr="003441A3" w:rsidRDefault="00F45F58" w:rsidP="00F45F58">
      <w:pPr>
        <w:jc w:val="both"/>
        <w:rPr>
          <w:rFonts w:ascii="Times New Roman" w:hAnsi="Times New Roman" w:cs="Times New Roman"/>
          <w:b/>
          <w:bCs/>
          <w:iCs/>
          <w:color w:val="000000" w:themeColor="text1"/>
          <w:sz w:val="24"/>
          <w:szCs w:val="24"/>
          <w:u w:val="single"/>
          <w:lang w:eastAsia="sk-SK"/>
        </w:rPr>
      </w:pPr>
      <w:r w:rsidRPr="003441A3">
        <w:rPr>
          <w:rFonts w:ascii="Times New Roman" w:hAnsi="Times New Roman" w:cs="Times New Roman"/>
          <w:b/>
          <w:bCs/>
          <w:iCs/>
          <w:color w:val="000000" w:themeColor="text1"/>
          <w:sz w:val="24"/>
          <w:szCs w:val="24"/>
          <w:u w:val="single"/>
          <w:lang w:eastAsia="sk-SK"/>
        </w:rPr>
        <w:t>Vyplnenie časti 2.2. Popis a charakteristika  návrhu</w:t>
      </w:r>
    </w:p>
    <w:p w14:paraId="33CC3440" w14:textId="77777777" w:rsidR="00F45F58" w:rsidRPr="003441A3" w:rsidRDefault="00F45F58" w:rsidP="00F45F58">
      <w:pPr>
        <w:rPr>
          <w:rFonts w:ascii="Times New Roman" w:hAnsi="Times New Roman" w:cs="Times New Roman"/>
          <w:b/>
          <w:color w:val="000000" w:themeColor="text1"/>
          <w:sz w:val="24"/>
          <w:szCs w:val="24"/>
          <w:lang w:eastAsia="sk-SK"/>
        </w:rPr>
      </w:pPr>
    </w:p>
    <w:p w14:paraId="3BFD5910" w14:textId="77777777" w:rsidR="00F45F58" w:rsidRPr="003441A3" w:rsidRDefault="00F45F58" w:rsidP="00F45F58">
      <w:pPr>
        <w:rPr>
          <w:rFonts w:ascii="Times New Roman" w:hAnsi="Times New Roman" w:cs="Times New Roman"/>
          <w:b/>
          <w:bCs/>
          <w:iCs/>
          <w:color w:val="000000" w:themeColor="text1"/>
          <w:sz w:val="24"/>
          <w:szCs w:val="24"/>
          <w:lang w:eastAsia="sk-SK"/>
        </w:rPr>
      </w:pPr>
      <w:r w:rsidRPr="003441A3">
        <w:rPr>
          <w:rFonts w:ascii="Times New Roman" w:hAnsi="Times New Roman" w:cs="Times New Roman"/>
          <w:b/>
          <w:bCs/>
          <w:iCs/>
          <w:color w:val="000000" w:themeColor="text1"/>
          <w:sz w:val="24"/>
          <w:szCs w:val="24"/>
          <w:lang w:eastAsia="sk-SK"/>
        </w:rPr>
        <w:t>2.2.1. Popis návrhu</w:t>
      </w:r>
    </w:p>
    <w:p w14:paraId="014E7E2D" w14:textId="77777777" w:rsidR="00F45F58" w:rsidRPr="003441A3" w:rsidRDefault="00F45F58" w:rsidP="00F45F58">
      <w:pPr>
        <w:rPr>
          <w:rFonts w:ascii="Times New Roman" w:hAnsi="Times New Roman" w:cs="Times New Roman"/>
          <w:color w:val="000000" w:themeColor="text1"/>
          <w:sz w:val="24"/>
          <w:szCs w:val="24"/>
          <w:lang w:eastAsia="sk-SK"/>
        </w:rPr>
      </w:pPr>
    </w:p>
    <w:p w14:paraId="3B4B4323" w14:textId="77777777" w:rsidR="00F45F58" w:rsidRPr="003441A3" w:rsidRDefault="00F45F58" w:rsidP="00F45F58">
      <w:pPr>
        <w:jc w:val="both"/>
        <w:rPr>
          <w:rFonts w:ascii="Times New Roman" w:hAnsi="Times New Roman" w:cs="Times New Roman"/>
          <w:color w:val="000000" w:themeColor="text1"/>
          <w:sz w:val="24"/>
          <w:szCs w:val="24"/>
          <w:lang w:eastAsia="sk-SK"/>
        </w:rPr>
      </w:pPr>
      <w:r w:rsidRPr="003441A3">
        <w:rPr>
          <w:rFonts w:ascii="Times New Roman" w:hAnsi="Times New Roman" w:cs="Times New Roman"/>
          <w:color w:val="000000" w:themeColor="text1"/>
          <w:sz w:val="24"/>
          <w:szCs w:val="24"/>
          <w:lang w:eastAsia="sk-SK"/>
        </w:rPr>
        <w:tab/>
        <w:t xml:space="preserve">Pre úplnosť sa táto časť uvádza aj v prílohe č. 2, aj keď proces pripomienkového konania si môže vyžadovať takýto popis uvádzať samostatne v niektorej z iných častí predkladaného návrhu. </w:t>
      </w:r>
    </w:p>
    <w:p w14:paraId="515B77CC" w14:textId="77777777" w:rsidR="00F45F58" w:rsidRPr="003441A3" w:rsidRDefault="00F45F58" w:rsidP="00F45F58">
      <w:pPr>
        <w:rPr>
          <w:rFonts w:ascii="Times New Roman" w:hAnsi="Times New Roman" w:cs="Times New Roman"/>
          <w:color w:val="000000" w:themeColor="text1"/>
          <w:sz w:val="24"/>
          <w:szCs w:val="24"/>
          <w:lang w:eastAsia="sk-SK"/>
        </w:rPr>
      </w:pPr>
    </w:p>
    <w:p w14:paraId="3D0FA97F"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Cs/>
          <w:color w:val="000000" w:themeColor="text1"/>
          <w:sz w:val="24"/>
          <w:szCs w:val="24"/>
          <w:lang w:eastAsia="sk-SK"/>
        </w:rPr>
        <w:t>Predkladateľ</w:t>
      </w:r>
      <w:r w:rsidRPr="003441A3">
        <w:rPr>
          <w:rFonts w:ascii="Times New Roman" w:hAnsi="Times New Roman" w:cs="Times New Roman"/>
          <w:color w:val="000000" w:themeColor="text1"/>
          <w:sz w:val="24"/>
          <w:szCs w:val="24"/>
          <w:lang w:eastAsia="sk-SK"/>
        </w:rPr>
        <w:t>: V príslušnej časti popíše predkladateľ svoj návrh. Popis by mal umožniť dotknutým subjektom identifikáciu svojich konkrétnych aktivít a ich vplyvov na vlastný rozpočet a mal by obsahovať najmä:</w:t>
      </w:r>
    </w:p>
    <w:p w14:paraId="1CE6458E" w14:textId="77777777" w:rsidR="00F45F58" w:rsidRPr="003441A3" w:rsidRDefault="00F45F58" w:rsidP="00F45F58">
      <w:pPr>
        <w:rPr>
          <w:rFonts w:ascii="Times New Roman" w:hAnsi="Times New Roman" w:cs="Times New Roman"/>
          <w:bCs/>
          <w:i/>
          <w:iCs/>
          <w:color w:val="000000" w:themeColor="text1"/>
          <w:sz w:val="24"/>
          <w:szCs w:val="24"/>
          <w:lang w:eastAsia="sk-SK"/>
        </w:rPr>
      </w:pPr>
    </w:p>
    <w:p w14:paraId="490718F3" w14:textId="77777777" w:rsidR="00F45F58" w:rsidRPr="003441A3" w:rsidRDefault="00F45F58" w:rsidP="00F45F58">
      <w:pPr>
        <w:numPr>
          <w:ilvl w:val="0"/>
          <w:numId w:val="8"/>
        </w:numPr>
        <w:spacing w:after="0" w:line="240" w:lineRule="auto"/>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
          <w:iCs/>
          <w:color w:val="000000" w:themeColor="text1"/>
          <w:sz w:val="24"/>
          <w:szCs w:val="24"/>
          <w:lang w:eastAsia="sk-SK"/>
        </w:rPr>
        <w:t>Akú problematiku návrh rieši?</w:t>
      </w:r>
      <w:r w:rsidRPr="003441A3">
        <w:rPr>
          <w:rFonts w:ascii="Times New Roman" w:hAnsi="Times New Roman" w:cs="Times New Roman"/>
          <w:color w:val="000000" w:themeColor="text1"/>
          <w:sz w:val="24"/>
          <w:szCs w:val="24"/>
          <w:lang w:eastAsia="sk-SK"/>
        </w:rPr>
        <w:t xml:space="preserve"> Jasne definovať problematiku a vysvetliť, ako ju návrh rieši. Uviesť aj iné alternatívy, o ktorých sa uvažovalo a prečo boli vylúčené. </w:t>
      </w:r>
    </w:p>
    <w:p w14:paraId="3054FD3E" w14:textId="77777777" w:rsidR="00F45F58" w:rsidRPr="003441A3" w:rsidRDefault="00F45F58" w:rsidP="00F45F58">
      <w:pPr>
        <w:numPr>
          <w:ilvl w:val="0"/>
          <w:numId w:val="8"/>
        </w:numPr>
        <w:spacing w:after="0" w:line="240" w:lineRule="auto"/>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
          <w:iCs/>
          <w:color w:val="000000" w:themeColor="text1"/>
          <w:sz w:val="24"/>
          <w:szCs w:val="24"/>
          <w:lang w:eastAsia="sk-SK"/>
        </w:rPr>
        <w:t>Ktoré subjekty budú implementovať návrh?</w:t>
      </w:r>
      <w:r w:rsidRPr="003441A3">
        <w:rPr>
          <w:rFonts w:ascii="Times New Roman" w:hAnsi="Times New Roman" w:cs="Times New Roman"/>
          <w:color w:val="000000" w:themeColor="text1"/>
          <w:sz w:val="24"/>
          <w:szCs w:val="24"/>
          <w:lang w:eastAsia="sk-SK"/>
        </w:rPr>
        <w:t xml:space="preserve"> Popíšte jednotlivé úlohy rôznych organizácií.</w:t>
      </w:r>
    </w:p>
    <w:p w14:paraId="4783FAA1" w14:textId="77777777" w:rsidR="00F45F58" w:rsidRPr="003441A3" w:rsidRDefault="00F45F58" w:rsidP="00F45F58">
      <w:pPr>
        <w:numPr>
          <w:ilvl w:val="0"/>
          <w:numId w:val="8"/>
        </w:numPr>
        <w:spacing w:after="0" w:line="240" w:lineRule="auto"/>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
          <w:iCs/>
          <w:color w:val="000000" w:themeColor="text1"/>
          <w:sz w:val="24"/>
          <w:szCs w:val="24"/>
          <w:lang w:eastAsia="sk-SK"/>
        </w:rPr>
        <w:t>Na akej úrovni sa budú poskytovať výkony verejnej správy?</w:t>
      </w:r>
      <w:r w:rsidRPr="003441A3">
        <w:rPr>
          <w:rFonts w:ascii="Times New Roman" w:hAnsi="Times New Roman" w:cs="Times New Roman"/>
          <w:color w:val="000000" w:themeColor="text1"/>
          <w:sz w:val="24"/>
          <w:szCs w:val="24"/>
          <w:lang w:eastAsia="sk-SK"/>
        </w:rPr>
        <w:t xml:space="preserve"> Budú sa poskytovať celonárodne alebo regionálne? Koľko subjektov môže poskytnúť daný tovar / službu?</w:t>
      </w:r>
    </w:p>
    <w:p w14:paraId="2D32DACA" w14:textId="77777777" w:rsidR="00F45F58" w:rsidRPr="003441A3" w:rsidRDefault="00F45F58" w:rsidP="00F45F58">
      <w:pPr>
        <w:rPr>
          <w:rFonts w:ascii="Times New Roman" w:hAnsi="Times New Roman" w:cs="Times New Roman"/>
          <w:color w:val="000000" w:themeColor="text1"/>
          <w:sz w:val="24"/>
          <w:szCs w:val="24"/>
          <w:lang w:eastAsia="sk-SK"/>
        </w:rPr>
      </w:pPr>
    </w:p>
    <w:p w14:paraId="13004B3B" w14:textId="77777777" w:rsidR="00F45F58" w:rsidRPr="003441A3" w:rsidRDefault="00F45F58" w:rsidP="00F45F58">
      <w:pPr>
        <w:rPr>
          <w:rFonts w:ascii="Times New Roman" w:hAnsi="Times New Roman" w:cs="Times New Roman"/>
          <w:b/>
          <w:bCs/>
          <w:iCs/>
          <w:color w:val="000000" w:themeColor="text1"/>
          <w:sz w:val="24"/>
          <w:szCs w:val="24"/>
          <w:lang w:eastAsia="sk-SK"/>
        </w:rPr>
      </w:pPr>
      <w:r w:rsidRPr="003441A3">
        <w:rPr>
          <w:rFonts w:ascii="Times New Roman" w:hAnsi="Times New Roman" w:cs="Times New Roman"/>
          <w:b/>
          <w:bCs/>
          <w:iCs/>
          <w:color w:val="000000" w:themeColor="text1"/>
          <w:sz w:val="24"/>
          <w:szCs w:val="24"/>
          <w:lang w:eastAsia="sk-SK"/>
        </w:rPr>
        <w:t>2.2.2. Charakteristika návrhu</w:t>
      </w:r>
    </w:p>
    <w:p w14:paraId="0D52D3BA" w14:textId="77777777" w:rsidR="00F45F58" w:rsidRPr="003441A3" w:rsidRDefault="00F45F58" w:rsidP="00F45F58">
      <w:pPr>
        <w:rPr>
          <w:rFonts w:ascii="Times New Roman" w:hAnsi="Times New Roman" w:cs="Times New Roman"/>
          <w:color w:val="000000" w:themeColor="text1"/>
          <w:sz w:val="24"/>
          <w:szCs w:val="24"/>
          <w:lang w:eastAsia="sk-SK"/>
        </w:rPr>
      </w:pPr>
    </w:p>
    <w:p w14:paraId="3D915060"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Cs/>
          <w:color w:val="000000" w:themeColor="text1"/>
          <w:sz w:val="24"/>
          <w:szCs w:val="24"/>
          <w:lang w:eastAsia="sk-SK"/>
        </w:rPr>
        <w:lastRenderedPageBreak/>
        <w:t>Predkladateľ</w:t>
      </w:r>
      <w:r w:rsidRPr="003441A3">
        <w:rPr>
          <w:rFonts w:ascii="Times New Roman" w:hAnsi="Times New Roman" w:cs="Times New Roman"/>
          <w:color w:val="000000" w:themeColor="text1"/>
          <w:sz w:val="24"/>
          <w:szCs w:val="24"/>
          <w:lang w:eastAsia="sk-SK"/>
        </w:rPr>
        <w:t>: Charakterizuje návrh na základe uvedených kategórií. Táto charakteristika by mala napomôcť ostatným dotknutým subjektom pochopiť podstatu návrhu a uľahčiť tým pripomienkovanie doložky.  Jednotlivé druhy návrhov sú detailne popísané nižšie:</w:t>
      </w:r>
    </w:p>
    <w:p w14:paraId="4DA13FB6" w14:textId="77777777" w:rsidR="00F45F58" w:rsidRPr="003441A3" w:rsidRDefault="00F45F58" w:rsidP="00F45F58">
      <w:pPr>
        <w:numPr>
          <w:ilvl w:val="0"/>
          <w:numId w:val="9"/>
        </w:numPr>
        <w:spacing w:after="0" w:line="240" w:lineRule="auto"/>
        <w:jc w:val="both"/>
        <w:outlineLvl w:val="3"/>
        <w:rPr>
          <w:rFonts w:ascii="Times New Roman" w:hAnsi="Times New Roman" w:cs="Times New Roman"/>
          <w:bCs/>
          <w:color w:val="000000" w:themeColor="text1"/>
          <w:sz w:val="24"/>
          <w:szCs w:val="24"/>
          <w:lang w:eastAsia="sk-SK"/>
        </w:rPr>
      </w:pPr>
      <w:r w:rsidRPr="003441A3">
        <w:rPr>
          <w:rFonts w:ascii="Times New Roman" w:hAnsi="Times New Roman" w:cs="Times New Roman"/>
          <w:b/>
          <w:i/>
          <w:iCs/>
          <w:color w:val="000000" w:themeColor="text1"/>
          <w:kern w:val="20"/>
          <w:sz w:val="24"/>
          <w:szCs w:val="24"/>
        </w:rPr>
        <w:t>zmena sadzby</w:t>
      </w:r>
      <w:r w:rsidRPr="003441A3">
        <w:rPr>
          <w:rFonts w:ascii="Times New Roman" w:hAnsi="Times New Roman" w:cs="Times New Roman"/>
          <w:bCs/>
          <w:color w:val="000000" w:themeColor="text1"/>
          <w:kern w:val="20"/>
          <w:sz w:val="24"/>
          <w:szCs w:val="24"/>
        </w:rPr>
        <w:t xml:space="preserve"> – </w:t>
      </w:r>
      <w:r w:rsidRPr="003441A3">
        <w:rPr>
          <w:rFonts w:ascii="Times New Roman" w:hAnsi="Times New Roman" w:cs="Times New Roman"/>
          <w:bCs/>
          <w:color w:val="000000" w:themeColor="text1"/>
          <w:sz w:val="24"/>
          <w:szCs w:val="24"/>
          <w:lang w:eastAsia="sk-SK"/>
        </w:rPr>
        <w:t>návrh mení sadzbu dane alebo poplatkov alebo upravuje nominálnu (peňažnú) výšku dávky, napr. dávok štátnej sociálnej podpory. Určiť vplyv na rozpočet verejnej správy takéhoto návrhu je dosť jednoduché, keďže ide o priamy výpočet novej sadzby pre nezmenený objem aktivít (napr. počet osôb alebo transakcií), ktorých sa týka. Pravdepodobne nebudú potrebné žiadne ďalšie úpravy rozpočtu, napr. zníženie alebo zvýšenie počtu pracovníkov alebo vybavenia.</w:t>
      </w:r>
    </w:p>
    <w:p w14:paraId="3E161A42" w14:textId="77777777" w:rsidR="00F45F58" w:rsidRPr="003441A3" w:rsidRDefault="00F45F58" w:rsidP="00F45F58">
      <w:pPr>
        <w:ind w:left="708"/>
        <w:jc w:val="both"/>
        <w:outlineLvl w:val="3"/>
        <w:rPr>
          <w:rFonts w:ascii="Times New Roman" w:hAnsi="Times New Roman" w:cs="Times New Roman"/>
          <w:bCs/>
          <w:color w:val="000000" w:themeColor="text1"/>
          <w:kern w:val="20"/>
          <w:sz w:val="24"/>
          <w:szCs w:val="24"/>
          <w:u w:val="single"/>
        </w:rPr>
      </w:pPr>
      <w:r w:rsidRPr="003441A3">
        <w:rPr>
          <w:rFonts w:ascii="Times New Roman" w:hAnsi="Times New Roman" w:cs="Times New Roman"/>
          <w:bCs/>
          <w:color w:val="000000" w:themeColor="text1"/>
          <w:sz w:val="24"/>
          <w:szCs w:val="24"/>
          <w:lang w:eastAsia="sk-SK"/>
        </w:rPr>
        <w:t>Pri výpočte vplyvov zmeny sadzby treba brať do úvahy aj tzv. “elasticitu dopytu”, keď napr. nárast daňovej sadzby napríklad na pohonné hmoty nespôsobí lineárne zvýšenie celkových príjmov z tejto dane.</w:t>
      </w:r>
    </w:p>
    <w:p w14:paraId="70FA3A74" w14:textId="77777777" w:rsidR="00F45F58" w:rsidRPr="003441A3" w:rsidRDefault="00F45F58" w:rsidP="00F45F58">
      <w:pPr>
        <w:numPr>
          <w:ilvl w:val="0"/>
          <w:numId w:val="9"/>
        </w:numPr>
        <w:spacing w:after="0" w:line="240" w:lineRule="auto"/>
        <w:jc w:val="both"/>
        <w:outlineLvl w:val="3"/>
        <w:rPr>
          <w:rFonts w:ascii="Times New Roman" w:hAnsi="Times New Roman" w:cs="Times New Roman"/>
          <w:bCs/>
          <w:color w:val="000000" w:themeColor="text1"/>
          <w:sz w:val="24"/>
          <w:szCs w:val="24"/>
          <w:lang w:eastAsia="sk-SK"/>
        </w:rPr>
      </w:pPr>
      <w:r w:rsidRPr="003441A3">
        <w:rPr>
          <w:rFonts w:ascii="Times New Roman" w:hAnsi="Times New Roman" w:cs="Times New Roman"/>
          <w:b/>
          <w:i/>
          <w:iCs/>
          <w:color w:val="000000" w:themeColor="text1"/>
          <w:kern w:val="20"/>
          <w:sz w:val="24"/>
          <w:szCs w:val="24"/>
        </w:rPr>
        <w:t>zmena v nároku</w:t>
      </w:r>
      <w:r w:rsidRPr="003441A3">
        <w:rPr>
          <w:rFonts w:ascii="Times New Roman" w:hAnsi="Times New Roman" w:cs="Times New Roman"/>
          <w:b/>
          <w:bCs/>
          <w:color w:val="000000" w:themeColor="text1"/>
          <w:sz w:val="24"/>
          <w:szCs w:val="24"/>
          <w:lang w:eastAsia="sk-SK"/>
        </w:rPr>
        <w:t xml:space="preserve"> </w:t>
      </w:r>
      <w:r w:rsidRPr="003441A3">
        <w:rPr>
          <w:rFonts w:ascii="Times New Roman" w:hAnsi="Times New Roman" w:cs="Times New Roman"/>
          <w:bCs/>
          <w:color w:val="000000" w:themeColor="text1"/>
          <w:sz w:val="24"/>
          <w:szCs w:val="24"/>
          <w:lang w:eastAsia="sk-SK"/>
        </w:rPr>
        <w:t>– návrh upravuje definíciu okruhu osôb, ktoré majú nárok na dávku alebo ktorých sa dotýka určité ustanovenia zákona, t. j. znižuje alebo zvyšuje počet osôb, ktoré si môžu uplatniť nárok. Vypočítať vplyv na rozpočet verejnej správy pri tomto druhu návrhu je trochu komplikovanejšie, keďže implementujúca organizácia musí vziať do úvahy niekoľko faktorov. Organizácia musí odhadnúť zmeny, ktoré vyplývajú z návrhu na svoj rozpočet. Predpokladá sa, že nižší objem aktivít povedie k úsporám. Ak nie, je potrebné jednoznačne vysvetliť dôvody. K dispozícii by mali byť aj informácie o nákladoch v minulosti, na základe ktorých sa môže urobiť odhad.</w:t>
      </w:r>
    </w:p>
    <w:p w14:paraId="4AA1643C" w14:textId="77777777" w:rsidR="00F45F58" w:rsidRPr="003441A3" w:rsidRDefault="00F45F58" w:rsidP="00F45F58">
      <w:pPr>
        <w:numPr>
          <w:ilvl w:val="0"/>
          <w:numId w:val="9"/>
        </w:numPr>
        <w:spacing w:after="0" w:line="240" w:lineRule="auto"/>
        <w:jc w:val="both"/>
        <w:rPr>
          <w:rFonts w:ascii="Times New Roman" w:hAnsi="Times New Roman" w:cs="Times New Roman"/>
          <w:color w:val="000000" w:themeColor="text1"/>
          <w:sz w:val="24"/>
          <w:szCs w:val="24"/>
          <w:lang w:eastAsia="sk-SK"/>
        </w:rPr>
      </w:pPr>
      <w:r w:rsidRPr="003441A3">
        <w:rPr>
          <w:rFonts w:ascii="Times New Roman" w:hAnsi="Times New Roman" w:cs="Times New Roman"/>
          <w:b/>
          <w:bCs/>
          <w:i/>
          <w:iCs/>
          <w:color w:val="000000" w:themeColor="text1"/>
          <w:sz w:val="24"/>
          <w:szCs w:val="24"/>
          <w:lang w:eastAsia="sk-SK"/>
        </w:rPr>
        <w:t>nová služba alebo nariadenie (alebo ich zrušenie)</w:t>
      </w:r>
      <w:r w:rsidRPr="003441A3">
        <w:rPr>
          <w:rFonts w:ascii="Times New Roman" w:hAnsi="Times New Roman" w:cs="Times New Roman"/>
          <w:color w:val="000000" w:themeColor="text1"/>
          <w:sz w:val="24"/>
          <w:szCs w:val="24"/>
          <w:lang w:eastAsia="sk-SK"/>
        </w:rPr>
        <w:t xml:space="preserve"> – návrh zavádza novú službu alebo nariadenie v oblasti, v ktorej tieto doposiaľ neexistovali, alebo sa navrhuje zníženie rozsahu alebo úplné zrušenie existujúcej služby či nariadenia.</w:t>
      </w:r>
    </w:p>
    <w:p w14:paraId="2C8F2172" w14:textId="77777777" w:rsidR="00F45F58" w:rsidRPr="003441A3" w:rsidRDefault="00F45F58" w:rsidP="00F45F58">
      <w:pPr>
        <w:ind w:left="708"/>
        <w:jc w:val="both"/>
        <w:rPr>
          <w:rFonts w:ascii="Times New Roman" w:hAnsi="Times New Roman" w:cs="Times New Roman"/>
          <w:color w:val="000000" w:themeColor="text1"/>
          <w:sz w:val="24"/>
          <w:szCs w:val="24"/>
          <w:lang w:eastAsia="sk-SK"/>
        </w:rPr>
      </w:pPr>
      <w:r w:rsidRPr="003441A3">
        <w:rPr>
          <w:rFonts w:ascii="Times New Roman" w:hAnsi="Times New Roman" w:cs="Times New Roman"/>
          <w:color w:val="000000" w:themeColor="text1"/>
          <w:sz w:val="24"/>
          <w:szCs w:val="24"/>
          <w:lang w:eastAsia="sk-SK"/>
        </w:rPr>
        <w:t>Tento návrh predstavuje veľkú výzvu pri odhadovaní nákladov, nakoľko pre takéto činnosti nemusí byť k dispozícii dostatok údajov. V takom prípade bude dôležité podrobne vysvetliť predpoklady.</w:t>
      </w:r>
    </w:p>
    <w:p w14:paraId="0A02EF7B" w14:textId="77777777" w:rsidR="00F45F58" w:rsidRPr="003441A3" w:rsidRDefault="00F45F58" w:rsidP="00F45F58">
      <w:pPr>
        <w:numPr>
          <w:ilvl w:val="0"/>
          <w:numId w:val="9"/>
        </w:numPr>
        <w:spacing w:after="0" w:line="240" w:lineRule="auto"/>
        <w:jc w:val="both"/>
        <w:rPr>
          <w:rFonts w:ascii="Times New Roman" w:hAnsi="Times New Roman" w:cs="Times New Roman"/>
          <w:color w:val="000000" w:themeColor="text1"/>
          <w:sz w:val="24"/>
          <w:szCs w:val="24"/>
          <w:lang w:eastAsia="sk-SK"/>
        </w:rPr>
      </w:pPr>
      <w:r w:rsidRPr="003441A3">
        <w:rPr>
          <w:rFonts w:ascii="Times New Roman" w:hAnsi="Times New Roman" w:cs="Times New Roman"/>
          <w:b/>
          <w:bCs/>
          <w:i/>
          <w:iCs/>
          <w:color w:val="000000" w:themeColor="text1"/>
          <w:sz w:val="24"/>
          <w:szCs w:val="24"/>
          <w:lang w:eastAsia="sk-SK"/>
        </w:rPr>
        <w:t>kombinovaný návrh</w:t>
      </w:r>
      <w:r w:rsidRPr="003441A3">
        <w:rPr>
          <w:rFonts w:ascii="Times New Roman" w:hAnsi="Times New Roman" w:cs="Times New Roman"/>
          <w:color w:val="000000" w:themeColor="text1"/>
          <w:sz w:val="24"/>
          <w:szCs w:val="24"/>
          <w:lang w:eastAsia="sk-SK"/>
        </w:rPr>
        <w:t xml:space="preserve"> – tento druh návrhu môže kombinovať prvky vyššie uvedených druhov, čím sa zvyšuje komplexnosť prípravy návrhu doložky.</w:t>
      </w:r>
    </w:p>
    <w:p w14:paraId="2DA9E5BA" w14:textId="77777777" w:rsidR="00F45F58" w:rsidRPr="003441A3" w:rsidRDefault="00F45F58" w:rsidP="00F45F58">
      <w:pPr>
        <w:numPr>
          <w:ilvl w:val="0"/>
          <w:numId w:val="9"/>
        </w:numPr>
        <w:spacing w:after="0" w:line="240" w:lineRule="auto"/>
        <w:jc w:val="both"/>
        <w:rPr>
          <w:rFonts w:ascii="Times New Roman" w:hAnsi="Times New Roman" w:cs="Times New Roman"/>
          <w:color w:val="000000" w:themeColor="text1"/>
          <w:sz w:val="24"/>
          <w:szCs w:val="24"/>
          <w:lang w:eastAsia="sk-SK"/>
        </w:rPr>
      </w:pPr>
      <w:r w:rsidRPr="003441A3">
        <w:rPr>
          <w:rFonts w:ascii="Times New Roman" w:hAnsi="Times New Roman" w:cs="Times New Roman"/>
          <w:b/>
          <w:bCs/>
          <w:i/>
          <w:iCs/>
          <w:color w:val="000000" w:themeColor="text1"/>
          <w:sz w:val="24"/>
          <w:szCs w:val="24"/>
          <w:lang w:eastAsia="sk-SK"/>
        </w:rPr>
        <w:t>iné</w:t>
      </w:r>
      <w:r w:rsidRPr="003441A3">
        <w:rPr>
          <w:rFonts w:ascii="Times New Roman" w:hAnsi="Times New Roman" w:cs="Times New Roman"/>
          <w:b/>
          <w:color w:val="000000" w:themeColor="text1"/>
          <w:sz w:val="24"/>
          <w:szCs w:val="24"/>
          <w:lang w:eastAsia="sk-SK"/>
        </w:rPr>
        <w:t xml:space="preserve"> </w:t>
      </w:r>
      <w:r w:rsidRPr="003441A3">
        <w:rPr>
          <w:rFonts w:ascii="Times New Roman" w:hAnsi="Times New Roman" w:cs="Times New Roman"/>
          <w:color w:val="000000" w:themeColor="text1"/>
          <w:sz w:val="24"/>
          <w:szCs w:val="24"/>
          <w:lang w:eastAsia="sk-SK"/>
        </w:rPr>
        <w:t>– používa sa na popis ostatných typov, ktoré nie sú pokryté v štyroch druhoch uvedených vyššie.</w:t>
      </w:r>
    </w:p>
    <w:p w14:paraId="69DED235" w14:textId="77777777" w:rsidR="00F45F58" w:rsidRPr="003441A3" w:rsidRDefault="00F45F58" w:rsidP="00F45F58">
      <w:pPr>
        <w:jc w:val="both"/>
        <w:rPr>
          <w:rFonts w:ascii="Times New Roman" w:hAnsi="Times New Roman" w:cs="Times New Roman"/>
          <w:color w:val="000000" w:themeColor="text1"/>
          <w:sz w:val="24"/>
          <w:szCs w:val="24"/>
          <w:lang w:eastAsia="sk-SK"/>
        </w:rPr>
      </w:pPr>
    </w:p>
    <w:p w14:paraId="24331997" w14:textId="77777777" w:rsidR="00F45F58" w:rsidRPr="003441A3" w:rsidRDefault="00F45F58" w:rsidP="00F45F58">
      <w:pPr>
        <w:rPr>
          <w:rFonts w:ascii="Times New Roman" w:hAnsi="Times New Roman" w:cs="Times New Roman"/>
          <w:b/>
          <w:bCs/>
          <w:iCs/>
          <w:color w:val="000000" w:themeColor="text1"/>
          <w:sz w:val="24"/>
          <w:szCs w:val="24"/>
          <w:lang w:eastAsia="sk-SK"/>
        </w:rPr>
      </w:pPr>
      <w:r w:rsidRPr="003441A3">
        <w:rPr>
          <w:rFonts w:ascii="Times New Roman" w:hAnsi="Times New Roman" w:cs="Times New Roman"/>
          <w:b/>
          <w:bCs/>
          <w:iCs/>
          <w:color w:val="000000" w:themeColor="text1"/>
          <w:sz w:val="24"/>
          <w:szCs w:val="24"/>
          <w:lang w:eastAsia="sk-SK"/>
        </w:rPr>
        <w:t>2.2.3. Predpoklady zmien v objeme aktivít</w:t>
      </w:r>
    </w:p>
    <w:p w14:paraId="576983A1" w14:textId="77777777" w:rsidR="00F45F58" w:rsidRPr="003441A3" w:rsidRDefault="00F45F58" w:rsidP="00F45F58">
      <w:pPr>
        <w:rPr>
          <w:rFonts w:ascii="Times New Roman" w:hAnsi="Times New Roman" w:cs="Times New Roman"/>
          <w:b/>
          <w:color w:val="000000" w:themeColor="text1"/>
          <w:sz w:val="24"/>
          <w:szCs w:val="24"/>
          <w:lang w:eastAsia="sk-SK"/>
        </w:rPr>
      </w:pPr>
    </w:p>
    <w:p w14:paraId="05EBA629"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Cs/>
          <w:color w:val="000000" w:themeColor="text1"/>
          <w:sz w:val="24"/>
          <w:szCs w:val="24"/>
          <w:lang w:eastAsia="sk-SK"/>
        </w:rPr>
        <w:t>Predkladateľ</w:t>
      </w:r>
      <w:r w:rsidRPr="003441A3">
        <w:rPr>
          <w:rFonts w:ascii="Times New Roman" w:hAnsi="Times New Roman" w:cs="Times New Roman"/>
          <w:color w:val="000000" w:themeColor="text1"/>
          <w:sz w:val="24"/>
          <w:szCs w:val="24"/>
          <w:lang w:eastAsia="sk-SK"/>
        </w:rPr>
        <w:t>: Od predkladateľa sa požaduje, aby určil zvýšenie alebo zníženie objemu aktivít, ktoré môže návrh vyvolať. Napríklad ak návrh požaduje každoročne preverovať kriminálne záznamy všetkých príslušníkov súkromných bezpečnostných služieb, je potrebné uviesť počet osôb (príslušníkov bezpečnostných služieb), ktorí by mali byť skontrolovaní. Ďalšími príkladmi objemu aktivít môže byť počet prihlášok, inšpekcií, prijímateľov dávok, alebo zatknutí. Pretože sa vyžadujú odhady na  bežný rok a 3 nasledujúce roky, je potrebné odhadnúť objem aktivít počas tohto štvorročného obdobia. Príloha č. 2 preto obsahuje aj tabuľku č. 2 na ročné odhady objemu aktivít.</w:t>
      </w:r>
    </w:p>
    <w:p w14:paraId="3C52313C"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p>
    <w:p w14:paraId="3837A96F"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color w:val="000000" w:themeColor="text1"/>
          <w:sz w:val="24"/>
          <w:szCs w:val="24"/>
          <w:lang w:eastAsia="sk-SK"/>
        </w:rPr>
        <w:lastRenderedPageBreak/>
        <w:t xml:space="preserve">Môže sa navrhovať aj zníženie objemu aktivít. Napríklad návrh zvýšiť limit pre verejné obstarávanie, kedy sa písomná ponuka bude požadovať iba pri obstarávacej cene dvojnásobne vyššej oproti súčasnému platnému právnemu stavu. </w:t>
      </w:r>
    </w:p>
    <w:p w14:paraId="4A6BCA9C" w14:textId="77777777" w:rsidR="00F45F58" w:rsidRPr="003441A3" w:rsidRDefault="00F45F58" w:rsidP="00DB3CD0">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color w:val="000000" w:themeColor="text1"/>
          <w:sz w:val="24"/>
          <w:szCs w:val="24"/>
          <w:lang w:eastAsia="sk-SK"/>
        </w:rPr>
        <w:t>V tomto prípade by mal byť uvedený aj odhad počtu takýchto nákupov ročne. Takáto úprava by obmedzila administratívnu záťaž subjektov verejnej správy a generovala by úspory v ich prevádzkových nákladoch.</w:t>
      </w:r>
    </w:p>
    <w:p w14:paraId="2448A0DC" w14:textId="77777777" w:rsidR="00F45F58" w:rsidRPr="003441A3" w:rsidRDefault="00F45F58" w:rsidP="00F45F58">
      <w:pPr>
        <w:jc w:val="both"/>
        <w:rPr>
          <w:rFonts w:ascii="Times New Roman" w:hAnsi="Times New Roman" w:cs="Times New Roman"/>
          <w:i/>
          <w:iCs/>
          <w:color w:val="000000" w:themeColor="text1"/>
          <w:sz w:val="24"/>
          <w:szCs w:val="24"/>
          <w:u w:val="single"/>
        </w:rPr>
      </w:pPr>
    </w:p>
    <w:p w14:paraId="114FD7C4" w14:textId="77777777" w:rsidR="00F45F58" w:rsidRPr="003441A3" w:rsidRDefault="00F45F58" w:rsidP="00F45F58">
      <w:pPr>
        <w:ind w:firstLine="708"/>
        <w:jc w:val="both"/>
        <w:rPr>
          <w:rFonts w:ascii="Times New Roman" w:hAnsi="Times New Roman" w:cs="Times New Roman"/>
          <w:color w:val="000000" w:themeColor="text1"/>
          <w:sz w:val="24"/>
          <w:szCs w:val="24"/>
        </w:rPr>
      </w:pPr>
      <w:r w:rsidRPr="003441A3">
        <w:rPr>
          <w:rFonts w:ascii="Times New Roman" w:hAnsi="Times New Roman" w:cs="Times New Roman"/>
          <w:bCs/>
          <w:iCs/>
          <w:color w:val="000000" w:themeColor="text1"/>
          <w:sz w:val="24"/>
          <w:szCs w:val="24"/>
        </w:rPr>
        <w:t>MF SR</w:t>
      </w:r>
      <w:r w:rsidRPr="003441A3">
        <w:rPr>
          <w:rFonts w:ascii="Times New Roman" w:hAnsi="Times New Roman" w:cs="Times New Roman"/>
          <w:color w:val="000000" w:themeColor="text1"/>
          <w:sz w:val="24"/>
          <w:szCs w:val="24"/>
        </w:rPr>
        <w:t xml:space="preserve">: Počas konzultačnej fázy môže zhodnotiť MF SR predpoklady uvedené predkladateľom, t.j. ich vhodnosť a konzistentnosť. </w:t>
      </w:r>
    </w:p>
    <w:p w14:paraId="3F152463" w14:textId="77777777" w:rsidR="00F45F58" w:rsidRPr="003441A3" w:rsidRDefault="00F45F58" w:rsidP="00F45F58">
      <w:pPr>
        <w:jc w:val="both"/>
        <w:rPr>
          <w:rFonts w:ascii="Times New Roman" w:hAnsi="Times New Roman" w:cs="Times New Roman"/>
          <w:color w:val="000000" w:themeColor="text1"/>
          <w:sz w:val="24"/>
          <w:szCs w:val="24"/>
        </w:rPr>
      </w:pPr>
    </w:p>
    <w:p w14:paraId="2921CDEC" w14:textId="77777777" w:rsidR="00F45F58" w:rsidRPr="003441A3" w:rsidRDefault="00F45F58" w:rsidP="00F45F58">
      <w:pPr>
        <w:rPr>
          <w:rFonts w:ascii="Times New Roman" w:hAnsi="Times New Roman" w:cs="Times New Roman"/>
          <w:b/>
          <w:bCs/>
          <w:iCs/>
          <w:color w:val="000000" w:themeColor="text1"/>
          <w:sz w:val="24"/>
          <w:szCs w:val="24"/>
        </w:rPr>
      </w:pPr>
      <w:r w:rsidRPr="003441A3">
        <w:rPr>
          <w:rFonts w:ascii="Times New Roman" w:hAnsi="Times New Roman" w:cs="Times New Roman"/>
          <w:b/>
          <w:bCs/>
          <w:iCs/>
          <w:color w:val="000000" w:themeColor="text1"/>
          <w:sz w:val="24"/>
          <w:szCs w:val="24"/>
        </w:rPr>
        <w:t>2.2.4. Výpočty vplyvov na rozpočet verejnej správy</w:t>
      </w:r>
    </w:p>
    <w:p w14:paraId="10E5960D" w14:textId="77777777" w:rsidR="00F45F58" w:rsidRPr="003441A3" w:rsidRDefault="00F45F58" w:rsidP="00F45F58">
      <w:pPr>
        <w:rPr>
          <w:rFonts w:ascii="Times New Roman" w:hAnsi="Times New Roman" w:cs="Times New Roman"/>
          <w:color w:val="000000" w:themeColor="text1"/>
          <w:sz w:val="24"/>
          <w:szCs w:val="24"/>
          <w:lang w:eastAsia="sk-SK"/>
        </w:rPr>
      </w:pPr>
    </w:p>
    <w:p w14:paraId="52BA36DB" w14:textId="77777777" w:rsidR="00F45F58" w:rsidRPr="003441A3" w:rsidRDefault="00F45F58" w:rsidP="00F45F58">
      <w:pPr>
        <w:ind w:firstLine="708"/>
        <w:jc w:val="both"/>
        <w:rPr>
          <w:rFonts w:ascii="Times New Roman" w:hAnsi="Times New Roman" w:cs="Times New Roman"/>
          <w:sz w:val="24"/>
          <w:szCs w:val="24"/>
          <w:lang w:eastAsia="sk-SK"/>
        </w:rPr>
      </w:pPr>
      <w:r w:rsidRPr="003441A3">
        <w:rPr>
          <w:rFonts w:ascii="Times New Roman" w:hAnsi="Times New Roman" w:cs="Times New Roman"/>
          <w:color w:val="000000" w:themeColor="text1"/>
          <w:sz w:val="24"/>
          <w:szCs w:val="24"/>
          <w:lang w:eastAsia="sk-SK"/>
        </w:rPr>
        <w:t>V časti 2.2.4. prílohy č. 2 sa uvádzajú výpočty vplyvov na príjmy a výdavky, ktoré sa použijú v tabuľkách č. 3 až č. 5 prílohy č. 2. Výpočty a predpoklady ohľadom objemu aktivít pomôžu ostatným stranám (pripomienkujúcim subjektom, resp. MF SR) zhodnotiť, či boli vplyvy na príjmy a výdavky počítané správne. Rozsah tejto časti nie je obmedzený a je možné uviesť všetko, čo je potrebné na vysvetlenie výpočtu vplyvov návrhu, alebo je možné uviesť odkazy na tabuľky samostatne priložené k doložke</w:t>
      </w:r>
      <w:r w:rsidRPr="003441A3">
        <w:rPr>
          <w:rFonts w:ascii="Times New Roman" w:hAnsi="Times New Roman" w:cs="Times New Roman"/>
          <w:sz w:val="24"/>
          <w:szCs w:val="24"/>
          <w:lang w:eastAsia="sk-SK"/>
        </w:rPr>
        <w:t>. Zároveň je v tejto časti potrebné uviesť priamy vplyv navrhovanej legislatívnej zmeny alebo priamy vplyv nelegislatívnej zmeny, t. j. kvantifikácia stavu bez navrhovanej legislatívnej/nelegislatívnej zmeny, kvantifikácia stavu s navrhovanou legislatívnou zmenou/nelegislatívnou zmenou a ich rozdiel ako vplyv navrhovanej legislatívnej zmeny/nelegislatívnej zmeny.</w:t>
      </w:r>
    </w:p>
    <w:p w14:paraId="4CD749FF" w14:textId="77777777" w:rsidR="00F45F58" w:rsidRPr="003441A3" w:rsidRDefault="00F45F58" w:rsidP="00F45F58">
      <w:pPr>
        <w:jc w:val="both"/>
        <w:rPr>
          <w:rFonts w:ascii="Times New Roman" w:hAnsi="Times New Roman" w:cs="Times New Roman"/>
          <w:color w:val="000000" w:themeColor="text1"/>
          <w:sz w:val="24"/>
          <w:szCs w:val="24"/>
          <w:lang w:eastAsia="sk-SK"/>
        </w:rPr>
      </w:pPr>
    </w:p>
    <w:p w14:paraId="7A3E9EB0" w14:textId="77777777" w:rsidR="00F45F58" w:rsidRPr="003441A3" w:rsidRDefault="00F45F58" w:rsidP="00F45F58">
      <w:pPr>
        <w:rPr>
          <w:rFonts w:ascii="Times New Roman" w:hAnsi="Times New Roman" w:cs="Times New Roman"/>
          <w:b/>
          <w:bCs/>
          <w:i/>
          <w:iCs/>
          <w:color w:val="000000" w:themeColor="text1"/>
          <w:sz w:val="24"/>
          <w:szCs w:val="24"/>
        </w:rPr>
      </w:pPr>
      <w:r w:rsidRPr="003441A3">
        <w:rPr>
          <w:rFonts w:ascii="Times New Roman" w:hAnsi="Times New Roman" w:cs="Times New Roman"/>
          <w:b/>
          <w:bCs/>
          <w:i/>
          <w:iCs/>
          <w:color w:val="000000" w:themeColor="text1"/>
          <w:sz w:val="24"/>
          <w:szCs w:val="24"/>
        </w:rPr>
        <w:t>Výpočet vplyvu na príjmy</w:t>
      </w:r>
    </w:p>
    <w:p w14:paraId="4F5ACB16" w14:textId="77777777" w:rsidR="00F45F58" w:rsidRPr="003441A3" w:rsidRDefault="00F45F58" w:rsidP="00F45F58">
      <w:pPr>
        <w:jc w:val="both"/>
        <w:rPr>
          <w:rFonts w:ascii="Times New Roman" w:hAnsi="Times New Roman" w:cs="Times New Roman"/>
          <w:b/>
          <w:i/>
          <w:iCs/>
          <w:color w:val="000000" w:themeColor="text1"/>
          <w:sz w:val="24"/>
          <w:szCs w:val="24"/>
        </w:rPr>
      </w:pPr>
    </w:p>
    <w:p w14:paraId="692DDC4A"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Cs/>
          <w:color w:val="000000" w:themeColor="text1"/>
          <w:sz w:val="24"/>
          <w:szCs w:val="24"/>
          <w:lang w:eastAsia="sk-SK"/>
        </w:rPr>
        <w:t>Predkladateľ</w:t>
      </w:r>
      <w:r w:rsidRPr="003441A3">
        <w:rPr>
          <w:rFonts w:ascii="Times New Roman" w:hAnsi="Times New Roman" w:cs="Times New Roman"/>
          <w:iCs/>
          <w:color w:val="000000" w:themeColor="text1"/>
          <w:sz w:val="24"/>
          <w:szCs w:val="24"/>
          <w:lang w:eastAsia="sk-SK"/>
        </w:rPr>
        <w:t xml:space="preserve">: </w:t>
      </w:r>
      <w:r w:rsidRPr="003441A3">
        <w:rPr>
          <w:rFonts w:ascii="Times New Roman" w:hAnsi="Times New Roman" w:cs="Times New Roman"/>
          <w:color w:val="000000" w:themeColor="text1"/>
          <w:sz w:val="24"/>
          <w:szCs w:val="24"/>
          <w:lang w:eastAsia="sk-SK"/>
        </w:rPr>
        <w:t>Uvedie výpočty vplyvov na príjmy na základe predpokladaných objemov aktivít uvedených v časti 2.2.3. prílohy č. 2.</w:t>
      </w:r>
    </w:p>
    <w:p w14:paraId="1F68DFCC" w14:textId="77777777" w:rsidR="00F45F58" w:rsidRPr="003441A3" w:rsidRDefault="00F45F58" w:rsidP="00F45F58">
      <w:pPr>
        <w:ind w:firstLine="708"/>
        <w:jc w:val="both"/>
        <w:rPr>
          <w:rFonts w:ascii="Times New Roman" w:hAnsi="Times New Roman" w:cs="Times New Roman"/>
          <w:bCs/>
          <w:iCs/>
          <w:color w:val="000000" w:themeColor="text1"/>
          <w:sz w:val="24"/>
          <w:szCs w:val="24"/>
          <w:lang w:eastAsia="sk-SK"/>
        </w:rPr>
      </w:pPr>
    </w:p>
    <w:p w14:paraId="155E5194"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Cs/>
          <w:color w:val="000000" w:themeColor="text1"/>
          <w:sz w:val="24"/>
          <w:szCs w:val="24"/>
          <w:lang w:eastAsia="sk-SK"/>
        </w:rPr>
        <w:t>MF SR</w:t>
      </w:r>
      <w:r w:rsidRPr="003441A3">
        <w:rPr>
          <w:rFonts w:ascii="Times New Roman" w:hAnsi="Times New Roman" w:cs="Times New Roman"/>
          <w:iCs/>
          <w:color w:val="000000" w:themeColor="text1"/>
          <w:sz w:val="24"/>
          <w:szCs w:val="24"/>
          <w:lang w:eastAsia="sk-SK"/>
        </w:rPr>
        <w:t>:</w:t>
      </w:r>
      <w:r w:rsidRPr="003441A3">
        <w:rPr>
          <w:rFonts w:ascii="Times New Roman" w:hAnsi="Times New Roman" w:cs="Times New Roman"/>
          <w:i/>
          <w:iCs/>
          <w:color w:val="000000" w:themeColor="text1"/>
          <w:sz w:val="24"/>
          <w:szCs w:val="24"/>
          <w:lang w:eastAsia="sk-SK"/>
        </w:rPr>
        <w:t xml:space="preserve"> </w:t>
      </w:r>
      <w:r w:rsidRPr="003441A3">
        <w:rPr>
          <w:rFonts w:ascii="Times New Roman" w:hAnsi="Times New Roman" w:cs="Times New Roman"/>
          <w:color w:val="000000" w:themeColor="text1"/>
          <w:sz w:val="24"/>
          <w:szCs w:val="24"/>
          <w:lang w:eastAsia="sk-SK"/>
        </w:rPr>
        <w:t xml:space="preserve">Skontroluje logiku týchto výpočtov a v prípade potreby požiada o ich vysvetlenie alebo úpravu. </w:t>
      </w:r>
    </w:p>
    <w:p w14:paraId="5E6C64A5"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color w:val="000000" w:themeColor="text1"/>
          <w:sz w:val="24"/>
          <w:szCs w:val="24"/>
          <w:lang w:eastAsia="sk-SK"/>
        </w:rPr>
        <w:t xml:space="preserve">Výpočty príjmov sú spravidla kombináciou “základu” a “sadzby”. </w:t>
      </w:r>
    </w:p>
    <w:p w14:paraId="7F5DEB86" w14:textId="77777777" w:rsidR="00F45F58" w:rsidRPr="003441A3" w:rsidRDefault="00F45F58" w:rsidP="00F45F58">
      <w:pPr>
        <w:jc w:val="both"/>
        <w:rPr>
          <w:rFonts w:ascii="Times New Roman" w:hAnsi="Times New Roman" w:cs="Times New Roman"/>
          <w:b/>
          <w:bCs/>
          <w:i/>
          <w:iCs/>
          <w:color w:val="000000" w:themeColor="text1"/>
          <w:sz w:val="24"/>
          <w:szCs w:val="24"/>
        </w:rPr>
      </w:pPr>
    </w:p>
    <w:p w14:paraId="51216EDC" w14:textId="77777777" w:rsidR="00F45F58" w:rsidRPr="003441A3" w:rsidRDefault="00F45F58" w:rsidP="00F45F58">
      <w:pPr>
        <w:jc w:val="both"/>
        <w:rPr>
          <w:rFonts w:ascii="Times New Roman" w:hAnsi="Times New Roman" w:cs="Times New Roman"/>
          <w:b/>
          <w:bCs/>
          <w:i/>
          <w:iCs/>
          <w:color w:val="000000" w:themeColor="text1"/>
          <w:sz w:val="24"/>
          <w:szCs w:val="24"/>
        </w:rPr>
      </w:pPr>
      <w:r w:rsidRPr="003441A3">
        <w:rPr>
          <w:rFonts w:ascii="Times New Roman" w:hAnsi="Times New Roman" w:cs="Times New Roman"/>
          <w:b/>
          <w:bCs/>
          <w:i/>
          <w:iCs/>
          <w:color w:val="000000" w:themeColor="text1"/>
          <w:sz w:val="24"/>
          <w:szCs w:val="24"/>
        </w:rPr>
        <w:t>Výpočet nákladov</w:t>
      </w:r>
    </w:p>
    <w:p w14:paraId="0AA6DF71" w14:textId="77777777" w:rsidR="00F45F58" w:rsidRPr="003441A3" w:rsidRDefault="00F45F58" w:rsidP="00F45F58">
      <w:pPr>
        <w:jc w:val="both"/>
        <w:rPr>
          <w:rFonts w:ascii="Times New Roman" w:hAnsi="Times New Roman" w:cs="Times New Roman"/>
          <w:i/>
          <w:iCs/>
          <w:color w:val="000000" w:themeColor="text1"/>
          <w:sz w:val="24"/>
          <w:szCs w:val="24"/>
        </w:rPr>
      </w:pPr>
    </w:p>
    <w:p w14:paraId="3ED6ACA5"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Cs/>
          <w:color w:val="000000" w:themeColor="text1"/>
          <w:sz w:val="24"/>
          <w:szCs w:val="24"/>
          <w:lang w:eastAsia="sk-SK"/>
        </w:rPr>
        <w:t>Predkladateľ</w:t>
      </w:r>
      <w:r w:rsidRPr="003441A3">
        <w:rPr>
          <w:rFonts w:ascii="Times New Roman" w:hAnsi="Times New Roman" w:cs="Times New Roman"/>
          <w:iCs/>
          <w:color w:val="000000" w:themeColor="text1"/>
          <w:sz w:val="24"/>
          <w:szCs w:val="24"/>
          <w:lang w:eastAsia="sk-SK"/>
        </w:rPr>
        <w:t>:</w:t>
      </w:r>
      <w:r w:rsidRPr="003441A3">
        <w:rPr>
          <w:rFonts w:ascii="Times New Roman" w:hAnsi="Times New Roman" w:cs="Times New Roman"/>
          <w:i/>
          <w:iCs/>
          <w:color w:val="000000" w:themeColor="text1"/>
          <w:sz w:val="24"/>
          <w:szCs w:val="24"/>
          <w:lang w:eastAsia="sk-SK"/>
        </w:rPr>
        <w:t xml:space="preserve"> </w:t>
      </w:r>
      <w:r w:rsidRPr="003441A3">
        <w:rPr>
          <w:rFonts w:ascii="Times New Roman" w:hAnsi="Times New Roman" w:cs="Times New Roman"/>
          <w:color w:val="000000" w:themeColor="text1"/>
          <w:sz w:val="24"/>
          <w:szCs w:val="24"/>
          <w:lang w:eastAsia="sk-SK"/>
        </w:rPr>
        <w:t>Uvedie požadované vstupy a výpočty požadovaných výdavkov na základe odhadovaného objemu aktivít v časti 2.2.3. prílohy č. 2.</w:t>
      </w:r>
    </w:p>
    <w:p w14:paraId="4CAA116E" w14:textId="77777777" w:rsidR="00F45F58" w:rsidRPr="003441A3" w:rsidRDefault="00F45F58" w:rsidP="00F45F58">
      <w:pPr>
        <w:ind w:firstLine="708"/>
        <w:jc w:val="both"/>
        <w:rPr>
          <w:rFonts w:ascii="Times New Roman" w:hAnsi="Times New Roman" w:cs="Times New Roman"/>
          <w:bCs/>
          <w:iCs/>
          <w:color w:val="000000" w:themeColor="text1"/>
          <w:sz w:val="24"/>
          <w:szCs w:val="24"/>
          <w:lang w:eastAsia="sk-SK"/>
        </w:rPr>
      </w:pPr>
    </w:p>
    <w:p w14:paraId="336B7A7C"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Cs/>
          <w:color w:val="000000" w:themeColor="text1"/>
          <w:sz w:val="24"/>
          <w:szCs w:val="24"/>
          <w:lang w:eastAsia="sk-SK"/>
        </w:rPr>
        <w:lastRenderedPageBreak/>
        <w:t>MF SR:</w:t>
      </w:r>
      <w:r w:rsidRPr="003441A3">
        <w:rPr>
          <w:rFonts w:ascii="Times New Roman" w:hAnsi="Times New Roman" w:cs="Times New Roman"/>
          <w:i/>
          <w:iCs/>
          <w:color w:val="000000" w:themeColor="text1"/>
          <w:sz w:val="24"/>
          <w:szCs w:val="24"/>
          <w:lang w:eastAsia="sk-SK"/>
        </w:rPr>
        <w:t xml:space="preserve"> </w:t>
      </w:r>
      <w:r w:rsidRPr="003441A3">
        <w:rPr>
          <w:rFonts w:ascii="Times New Roman" w:hAnsi="Times New Roman" w:cs="Times New Roman"/>
          <w:color w:val="000000" w:themeColor="text1"/>
          <w:sz w:val="24"/>
          <w:szCs w:val="24"/>
          <w:lang w:eastAsia="sk-SK"/>
        </w:rPr>
        <w:t>Skontroluje logiku týchto výpočtov a v prípade potreby požiada o ich vysvetlenie alebo úpravu.</w:t>
      </w:r>
    </w:p>
    <w:p w14:paraId="3D46B280" w14:textId="77777777" w:rsidR="00F45F58" w:rsidRPr="003441A3" w:rsidRDefault="00F45F58" w:rsidP="00F45F58">
      <w:pPr>
        <w:jc w:val="both"/>
        <w:rPr>
          <w:rFonts w:ascii="Times New Roman" w:hAnsi="Times New Roman" w:cs="Times New Roman"/>
          <w:color w:val="000000" w:themeColor="text1"/>
          <w:sz w:val="24"/>
          <w:szCs w:val="24"/>
          <w:lang w:eastAsia="sk-SK"/>
        </w:rPr>
      </w:pPr>
    </w:p>
    <w:p w14:paraId="5C3AAEF7" w14:textId="77777777" w:rsidR="00F45F58" w:rsidRPr="003441A3" w:rsidRDefault="00F45F58" w:rsidP="00F45F58">
      <w:pPr>
        <w:pBdr>
          <w:top w:val="single" w:sz="4" w:space="1" w:color="auto"/>
          <w:left w:val="single" w:sz="4" w:space="4" w:color="auto"/>
          <w:bottom w:val="single" w:sz="4" w:space="1" w:color="auto"/>
          <w:right w:val="single" w:sz="4" w:space="4" w:color="auto"/>
        </w:pBdr>
        <w:jc w:val="both"/>
        <w:rPr>
          <w:rFonts w:ascii="Times New Roman" w:hAnsi="Times New Roman" w:cs="Times New Roman"/>
          <w:bCs/>
          <w:color w:val="000000" w:themeColor="text1"/>
          <w:sz w:val="24"/>
          <w:szCs w:val="24"/>
          <w:lang w:eastAsia="sk-SK"/>
        </w:rPr>
      </w:pPr>
      <w:r w:rsidRPr="003441A3">
        <w:rPr>
          <w:rFonts w:ascii="Times New Roman" w:hAnsi="Times New Roman" w:cs="Times New Roman"/>
          <w:bCs/>
          <w:color w:val="000000" w:themeColor="text1"/>
          <w:sz w:val="24"/>
          <w:szCs w:val="24"/>
          <w:lang w:eastAsia="sk-SK"/>
        </w:rPr>
        <w:t>Logický reťazec stanovenia nákladov:</w:t>
      </w:r>
    </w:p>
    <w:p w14:paraId="52572B19" w14:textId="77777777" w:rsidR="00F45F58" w:rsidRPr="003441A3" w:rsidRDefault="00F45F58" w:rsidP="00F45F58">
      <w:pPr>
        <w:pBdr>
          <w:top w:val="single" w:sz="4" w:space="1" w:color="auto"/>
          <w:left w:val="single" w:sz="4" w:space="4" w:color="auto"/>
          <w:bottom w:val="single" w:sz="4" w:space="1" w:color="auto"/>
          <w:right w:val="single" w:sz="4" w:space="4" w:color="auto"/>
        </w:pBdr>
        <w:tabs>
          <w:tab w:val="center" w:pos="3150"/>
          <w:tab w:val="center" w:pos="5850"/>
          <w:tab w:val="center" w:pos="7830"/>
        </w:tabs>
        <w:jc w:val="both"/>
        <w:rPr>
          <w:rFonts w:ascii="Times New Roman" w:hAnsi="Times New Roman" w:cs="Times New Roman"/>
          <w:color w:val="000000" w:themeColor="text1"/>
          <w:sz w:val="24"/>
          <w:szCs w:val="24"/>
          <w:lang w:eastAsia="sk-SK"/>
        </w:rPr>
      </w:pPr>
      <w:r w:rsidRPr="003441A3">
        <w:rPr>
          <w:rFonts w:ascii="Times New Roman" w:hAnsi="Times New Roman" w:cs="Times New Roman"/>
          <w:color w:val="000000" w:themeColor="text1"/>
          <w:sz w:val="24"/>
          <w:szCs w:val="24"/>
          <w:lang w:eastAsia="sk-SK"/>
        </w:rPr>
        <w:tab/>
        <w:t xml:space="preserve">             </w:t>
      </w:r>
    </w:p>
    <w:p w14:paraId="751D311A" w14:textId="77777777" w:rsidR="00F45F58" w:rsidRPr="003441A3" w:rsidRDefault="00F45F58" w:rsidP="00F45F58">
      <w:pPr>
        <w:pBdr>
          <w:top w:val="single" w:sz="4" w:space="1" w:color="auto"/>
          <w:left w:val="single" w:sz="4" w:space="4" w:color="auto"/>
          <w:bottom w:val="single" w:sz="4" w:space="1" w:color="auto"/>
          <w:right w:val="single" w:sz="4" w:space="4" w:color="auto"/>
        </w:pBdr>
        <w:tabs>
          <w:tab w:val="center" w:pos="0"/>
        </w:tabs>
        <w:jc w:val="both"/>
        <w:rPr>
          <w:rFonts w:ascii="Times New Roman" w:hAnsi="Times New Roman" w:cs="Times New Roman"/>
          <w:color w:val="000000" w:themeColor="text1"/>
          <w:sz w:val="24"/>
          <w:szCs w:val="24"/>
          <w:lang w:eastAsia="sk-SK"/>
        </w:rPr>
      </w:pPr>
      <w:r w:rsidRPr="003441A3">
        <w:rPr>
          <w:rFonts w:ascii="Times New Roman" w:hAnsi="Times New Roman" w:cs="Times New Roman"/>
          <w:color w:val="000000" w:themeColor="text1"/>
          <w:sz w:val="24"/>
          <w:szCs w:val="24"/>
          <w:lang w:eastAsia="sk-SK"/>
        </w:rPr>
        <w:t>NÁVRH   →   ZMENA OBJEMU AKTIVÍT   →   POŽADOVANÉ VSTUPY   →   NÁKLADY</w:t>
      </w:r>
    </w:p>
    <w:p w14:paraId="7BF1962C" w14:textId="77777777" w:rsidR="00F45F58" w:rsidRPr="003441A3" w:rsidRDefault="00F45F58" w:rsidP="00F45F58">
      <w:pPr>
        <w:jc w:val="both"/>
        <w:rPr>
          <w:rFonts w:ascii="Times New Roman" w:hAnsi="Times New Roman" w:cs="Times New Roman"/>
          <w:color w:val="000000" w:themeColor="text1"/>
          <w:sz w:val="24"/>
          <w:szCs w:val="24"/>
          <w:lang w:eastAsia="sk-SK"/>
        </w:rPr>
      </w:pPr>
    </w:p>
    <w:p w14:paraId="7E1B0D31"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color w:val="000000" w:themeColor="text1"/>
          <w:sz w:val="24"/>
          <w:szCs w:val="24"/>
          <w:lang w:eastAsia="sk-SK"/>
        </w:rPr>
        <w:t xml:space="preserve">V tejto fáze je nevyhnutné najprv stanoviť vstupy, ktoré si vyžiadajú zmeny v objeme aktivít, ako je to uvedené v časti 2.2.3. prílohy č. 2 a následne vypočítať náklady na tieto vstupy. </w:t>
      </w:r>
    </w:p>
    <w:p w14:paraId="6ED610B3" w14:textId="77777777" w:rsidR="00F45F58" w:rsidRPr="003441A3" w:rsidRDefault="00F45F58" w:rsidP="00F45F58">
      <w:pPr>
        <w:jc w:val="both"/>
        <w:rPr>
          <w:rFonts w:ascii="Times New Roman" w:hAnsi="Times New Roman" w:cs="Times New Roman"/>
          <w:i/>
          <w:iCs/>
          <w:color w:val="000000" w:themeColor="text1"/>
          <w:sz w:val="24"/>
          <w:szCs w:val="24"/>
          <w:lang w:eastAsia="sk-SK"/>
        </w:rPr>
      </w:pPr>
    </w:p>
    <w:p w14:paraId="254BA5A1" w14:textId="77777777" w:rsidR="00F45F58" w:rsidRPr="003441A3" w:rsidRDefault="00F45F58" w:rsidP="00F45F58">
      <w:pPr>
        <w:jc w:val="both"/>
        <w:rPr>
          <w:rFonts w:ascii="Times New Roman" w:hAnsi="Times New Roman" w:cs="Times New Roman"/>
          <w:color w:val="000000" w:themeColor="text1"/>
          <w:sz w:val="24"/>
          <w:szCs w:val="24"/>
          <w:lang w:eastAsia="sk-SK"/>
        </w:rPr>
      </w:pPr>
      <w:r w:rsidRPr="003441A3">
        <w:rPr>
          <w:rFonts w:ascii="Times New Roman" w:hAnsi="Times New Roman" w:cs="Times New Roman"/>
          <w:i/>
          <w:iCs/>
          <w:color w:val="000000" w:themeColor="text1"/>
          <w:sz w:val="24"/>
          <w:szCs w:val="24"/>
          <w:lang w:eastAsia="sk-SK"/>
        </w:rPr>
        <w:t xml:space="preserve">Stanovenie požadovaných vstupov </w:t>
      </w:r>
      <w:r w:rsidRPr="003441A3">
        <w:rPr>
          <w:rFonts w:ascii="Times New Roman" w:hAnsi="Times New Roman" w:cs="Times New Roman"/>
          <w:color w:val="000000" w:themeColor="text1"/>
          <w:sz w:val="24"/>
          <w:szCs w:val="24"/>
          <w:lang w:eastAsia="sk-SK"/>
        </w:rPr>
        <w:t>–  bežné druhy vstupov sú:</w:t>
      </w:r>
    </w:p>
    <w:p w14:paraId="2E8F6192" w14:textId="77777777" w:rsidR="00F45F58" w:rsidRPr="003441A3" w:rsidRDefault="00F45F58" w:rsidP="00F45F58">
      <w:pPr>
        <w:numPr>
          <w:ilvl w:val="0"/>
          <w:numId w:val="9"/>
        </w:numPr>
        <w:spacing w:after="0" w:line="240" w:lineRule="auto"/>
        <w:jc w:val="both"/>
        <w:rPr>
          <w:rFonts w:ascii="Times New Roman" w:hAnsi="Times New Roman" w:cs="Times New Roman"/>
          <w:color w:val="000000" w:themeColor="text1"/>
          <w:sz w:val="24"/>
          <w:szCs w:val="24"/>
        </w:rPr>
      </w:pPr>
      <w:r w:rsidRPr="003441A3">
        <w:rPr>
          <w:rFonts w:ascii="Times New Roman" w:hAnsi="Times New Roman" w:cs="Times New Roman"/>
          <w:bCs/>
          <w:i/>
          <w:iCs/>
          <w:color w:val="000000" w:themeColor="text1"/>
          <w:sz w:val="24"/>
          <w:szCs w:val="24"/>
        </w:rPr>
        <w:t>zamestnanci</w:t>
      </w:r>
      <w:r w:rsidRPr="003441A3">
        <w:rPr>
          <w:rFonts w:ascii="Times New Roman" w:hAnsi="Times New Roman" w:cs="Times New Roman"/>
          <w:color w:val="000000" w:themeColor="text1"/>
          <w:sz w:val="24"/>
          <w:szCs w:val="24"/>
        </w:rPr>
        <w:t xml:space="preserve"> – práca s klientmi, uplatňovanie nariadení a riadenie činností programu.  Počet (a typ) zamestnancov neurčuje iba objemy miezd (610) a poistného (620), ale má vplyv aj na objem tovarov a služieb (630), keďže tieto často súvisia s počtom zamestnancov.</w:t>
      </w:r>
    </w:p>
    <w:p w14:paraId="4D9EF422" w14:textId="77777777" w:rsidR="00F45F58" w:rsidRPr="003441A3" w:rsidRDefault="00F45F58" w:rsidP="00F45F58">
      <w:pPr>
        <w:numPr>
          <w:ilvl w:val="0"/>
          <w:numId w:val="9"/>
        </w:numPr>
        <w:spacing w:after="0" w:line="240" w:lineRule="auto"/>
        <w:jc w:val="both"/>
        <w:rPr>
          <w:rFonts w:ascii="Times New Roman" w:hAnsi="Times New Roman" w:cs="Times New Roman"/>
          <w:color w:val="000000" w:themeColor="text1"/>
          <w:sz w:val="24"/>
          <w:szCs w:val="24"/>
        </w:rPr>
      </w:pPr>
      <w:r w:rsidRPr="003441A3">
        <w:rPr>
          <w:rFonts w:ascii="Times New Roman" w:hAnsi="Times New Roman" w:cs="Times New Roman"/>
          <w:bCs/>
          <w:i/>
          <w:iCs/>
          <w:color w:val="000000" w:themeColor="text1"/>
          <w:sz w:val="24"/>
          <w:szCs w:val="24"/>
        </w:rPr>
        <w:t>vybavenie</w:t>
      </w:r>
      <w:r w:rsidRPr="003441A3">
        <w:rPr>
          <w:rFonts w:ascii="Times New Roman" w:hAnsi="Times New Roman" w:cs="Times New Roman"/>
          <w:color w:val="000000" w:themeColor="text1"/>
          <w:sz w:val="24"/>
          <w:szCs w:val="24"/>
        </w:rPr>
        <w:t xml:space="preserve"> – pracovné stoly, počítače a pod. pre zamestnancov. Zariadenia nevyhnutné na poskytovanie služieb (napr. lavice v školách alebo laboratórne vybavenie). Niektoré návrhy nemusia požadovať nových zamestnancov, ale napríklad si budú vyžadovať nákup nového vybavenia.          </w:t>
      </w:r>
    </w:p>
    <w:p w14:paraId="66088AE0" w14:textId="77777777" w:rsidR="00F45F58" w:rsidRPr="003441A3" w:rsidRDefault="00F45F58" w:rsidP="00F45F58">
      <w:pPr>
        <w:numPr>
          <w:ilvl w:val="0"/>
          <w:numId w:val="9"/>
        </w:numPr>
        <w:spacing w:after="0" w:line="240" w:lineRule="auto"/>
        <w:jc w:val="both"/>
        <w:rPr>
          <w:rFonts w:ascii="Times New Roman" w:hAnsi="Times New Roman" w:cs="Times New Roman"/>
          <w:color w:val="000000" w:themeColor="text1"/>
          <w:sz w:val="24"/>
          <w:szCs w:val="24"/>
        </w:rPr>
      </w:pPr>
      <w:r w:rsidRPr="003441A3">
        <w:rPr>
          <w:rFonts w:ascii="Times New Roman" w:hAnsi="Times New Roman" w:cs="Times New Roman"/>
          <w:bCs/>
          <w:i/>
          <w:iCs/>
          <w:color w:val="000000" w:themeColor="text1"/>
          <w:sz w:val="24"/>
          <w:szCs w:val="24"/>
        </w:rPr>
        <w:t>iné prevádzkové náklady</w:t>
      </w:r>
      <w:r w:rsidRPr="003441A3">
        <w:rPr>
          <w:rFonts w:ascii="Times New Roman" w:hAnsi="Times New Roman" w:cs="Times New Roman"/>
          <w:color w:val="000000" w:themeColor="text1"/>
          <w:sz w:val="24"/>
          <w:szCs w:val="24"/>
        </w:rPr>
        <w:t xml:space="preserve"> – vrátane nákladov na elektrickú energiu, vykurovanie, telekomunikácie, prenájom priestorov, pohonných hmôt, tlačenia materiálov a pod.</w:t>
      </w:r>
    </w:p>
    <w:p w14:paraId="70C49B00" w14:textId="77777777" w:rsidR="00F45F58" w:rsidRPr="003441A3" w:rsidRDefault="00F45F58" w:rsidP="00F45F58">
      <w:pPr>
        <w:numPr>
          <w:ilvl w:val="0"/>
          <w:numId w:val="9"/>
        </w:numPr>
        <w:spacing w:after="0" w:line="240" w:lineRule="auto"/>
        <w:jc w:val="both"/>
        <w:rPr>
          <w:rFonts w:ascii="Times New Roman" w:hAnsi="Times New Roman" w:cs="Times New Roman"/>
          <w:color w:val="000000" w:themeColor="text1"/>
          <w:sz w:val="24"/>
          <w:szCs w:val="24"/>
        </w:rPr>
      </w:pPr>
      <w:r w:rsidRPr="003441A3">
        <w:rPr>
          <w:rFonts w:ascii="Times New Roman" w:hAnsi="Times New Roman" w:cs="Times New Roman"/>
          <w:bCs/>
          <w:i/>
          <w:iCs/>
          <w:color w:val="000000" w:themeColor="text1"/>
          <w:sz w:val="24"/>
          <w:szCs w:val="24"/>
        </w:rPr>
        <w:t>dopravné náklady</w:t>
      </w:r>
      <w:r w:rsidRPr="003441A3">
        <w:rPr>
          <w:rFonts w:ascii="Times New Roman" w:hAnsi="Times New Roman" w:cs="Times New Roman"/>
          <w:color w:val="000000" w:themeColor="text1"/>
          <w:sz w:val="24"/>
          <w:szCs w:val="24"/>
        </w:rPr>
        <w:t xml:space="preserve"> – vozidlá pre zamestnancov, výdavky na služobné cesty, autobusy pre klientov, domáca a medzinárodná preprava.</w:t>
      </w:r>
    </w:p>
    <w:p w14:paraId="417B30DB" w14:textId="77777777" w:rsidR="00F45F58" w:rsidRPr="003441A3" w:rsidRDefault="00F45F58" w:rsidP="00F45F58">
      <w:pPr>
        <w:numPr>
          <w:ilvl w:val="0"/>
          <w:numId w:val="9"/>
        </w:numPr>
        <w:spacing w:after="0" w:line="240" w:lineRule="auto"/>
        <w:jc w:val="both"/>
        <w:rPr>
          <w:rFonts w:ascii="Times New Roman" w:hAnsi="Times New Roman" w:cs="Times New Roman"/>
          <w:color w:val="000000" w:themeColor="text1"/>
          <w:sz w:val="24"/>
          <w:szCs w:val="24"/>
        </w:rPr>
      </w:pPr>
      <w:r w:rsidRPr="003441A3">
        <w:rPr>
          <w:rFonts w:ascii="Times New Roman" w:hAnsi="Times New Roman" w:cs="Times New Roman"/>
          <w:bCs/>
          <w:i/>
          <w:iCs/>
          <w:color w:val="000000" w:themeColor="text1"/>
          <w:sz w:val="24"/>
          <w:szCs w:val="24"/>
        </w:rPr>
        <w:t>kapitálové investície</w:t>
      </w:r>
      <w:r w:rsidRPr="003441A3">
        <w:rPr>
          <w:rFonts w:ascii="Times New Roman" w:hAnsi="Times New Roman" w:cs="Times New Roman"/>
          <w:color w:val="000000" w:themeColor="text1"/>
          <w:sz w:val="24"/>
          <w:szCs w:val="24"/>
        </w:rPr>
        <w:t xml:space="preserve"> – nové budovy, dátové alebo komunikačné systémy a pod.</w:t>
      </w:r>
    </w:p>
    <w:p w14:paraId="2E0E2417" w14:textId="77777777" w:rsidR="00F45F58" w:rsidRPr="003441A3" w:rsidRDefault="00F45F58" w:rsidP="00F45F58">
      <w:pPr>
        <w:ind w:left="360"/>
        <w:jc w:val="both"/>
        <w:rPr>
          <w:rFonts w:ascii="Times New Roman" w:hAnsi="Times New Roman" w:cs="Times New Roman"/>
          <w:bCs/>
          <w:i/>
          <w:iCs/>
          <w:color w:val="000000" w:themeColor="text1"/>
          <w:sz w:val="24"/>
          <w:szCs w:val="24"/>
        </w:rPr>
      </w:pPr>
    </w:p>
    <w:p w14:paraId="6F8B5AB9" w14:textId="77777777" w:rsidR="00F45F58" w:rsidRPr="003441A3" w:rsidRDefault="00F45F58" w:rsidP="00F45F58">
      <w:pPr>
        <w:jc w:val="both"/>
        <w:rPr>
          <w:rFonts w:ascii="Times New Roman" w:hAnsi="Times New Roman" w:cs="Times New Roman"/>
          <w:bCs/>
          <w:iCs/>
          <w:color w:val="000000" w:themeColor="text1"/>
          <w:sz w:val="24"/>
          <w:szCs w:val="24"/>
        </w:rPr>
      </w:pPr>
      <w:r w:rsidRPr="003441A3">
        <w:rPr>
          <w:rFonts w:ascii="Times New Roman" w:hAnsi="Times New Roman" w:cs="Times New Roman"/>
          <w:b/>
          <w:bCs/>
          <w:iCs/>
          <w:color w:val="000000" w:themeColor="text1"/>
          <w:sz w:val="24"/>
          <w:szCs w:val="24"/>
        </w:rPr>
        <w:t>2.2.5. Výpočet vplyvov na dlhodobú udržateľnosť verejných financií</w:t>
      </w:r>
    </w:p>
    <w:p w14:paraId="50245947" w14:textId="77777777" w:rsidR="00F45F58" w:rsidRPr="003441A3" w:rsidRDefault="00F45F58" w:rsidP="00F45F58">
      <w:pPr>
        <w:ind w:left="360"/>
        <w:jc w:val="both"/>
        <w:rPr>
          <w:rFonts w:ascii="Times New Roman" w:hAnsi="Times New Roman" w:cs="Times New Roman"/>
          <w:b/>
          <w:bCs/>
          <w:iCs/>
          <w:color w:val="000000" w:themeColor="text1"/>
          <w:sz w:val="24"/>
          <w:szCs w:val="24"/>
        </w:rPr>
      </w:pPr>
    </w:p>
    <w:p w14:paraId="1D81CC31" w14:textId="77777777" w:rsidR="00F45F58" w:rsidRPr="003441A3" w:rsidRDefault="00F45F58" w:rsidP="00F45F58">
      <w:pPr>
        <w:ind w:firstLine="708"/>
        <w:jc w:val="both"/>
        <w:rPr>
          <w:rFonts w:ascii="Times New Roman" w:hAnsi="Times New Roman" w:cs="Times New Roman"/>
          <w:bCs/>
          <w:iCs/>
          <w:color w:val="000000" w:themeColor="text1"/>
          <w:sz w:val="24"/>
          <w:szCs w:val="24"/>
        </w:rPr>
      </w:pPr>
      <w:r w:rsidRPr="003441A3">
        <w:rPr>
          <w:rFonts w:ascii="Times New Roman" w:hAnsi="Times New Roman" w:cs="Times New Roman"/>
          <w:bCs/>
          <w:iCs/>
          <w:color w:val="000000" w:themeColor="text1"/>
          <w:sz w:val="24"/>
          <w:szCs w:val="24"/>
        </w:rPr>
        <w:t>V časti 2.2.5. prílohy č. 2 sa uvádzajú výpočty vplyvov na príjmy, výdavky a bilanciu, ktoré sa použijú v tabuľke č. 6 prílohy č. 2. Výpočty a predpoklady vplyvov na dlhodobú udržateľnosť pomôžu ostatným stranám (pripomienkujúcim subjektom, resp. MF SR) zhodnotiť, či predkladaný návrh zlepšuje alebo zhoršuje udržateľnosť verejných financií a v akej miere. Rozsah tejto časti nie je obmedzený a je možné uviesť všetko, čo je potrebné na vysvetlenie výpočtu vplyvov návrhu, alebo je možné uviesť odkazy na tabuľky samostatne priložené k doložke.</w:t>
      </w:r>
    </w:p>
    <w:p w14:paraId="17832DA6" w14:textId="77777777" w:rsidR="00F45F58" w:rsidRPr="003441A3" w:rsidRDefault="00F45F58" w:rsidP="00F45F58">
      <w:pPr>
        <w:jc w:val="both"/>
        <w:rPr>
          <w:rFonts w:ascii="Times New Roman" w:hAnsi="Times New Roman" w:cs="Times New Roman"/>
          <w:bCs/>
          <w:iCs/>
          <w:color w:val="000000" w:themeColor="text1"/>
          <w:sz w:val="24"/>
          <w:szCs w:val="24"/>
        </w:rPr>
      </w:pPr>
    </w:p>
    <w:p w14:paraId="1E7AF579" w14:textId="77777777" w:rsidR="00F45F58" w:rsidRPr="003441A3" w:rsidRDefault="00F45F58" w:rsidP="00F45F58">
      <w:pPr>
        <w:jc w:val="both"/>
        <w:rPr>
          <w:rFonts w:ascii="Times New Roman" w:hAnsi="Times New Roman" w:cs="Times New Roman"/>
          <w:b/>
          <w:bCs/>
          <w:i/>
          <w:iCs/>
          <w:color w:val="000000" w:themeColor="text1"/>
          <w:sz w:val="24"/>
          <w:szCs w:val="24"/>
        </w:rPr>
      </w:pPr>
      <w:r w:rsidRPr="003441A3">
        <w:rPr>
          <w:rFonts w:ascii="Times New Roman" w:hAnsi="Times New Roman" w:cs="Times New Roman"/>
          <w:b/>
          <w:bCs/>
          <w:i/>
          <w:iCs/>
          <w:color w:val="000000" w:themeColor="text1"/>
          <w:sz w:val="24"/>
          <w:szCs w:val="24"/>
        </w:rPr>
        <w:t>Výpočet vplyvu na dlhodobú udržateľnosť verejných financií</w:t>
      </w:r>
    </w:p>
    <w:p w14:paraId="6E27F753" w14:textId="77777777" w:rsidR="00F45F58" w:rsidRPr="003441A3" w:rsidRDefault="00F45F58" w:rsidP="00F45F58">
      <w:pPr>
        <w:jc w:val="both"/>
        <w:rPr>
          <w:rFonts w:ascii="Times New Roman" w:hAnsi="Times New Roman" w:cs="Times New Roman"/>
          <w:bCs/>
          <w:iCs/>
          <w:color w:val="000000" w:themeColor="text1"/>
          <w:sz w:val="24"/>
          <w:szCs w:val="24"/>
        </w:rPr>
      </w:pPr>
    </w:p>
    <w:p w14:paraId="0E48193A" w14:textId="77777777" w:rsidR="00F45F58" w:rsidRPr="003441A3" w:rsidRDefault="00F45F58" w:rsidP="00F45F58">
      <w:pPr>
        <w:ind w:firstLine="708"/>
        <w:jc w:val="both"/>
        <w:rPr>
          <w:rFonts w:ascii="Times New Roman" w:hAnsi="Times New Roman" w:cs="Times New Roman"/>
          <w:bCs/>
          <w:iCs/>
          <w:color w:val="000000" w:themeColor="text1"/>
          <w:sz w:val="24"/>
          <w:szCs w:val="24"/>
        </w:rPr>
      </w:pPr>
      <w:r w:rsidRPr="003441A3">
        <w:rPr>
          <w:rFonts w:ascii="Times New Roman" w:hAnsi="Times New Roman" w:cs="Times New Roman"/>
          <w:bCs/>
          <w:iCs/>
          <w:color w:val="000000" w:themeColor="text1"/>
          <w:sz w:val="24"/>
          <w:szCs w:val="24"/>
        </w:rPr>
        <w:t>Predkladateľ:</w:t>
      </w:r>
      <w:r w:rsidRPr="003441A3">
        <w:rPr>
          <w:rFonts w:ascii="Times New Roman" w:hAnsi="Times New Roman" w:cs="Times New Roman"/>
          <w:bCs/>
          <w:iCs/>
          <w:color w:val="000000" w:themeColor="text1"/>
          <w:sz w:val="24"/>
          <w:szCs w:val="24"/>
        </w:rPr>
        <w:tab/>
        <w:t xml:space="preserve"> Uvedie výpočty vplyvov na príjmy, výdavky a bilanciu v p. b. HDP počas piatich najbližších dekád v časti 2.2.5. prílohy č. 2.</w:t>
      </w:r>
    </w:p>
    <w:p w14:paraId="35D88CA7" w14:textId="77777777" w:rsidR="00F45F58" w:rsidRPr="003441A3" w:rsidRDefault="00F45F58" w:rsidP="00F45F58">
      <w:pPr>
        <w:ind w:firstLine="708"/>
        <w:jc w:val="both"/>
        <w:rPr>
          <w:rFonts w:ascii="Times New Roman" w:hAnsi="Times New Roman" w:cs="Times New Roman"/>
          <w:bCs/>
          <w:iCs/>
          <w:color w:val="000000" w:themeColor="text1"/>
          <w:sz w:val="24"/>
          <w:szCs w:val="24"/>
        </w:rPr>
      </w:pPr>
      <w:r w:rsidRPr="003441A3">
        <w:rPr>
          <w:rFonts w:ascii="Times New Roman" w:hAnsi="Times New Roman" w:cs="Times New Roman"/>
          <w:bCs/>
          <w:iCs/>
          <w:color w:val="000000" w:themeColor="text1"/>
          <w:sz w:val="24"/>
          <w:szCs w:val="24"/>
        </w:rPr>
        <w:lastRenderedPageBreak/>
        <w:t>MF SR:  Skontroluje predpoklady a dopady týchto výpočtov a v prípade potreby požiada o ich vysvetlenie alebo úpravu.</w:t>
      </w:r>
    </w:p>
    <w:p w14:paraId="3ED28443" w14:textId="77777777" w:rsidR="00F45F58" w:rsidRPr="003441A3" w:rsidRDefault="00F45F58" w:rsidP="00F45F58">
      <w:pPr>
        <w:jc w:val="both"/>
        <w:rPr>
          <w:rFonts w:ascii="Times New Roman" w:hAnsi="Times New Roman" w:cs="Times New Roman"/>
          <w:b/>
          <w:bCs/>
          <w:color w:val="000000" w:themeColor="text1"/>
          <w:sz w:val="24"/>
          <w:szCs w:val="24"/>
        </w:rPr>
      </w:pPr>
    </w:p>
    <w:p w14:paraId="2D28D1A9" w14:textId="77777777" w:rsidR="00F45F58" w:rsidRPr="003441A3" w:rsidRDefault="00F45F58" w:rsidP="00F45F58">
      <w:pPr>
        <w:jc w:val="both"/>
        <w:rPr>
          <w:rFonts w:ascii="Times New Roman" w:hAnsi="Times New Roman" w:cs="Times New Roman"/>
          <w:b/>
          <w:bCs/>
          <w:color w:val="000000" w:themeColor="text1"/>
          <w:sz w:val="24"/>
          <w:szCs w:val="24"/>
          <w:u w:val="single"/>
        </w:rPr>
      </w:pPr>
      <w:r w:rsidRPr="003441A3">
        <w:rPr>
          <w:rFonts w:ascii="Times New Roman" w:hAnsi="Times New Roman" w:cs="Times New Roman"/>
          <w:b/>
          <w:bCs/>
          <w:color w:val="000000" w:themeColor="text1"/>
          <w:sz w:val="24"/>
          <w:szCs w:val="24"/>
          <w:u w:val="single"/>
        </w:rPr>
        <w:t xml:space="preserve">2.3. Vyplnenie tabuliek č. 3 až 6 prílohy č. 2 </w:t>
      </w:r>
    </w:p>
    <w:p w14:paraId="120019A3" w14:textId="77777777" w:rsidR="00F45F58" w:rsidRPr="003441A3" w:rsidRDefault="00F45F58" w:rsidP="00F45F58">
      <w:pPr>
        <w:jc w:val="both"/>
        <w:rPr>
          <w:rFonts w:ascii="Times New Roman" w:hAnsi="Times New Roman" w:cs="Times New Roman"/>
          <w:color w:val="000000" w:themeColor="text1"/>
          <w:sz w:val="24"/>
          <w:szCs w:val="24"/>
        </w:rPr>
      </w:pPr>
    </w:p>
    <w:p w14:paraId="28E44281" w14:textId="77777777" w:rsidR="00F45F58" w:rsidRPr="003441A3" w:rsidRDefault="00F45F58" w:rsidP="00F45F58">
      <w:pPr>
        <w:jc w:val="both"/>
        <w:rPr>
          <w:rFonts w:ascii="Times New Roman" w:hAnsi="Times New Roman" w:cs="Times New Roman"/>
          <w:color w:val="000000" w:themeColor="text1"/>
          <w:sz w:val="24"/>
          <w:szCs w:val="24"/>
        </w:rPr>
      </w:pPr>
      <w:r w:rsidRPr="003441A3">
        <w:rPr>
          <w:rFonts w:ascii="Times New Roman" w:hAnsi="Times New Roman" w:cs="Times New Roman"/>
          <w:color w:val="000000" w:themeColor="text1"/>
          <w:sz w:val="24"/>
          <w:szCs w:val="24"/>
        </w:rPr>
        <w:tab/>
        <w:t>Neoddeliteľnou súčasťou prílohy č. 2 sú tabuľky č. 3 až č. 6 prílohy pre výpočet vplyvu na príjmy, výdavky a zamestnanosť a dlhodobú udržateľnosť verejných financií.</w:t>
      </w:r>
    </w:p>
    <w:p w14:paraId="19BE1D27" w14:textId="77777777" w:rsidR="00F45F58" w:rsidRPr="003441A3" w:rsidRDefault="00F45F58" w:rsidP="00F45F58">
      <w:pPr>
        <w:numPr>
          <w:ilvl w:val="0"/>
          <w:numId w:val="10"/>
        </w:numPr>
        <w:spacing w:after="0" w:line="240" w:lineRule="auto"/>
        <w:jc w:val="both"/>
        <w:rPr>
          <w:rFonts w:ascii="Times New Roman" w:hAnsi="Times New Roman" w:cs="Times New Roman"/>
          <w:color w:val="000000" w:themeColor="text1"/>
          <w:sz w:val="24"/>
          <w:szCs w:val="24"/>
        </w:rPr>
      </w:pPr>
      <w:r w:rsidRPr="003441A3">
        <w:rPr>
          <w:rFonts w:ascii="Times New Roman" w:hAnsi="Times New Roman" w:cs="Times New Roman"/>
          <w:color w:val="000000" w:themeColor="text1"/>
          <w:sz w:val="24"/>
          <w:szCs w:val="24"/>
        </w:rPr>
        <w:t xml:space="preserve">pre návrhy </w:t>
      </w:r>
      <w:r w:rsidRPr="003441A3">
        <w:rPr>
          <w:rFonts w:ascii="Times New Roman" w:hAnsi="Times New Roman" w:cs="Times New Roman"/>
          <w:bCs/>
          <w:i/>
          <w:iCs/>
          <w:color w:val="000000" w:themeColor="text1"/>
          <w:sz w:val="24"/>
          <w:szCs w:val="24"/>
        </w:rPr>
        <w:t>bez vplyvov na rozpočet verejnej správy</w:t>
      </w:r>
      <w:r w:rsidRPr="003441A3">
        <w:rPr>
          <w:rFonts w:ascii="Times New Roman" w:hAnsi="Times New Roman" w:cs="Times New Roman"/>
          <w:i/>
          <w:iCs/>
          <w:color w:val="000000" w:themeColor="text1"/>
          <w:sz w:val="24"/>
          <w:szCs w:val="24"/>
        </w:rPr>
        <w:t xml:space="preserve"> </w:t>
      </w:r>
      <w:r w:rsidRPr="003441A3">
        <w:rPr>
          <w:rFonts w:ascii="Times New Roman" w:hAnsi="Times New Roman" w:cs="Times New Roman"/>
          <w:color w:val="000000" w:themeColor="text1"/>
          <w:sz w:val="24"/>
          <w:szCs w:val="24"/>
        </w:rPr>
        <w:t>sa tabuľky č. 3 až č. 5 nemusia osobitne vypĺňať, v prílohe č. 1 v bode 10  stačí uviesť, že návrh nemá vplyv na rozpočet verejnej správy.</w:t>
      </w:r>
    </w:p>
    <w:p w14:paraId="2D7122BB" w14:textId="77777777" w:rsidR="00F45F58" w:rsidRPr="003441A3" w:rsidRDefault="00F45F58" w:rsidP="00F45F58">
      <w:pPr>
        <w:numPr>
          <w:ilvl w:val="0"/>
          <w:numId w:val="10"/>
        </w:numPr>
        <w:spacing w:after="0" w:line="240" w:lineRule="auto"/>
        <w:jc w:val="both"/>
        <w:rPr>
          <w:rFonts w:ascii="Times New Roman" w:hAnsi="Times New Roman" w:cs="Times New Roman"/>
          <w:color w:val="000000" w:themeColor="text1"/>
          <w:sz w:val="24"/>
          <w:szCs w:val="24"/>
        </w:rPr>
      </w:pPr>
      <w:r w:rsidRPr="003441A3">
        <w:rPr>
          <w:rFonts w:ascii="Times New Roman" w:hAnsi="Times New Roman" w:cs="Times New Roman"/>
          <w:color w:val="000000" w:themeColor="text1"/>
          <w:sz w:val="24"/>
          <w:szCs w:val="24"/>
        </w:rPr>
        <w:t xml:space="preserve">pre návrhy </w:t>
      </w:r>
      <w:r w:rsidRPr="003441A3">
        <w:rPr>
          <w:rFonts w:ascii="Times New Roman" w:hAnsi="Times New Roman" w:cs="Times New Roman"/>
          <w:i/>
          <w:color w:val="000000" w:themeColor="text1"/>
          <w:sz w:val="24"/>
          <w:szCs w:val="24"/>
        </w:rPr>
        <w:t>bez vplyvov na dlhodobú udržateľnosť verejných financií</w:t>
      </w:r>
      <w:r w:rsidRPr="003441A3">
        <w:rPr>
          <w:rFonts w:ascii="Times New Roman" w:hAnsi="Times New Roman" w:cs="Times New Roman"/>
          <w:color w:val="000000" w:themeColor="text1"/>
          <w:sz w:val="24"/>
          <w:szCs w:val="24"/>
        </w:rPr>
        <w:t xml:space="preserve"> sa tabuľka č. 6 nemusí osobitne vypĺňať, prílohe č. 1 v bode 9. stačí označiť, že návrh nemá vplyv na dlhodobú udržateľnosť (označiť možnosť „nie“).   </w:t>
      </w:r>
    </w:p>
    <w:p w14:paraId="684E374C"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p>
    <w:p w14:paraId="1BAC56DF"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color w:val="000000" w:themeColor="text1"/>
          <w:sz w:val="24"/>
          <w:szCs w:val="24"/>
          <w:lang w:eastAsia="sk-SK"/>
        </w:rPr>
        <w:t xml:space="preserve">Ak sa vplyv týka viacerých subjektov verejnej správy, vypĺňa sa samostatná tabuľka za každý subjekt. Zhrnutie v prílohe č. 2 časti 2.1. sa vypĺňa podľa jednotlivých subjektov verejnej správy. Ak sa vplyv týka viacerých programov programovej štruktúry (ďalej len programov), vyplnia sa tabuľky č. 3 až č. 5 za každý program; predkladateľ uvedie rozčlenenie podľa programov taktiež v zhrnutí 2.1. Tento postup sa uplatní aj v prípade, ak sa návrh týka viacerých programov u viacerých subjektov verejnej správy. </w:t>
      </w:r>
    </w:p>
    <w:p w14:paraId="3D8D70F1" w14:textId="77777777" w:rsidR="00F45F58" w:rsidRPr="003441A3" w:rsidRDefault="00F45F58" w:rsidP="00F45F58">
      <w:pPr>
        <w:jc w:val="both"/>
        <w:rPr>
          <w:rFonts w:ascii="Times New Roman" w:hAnsi="Times New Roman" w:cs="Times New Roman"/>
          <w:color w:val="000000" w:themeColor="text1"/>
          <w:sz w:val="24"/>
          <w:szCs w:val="24"/>
        </w:rPr>
      </w:pPr>
    </w:p>
    <w:p w14:paraId="7632B5C6" w14:textId="77777777" w:rsidR="00F45F58" w:rsidRPr="003441A3" w:rsidRDefault="00F45F58" w:rsidP="00F45F58">
      <w:pPr>
        <w:jc w:val="both"/>
        <w:rPr>
          <w:rFonts w:ascii="Times New Roman" w:hAnsi="Times New Roman" w:cs="Times New Roman"/>
          <w:color w:val="000000" w:themeColor="text1"/>
          <w:sz w:val="24"/>
          <w:szCs w:val="24"/>
        </w:rPr>
      </w:pPr>
      <w:r w:rsidRPr="003441A3">
        <w:rPr>
          <w:rFonts w:ascii="Times New Roman" w:hAnsi="Times New Roman" w:cs="Times New Roman"/>
          <w:color w:val="000000" w:themeColor="text1"/>
          <w:sz w:val="24"/>
          <w:szCs w:val="24"/>
        </w:rPr>
        <w:tab/>
        <w:t>Ak návrh obsahuje viacero opatrení s vplyvom na dlhodobú udržateľnosť, vyplní sa tabuľka č. 6 za každé opatrenie zvlášť. Tabuľka obsahujúca kumulatívny efekt opatrení (ak by sa všetky opatrenia zaviedli spolu) sa vyplní samostatne, nakoľko jednotlivé opatrenia môžu mať vplyv medzi sebou.</w:t>
      </w:r>
    </w:p>
    <w:p w14:paraId="1274602C" w14:textId="77777777" w:rsidR="00F45F58" w:rsidRPr="003441A3" w:rsidRDefault="00F45F58" w:rsidP="00F45F58">
      <w:pPr>
        <w:jc w:val="both"/>
        <w:rPr>
          <w:rFonts w:ascii="Times New Roman" w:hAnsi="Times New Roman" w:cs="Times New Roman"/>
          <w:color w:val="000000" w:themeColor="text1"/>
          <w:sz w:val="24"/>
          <w:szCs w:val="24"/>
        </w:rPr>
      </w:pPr>
    </w:p>
    <w:p w14:paraId="159A398D" w14:textId="77777777" w:rsidR="00F45F58" w:rsidRPr="003441A3" w:rsidRDefault="00F45F58" w:rsidP="00F45F58">
      <w:pPr>
        <w:jc w:val="both"/>
        <w:rPr>
          <w:rFonts w:ascii="Times New Roman" w:hAnsi="Times New Roman" w:cs="Times New Roman"/>
          <w:b/>
          <w:bCs/>
          <w:iCs/>
          <w:color w:val="000000" w:themeColor="text1"/>
          <w:sz w:val="24"/>
          <w:szCs w:val="24"/>
        </w:rPr>
      </w:pPr>
      <w:r w:rsidRPr="003441A3">
        <w:rPr>
          <w:rFonts w:ascii="Times New Roman" w:hAnsi="Times New Roman" w:cs="Times New Roman"/>
          <w:b/>
          <w:bCs/>
          <w:iCs/>
          <w:color w:val="000000" w:themeColor="text1"/>
          <w:sz w:val="24"/>
          <w:szCs w:val="24"/>
        </w:rPr>
        <w:t>2.3.1. Tabuľka č. 3: tabuľka vplyvov na príjmy</w:t>
      </w:r>
    </w:p>
    <w:p w14:paraId="589E8739" w14:textId="77777777" w:rsidR="00F45F58" w:rsidRPr="003441A3" w:rsidRDefault="00F45F58" w:rsidP="00F45F58">
      <w:pPr>
        <w:jc w:val="both"/>
        <w:rPr>
          <w:rFonts w:ascii="Times New Roman" w:hAnsi="Times New Roman" w:cs="Times New Roman"/>
          <w:b/>
          <w:color w:val="000000" w:themeColor="text1"/>
          <w:sz w:val="24"/>
          <w:szCs w:val="24"/>
          <w:u w:val="single"/>
          <w:lang w:eastAsia="sk-SK"/>
        </w:rPr>
      </w:pPr>
    </w:p>
    <w:p w14:paraId="54B68DF7"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Cs/>
          <w:color w:val="000000" w:themeColor="text1"/>
          <w:sz w:val="24"/>
          <w:szCs w:val="24"/>
          <w:lang w:eastAsia="sk-SK"/>
        </w:rPr>
        <w:t xml:space="preserve">Predkladateľ: </w:t>
      </w:r>
      <w:r w:rsidRPr="003441A3">
        <w:rPr>
          <w:rFonts w:ascii="Times New Roman" w:hAnsi="Times New Roman" w:cs="Times New Roman"/>
          <w:color w:val="000000" w:themeColor="text1"/>
          <w:sz w:val="24"/>
          <w:szCs w:val="24"/>
          <w:lang w:eastAsia="sk-SK"/>
        </w:rPr>
        <w:t xml:space="preserve">Výška odhadovaného vplyvu na príjmy za jednotlivé subjekty verejnej správy, na ktoré má návrh vplyv, sa uvedie do súhrnnej tabuľky v časti 2.1 prílohy č. 2. </w:t>
      </w:r>
    </w:p>
    <w:p w14:paraId="7A712B06"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p>
    <w:p w14:paraId="628C6D67"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color w:val="000000" w:themeColor="text1"/>
          <w:sz w:val="24"/>
          <w:szCs w:val="24"/>
          <w:lang w:eastAsia="sk-SK"/>
        </w:rPr>
        <w:t>Tabuľka príjmov by mala vyjadrovať celkový vplyv na príjmy podľa podrobnej klasifikácie príjmov na základe vstupov od pripomienkujúcich strán. Celkový vplyv návrhu na príjmy rozpočtu verejnej správy v členení podľa jednotlivých subjektov verejnej správy, je potrebné uviesť do súhrnnej tabuľky č. 1 v časti 2.1. prílohy č. 2.</w:t>
      </w:r>
    </w:p>
    <w:p w14:paraId="404DFBBC" w14:textId="77777777" w:rsidR="00F45F58" w:rsidRPr="003441A3" w:rsidRDefault="00F45F58" w:rsidP="00F45F58">
      <w:pPr>
        <w:ind w:firstLine="708"/>
        <w:jc w:val="both"/>
        <w:rPr>
          <w:rFonts w:ascii="Times New Roman" w:hAnsi="Times New Roman" w:cs="Times New Roman"/>
          <w:bCs/>
          <w:iCs/>
          <w:color w:val="000000" w:themeColor="text1"/>
          <w:sz w:val="24"/>
          <w:szCs w:val="24"/>
          <w:lang w:eastAsia="sk-SK"/>
        </w:rPr>
      </w:pPr>
    </w:p>
    <w:p w14:paraId="0ABF23AE"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Cs/>
          <w:color w:val="000000" w:themeColor="text1"/>
          <w:sz w:val="24"/>
          <w:szCs w:val="24"/>
          <w:lang w:eastAsia="sk-SK"/>
        </w:rPr>
        <w:t>MF SR</w:t>
      </w:r>
      <w:r w:rsidRPr="003441A3">
        <w:rPr>
          <w:rFonts w:ascii="Times New Roman" w:hAnsi="Times New Roman" w:cs="Times New Roman"/>
          <w:iCs/>
          <w:color w:val="000000" w:themeColor="text1"/>
          <w:sz w:val="24"/>
          <w:szCs w:val="24"/>
          <w:lang w:eastAsia="sk-SK"/>
        </w:rPr>
        <w:t>:</w:t>
      </w:r>
      <w:r w:rsidRPr="003441A3">
        <w:rPr>
          <w:rFonts w:ascii="Times New Roman" w:hAnsi="Times New Roman" w:cs="Times New Roman"/>
          <w:i/>
          <w:iCs/>
          <w:color w:val="000000" w:themeColor="text1"/>
          <w:sz w:val="24"/>
          <w:szCs w:val="24"/>
          <w:lang w:eastAsia="sk-SK"/>
        </w:rPr>
        <w:t xml:space="preserve"> </w:t>
      </w:r>
      <w:r w:rsidRPr="003441A3">
        <w:rPr>
          <w:rFonts w:ascii="Times New Roman" w:hAnsi="Times New Roman" w:cs="Times New Roman"/>
          <w:color w:val="000000" w:themeColor="text1"/>
          <w:sz w:val="24"/>
          <w:szCs w:val="24"/>
          <w:lang w:eastAsia="sk-SK"/>
        </w:rPr>
        <w:t>Vyhodnotí primeranosť projekcií a výpočtov. Potvrdí, že údaje v tabuľke sú náležite roztriedené a dávajú jasný obraz o vplyve návrhu na príjmy rozpočtu verejnej správy. Ak sa vyskytnú problémy, požiada predkladateľa, aby upravil príslušné číselné hodnoty.</w:t>
      </w:r>
    </w:p>
    <w:p w14:paraId="6636BBD4" w14:textId="77777777" w:rsidR="00F45F58" w:rsidRPr="003441A3" w:rsidRDefault="00F45F58" w:rsidP="00F45F58">
      <w:pPr>
        <w:jc w:val="both"/>
        <w:rPr>
          <w:rFonts w:ascii="Times New Roman" w:hAnsi="Times New Roman" w:cs="Times New Roman"/>
          <w:b/>
          <w:bCs/>
          <w:iCs/>
          <w:color w:val="000000" w:themeColor="text1"/>
          <w:sz w:val="24"/>
          <w:szCs w:val="24"/>
        </w:rPr>
      </w:pPr>
      <w:r w:rsidRPr="003441A3">
        <w:rPr>
          <w:rFonts w:ascii="Times New Roman" w:hAnsi="Times New Roman" w:cs="Times New Roman"/>
          <w:b/>
          <w:bCs/>
          <w:iCs/>
          <w:color w:val="000000" w:themeColor="text1"/>
          <w:sz w:val="24"/>
          <w:szCs w:val="24"/>
        </w:rPr>
        <w:lastRenderedPageBreak/>
        <w:t>2.3.2. Tabuľka č. 4/A a č. 4/B: tabuľka vplyvov na výdavky</w:t>
      </w:r>
    </w:p>
    <w:p w14:paraId="5CD09E0A" w14:textId="77777777" w:rsidR="00F45F58" w:rsidRPr="003441A3" w:rsidRDefault="00F45F58" w:rsidP="00F45F58">
      <w:pPr>
        <w:jc w:val="both"/>
        <w:rPr>
          <w:rFonts w:ascii="Times New Roman" w:hAnsi="Times New Roman" w:cs="Times New Roman"/>
          <w:i/>
          <w:iCs/>
          <w:color w:val="000000" w:themeColor="text1"/>
          <w:sz w:val="24"/>
          <w:szCs w:val="24"/>
        </w:rPr>
      </w:pPr>
    </w:p>
    <w:p w14:paraId="4A4BC04C"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Cs/>
          <w:color w:val="000000" w:themeColor="text1"/>
          <w:sz w:val="24"/>
          <w:szCs w:val="24"/>
          <w:lang w:eastAsia="sk-SK"/>
        </w:rPr>
        <w:t>Predkladateľ :</w:t>
      </w:r>
      <w:r w:rsidRPr="003441A3">
        <w:rPr>
          <w:rFonts w:ascii="Times New Roman" w:hAnsi="Times New Roman" w:cs="Times New Roman"/>
          <w:color w:val="000000" w:themeColor="text1"/>
          <w:sz w:val="24"/>
          <w:szCs w:val="24"/>
          <w:lang w:eastAsia="sk-SK"/>
        </w:rPr>
        <w:t xml:space="preserve">Výška odhadovaného vplyvu na výdavky a limit verejných výdavkov za jednotlivé subjekty verejnej správy / programy, na ktoré má návrh vplyv, sa uvedie do súhrnných tabuliek v časti 2.1 prílohy č. 2 na základe podrobnejších údajov z tabuliek č. 3, 4/B a č. 5. Tabuľka č. 4/A sa vypĺňa na hotovostnom princípe, tabuľka č. 4/B sa uvádza v metodike ESA 2010. Na základe podkladov a konzultácií spracuje predkladateľ súhrnnú tabuľku za celý návrh. Tabuľky výdavkov by mali vyjadrovať celkový vplyv na výdavky a limit verejných výdavkov podľa podrobnej klasifikácie výdavkov na základe vstupov od  dotknutých strán. </w:t>
      </w:r>
    </w:p>
    <w:p w14:paraId="571CF535" w14:textId="77777777" w:rsidR="00F45F58" w:rsidRPr="003441A3" w:rsidRDefault="00F45F58" w:rsidP="00F45F58">
      <w:pPr>
        <w:jc w:val="both"/>
        <w:rPr>
          <w:rFonts w:ascii="Times New Roman" w:hAnsi="Times New Roman" w:cs="Times New Roman"/>
          <w:color w:val="000000" w:themeColor="text1"/>
          <w:sz w:val="24"/>
          <w:szCs w:val="24"/>
          <w:lang w:eastAsia="sk-SK"/>
        </w:rPr>
      </w:pPr>
    </w:p>
    <w:p w14:paraId="0CF7C4AE"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Cs/>
          <w:color w:val="000000" w:themeColor="text1"/>
          <w:sz w:val="24"/>
          <w:szCs w:val="24"/>
          <w:lang w:eastAsia="sk-SK"/>
        </w:rPr>
        <w:t>MF SR</w:t>
      </w:r>
      <w:r w:rsidRPr="003441A3">
        <w:rPr>
          <w:rFonts w:ascii="Times New Roman" w:hAnsi="Times New Roman" w:cs="Times New Roman"/>
          <w:iCs/>
          <w:color w:val="000000" w:themeColor="text1"/>
          <w:sz w:val="24"/>
          <w:szCs w:val="24"/>
          <w:lang w:eastAsia="sk-SK"/>
        </w:rPr>
        <w:t>:</w:t>
      </w:r>
      <w:r w:rsidRPr="003441A3">
        <w:rPr>
          <w:rFonts w:ascii="Times New Roman" w:hAnsi="Times New Roman" w:cs="Times New Roman"/>
          <w:i/>
          <w:iCs/>
          <w:color w:val="000000" w:themeColor="text1"/>
          <w:sz w:val="24"/>
          <w:szCs w:val="24"/>
          <w:lang w:eastAsia="sk-SK"/>
        </w:rPr>
        <w:t xml:space="preserve"> </w:t>
      </w:r>
      <w:r w:rsidRPr="003441A3">
        <w:rPr>
          <w:rFonts w:ascii="Times New Roman" w:hAnsi="Times New Roman" w:cs="Times New Roman"/>
          <w:color w:val="000000" w:themeColor="text1"/>
          <w:sz w:val="24"/>
          <w:szCs w:val="24"/>
          <w:lang w:eastAsia="sk-SK"/>
        </w:rPr>
        <w:t>Vyhodnotí primeranosť projekcií a výpočtov. Potvrdí, že údaje v tabuľke sú náležite roztriedené a dávajú jasný obraz o vplyve návrhu na výdavky a limit výdavkov rozpočtu verejnej správy. Ak sa vyskytnú problémy, požiada predkladateľa, aby upravil príslušné číselné hodnoty.</w:t>
      </w:r>
    </w:p>
    <w:p w14:paraId="1840F332"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p>
    <w:p w14:paraId="0EBE908C" w14:textId="77777777" w:rsidR="00F45F58" w:rsidRPr="003441A3" w:rsidRDefault="00F45F58" w:rsidP="00F45F58">
      <w:pPr>
        <w:jc w:val="both"/>
        <w:rPr>
          <w:rFonts w:ascii="Times New Roman" w:hAnsi="Times New Roman" w:cs="Times New Roman"/>
          <w:b/>
          <w:bCs/>
          <w:iCs/>
          <w:color w:val="000000" w:themeColor="text1"/>
          <w:sz w:val="24"/>
          <w:szCs w:val="24"/>
        </w:rPr>
      </w:pPr>
      <w:r w:rsidRPr="003441A3">
        <w:rPr>
          <w:rFonts w:ascii="Times New Roman" w:hAnsi="Times New Roman" w:cs="Times New Roman"/>
          <w:b/>
          <w:bCs/>
          <w:iCs/>
          <w:color w:val="000000" w:themeColor="text1"/>
          <w:sz w:val="24"/>
          <w:szCs w:val="24"/>
        </w:rPr>
        <w:t>2.3.3. Tabuľka č. 5: tabuľka vplyvov na zamestnanosť</w:t>
      </w:r>
    </w:p>
    <w:p w14:paraId="3FBBF3FF" w14:textId="77777777" w:rsidR="00F45F58" w:rsidRPr="003441A3" w:rsidRDefault="00F45F58" w:rsidP="00F45F58">
      <w:pPr>
        <w:jc w:val="both"/>
        <w:rPr>
          <w:rFonts w:ascii="Times New Roman" w:hAnsi="Times New Roman" w:cs="Times New Roman"/>
          <w:color w:val="000000" w:themeColor="text1"/>
          <w:sz w:val="24"/>
          <w:szCs w:val="24"/>
        </w:rPr>
      </w:pPr>
    </w:p>
    <w:p w14:paraId="288C4CC3"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Cs/>
          <w:color w:val="000000" w:themeColor="text1"/>
          <w:sz w:val="24"/>
          <w:szCs w:val="24"/>
          <w:lang w:eastAsia="sk-SK"/>
        </w:rPr>
        <w:t>Predkladateľ</w:t>
      </w:r>
      <w:r w:rsidRPr="003441A3">
        <w:rPr>
          <w:rFonts w:ascii="Times New Roman" w:hAnsi="Times New Roman" w:cs="Times New Roman"/>
          <w:bCs/>
          <w:i/>
          <w:iCs/>
          <w:color w:val="000000" w:themeColor="text1"/>
          <w:sz w:val="24"/>
          <w:szCs w:val="24"/>
          <w:lang w:eastAsia="sk-SK"/>
        </w:rPr>
        <w:t xml:space="preserve">: </w:t>
      </w:r>
      <w:r w:rsidRPr="003441A3">
        <w:rPr>
          <w:rFonts w:ascii="Times New Roman" w:hAnsi="Times New Roman" w:cs="Times New Roman"/>
          <w:color w:val="000000" w:themeColor="text1"/>
          <w:sz w:val="24"/>
          <w:szCs w:val="24"/>
          <w:lang w:eastAsia="sk-SK"/>
        </w:rPr>
        <w:t>Ak daný návrh nemá žiadny vplyv na zamestnanosť, tabuľka č. 5 sa nemusí vypĺňať. V prípade, že vplyvom návrhu dochádza k nárastu alebo úbytku pracovných miest vo verejnej správe, je potrebné túto skutočnosť uviesť v tabuľke. Predkladateľ vyplní predpokladané počty zamestnancov so znamienkom plus alebo mínus do príslušného riadku podľa vykonávanej činnosti.  V nasledujúcich rokoch je potrebné uvádzať celkové počty zamestnancov, nielen medziročný nárast ich počtu. Podľa predpokladaného platového zaradenia predkladateľ vyplní aj priemerné mzdové výdavky pripadajúce na jedného zamestnanca v danej kategórii, t. j. vrátane všetkých tarifných i nadtarifných zložiek platu. V ďalších rokoch by mal predkladateľ uvažovať so všeobecnou valorizáciou priemerných mzdových výdavkov na príslušný rok. Celkové mzdové výdavky na týchto zamestnancov so stanovenými priemernými mzdovými výdavkami budú v spodnej časti tabuľky prepočítané automaticky. Tabuľka zamestnanosti by mala ukazovať celkový vplyv návrhu na zamestnanosť vo verejnej správe určený na základe vstupov od dotknutých subjektov. Celkový vplyv návrhu na zamestnanosť podľa jednotlivých subjektov verejnej správy / programov je potrebné zahrnúť do súhrnnej tabuľky č. 1 v časti 2.1. prílohy č. 2.</w:t>
      </w:r>
    </w:p>
    <w:p w14:paraId="2969A77D" w14:textId="77777777" w:rsidR="00F45F58" w:rsidRPr="003441A3" w:rsidRDefault="00F45F58" w:rsidP="00F45F58">
      <w:pPr>
        <w:jc w:val="both"/>
        <w:rPr>
          <w:rFonts w:ascii="Times New Roman" w:hAnsi="Times New Roman" w:cs="Times New Roman"/>
          <w:color w:val="000000" w:themeColor="text1"/>
          <w:sz w:val="24"/>
          <w:szCs w:val="24"/>
          <w:u w:val="single"/>
          <w:lang w:eastAsia="sk-SK"/>
        </w:rPr>
      </w:pPr>
    </w:p>
    <w:p w14:paraId="554B274C"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bCs/>
          <w:iCs/>
          <w:color w:val="000000" w:themeColor="text1"/>
          <w:sz w:val="24"/>
          <w:szCs w:val="24"/>
          <w:lang w:eastAsia="sk-SK"/>
        </w:rPr>
        <w:t>MF SR</w:t>
      </w:r>
      <w:r w:rsidRPr="003441A3">
        <w:rPr>
          <w:rFonts w:ascii="Times New Roman" w:hAnsi="Times New Roman" w:cs="Times New Roman"/>
          <w:iCs/>
          <w:color w:val="000000" w:themeColor="text1"/>
          <w:sz w:val="24"/>
          <w:szCs w:val="24"/>
          <w:lang w:eastAsia="sk-SK"/>
        </w:rPr>
        <w:t>:</w:t>
      </w:r>
      <w:r w:rsidRPr="003441A3">
        <w:rPr>
          <w:rFonts w:ascii="Times New Roman" w:hAnsi="Times New Roman" w:cs="Times New Roman"/>
          <w:i/>
          <w:iCs/>
          <w:color w:val="000000" w:themeColor="text1"/>
          <w:sz w:val="24"/>
          <w:szCs w:val="24"/>
          <w:lang w:eastAsia="sk-SK"/>
        </w:rPr>
        <w:t xml:space="preserve"> </w:t>
      </w:r>
      <w:r w:rsidRPr="003441A3">
        <w:rPr>
          <w:rFonts w:ascii="Times New Roman" w:hAnsi="Times New Roman" w:cs="Times New Roman"/>
          <w:color w:val="000000" w:themeColor="text1"/>
          <w:sz w:val="24"/>
          <w:szCs w:val="24"/>
          <w:lang w:eastAsia="sk-SK"/>
        </w:rPr>
        <w:t xml:space="preserve">Vyhodnotí primeranosť projekcií a výpočtov. Potvrdí, že údaje v tabuľke sú náležite roztriedené a dávajú jasný obraz o vplyve návrhu na zamestnanosť vo verejnej správe. Ak sa vyskytnú problémy, požiada predkladateľa, aby upravil príslušné číselné hodnoty. </w:t>
      </w:r>
    </w:p>
    <w:p w14:paraId="3F2F73FD" w14:textId="77777777" w:rsidR="00F45F58" w:rsidRPr="003441A3" w:rsidRDefault="00F45F58" w:rsidP="00F45F58">
      <w:pPr>
        <w:jc w:val="both"/>
        <w:rPr>
          <w:rFonts w:ascii="Times New Roman" w:hAnsi="Times New Roman" w:cs="Times New Roman"/>
          <w:color w:val="000000" w:themeColor="text1"/>
          <w:sz w:val="24"/>
          <w:szCs w:val="24"/>
          <w:lang w:eastAsia="sk-SK"/>
        </w:rPr>
      </w:pPr>
    </w:p>
    <w:p w14:paraId="1A818189" w14:textId="77777777" w:rsidR="00F45F58" w:rsidRPr="003441A3" w:rsidRDefault="00F45F58" w:rsidP="00F45F58">
      <w:pPr>
        <w:jc w:val="both"/>
        <w:rPr>
          <w:rFonts w:ascii="Times New Roman" w:hAnsi="Times New Roman" w:cs="Times New Roman"/>
          <w:b/>
          <w:color w:val="000000" w:themeColor="text1"/>
          <w:sz w:val="24"/>
          <w:szCs w:val="24"/>
          <w:lang w:eastAsia="sk-SK"/>
        </w:rPr>
      </w:pPr>
      <w:r w:rsidRPr="003441A3">
        <w:rPr>
          <w:rFonts w:ascii="Times New Roman" w:hAnsi="Times New Roman" w:cs="Times New Roman"/>
          <w:b/>
          <w:color w:val="000000" w:themeColor="text1"/>
          <w:sz w:val="24"/>
          <w:szCs w:val="24"/>
          <w:lang w:eastAsia="sk-SK"/>
        </w:rPr>
        <w:t>2.3.4. Tabuľka č. 6: tabuľka vplyvov na dlhodobú udržateľnosť verejných financií</w:t>
      </w:r>
    </w:p>
    <w:p w14:paraId="75532953" w14:textId="77777777" w:rsidR="00F45F58" w:rsidRPr="003441A3" w:rsidRDefault="00F45F58" w:rsidP="00F45F58">
      <w:pPr>
        <w:jc w:val="both"/>
        <w:rPr>
          <w:rFonts w:ascii="Times New Roman" w:hAnsi="Times New Roman" w:cs="Times New Roman"/>
          <w:b/>
          <w:color w:val="000000" w:themeColor="text1"/>
          <w:sz w:val="24"/>
          <w:szCs w:val="24"/>
          <w:lang w:eastAsia="sk-SK"/>
        </w:rPr>
      </w:pPr>
    </w:p>
    <w:p w14:paraId="12655D13" w14:textId="77777777" w:rsidR="00F45F58" w:rsidRPr="003441A3" w:rsidRDefault="00F45F58" w:rsidP="00F45F58">
      <w:pPr>
        <w:ind w:firstLine="708"/>
        <w:jc w:val="both"/>
        <w:rPr>
          <w:rFonts w:ascii="Times New Roman" w:hAnsi="Times New Roman" w:cs="Times New Roman"/>
          <w:color w:val="000000" w:themeColor="text1"/>
          <w:sz w:val="24"/>
          <w:szCs w:val="24"/>
          <w:lang w:eastAsia="sk-SK"/>
        </w:rPr>
      </w:pPr>
      <w:r w:rsidRPr="003441A3">
        <w:rPr>
          <w:rFonts w:ascii="Times New Roman" w:hAnsi="Times New Roman" w:cs="Times New Roman"/>
          <w:color w:val="000000" w:themeColor="text1"/>
          <w:sz w:val="24"/>
          <w:szCs w:val="24"/>
          <w:lang w:eastAsia="sk-SK"/>
        </w:rPr>
        <w:lastRenderedPageBreak/>
        <w:t>Predkladateľ: Vypĺňa sa len pre opatrenia, týkajúce sa I. a II. piliera systému univerzálneho dôchodkového zabezpečenia s identifikovaným vplyvom od 0,1 % HDP (vrátane) na dlhodobom horizonte. Ak daný návrh nemá žiadny vplyv na dlhodobú udržateľnosť verejných financií, tabuľka č. 6 sa nevypĺňa. V prípade, že vplyvom návrhu dochádza k zhoršeniu alebo k zlepšeniu udržateľnosti verejných financií, je potrebné túto skutočnosť uviesť v tabuľke. Pri kvantifikácii sa využije štandardný model určený na dlhodobé projekcie a kvantifikáciu dlhodobých vplyvov legislatívnych zmien. Tabuľka by mala vyjadrovať celkový vplyv na výdavky, príjmy a bilanciu verejných financií v p. b. HDP počas najbližších 5 dekád.</w:t>
      </w:r>
    </w:p>
    <w:p w14:paraId="55B0688F" w14:textId="77777777" w:rsidR="00F45F58" w:rsidRPr="003441A3" w:rsidRDefault="00F45F58" w:rsidP="00F45F58">
      <w:pPr>
        <w:jc w:val="both"/>
        <w:rPr>
          <w:rFonts w:ascii="Times New Roman" w:hAnsi="Times New Roman" w:cs="Times New Roman"/>
          <w:color w:val="000000" w:themeColor="text1"/>
          <w:sz w:val="24"/>
          <w:szCs w:val="24"/>
          <w:lang w:eastAsia="sk-SK"/>
        </w:rPr>
      </w:pPr>
    </w:p>
    <w:p w14:paraId="6FEA5283" w14:textId="77777777" w:rsidR="00F45F58" w:rsidRPr="003441A3" w:rsidRDefault="00F45F58" w:rsidP="0076383F">
      <w:pPr>
        <w:jc w:val="both"/>
        <w:rPr>
          <w:rFonts w:ascii="Times New Roman" w:hAnsi="Times New Roman" w:cs="Times New Roman"/>
          <w:color w:val="000000" w:themeColor="text1"/>
          <w:sz w:val="24"/>
          <w:szCs w:val="24"/>
          <w:lang w:eastAsia="sk-SK"/>
        </w:rPr>
      </w:pPr>
      <w:r w:rsidRPr="003441A3">
        <w:rPr>
          <w:rFonts w:ascii="Times New Roman" w:hAnsi="Times New Roman" w:cs="Times New Roman"/>
          <w:color w:val="000000" w:themeColor="text1"/>
          <w:sz w:val="24"/>
          <w:szCs w:val="24"/>
          <w:lang w:eastAsia="sk-SK"/>
        </w:rPr>
        <w:t>MF SR: Vyhodnotí primeranosť projekcií a výpočtov. Potvrdí, že údaje v tabuľke sú náležite roztriedené a dávajú jasný obraz o vplyve návrhu na dlhodobú udržateľnosť verejných financií. Ak sa vyskytnú problémy, požiada predkladateľa, aby upravil príslušné číselné hodnoty.</w:t>
      </w:r>
    </w:p>
    <w:p w14:paraId="3355B8B2" w14:textId="1189D62E" w:rsidR="00F45F58" w:rsidRDefault="00F45F58" w:rsidP="00F45F58">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7B3153F7" w14:textId="353E5528" w:rsidR="000E512F" w:rsidRPr="001E47E5" w:rsidRDefault="000E512F" w:rsidP="000E512F">
      <w:pPr>
        <w:jc w:val="center"/>
        <w:rPr>
          <w:rFonts w:ascii="Times New Roman" w:eastAsia="Calibri" w:hAnsi="Times New Roman" w:cs="Times New Roman"/>
          <w:b/>
          <w:sz w:val="28"/>
          <w:szCs w:val="28"/>
        </w:rPr>
      </w:pPr>
      <w:r w:rsidRPr="001E47E5">
        <w:rPr>
          <w:rFonts w:ascii="Times New Roman" w:eastAsia="Calibri" w:hAnsi="Times New Roman" w:cs="Times New Roman"/>
          <w:b/>
          <w:sz w:val="28"/>
          <w:szCs w:val="28"/>
        </w:rPr>
        <w:lastRenderedPageBreak/>
        <w:t>Analýza vplyvov na podnikateľské prostredie</w:t>
      </w:r>
    </w:p>
    <w:p w14:paraId="2E6F197A" w14:textId="77777777" w:rsidR="000E512F" w:rsidRPr="001E47E5" w:rsidRDefault="000E512F" w:rsidP="000E512F">
      <w:pPr>
        <w:jc w:val="both"/>
        <w:rPr>
          <w:rFonts w:ascii="Times New Roman" w:eastAsia="Calibri" w:hAnsi="Times New Roman" w:cs="Times New Roman"/>
          <w:b/>
          <w:sz w:val="24"/>
          <w:szCs w:val="24"/>
          <w:highlight w:val="yellow"/>
        </w:rPr>
      </w:pPr>
    </w:p>
    <w:p w14:paraId="773139B4" w14:textId="77777777" w:rsidR="000E512F" w:rsidRPr="001E47E5" w:rsidRDefault="000E512F" w:rsidP="000E512F">
      <w:pPr>
        <w:jc w:val="both"/>
        <w:rPr>
          <w:rFonts w:ascii="Times New Roman" w:eastAsia="Calibri" w:hAnsi="Times New Roman" w:cs="Times New Roman"/>
          <w:b/>
          <w:sz w:val="24"/>
          <w:szCs w:val="24"/>
        </w:rPr>
      </w:pPr>
      <w:r w:rsidRPr="001E47E5">
        <w:rPr>
          <w:rFonts w:ascii="Times New Roman" w:eastAsia="Calibri" w:hAnsi="Times New Roman" w:cs="Times New Roman"/>
          <w:b/>
          <w:sz w:val="24"/>
          <w:szCs w:val="24"/>
        </w:rPr>
        <w:t xml:space="preserve">Názov materiálu: </w:t>
      </w:r>
      <w:r w:rsidRPr="006D34EC">
        <w:rPr>
          <w:rFonts w:ascii="Times New Roman" w:eastAsia="Calibri" w:hAnsi="Times New Roman" w:cs="Times New Roman"/>
          <w:sz w:val="24"/>
          <w:szCs w:val="24"/>
        </w:rPr>
        <w:t>Návrh zákona, ktorým sa mení a dopĺňa zákon č. 69/2018 Z. z. o</w:t>
      </w:r>
      <w:r>
        <w:rPr>
          <w:rFonts w:ascii="Times New Roman" w:eastAsia="Calibri" w:hAnsi="Times New Roman" w:cs="Times New Roman"/>
          <w:sz w:val="24"/>
          <w:szCs w:val="24"/>
        </w:rPr>
        <w:t> </w:t>
      </w:r>
      <w:r w:rsidRPr="006D34EC">
        <w:rPr>
          <w:rFonts w:ascii="Times New Roman" w:eastAsia="Calibri" w:hAnsi="Times New Roman" w:cs="Times New Roman"/>
          <w:sz w:val="24"/>
          <w:szCs w:val="24"/>
        </w:rPr>
        <w:t xml:space="preserve">kybernetickej bezpečnosti a o zmene a doplnení niektorých zákonov v znení neskorších predpisov a </w:t>
      </w:r>
      <w:r w:rsidRPr="00784D18">
        <w:rPr>
          <w:rFonts w:ascii="Times New Roman" w:eastAsia="Calibri" w:hAnsi="Times New Roman" w:cs="Times New Roman"/>
          <w:sz w:val="24"/>
          <w:szCs w:val="24"/>
        </w:rPr>
        <w:t>ktorým sa menia a dopĺňajú niektoré zákony</w:t>
      </w:r>
    </w:p>
    <w:p w14:paraId="367FAD2C" w14:textId="3232BA68" w:rsidR="000E512F" w:rsidRPr="001E47E5" w:rsidRDefault="000E512F" w:rsidP="000E512F">
      <w:pPr>
        <w:jc w:val="both"/>
        <w:rPr>
          <w:rFonts w:ascii="Times New Roman" w:eastAsia="Calibri" w:hAnsi="Times New Roman" w:cs="Times New Roman"/>
          <w:b/>
          <w:sz w:val="24"/>
          <w:szCs w:val="24"/>
        </w:rPr>
      </w:pPr>
      <w:r w:rsidRPr="001E47E5">
        <w:rPr>
          <w:rFonts w:ascii="Times New Roman" w:eastAsia="Calibri" w:hAnsi="Times New Roman" w:cs="Times New Roman"/>
          <w:b/>
          <w:sz w:val="24"/>
          <w:szCs w:val="24"/>
        </w:rPr>
        <w:t xml:space="preserve">Predkladateľ: </w:t>
      </w:r>
      <w:r w:rsidR="00E027ED">
        <w:rPr>
          <w:rFonts w:ascii="Times New Roman" w:eastAsia="Calibri" w:hAnsi="Times New Roman" w:cs="Times New Roman"/>
          <w:sz w:val="24"/>
          <w:szCs w:val="24"/>
        </w:rPr>
        <w:t>Vláda Slovenskej republiky</w:t>
      </w:r>
    </w:p>
    <w:p w14:paraId="5B233159" w14:textId="77777777" w:rsidR="000E512F" w:rsidRPr="001E47E5" w:rsidRDefault="000E512F" w:rsidP="000E512F">
      <w:pPr>
        <w:jc w:val="both"/>
        <w:rPr>
          <w:rFonts w:ascii="Times New Roman" w:eastAsia="Calibri" w:hAnsi="Times New Roman" w:cs="Times New Roman"/>
          <w:b/>
          <w:sz w:val="24"/>
          <w:szCs w:val="24"/>
          <w:highlight w:val="yellow"/>
        </w:rPr>
      </w:pPr>
    </w:p>
    <w:p w14:paraId="7028FE4B" w14:textId="77777777" w:rsidR="000E512F" w:rsidRPr="001E47E5" w:rsidRDefault="000E512F" w:rsidP="000E512F">
      <w:pPr>
        <w:jc w:val="both"/>
        <w:rPr>
          <w:rFonts w:ascii="Times New Roman" w:eastAsia="Calibri" w:hAnsi="Times New Roman" w:cs="Times New Roman"/>
          <w:b/>
          <w:sz w:val="24"/>
          <w:szCs w:val="24"/>
        </w:rPr>
      </w:pPr>
      <w:r w:rsidRPr="001E47E5">
        <w:rPr>
          <w:rFonts w:ascii="Times New Roman" w:eastAsia="Calibri" w:hAnsi="Times New Roman" w:cs="Times New Roman"/>
          <w:b/>
          <w:sz w:val="24"/>
          <w:szCs w:val="24"/>
        </w:rPr>
        <w:t>3.1 Náklady regulácie</w:t>
      </w:r>
    </w:p>
    <w:p w14:paraId="6FB070B7" w14:textId="77777777" w:rsidR="000E512F" w:rsidRPr="001E47E5" w:rsidRDefault="000E512F" w:rsidP="000E512F">
      <w:pPr>
        <w:tabs>
          <w:tab w:val="left" w:pos="8025"/>
        </w:tabs>
        <w:rPr>
          <w:rFonts w:ascii="Times New Roman" w:eastAsia="Calibri" w:hAnsi="Times New Roman" w:cs="Times New Roman"/>
          <w:bCs/>
          <w:i/>
          <w:iCs/>
          <w:sz w:val="24"/>
          <w:szCs w:val="24"/>
        </w:rPr>
      </w:pPr>
      <w:r w:rsidRPr="001E47E5">
        <w:rPr>
          <w:rFonts w:ascii="Times New Roman" w:eastAsia="Calibri" w:hAnsi="Times New Roman" w:cs="Times New Roman"/>
          <w:b/>
          <w:i/>
          <w:iCs/>
          <w:sz w:val="24"/>
          <w:szCs w:val="24"/>
        </w:rPr>
        <w:t xml:space="preserve">3.1.1 Súhrnná tabuľka nákladov regulácie </w:t>
      </w:r>
      <w:r w:rsidRPr="001E47E5">
        <w:rPr>
          <w:rFonts w:ascii="Times New Roman" w:eastAsia="Calibri" w:hAnsi="Times New Roman" w:cs="Times New Roman"/>
          <w:b/>
          <w:i/>
          <w:iCs/>
          <w:sz w:val="24"/>
          <w:szCs w:val="24"/>
        </w:rPr>
        <w:tab/>
      </w:r>
    </w:p>
    <w:p w14:paraId="5EE104DB" w14:textId="77777777" w:rsidR="000E512F" w:rsidRPr="001E47E5" w:rsidRDefault="000E512F" w:rsidP="000E512F">
      <w:pPr>
        <w:jc w:val="both"/>
        <w:rPr>
          <w:rFonts w:ascii="Times New Roman" w:eastAsia="Calibri" w:hAnsi="Times New Roman" w:cs="Times New Roman"/>
          <w:i/>
          <w:sz w:val="24"/>
          <w:szCs w:val="24"/>
        </w:rPr>
      </w:pPr>
      <w:r w:rsidRPr="001E47E5">
        <w:rPr>
          <w:rFonts w:ascii="Times New Roman" w:eastAsia="Calibri" w:hAnsi="Times New Roman" w:cs="Times New Roman"/>
          <w:i/>
          <w:sz w:val="24"/>
          <w:szCs w:val="24"/>
        </w:rPr>
        <w:t>Tabuľka č. 1: Zmeny nákladov (ročne) v prepočte na podnikateľské prostredie (PP), vyhodnotenie mechanizmu znižovania byrokracie a nákladov, náklady goldplatingu</w:t>
      </w:r>
      <w:r w:rsidRPr="001E47E5">
        <w:rPr>
          <w:rStyle w:val="Odkaznapoznmkupodiarou"/>
          <w:rFonts w:ascii="Times New Roman" w:eastAsia="Calibri" w:hAnsi="Times New Roman" w:cs="Times New Roman"/>
          <w:i/>
          <w:sz w:val="24"/>
          <w:szCs w:val="24"/>
        </w:rPr>
        <w:footnoteReference w:id="1"/>
      </w:r>
      <w:r w:rsidRPr="001E47E5">
        <w:rPr>
          <w:rFonts w:ascii="Times New Roman" w:eastAsia="Calibri" w:hAnsi="Times New Roman" w:cs="Times New Roman"/>
          <w:i/>
          <w:sz w:val="24"/>
          <w:szCs w:val="24"/>
        </w:rPr>
        <w:t xml:space="preserve"> na podnikateľské prostredie. </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0E512F" w:rsidRPr="001E47E5" w14:paraId="365D7B5F" w14:textId="77777777" w:rsidTr="000E512F">
        <w:trPr>
          <w:trHeight w:val="270"/>
        </w:trPr>
        <w:tc>
          <w:tcPr>
            <w:tcW w:w="146" w:type="dxa"/>
            <w:tcBorders>
              <w:top w:val="nil"/>
              <w:left w:val="nil"/>
              <w:bottom w:val="nil"/>
              <w:right w:val="nil"/>
            </w:tcBorders>
            <w:shd w:val="clear" w:color="auto" w:fill="auto"/>
            <w:noWrap/>
            <w:vAlign w:val="bottom"/>
            <w:hideMark/>
          </w:tcPr>
          <w:p w14:paraId="79842072"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5CDD9BEA"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3CB34C6E"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4587EB6E"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0A5FC224"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16A79721" w14:textId="77777777" w:rsidR="000E512F" w:rsidRPr="001E47E5" w:rsidRDefault="000E512F" w:rsidP="000E512F">
            <w:pPr>
              <w:spacing w:after="0" w:line="240" w:lineRule="auto"/>
              <w:jc w:val="center"/>
              <w:rPr>
                <w:rFonts w:ascii="Times New Roman" w:eastAsia="Times New Roman" w:hAnsi="Times New Roman" w:cs="Times New Roman"/>
                <w:color w:val="000000"/>
                <w:sz w:val="20"/>
                <w:szCs w:val="20"/>
                <w:lang w:eastAsia="sk-SK"/>
              </w:rPr>
            </w:pPr>
          </w:p>
        </w:tc>
      </w:tr>
      <w:tr w:rsidR="000E512F" w:rsidRPr="001E47E5" w14:paraId="28FB8189" w14:textId="77777777" w:rsidTr="000E512F">
        <w:trPr>
          <w:gridAfter w:val="2"/>
          <w:wAfter w:w="583" w:type="dxa"/>
          <w:trHeight w:val="451"/>
        </w:trPr>
        <w:tc>
          <w:tcPr>
            <w:tcW w:w="146" w:type="dxa"/>
            <w:tcBorders>
              <w:top w:val="nil"/>
              <w:left w:val="nil"/>
              <w:bottom w:val="nil"/>
              <w:right w:val="nil"/>
            </w:tcBorders>
            <w:shd w:val="clear" w:color="auto" w:fill="auto"/>
            <w:noWrap/>
            <w:vAlign w:val="bottom"/>
            <w:hideMark/>
          </w:tcPr>
          <w:p w14:paraId="3B52AFB2"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E2B24BD" w14:textId="77777777" w:rsidR="000E512F" w:rsidRPr="001E47E5" w:rsidRDefault="000E512F" w:rsidP="000E512F">
            <w:pPr>
              <w:spacing w:after="0" w:line="240" w:lineRule="auto"/>
              <w:jc w:val="center"/>
              <w:rPr>
                <w:rFonts w:ascii="Times New Roman" w:eastAsia="Times New Roman" w:hAnsi="Times New Roman" w:cs="Times New Roman"/>
                <w:b/>
                <w:bCs/>
                <w:i/>
                <w:iCs/>
                <w:color w:val="000000"/>
                <w:sz w:val="20"/>
                <w:szCs w:val="20"/>
                <w:lang w:eastAsia="sk-SK"/>
              </w:rPr>
            </w:pPr>
            <w:r w:rsidRPr="001E47E5">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082D6824"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100DBC2"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b/>
                <w:bCs/>
                <w:color w:val="000000"/>
                <w:sz w:val="20"/>
                <w:szCs w:val="20"/>
                <w:lang w:eastAsia="sk-SK"/>
              </w:rPr>
              <w:t>Zníženie nákladov v € na PP</w:t>
            </w:r>
          </w:p>
        </w:tc>
      </w:tr>
      <w:tr w:rsidR="000E512F" w:rsidRPr="001E47E5" w14:paraId="57F24C3A" w14:textId="77777777" w:rsidTr="000E512F">
        <w:trPr>
          <w:gridAfter w:val="2"/>
          <w:wAfter w:w="583" w:type="dxa"/>
          <w:trHeight w:val="600"/>
        </w:trPr>
        <w:tc>
          <w:tcPr>
            <w:tcW w:w="146" w:type="dxa"/>
            <w:tcBorders>
              <w:top w:val="nil"/>
              <w:left w:val="nil"/>
              <w:bottom w:val="nil"/>
              <w:right w:val="nil"/>
            </w:tcBorders>
            <w:shd w:val="clear" w:color="auto" w:fill="auto"/>
            <w:noWrap/>
            <w:vAlign w:val="bottom"/>
            <w:hideMark/>
          </w:tcPr>
          <w:p w14:paraId="53A5395D"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4968167" w14:textId="77777777" w:rsidR="000E512F" w:rsidRPr="001E47E5" w:rsidRDefault="000E512F" w:rsidP="000E512F">
            <w:pPr>
              <w:spacing w:after="0" w:line="240" w:lineRule="auto"/>
              <w:rPr>
                <w:rFonts w:ascii="Times New Roman" w:eastAsia="Times New Roman" w:hAnsi="Times New Roman" w:cs="Times New Roman"/>
                <w:b/>
                <w:bCs/>
                <w:i/>
                <w:iCs/>
                <w:color w:val="000000"/>
                <w:sz w:val="20"/>
                <w:szCs w:val="20"/>
                <w:lang w:eastAsia="sk-SK"/>
              </w:rPr>
            </w:pPr>
            <w:r w:rsidRPr="001E47E5">
              <w:rPr>
                <w:rFonts w:ascii="Times New Roman" w:eastAsia="Times New Roman" w:hAnsi="Times New Roman" w:cs="Times New Roman"/>
                <w:b/>
                <w:bCs/>
                <w:i/>
                <w:iCs/>
                <w:color w:val="000000"/>
                <w:sz w:val="20"/>
                <w:szCs w:val="20"/>
                <w:lang w:eastAsia="sk-SK"/>
              </w:rPr>
              <w:t>A. 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1CEEED04"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hAnsi="Times New Roman" w:cs="Times New Roman"/>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15076675"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hAnsi="Times New Roman" w:cs="Times New Roman"/>
                <w:sz w:val="20"/>
                <w:szCs w:val="20"/>
              </w:rPr>
              <w:t>0</w:t>
            </w:r>
          </w:p>
        </w:tc>
      </w:tr>
      <w:tr w:rsidR="000E512F" w:rsidRPr="001E47E5" w14:paraId="36949DA5" w14:textId="77777777" w:rsidTr="000E512F">
        <w:trPr>
          <w:gridAfter w:val="2"/>
          <w:wAfter w:w="583" w:type="dxa"/>
          <w:trHeight w:val="420"/>
        </w:trPr>
        <w:tc>
          <w:tcPr>
            <w:tcW w:w="146" w:type="dxa"/>
            <w:tcBorders>
              <w:top w:val="nil"/>
              <w:left w:val="nil"/>
              <w:bottom w:val="nil"/>
              <w:right w:val="nil"/>
            </w:tcBorders>
            <w:shd w:val="clear" w:color="auto" w:fill="auto"/>
            <w:noWrap/>
            <w:vAlign w:val="bottom"/>
            <w:hideMark/>
          </w:tcPr>
          <w:p w14:paraId="05632FFB"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49345AAB" w14:textId="77777777" w:rsidR="000E512F" w:rsidRPr="001E47E5" w:rsidRDefault="000E512F" w:rsidP="000E512F">
            <w:pPr>
              <w:spacing w:after="0" w:line="240" w:lineRule="auto"/>
              <w:rPr>
                <w:rFonts w:ascii="Times New Roman" w:eastAsia="Times New Roman" w:hAnsi="Times New Roman" w:cs="Times New Roman"/>
                <w:b/>
                <w:bCs/>
                <w:i/>
                <w:iCs/>
                <w:color w:val="000000"/>
                <w:sz w:val="20"/>
                <w:szCs w:val="20"/>
                <w:lang w:eastAsia="sk-SK"/>
              </w:rPr>
            </w:pPr>
            <w:r w:rsidRPr="001E47E5">
              <w:rPr>
                <w:rFonts w:ascii="Times New Roman" w:eastAsia="Times New Roman" w:hAnsi="Times New Roman" w:cs="Times New Roman"/>
                <w:b/>
                <w:bCs/>
                <w:i/>
                <w:iCs/>
                <w:color w:val="000000"/>
                <w:sz w:val="20"/>
                <w:szCs w:val="20"/>
                <w:lang w:eastAsia="sk-SK"/>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78872B95"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hAnsi="Times New Roman" w:cs="Times New Roman"/>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49FEEAF"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hAnsi="Times New Roman" w:cs="Times New Roman"/>
                <w:sz w:val="20"/>
                <w:szCs w:val="20"/>
              </w:rPr>
              <w:t>0</w:t>
            </w:r>
          </w:p>
        </w:tc>
      </w:tr>
      <w:tr w:rsidR="000E512F" w:rsidRPr="001E47E5" w14:paraId="2C506C3F" w14:textId="77777777" w:rsidTr="000E512F">
        <w:trPr>
          <w:gridAfter w:val="2"/>
          <w:wAfter w:w="583" w:type="dxa"/>
          <w:trHeight w:val="435"/>
        </w:trPr>
        <w:tc>
          <w:tcPr>
            <w:tcW w:w="146" w:type="dxa"/>
            <w:tcBorders>
              <w:top w:val="nil"/>
              <w:left w:val="nil"/>
              <w:bottom w:val="nil"/>
              <w:right w:val="nil"/>
            </w:tcBorders>
            <w:shd w:val="clear" w:color="auto" w:fill="auto"/>
            <w:noWrap/>
            <w:vAlign w:val="bottom"/>
            <w:hideMark/>
          </w:tcPr>
          <w:p w14:paraId="7E709655"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40444173" w14:textId="77777777" w:rsidR="000E512F" w:rsidRPr="001E47E5" w:rsidRDefault="000E512F" w:rsidP="000E512F">
            <w:pPr>
              <w:spacing w:after="0" w:line="240" w:lineRule="auto"/>
              <w:rPr>
                <w:rFonts w:ascii="Times New Roman" w:eastAsia="Times New Roman" w:hAnsi="Times New Roman" w:cs="Times New Roman"/>
                <w:b/>
                <w:bCs/>
                <w:i/>
                <w:iCs/>
                <w:color w:val="000000"/>
                <w:sz w:val="20"/>
                <w:szCs w:val="20"/>
                <w:lang w:eastAsia="sk-SK"/>
              </w:rPr>
            </w:pPr>
            <w:r w:rsidRPr="001E47E5">
              <w:rPr>
                <w:rFonts w:ascii="Times New Roman" w:eastAsia="Times New Roman" w:hAnsi="Times New Roman" w:cs="Times New Roman"/>
                <w:b/>
                <w:bCs/>
                <w:i/>
                <w:iCs/>
                <w:color w:val="000000"/>
                <w:sz w:val="20"/>
                <w:szCs w:val="20"/>
                <w:lang w:eastAsia="sk-SK"/>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158FBB50"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hAnsi="Times New Roman" w:cs="Times New Roman"/>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46119A12"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hAnsi="Times New Roman" w:cs="Times New Roman"/>
                <w:sz w:val="20"/>
                <w:szCs w:val="20"/>
              </w:rPr>
              <w:t>0</w:t>
            </w:r>
          </w:p>
        </w:tc>
      </w:tr>
      <w:tr w:rsidR="000E512F" w:rsidRPr="001E47E5" w14:paraId="16F8B131" w14:textId="77777777" w:rsidTr="000E512F">
        <w:trPr>
          <w:gridAfter w:val="2"/>
          <w:wAfter w:w="583" w:type="dxa"/>
          <w:trHeight w:val="480"/>
        </w:trPr>
        <w:tc>
          <w:tcPr>
            <w:tcW w:w="146" w:type="dxa"/>
            <w:tcBorders>
              <w:top w:val="nil"/>
              <w:left w:val="nil"/>
              <w:bottom w:val="nil"/>
              <w:right w:val="nil"/>
            </w:tcBorders>
            <w:shd w:val="clear" w:color="auto" w:fill="auto"/>
            <w:noWrap/>
            <w:vAlign w:val="bottom"/>
            <w:hideMark/>
          </w:tcPr>
          <w:p w14:paraId="24558036"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F244A7D" w14:textId="77777777" w:rsidR="000E512F" w:rsidRPr="001E47E5" w:rsidRDefault="000E512F" w:rsidP="000E512F">
            <w:pPr>
              <w:spacing w:after="0" w:line="240" w:lineRule="auto"/>
              <w:rPr>
                <w:rFonts w:ascii="Times New Roman" w:eastAsia="Times New Roman" w:hAnsi="Times New Roman" w:cs="Times New Roman"/>
                <w:b/>
                <w:bCs/>
                <w:i/>
                <w:iCs/>
                <w:color w:val="000000"/>
                <w:sz w:val="20"/>
                <w:szCs w:val="20"/>
                <w:lang w:eastAsia="sk-SK"/>
              </w:rPr>
            </w:pPr>
            <w:r w:rsidRPr="001E47E5">
              <w:rPr>
                <w:rFonts w:ascii="Times New Roman" w:eastAsia="Times New Roman" w:hAnsi="Times New Roman" w:cs="Times New Roman"/>
                <w:b/>
                <w:bCs/>
                <w:i/>
                <w:iCs/>
                <w:color w:val="000000"/>
                <w:sz w:val="20"/>
                <w:szCs w:val="20"/>
                <w:lang w:eastAsia="sk-SK"/>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2E4AAA6D"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hAnsi="Times New Roman" w:cs="Times New Roman"/>
                <w:sz w:val="20"/>
                <w:szCs w:val="20"/>
              </w:rPr>
              <w:t>13 211 090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178EBBF"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hAnsi="Times New Roman" w:cs="Times New Roman"/>
                <w:sz w:val="20"/>
                <w:szCs w:val="20"/>
              </w:rPr>
              <w:t>0</w:t>
            </w:r>
          </w:p>
        </w:tc>
      </w:tr>
      <w:tr w:rsidR="000E512F" w:rsidRPr="001E47E5" w14:paraId="3CF372B3" w14:textId="77777777" w:rsidTr="000E512F">
        <w:trPr>
          <w:gridAfter w:val="2"/>
          <w:wAfter w:w="583" w:type="dxa"/>
          <w:trHeight w:val="480"/>
        </w:trPr>
        <w:tc>
          <w:tcPr>
            <w:tcW w:w="146" w:type="dxa"/>
            <w:tcBorders>
              <w:top w:val="nil"/>
              <w:left w:val="nil"/>
              <w:bottom w:val="nil"/>
              <w:right w:val="nil"/>
            </w:tcBorders>
            <w:shd w:val="clear" w:color="auto" w:fill="auto"/>
            <w:noWrap/>
            <w:vAlign w:val="bottom"/>
          </w:tcPr>
          <w:p w14:paraId="5DB25E1F"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1ED1AEE2" w14:textId="77777777" w:rsidR="000E512F" w:rsidRPr="001E47E5" w:rsidRDefault="000E512F" w:rsidP="000E512F">
            <w:pPr>
              <w:spacing w:after="0" w:line="240" w:lineRule="auto"/>
              <w:rPr>
                <w:rFonts w:ascii="Times New Roman" w:eastAsia="Times New Roman" w:hAnsi="Times New Roman" w:cs="Times New Roman"/>
                <w:b/>
                <w:bCs/>
                <w:i/>
                <w:iCs/>
                <w:color w:val="000000"/>
                <w:sz w:val="20"/>
                <w:szCs w:val="20"/>
                <w:lang w:eastAsia="sk-SK"/>
              </w:rPr>
            </w:pPr>
            <w:r w:rsidRPr="001E47E5">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6D2EC733"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hAnsi="Times New Roman" w:cs="Times New Roman"/>
                <w:sz w:val="20"/>
                <w:szCs w:val="20"/>
              </w:rPr>
              <w:t>616 303</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369CEB16"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hAnsi="Times New Roman" w:cs="Times New Roman"/>
                <w:sz w:val="20"/>
                <w:szCs w:val="20"/>
              </w:rPr>
              <w:t>0</w:t>
            </w:r>
          </w:p>
        </w:tc>
      </w:tr>
      <w:tr w:rsidR="000E512F" w:rsidRPr="001E47E5" w14:paraId="0D7ADA95" w14:textId="77777777" w:rsidTr="000E512F">
        <w:trPr>
          <w:gridAfter w:val="2"/>
          <w:wAfter w:w="583" w:type="dxa"/>
          <w:trHeight w:val="600"/>
        </w:trPr>
        <w:tc>
          <w:tcPr>
            <w:tcW w:w="146" w:type="dxa"/>
            <w:tcBorders>
              <w:top w:val="nil"/>
              <w:left w:val="nil"/>
              <w:bottom w:val="nil"/>
              <w:right w:val="nil"/>
            </w:tcBorders>
            <w:shd w:val="clear" w:color="auto" w:fill="auto"/>
            <w:noWrap/>
            <w:vAlign w:val="bottom"/>
            <w:hideMark/>
          </w:tcPr>
          <w:p w14:paraId="62841059"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7F73FF91" w14:textId="77777777" w:rsidR="000E512F" w:rsidRPr="001E47E5" w:rsidRDefault="000E512F" w:rsidP="000E512F">
            <w:pPr>
              <w:spacing w:after="0" w:line="240" w:lineRule="auto"/>
              <w:rPr>
                <w:rFonts w:ascii="Times New Roman" w:eastAsia="Times New Roman" w:hAnsi="Times New Roman" w:cs="Times New Roman"/>
                <w:b/>
                <w:bCs/>
                <w:i/>
                <w:iCs/>
                <w:color w:val="000000"/>
                <w:sz w:val="20"/>
                <w:szCs w:val="20"/>
                <w:lang w:eastAsia="sk-SK"/>
              </w:rPr>
            </w:pPr>
            <w:r w:rsidRPr="001E47E5">
              <w:rPr>
                <w:rFonts w:ascii="Times New Roman" w:eastAsia="Times New Roman" w:hAnsi="Times New Roman" w:cs="Times New Roman"/>
                <w:b/>
                <w:bCs/>
                <w:i/>
                <w:iCs/>
                <w:color w:val="000000"/>
                <w:sz w:val="20"/>
                <w:szCs w:val="20"/>
                <w:lang w:eastAsia="sk-SK"/>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20206AB1"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hAnsi="Times New Roman" w:cs="Times New Roman"/>
                <w:sz w:val="20"/>
                <w:szCs w:val="20"/>
              </w:rPr>
              <w:t>13 827 393</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16A9DC73"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hAnsi="Times New Roman" w:cs="Times New Roman"/>
                <w:sz w:val="20"/>
                <w:szCs w:val="20"/>
              </w:rPr>
              <w:t>0</w:t>
            </w:r>
          </w:p>
        </w:tc>
      </w:tr>
      <w:tr w:rsidR="000E512F" w:rsidRPr="001E47E5" w14:paraId="44A3044D" w14:textId="77777777" w:rsidTr="000E512F">
        <w:trPr>
          <w:trHeight w:val="270"/>
        </w:trPr>
        <w:tc>
          <w:tcPr>
            <w:tcW w:w="146" w:type="dxa"/>
            <w:tcBorders>
              <w:top w:val="nil"/>
              <w:left w:val="nil"/>
              <w:bottom w:val="nil"/>
              <w:right w:val="nil"/>
            </w:tcBorders>
            <w:shd w:val="clear" w:color="auto" w:fill="auto"/>
            <w:noWrap/>
            <w:vAlign w:val="bottom"/>
            <w:hideMark/>
          </w:tcPr>
          <w:p w14:paraId="3D203F73"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192EF6E5"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39C27A0C" w14:textId="77777777" w:rsidR="000E512F" w:rsidRPr="001E47E5" w:rsidRDefault="000E512F" w:rsidP="000E512F">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74D0E371" w14:textId="77777777" w:rsidR="000E512F" w:rsidRPr="001E47E5" w:rsidRDefault="000E512F" w:rsidP="000E512F">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0CB25207" w14:textId="77777777" w:rsidR="000E512F" w:rsidRPr="001E47E5" w:rsidRDefault="000E512F" w:rsidP="000E512F">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30018048" w14:textId="77777777" w:rsidR="000E512F" w:rsidRPr="001E47E5" w:rsidRDefault="000E512F" w:rsidP="000E512F">
            <w:pPr>
              <w:spacing w:after="0" w:line="240" w:lineRule="auto"/>
              <w:rPr>
                <w:rFonts w:ascii="Times New Roman" w:eastAsia="Times New Roman" w:hAnsi="Times New Roman" w:cs="Times New Roman"/>
                <w:i/>
                <w:iCs/>
                <w:color w:val="000000"/>
                <w:sz w:val="20"/>
                <w:szCs w:val="20"/>
                <w:lang w:eastAsia="sk-SK"/>
              </w:rPr>
            </w:pPr>
          </w:p>
        </w:tc>
      </w:tr>
      <w:tr w:rsidR="000E512F" w:rsidRPr="001E47E5" w14:paraId="4C2CFEA7" w14:textId="77777777" w:rsidTr="000E512F">
        <w:trPr>
          <w:gridAfter w:val="2"/>
          <w:wAfter w:w="583" w:type="dxa"/>
          <w:trHeight w:val="412"/>
        </w:trPr>
        <w:tc>
          <w:tcPr>
            <w:tcW w:w="146" w:type="dxa"/>
            <w:tcBorders>
              <w:top w:val="nil"/>
              <w:left w:val="nil"/>
              <w:bottom w:val="nil"/>
              <w:right w:val="nil"/>
            </w:tcBorders>
            <w:shd w:val="clear" w:color="auto" w:fill="auto"/>
            <w:noWrap/>
            <w:vAlign w:val="bottom"/>
            <w:hideMark/>
          </w:tcPr>
          <w:p w14:paraId="3CE8D604"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B671B56" w14:textId="77777777" w:rsidR="000E512F" w:rsidRPr="001E47E5" w:rsidRDefault="000E512F" w:rsidP="000E512F">
            <w:pPr>
              <w:spacing w:after="0" w:line="240" w:lineRule="auto"/>
              <w:rPr>
                <w:rFonts w:ascii="Times New Roman" w:eastAsia="Times New Roman" w:hAnsi="Times New Roman" w:cs="Times New Roman"/>
                <w:i/>
                <w:iCs/>
                <w:color w:val="000000"/>
                <w:lang w:eastAsia="sk-SK"/>
              </w:rPr>
            </w:pPr>
            <w:r w:rsidRPr="001E47E5">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D90A1CF"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409C6DCC"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b/>
                <w:bCs/>
                <w:color w:val="000000"/>
                <w:sz w:val="20"/>
                <w:szCs w:val="20"/>
                <w:lang w:eastAsia="sk-SK"/>
              </w:rPr>
              <w:t>Zníženie nákladov v € na PP</w:t>
            </w:r>
          </w:p>
        </w:tc>
      </w:tr>
      <w:tr w:rsidR="000E512F" w:rsidRPr="001E47E5" w14:paraId="2F8E73B8" w14:textId="77777777" w:rsidTr="000E512F">
        <w:trPr>
          <w:gridAfter w:val="2"/>
          <w:wAfter w:w="583" w:type="dxa"/>
          <w:trHeight w:val="840"/>
        </w:trPr>
        <w:tc>
          <w:tcPr>
            <w:tcW w:w="146" w:type="dxa"/>
            <w:tcBorders>
              <w:top w:val="nil"/>
              <w:left w:val="nil"/>
              <w:bottom w:val="nil"/>
              <w:right w:val="nil"/>
            </w:tcBorders>
            <w:shd w:val="clear" w:color="auto" w:fill="auto"/>
            <w:noWrap/>
            <w:vAlign w:val="bottom"/>
            <w:hideMark/>
          </w:tcPr>
          <w:p w14:paraId="75323ACF"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230717DA" w14:textId="77777777" w:rsidR="000E512F" w:rsidRPr="001E47E5" w:rsidRDefault="000E512F" w:rsidP="000E512F">
            <w:pPr>
              <w:spacing w:after="0" w:line="240" w:lineRule="auto"/>
              <w:rPr>
                <w:rFonts w:ascii="Times New Roman" w:eastAsia="Times New Roman" w:hAnsi="Times New Roman" w:cs="Times New Roman"/>
                <w:b/>
                <w:bCs/>
                <w:i/>
                <w:iCs/>
                <w:color w:val="000000"/>
                <w:sz w:val="20"/>
                <w:szCs w:val="20"/>
                <w:lang w:eastAsia="sk-SK"/>
              </w:rPr>
            </w:pPr>
            <w:r w:rsidRPr="001E47E5">
              <w:rPr>
                <w:rFonts w:ascii="Times New Roman" w:eastAsia="Times New Roman" w:hAnsi="Times New Roman" w:cs="Times New Roman"/>
                <w:b/>
                <w:bCs/>
                <w:i/>
                <w:iCs/>
                <w:color w:val="000000"/>
                <w:sz w:val="20"/>
                <w:szCs w:val="20"/>
                <w:lang w:eastAsia="sk-SK"/>
              </w:rPr>
              <w:t>F. Úplná harmonizácia práva EÚ</w:t>
            </w:r>
            <w:r w:rsidRPr="001E47E5">
              <w:rPr>
                <w:rFonts w:ascii="Times New Roman" w:eastAsia="Times New Roman" w:hAnsi="Times New Roman" w:cs="Times New Roman"/>
                <w:b/>
                <w:bCs/>
                <w:i/>
                <w:iCs/>
                <w:color w:val="000000"/>
                <w:sz w:val="20"/>
                <w:szCs w:val="20"/>
                <w:lang w:eastAsia="sk-SK"/>
              </w:rPr>
              <w:br/>
            </w:r>
            <w:r w:rsidRPr="001E47E5">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622ADB63" w14:textId="77777777" w:rsidR="000E512F" w:rsidRPr="001E47E5" w:rsidRDefault="000E512F" w:rsidP="000E512F">
            <w:pPr>
              <w:spacing w:after="0" w:line="240" w:lineRule="auto"/>
              <w:jc w:val="center"/>
              <w:rPr>
                <w:rFonts w:ascii="Times New Roman" w:hAnsi="Times New Roman" w:cs="Times New Roman"/>
                <w:sz w:val="20"/>
                <w:szCs w:val="20"/>
              </w:rPr>
            </w:pPr>
            <w:r w:rsidRPr="001E47E5">
              <w:rPr>
                <w:rFonts w:ascii="Times New Roman" w:hAnsi="Times New Roman" w:cs="Times New Roman"/>
                <w:sz w:val="20"/>
                <w:szCs w:val="20"/>
              </w:rPr>
              <w:t>13 827 393</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212F52F6" w14:textId="77777777" w:rsidR="000E512F" w:rsidRPr="001E47E5" w:rsidRDefault="000E512F" w:rsidP="000E512F">
            <w:pPr>
              <w:spacing w:after="0" w:line="240" w:lineRule="auto"/>
              <w:jc w:val="center"/>
              <w:rPr>
                <w:rFonts w:ascii="Times New Roman" w:hAnsi="Times New Roman" w:cs="Times New Roman"/>
                <w:sz w:val="20"/>
                <w:szCs w:val="20"/>
              </w:rPr>
            </w:pPr>
            <w:r w:rsidRPr="001E47E5">
              <w:rPr>
                <w:rFonts w:ascii="Times New Roman" w:hAnsi="Times New Roman" w:cs="Times New Roman"/>
                <w:sz w:val="20"/>
                <w:szCs w:val="20"/>
              </w:rPr>
              <w:t>0</w:t>
            </w:r>
          </w:p>
        </w:tc>
      </w:tr>
      <w:tr w:rsidR="000E512F" w:rsidRPr="001E47E5" w14:paraId="6A4B73E9" w14:textId="77777777" w:rsidTr="000E512F">
        <w:trPr>
          <w:gridAfter w:val="2"/>
          <w:wAfter w:w="583" w:type="dxa"/>
          <w:trHeight w:val="486"/>
        </w:trPr>
        <w:tc>
          <w:tcPr>
            <w:tcW w:w="146" w:type="dxa"/>
            <w:tcBorders>
              <w:top w:val="nil"/>
              <w:left w:val="nil"/>
              <w:bottom w:val="nil"/>
              <w:right w:val="nil"/>
            </w:tcBorders>
            <w:shd w:val="clear" w:color="auto" w:fill="auto"/>
            <w:noWrap/>
            <w:vAlign w:val="bottom"/>
            <w:hideMark/>
          </w:tcPr>
          <w:p w14:paraId="06FA3735"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4824AC2B" w14:textId="77777777" w:rsidR="000E512F" w:rsidRPr="001E47E5" w:rsidRDefault="000E512F" w:rsidP="000E512F">
            <w:pPr>
              <w:spacing w:after="0" w:line="240" w:lineRule="auto"/>
              <w:rPr>
                <w:rFonts w:ascii="Times New Roman" w:eastAsia="Times New Roman" w:hAnsi="Times New Roman" w:cs="Times New Roman"/>
                <w:b/>
                <w:bCs/>
                <w:i/>
                <w:iCs/>
                <w:color w:val="000000"/>
                <w:sz w:val="20"/>
                <w:szCs w:val="20"/>
                <w:lang w:eastAsia="sk-SK"/>
              </w:rPr>
            </w:pPr>
            <w:r w:rsidRPr="001E47E5">
              <w:rPr>
                <w:rFonts w:ascii="Times New Roman" w:eastAsia="Times New Roman" w:hAnsi="Times New Roman" w:cs="Times New Roman"/>
                <w:b/>
                <w:bCs/>
                <w:i/>
                <w:iCs/>
                <w:color w:val="000000"/>
                <w:sz w:val="20"/>
                <w:szCs w:val="20"/>
                <w:lang w:eastAsia="sk-SK"/>
              </w:rPr>
              <w:t>G.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41EDC523" w14:textId="77777777" w:rsidR="000E512F" w:rsidRPr="001E47E5" w:rsidRDefault="000E512F" w:rsidP="000E512F">
            <w:pPr>
              <w:spacing w:after="0" w:line="240" w:lineRule="auto"/>
              <w:jc w:val="center"/>
              <w:rPr>
                <w:rFonts w:ascii="Times New Roman" w:hAnsi="Times New Roman" w:cs="Times New Roman"/>
                <w:sz w:val="20"/>
                <w:szCs w:val="20"/>
              </w:rPr>
            </w:pPr>
            <w:r w:rsidRPr="001E47E5">
              <w:rPr>
                <w:rFonts w:ascii="Times New Roman" w:hAnsi="Times New Roman" w:cs="Times New Roman"/>
                <w:sz w:val="20"/>
                <w:szCs w:val="20"/>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59B0AF8C" w14:textId="77777777" w:rsidR="000E512F" w:rsidRPr="001E47E5" w:rsidRDefault="000E512F" w:rsidP="000E512F">
            <w:pPr>
              <w:spacing w:after="0" w:line="240" w:lineRule="auto"/>
              <w:jc w:val="center"/>
              <w:rPr>
                <w:rFonts w:ascii="Times New Roman" w:hAnsi="Times New Roman" w:cs="Times New Roman"/>
                <w:sz w:val="20"/>
                <w:szCs w:val="20"/>
              </w:rPr>
            </w:pPr>
            <w:r w:rsidRPr="001E47E5">
              <w:rPr>
                <w:rFonts w:ascii="Times New Roman" w:hAnsi="Times New Roman" w:cs="Times New Roman"/>
                <w:sz w:val="20"/>
                <w:szCs w:val="20"/>
              </w:rPr>
              <w:t>0</w:t>
            </w:r>
          </w:p>
        </w:tc>
      </w:tr>
      <w:tr w:rsidR="000E512F" w:rsidRPr="001E47E5" w14:paraId="269B068F" w14:textId="77777777" w:rsidTr="000E512F">
        <w:trPr>
          <w:trHeight w:val="360"/>
        </w:trPr>
        <w:tc>
          <w:tcPr>
            <w:tcW w:w="146" w:type="dxa"/>
            <w:tcBorders>
              <w:top w:val="nil"/>
              <w:left w:val="nil"/>
              <w:bottom w:val="nil"/>
              <w:right w:val="nil"/>
            </w:tcBorders>
            <w:shd w:val="clear" w:color="auto" w:fill="auto"/>
            <w:noWrap/>
            <w:vAlign w:val="bottom"/>
            <w:hideMark/>
          </w:tcPr>
          <w:p w14:paraId="6BAA9A9E"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0AFA8B99"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48CA2B26" w14:textId="77777777" w:rsidR="000E512F" w:rsidRPr="001E47E5" w:rsidRDefault="000E512F" w:rsidP="000E512F">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EE61DFC" w14:textId="77777777" w:rsidR="000E512F" w:rsidRPr="001E47E5" w:rsidRDefault="000E512F" w:rsidP="000E512F">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2D190379" w14:textId="77777777" w:rsidR="000E512F" w:rsidRPr="001E47E5" w:rsidRDefault="000E512F" w:rsidP="000E512F">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33A6F1E7" w14:textId="77777777" w:rsidR="000E512F" w:rsidRPr="001E47E5" w:rsidRDefault="000E512F" w:rsidP="000E512F">
            <w:pPr>
              <w:spacing w:after="0" w:line="240" w:lineRule="auto"/>
              <w:rPr>
                <w:rFonts w:ascii="Times New Roman" w:eastAsia="Times New Roman" w:hAnsi="Times New Roman" w:cs="Times New Roman"/>
                <w:i/>
                <w:iCs/>
                <w:color w:val="000000"/>
                <w:sz w:val="20"/>
                <w:szCs w:val="20"/>
                <w:lang w:eastAsia="sk-SK"/>
              </w:rPr>
            </w:pPr>
          </w:p>
        </w:tc>
      </w:tr>
      <w:tr w:rsidR="000E512F" w:rsidRPr="001E47E5" w14:paraId="39D01A5D" w14:textId="77777777" w:rsidTr="000E512F">
        <w:trPr>
          <w:gridAfter w:val="2"/>
          <w:wAfter w:w="583" w:type="dxa"/>
          <w:trHeight w:val="390"/>
        </w:trPr>
        <w:tc>
          <w:tcPr>
            <w:tcW w:w="146" w:type="dxa"/>
            <w:tcBorders>
              <w:top w:val="nil"/>
              <w:left w:val="nil"/>
              <w:bottom w:val="nil"/>
              <w:right w:val="nil"/>
            </w:tcBorders>
            <w:shd w:val="clear" w:color="auto" w:fill="auto"/>
            <w:noWrap/>
            <w:vAlign w:val="bottom"/>
            <w:hideMark/>
          </w:tcPr>
          <w:p w14:paraId="2457550C"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5667092" w14:textId="77777777" w:rsidR="000E512F" w:rsidRPr="001E47E5" w:rsidRDefault="000E512F" w:rsidP="000E512F">
            <w:pPr>
              <w:spacing w:after="0" w:line="240" w:lineRule="auto"/>
              <w:rPr>
                <w:rFonts w:ascii="Times New Roman" w:eastAsia="Times New Roman" w:hAnsi="Times New Roman" w:cs="Times New Roman"/>
                <w:i/>
                <w:iCs/>
                <w:color w:val="000000"/>
                <w:sz w:val="20"/>
                <w:szCs w:val="20"/>
                <w:lang w:eastAsia="sk-SK"/>
              </w:rPr>
            </w:pPr>
            <w:r w:rsidRPr="001E47E5">
              <w:rPr>
                <w:rFonts w:ascii="Times New Roman" w:eastAsia="Times New Roman" w:hAnsi="Times New Roman" w:cs="Times New Roman"/>
                <w:i/>
                <w:iCs/>
                <w:color w:val="000000"/>
                <w:sz w:val="20"/>
                <w:szCs w:val="20"/>
                <w:lang w:eastAsia="sk-SK"/>
              </w:rPr>
              <w:t>VÝPOČET PRAVIDLA 1in 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05F96842" w14:textId="77777777" w:rsidR="000E512F" w:rsidRPr="001E47E5" w:rsidRDefault="000E512F" w:rsidP="000E512F">
            <w:pPr>
              <w:spacing w:after="0" w:line="240" w:lineRule="auto"/>
              <w:jc w:val="center"/>
              <w:rPr>
                <w:rFonts w:ascii="Times New Roman" w:eastAsia="Times New Roman" w:hAnsi="Times New Roman" w:cs="Times New Roman"/>
                <w:color w:val="000000"/>
                <w:sz w:val="20"/>
                <w:szCs w:val="20"/>
                <w:lang w:eastAsia="sk-SK"/>
              </w:rPr>
            </w:pPr>
            <w:r w:rsidRPr="001E47E5">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4C216FF0" w14:textId="77777777" w:rsidR="000E512F" w:rsidRPr="001E47E5" w:rsidRDefault="000E512F" w:rsidP="000E512F">
            <w:pPr>
              <w:spacing w:after="0" w:line="240" w:lineRule="auto"/>
              <w:jc w:val="center"/>
              <w:rPr>
                <w:rFonts w:ascii="Times New Roman" w:eastAsia="Times New Roman" w:hAnsi="Times New Roman" w:cs="Times New Roman"/>
                <w:color w:val="000000"/>
                <w:sz w:val="20"/>
                <w:szCs w:val="20"/>
                <w:lang w:eastAsia="sk-SK"/>
              </w:rPr>
            </w:pPr>
            <w:r w:rsidRPr="001E47E5">
              <w:rPr>
                <w:rFonts w:ascii="Times New Roman" w:eastAsia="Times New Roman" w:hAnsi="Times New Roman" w:cs="Times New Roman"/>
                <w:color w:val="000000"/>
                <w:sz w:val="20"/>
                <w:szCs w:val="20"/>
                <w:lang w:eastAsia="sk-SK"/>
              </w:rPr>
              <w:t>OUT</w:t>
            </w:r>
          </w:p>
        </w:tc>
      </w:tr>
      <w:tr w:rsidR="000E512F" w:rsidRPr="001E47E5" w14:paraId="05BCBCB5" w14:textId="77777777" w:rsidTr="000E512F">
        <w:trPr>
          <w:gridAfter w:val="2"/>
          <w:wAfter w:w="583" w:type="dxa"/>
          <w:trHeight w:val="390"/>
        </w:trPr>
        <w:tc>
          <w:tcPr>
            <w:tcW w:w="146" w:type="dxa"/>
            <w:tcBorders>
              <w:top w:val="nil"/>
              <w:left w:val="nil"/>
              <w:bottom w:val="nil"/>
              <w:right w:val="nil"/>
            </w:tcBorders>
            <w:shd w:val="clear" w:color="auto" w:fill="auto"/>
            <w:noWrap/>
            <w:vAlign w:val="bottom"/>
            <w:hideMark/>
          </w:tcPr>
          <w:p w14:paraId="7F9022E5" w14:textId="77777777" w:rsidR="000E512F" w:rsidRPr="001E47E5" w:rsidRDefault="000E512F" w:rsidP="000E512F">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5797A579" w14:textId="77777777" w:rsidR="000E512F" w:rsidRPr="001E47E5" w:rsidRDefault="000E512F" w:rsidP="000E512F">
            <w:pPr>
              <w:spacing w:after="0" w:line="240" w:lineRule="auto"/>
              <w:rPr>
                <w:rFonts w:ascii="Times New Roman" w:eastAsia="Times New Roman" w:hAnsi="Times New Roman" w:cs="Times New Roman"/>
                <w:i/>
                <w:iCs/>
                <w:color w:val="000000"/>
                <w:sz w:val="20"/>
                <w:szCs w:val="20"/>
                <w:lang w:eastAsia="sk-SK"/>
              </w:rPr>
            </w:pPr>
            <w:r w:rsidRPr="001E47E5">
              <w:rPr>
                <w:rFonts w:ascii="Times New Roman" w:eastAsia="Times New Roman" w:hAnsi="Times New Roman" w:cs="Times New Roman"/>
                <w:b/>
                <w:i/>
                <w:iCs/>
                <w:color w:val="000000"/>
                <w:sz w:val="20"/>
                <w:szCs w:val="20"/>
                <w:lang w:eastAsia="sk-SK"/>
              </w:rPr>
              <w:t>H.</w:t>
            </w:r>
            <w:r w:rsidRPr="001E47E5">
              <w:rPr>
                <w:rFonts w:ascii="Times New Roman" w:eastAsia="Times New Roman" w:hAnsi="Times New Roman" w:cs="Times New Roman"/>
                <w:i/>
                <w:iCs/>
                <w:color w:val="000000"/>
                <w:sz w:val="20"/>
                <w:szCs w:val="20"/>
                <w:lang w:eastAsia="sk-SK"/>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6FB3FD94" w14:textId="77777777" w:rsidR="000E512F" w:rsidRPr="001E47E5" w:rsidRDefault="000E512F" w:rsidP="000E512F">
            <w:pPr>
              <w:spacing w:after="0" w:line="240" w:lineRule="auto"/>
              <w:jc w:val="center"/>
              <w:rPr>
                <w:rFonts w:ascii="Times New Roman" w:eastAsia="Times New Roman" w:hAnsi="Times New Roman" w:cs="Times New Roman"/>
                <w:color w:val="000000"/>
                <w:sz w:val="20"/>
                <w:szCs w:val="20"/>
                <w:lang w:eastAsia="sk-SK"/>
              </w:rPr>
            </w:pPr>
            <w:r w:rsidRPr="001E47E5">
              <w:rPr>
                <w:rFonts w:ascii="Times New Roman" w:eastAsia="Times New Roman" w:hAnsi="Times New Roman" w:cs="Times New Roman"/>
                <w:color w:val="000000"/>
                <w:sz w:val="20"/>
                <w:szCs w:val="20"/>
                <w:lang w:eastAsia="sk-SK"/>
              </w:rPr>
              <w:t>0 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671402CF" w14:textId="77777777" w:rsidR="000E512F" w:rsidRPr="001E47E5" w:rsidRDefault="000E512F" w:rsidP="000E512F">
            <w:pPr>
              <w:spacing w:after="0" w:line="240" w:lineRule="auto"/>
              <w:jc w:val="center"/>
              <w:rPr>
                <w:rFonts w:ascii="Times New Roman" w:eastAsia="Times New Roman" w:hAnsi="Times New Roman" w:cs="Times New Roman"/>
                <w:color w:val="000000"/>
                <w:sz w:val="20"/>
                <w:szCs w:val="20"/>
                <w:lang w:eastAsia="sk-SK"/>
              </w:rPr>
            </w:pPr>
            <w:r w:rsidRPr="001E47E5">
              <w:rPr>
                <w:rFonts w:ascii="Times New Roman" w:eastAsia="Times New Roman" w:hAnsi="Times New Roman" w:cs="Times New Roman"/>
                <w:color w:val="000000"/>
                <w:sz w:val="20"/>
                <w:szCs w:val="20"/>
                <w:lang w:eastAsia="sk-SK"/>
              </w:rPr>
              <w:t> 0</w:t>
            </w:r>
          </w:p>
        </w:tc>
      </w:tr>
    </w:tbl>
    <w:p w14:paraId="34A028BF" w14:textId="77777777" w:rsidR="000E512F" w:rsidRPr="001E47E5" w:rsidRDefault="000E512F" w:rsidP="000E512F">
      <w:pPr>
        <w:rPr>
          <w:rFonts w:ascii="Times New Roman" w:eastAsia="Calibri" w:hAnsi="Times New Roman" w:cs="Times New Roman"/>
          <w:b/>
          <w:sz w:val="24"/>
          <w:szCs w:val="24"/>
          <w:highlight w:val="yellow"/>
        </w:rPr>
        <w:sectPr w:rsidR="000E512F" w:rsidRPr="001E47E5" w:rsidSect="00CB47FD">
          <w:headerReference w:type="default" r:id="rId16"/>
          <w:pgSz w:w="11906" w:h="16838"/>
          <w:pgMar w:top="993" w:right="1417" w:bottom="1417" w:left="1417" w:header="708" w:footer="708" w:gutter="0"/>
          <w:cols w:space="708"/>
          <w:docGrid w:linePitch="360"/>
        </w:sectPr>
      </w:pPr>
    </w:p>
    <w:p w14:paraId="7F47FBAD" w14:textId="77777777" w:rsidR="000E512F" w:rsidRPr="001E47E5" w:rsidRDefault="000E512F" w:rsidP="000E512F">
      <w:pPr>
        <w:rPr>
          <w:rFonts w:ascii="Times New Roman" w:eastAsia="Calibri" w:hAnsi="Times New Roman" w:cs="Times New Roman"/>
          <w:b/>
          <w:i/>
          <w:iCs/>
          <w:sz w:val="24"/>
          <w:szCs w:val="24"/>
        </w:rPr>
      </w:pPr>
      <w:r w:rsidRPr="001E47E5">
        <w:rPr>
          <w:rFonts w:ascii="Times New Roman" w:eastAsia="Calibri" w:hAnsi="Times New Roman" w:cs="Times New Roman"/>
          <w:b/>
          <w:i/>
          <w:iCs/>
          <w:sz w:val="24"/>
          <w:szCs w:val="24"/>
        </w:rPr>
        <w:lastRenderedPageBreak/>
        <w:t>3.1.2 Výpočty vplyvov jednotlivých regulácií na zmeny v nákladoch podnikateľov</w:t>
      </w:r>
      <w:r w:rsidRPr="001E47E5">
        <w:rPr>
          <w:rFonts w:ascii="Times New Roman" w:eastAsia="Calibri" w:hAnsi="Times New Roman" w:cs="Times New Roman"/>
          <w:i/>
          <w:sz w:val="24"/>
          <w:szCs w:val="24"/>
        </w:rPr>
        <w:tab/>
      </w:r>
      <w:r w:rsidRPr="001E47E5">
        <w:rPr>
          <w:rFonts w:ascii="Times New Roman" w:eastAsia="Calibri" w:hAnsi="Times New Roman" w:cs="Times New Roman"/>
          <w:i/>
          <w:sz w:val="24"/>
          <w:szCs w:val="24"/>
        </w:rPr>
        <w:tab/>
      </w:r>
      <w:r w:rsidRPr="001E47E5">
        <w:rPr>
          <w:rFonts w:ascii="Times New Roman" w:eastAsia="Calibri" w:hAnsi="Times New Roman" w:cs="Times New Roman"/>
          <w:i/>
          <w:sz w:val="24"/>
          <w:szCs w:val="24"/>
        </w:rPr>
        <w:tab/>
      </w:r>
      <w:r w:rsidRPr="001E47E5">
        <w:rPr>
          <w:rFonts w:ascii="Times New Roman" w:eastAsia="Calibri" w:hAnsi="Times New Roman" w:cs="Times New Roman"/>
          <w:i/>
          <w:sz w:val="24"/>
          <w:szCs w:val="24"/>
        </w:rPr>
        <w:tab/>
      </w:r>
      <w:r w:rsidRPr="001E47E5">
        <w:rPr>
          <w:rFonts w:ascii="Times New Roman" w:eastAsia="Calibri" w:hAnsi="Times New Roman" w:cs="Times New Roman"/>
          <w:i/>
          <w:sz w:val="24"/>
          <w:szCs w:val="24"/>
        </w:rPr>
        <w:tab/>
      </w:r>
      <w:r w:rsidRPr="001E47E5">
        <w:rPr>
          <w:rFonts w:ascii="Times New Roman" w:eastAsia="Calibri" w:hAnsi="Times New Roman" w:cs="Times New Roman"/>
          <w:i/>
          <w:sz w:val="24"/>
          <w:szCs w:val="24"/>
        </w:rPr>
        <w:tab/>
      </w:r>
      <w:r w:rsidRPr="001E47E5">
        <w:rPr>
          <w:rFonts w:ascii="Times New Roman" w:eastAsia="Calibri" w:hAnsi="Times New Roman" w:cs="Times New Roman"/>
          <w:i/>
          <w:sz w:val="24"/>
          <w:szCs w:val="24"/>
        </w:rPr>
        <w:tab/>
      </w:r>
      <w:r w:rsidRPr="001E47E5">
        <w:rPr>
          <w:rFonts w:ascii="Times New Roman" w:eastAsia="Calibri" w:hAnsi="Times New Roman" w:cs="Times New Roman"/>
          <w:i/>
          <w:sz w:val="24"/>
          <w:szCs w:val="24"/>
        </w:rPr>
        <w:tab/>
      </w:r>
    </w:p>
    <w:p w14:paraId="078F2951" w14:textId="77777777" w:rsidR="000E512F" w:rsidRPr="001E47E5" w:rsidRDefault="000E512F" w:rsidP="000E512F">
      <w:pPr>
        <w:jc w:val="both"/>
        <w:rPr>
          <w:rFonts w:ascii="Times New Roman" w:eastAsia="Calibri" w:hAnsi="Times New Roman" w:cs="Times New Roman"/>
          <w:i/>
          <w:sz w:val="24"/>
          <w:szCs w:val="24"/>
        </w:rPr>
      </w:pPr>
      <w:r w:rsidRPr="001E47E5">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0E512F" w:rsidRPr="001E47E5" w14:paraId="5E92C85A" w14:textId="77777777" w:rsidTr="000E512F">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30B982"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A4962BA"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b/>
                <w:bCs/>
                <w:color w:val="000000"/>
                <w:sz w:val="20"/>
                <w:szCs w:val="20"/>
                <w:lang w:eastAsia="sk-SK"/>
              </w:rPr>
              <w:t xml:space="preserve">Zrozumiteľný a stručný opis regulácie </w:t>
            </w:r>
            <w:r w:rsidRPr="001E47E5">
              <w:rPr>
                <w:rFonts w:ascii="Times New Roman" w:eastAsia="Times New Roman" w:hAnsi="Times New Roman" w:cs="Times New Roman"/>
                <w:b/>
                <w:bCs/>
                <w:color w:val="000000"/>
                <w:sz w:val="20"/>
                <w:szCs w:val="20"/>
                <w:lang w:eastAsia="sk-SK"/>
              </w:rPr>
              <w:br/>
              <w:t>(dôvod zvýšenia/zníženia nákladov na PP a dôvod ponechania nákladov na PP, ktoré sú goldplatngom)</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4C5D63BE"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b/>
                <w:bCs/>
                <w:color w:val="000000"/>
                <w:sz w:val="20"/>
                <w:szCs w:val="20"/>
                <w:lang w:eastAsia="sk-SK"/>
              </w:rPr>
              <w:t>Číslo normy</w:t>
            </w:r>
            <w:r w:rsidRPr="001E47E5">
              <w:rPr>
                <w:rFonts w:ascii="Times New Roman" w:eastAsia="Times New Roman" w:hAnsi="Times New Roman" w:cs="Times New Roman"/>
                <w:b/>
                <w:bCs/>
                <w:color w:val="000000"/>
                <w:sz w:val="20"/>
                <w:szCs w:val="20"/>
                <w:lang w:eastAsia="sk-SK"/>
              </w:rPr>
              <w:br/>
            </w:r>
            <w:r w:rsidRPr="001E47E5">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35C858A0"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b/>
                <w:bCs/>
                <w:color w:val="000000"/>
                <w:sz w:val="20"/>
                <w:szCs w:val="20"/>
                <w:lang w:eastAsia="sk-SK"/>
              </w:rPr>
              <w:t>Lokalizácia</w:t>
            </w:r>
            <w:r w:rsidRPr="001E47E5">
              <w:rPr>
                <w:rFonts w:ascii="Times New Roman" w:eastAsia="Times New Roman" w:hAnsi="Times New Roman" w:cs="Times New Roman"/>
                <w:b/>
                <w:bCs/>
                <w:color w:val="000000"/>
                <w:sz w:val="20"/>
                <w:szCs w:val="20"/>
                <w:lang w:eastAsia="sk-SK"/>
              </w:rPr>
              <w:br/>
              <w:t>(§, ods., čl.,...)</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1FCBB7A" w14:textId="77777777" w:rsidR="000E512F" w:rsidRPr="001E47E5" w:rsidRDefault="000E512F" w:rsidP="000E512F">
            <w:pPr>
              <w:spacing w:after="0" w:line="240" w:lineRule="auto"/>
              <w:jc w:val="center"/>
              <w:rPr>
                <w:rFonts w:ascii="Times New Roman" w:eastAsia="Times New Roman" w:hAnsi="Times New Roman" w:cs="Times New Roman"/>
                <w:color w:val="000000"/>
                <w:sz w:val="20"/>
                <w:szCs w:val="20"/>
                <w:lang w:eastAsia="sk-SK"/>
              </w:rPr>
            </w:pPr>
            <w:r w:rsidRPr="001E47E5">
              <w:rPr>
                <w:rFonts w:ascii="Times New Roman" w:eastAsia="Times New Roman" w:hAnsi="Times New Roman" w:cs="Times New Roman"/>
                <w:b/>
                <w:bCs/>
                <w:color w:val="000000"/>
                <w:sz w:val="20"/>
                <w:szCs w:val="20"/>
                <w:lang w:eastAsia="sk-SK"/>
              </w:rPr>
              <w:t xml:space="preserve">Pôvod regulácie: </w:t>
            </w:r>
            <w:r w:rsidRPr="001E47E5">
              <w:rPr>
                <w:rFonts w:ascii="Times New Roman" w:eastAsia="Times New Roman" w:hAnsi="Times New Roman" w:cs="Times New Roman"/>
                <w:b/>
                <w:bCs/>
                <w:color w:val="000000"/>
                <w:sz w:val="20"/>
                <w:szCs w:val="20"/>
                <w:lang w:eastAsia="sk-SK"/>
              </w:rPr>
              <w:br/>
            </w:r>
            <w:r w:rsidRPr="001E47E5">
              <w:rPr>
                <w:rFonts w:ascii="Times New Roman" w:eastAsia="Times New Roman" w:hAnsi="Times New Roman" w:cs="Times New Roman"/>
                <w:color w:val="000000"/>
                <w:sz w:val="20"/>
                <w:szCs w:val="20"/>
                <w:lang w:eastAsia="sk-SK"/>
              </w:rPr>
              <w:t>SK/EÚ úplná harm./</w:t>
            </w:r>
          </w:p>
          <w:p w14:paraId="37B130DB"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color w:val="000000"/>
                <w:sz w:val="20"/>
                <w:szCs w:val="20"/>
                <w:lang w:eastAsia="sk-SK"/>
              </w:rPr>
              <w:t>Goldplating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3AC0CDD"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7642D2"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EE1F2C"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b/>
                <w:bCs/>
                <w:color w:val="000000"/>
                <w:sz w:val="20"/>
                <w:szCs w:val="20"/>
                <w:lang w:eastAsia="sk-SK"/>
              </w:rPr>
              <w:t xml:space="preserve">Počet </w:t>
            </w:r>
          </w:p>
          <w:p w14:paraId="5B2EAD41"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b/>
                <w:bCs/>
                <w:color w:val="000000"/>
                <w:sz w:val="20"/>
                <w:szCs w:val="20"/>
                <w:lang w:eastAsia="sk-SK"/>
              </w:rPr>
              <w:t xml:space="preserve">dotk.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8B98163"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A58695"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b/>
                <w:bCs/>
                <w:color w:val="000000"/>
                <w:sz w:val="20"/>
                <w:szCs w:val="20"/>
                <w:lang w:eastAsia="sk-SK"/>
              </w:rPr>
              <w:t>Vplyv na kateg. dotk. subjekt.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28F73E" w14:textId="77777777" w:rsidR="000E512F" w:rsidRPr="001E47E5" w:rsidRDefault="000E512F" w:rsidP="000E512F">
            <w:pPr>
              <w:spacing w:after="0" w:line="240" w:lineRule="auto"/>
              <w:jc w:val="center"/>
              <w:rPr>
                <w:rFonts w:ascii="Times New Roman" w:eastAsia="Times New Roman" w:hAnsi="Times New Roman" w:cs="Times New Roman"/>
                <w:bCs/>
                <w:color w:val="000000"/>
                <w:sz w:val="20"/>
                <w:szCs w:val="20"/>
                <w:lang w:eastAsia="sk-SK"/>
              </w:rPr>
            </w:pPr>
            <w:r w:rsidRPr="001E47E5">
              <w:rPr>
                <w:rFonts w:ascii="Times New Roman" w:eastAsia="Times New Roman" w:hAnsi="Times New Roman" w:cs="Times New Roman"/>
                <w:b/>
                <w:bCs/>
                <w:color w:val="000000"/>
                <w:sz w:val="20"/>
                <w:szCs w:val="20"/>
                <w:lang w:eastAsia="sk-SK"/>
              </w:rPr>
              <w:t>Druh vplyvu</w:t>
            </w:r>
            <w:r w:rsidRPr="001E47E5">
              <w:rPr>
                <w:rFonts w:ascii="Times New Roman" w:eastAsia="Times New Roman" w:hAnsi="Times New Roman" w:cs="Times New Roman"/>
                <w:b/>
                <w:bCs/>
                <w:color w:val="000000"/>
                <w:sz w:val="20"/>
                <w:szCs w:val="20"/>
                <w:lang w:eastAsia="sk-SK"/>
              </w:rPr>
              <w:br/>
            </w:r>
            <w:r w:rsidRPr="001E47E5">
              <w:rPr>
                <w:rFonts w:ascii="Times New Roman" w:eastAsia="Times New Roman" w:hAnsi="Times New Roman" w:cs="Times New Roman"/>
                <w:bCs/>
                <w:color w:val="000000"/>
                <w:sz w:val="20"/>
                <w:szCs w:val="20"/>
                <w:lang w:eastAsia="sk-SK"/>
              </w:rPr>
              <w:t xml:space="preserve">In (zvyšuje náklady) / </w:t>
            </w:r>
          </w:p>
          <w:p w14:paraId="0AA1DBC5"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bCs/>
                <w:color w:val="000000"/>
                <w:sz w:val="20"/>
                <w:szCs w:val="20"/>
                <w:lang w:eastAsia="sk-SK"/>
              </w:rPr>
              <w:t>Out (znižuje náklady</w:t>
            </w:r>
            <w:r w:rsidRPr="001E47E5">
              <w:rPr>
                <w:rFonts w:ascii="Times New Roman" w:eastAsia="Times New Roman" w:hAnsi="Times New Roman" w:cs="Times New Roman"/>
                <w:b/>
                <w:bCs/>
                <w:color w:val="000000"/>
                <w:sz w:val="20"/>
                <w:szCs w:val="20"/>
                <w:lang w:eastAsia="sk-SK"/>
              </w:rPr>
              <w:t>)</w:t>
            </w:r>
          </w:p>
          <w:p w14:paraId="7E78CAA9"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20"/>
                <w:szCs w:val="20"/>
                <w:lang w:eastAsia="sk-SK"/>
              </w:rPr>
            </w:pPr>
            <w:r w:rsidRPr="001E47E5">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B03BB23"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18"/>
                <w:szCs w:val="18"/>
                <w:lang w:eastAsia="sk-SK"/>
              </w:rPr>
            </w:pPr>
            <w:r w:rsidRPr="001E47E5">
              <w:rPr>
                <w:rFonts w:ascii="Times New Roman" w:eastAsia="Times New Roman" w:hAnsi="Times New Roman" w:cs="Times New Roman"/>
                <w:b/>
                <w:bCs/>
                <w:color w:val="000000"/>
                <w:sz w:val="18"/>
                <w:szCs w:val="18"/>
                <w:lang w:eastAsia="sk-SK"/>
              </w:rPr>
              <w:t>1in</w:t>
            </w:r>
          </w:p>
          <w:p w14:paraId="592F36C2"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18"/>
                <w:szCs w:val="18"/>
                <w:lang w:eastAsia="sk-SK"/>
              </w:rPr>
            </w:pPr>
            <w:r w:rsidRPr="001E47E5">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5492DD" w14:textId="77777777" w:rsidR="000E512F" w:rsidRPr="001E47E5" w:rsidRDefault="000E512F" w:rsidP="000E512F">
            <w:pPr>
              <w:spacing w:after="0" w:line="240" w:lineRule="auto"/>
              <w:jc w:val="center"/>
              <w:rPr>
                <w:rFonts w:ascii="Times New Roman" w:eastAsia="Times New Roman" w:hAnsi="Times New Roman" w:cs="Times New Roman"/>
                <w:b/>
                <w:bCs/>
                <w:color w:val="000000"/>
                <w:sz w:val="18"/>
                <w:szCs w:val="18"/>
                <w:lang w:eastAsia="sk-SK"/>
              </w:rPr>
            </w:pPr>
            <w:r w:rsidRPr="001E47E5">
              <w:rPr>
                <w:rFonts w:ascii="Times New Roman" w:eastAsia="Times New Roman" w:hAnsi="Times New Roman" w:cs="Times New Roman"/>
                <w:b/>
                <w:bCs/>
                <w:color w:val="000000"/>
                <w:sz w:val="18"/>
                <w:szCs w:val="18"/>
                <w:lang w:eastAsia="sk-SK"/>
              </w:rPr>
              <w:t>Goldplating celkom</w:t>
            </w:r>
          </w:p>
        </w:tc>
      </w:tr>
      <w:tr w:rsidR="000E512F" w:rsidRPr="001E47E5" w14:paraId="44755483" w14:textId="77777777" w:rsidTr="000E5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401D1B02"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1</w:t>
            </w:r>
          </w:p>
        </w:tc>
        <w:tc>
          <w:tcPr>
            <w:tcW w:w="1740" w:type="dxa"/>
            <w:shd w:val="clear" w:color="auto" w:fill="auto"/>
          </w:tcPr>
          <w:p w14:paraId="37A2054D"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Zavedenie povinnosti prevádzkovateľa základnej služby pre nové subjekty v súlade so smernicou NIS</w:t>
            </w:r>
            <w:r>
              <w:rPr>
                <w:rFonts w:ascii="Times New Roman" w:hAnsi="Times New Roman" w:cs="Times New Roman"/>
                <w:sz w:val="24"/>
                <w:szCs w:val="24"/>
              </w:rPr>
              <w:t> </w:t>
            </w:r>
            <w:r w:rsidRPr="001E47E5">
              <w:rPr>
                <w:rFonts w:ascii="Times New Roman" w:hAnsi="Times New Roman" w:cs="Times New Roman"/>
                <w:sz w:val="24"/>
                <w:szCs w:val="24"/>
              </w:rPr>
              <w:t>2</w:t>
            </w:r>
          </w:p>
        </w:tc>
        <w:tc>
          <w:tcPr>
            <w:tcW w:w="992" w:type="dxa"/>
          </w:tcPr>
          <w:p w14:paraId="5DB23230"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Pr>
                <w:rFonts w:ascii="Times New Roman" w:hAnsi="Times New Roman" w:cs="Times New Roman"/>
                <w:sz w:val="24"/>
                <w:szCs w:val="24"/>
              </w:rPr>
              <w:t xml:space="preserve">zákon č. </w:t>
            </w:r>
            <w:r w:rsidRPr="001E47E5">
              <w:rPr>
                <w:rFonts w:ascii="Times New Roman" w:hAnsi="Times New Roman" w:cs="Times New Roman"/>
                <w:sz w:val="24"/>
                <w:szCs w:val="24"/>
              </w:rPr>
              <w:t>69/2018 Z.</w:t>
            </w:r>
            <w:r>
              <w:rPr>
                <w:rFonts w:ascii="Times New Roman" w:hAnsi="Times New Roman" w:cs="Times New Roman"/>
                <w:sz w:val="24"/>
                <w:szCs w:val="24"/>
              </w:rPr>
              <w:t> </w:t>
            </w:r>
            <w:r w:rsidRPr="001E47E5">
              <w:rPr>
                <w:rFonts w:ascii="Times New Roman" w:hAnsi="Times New Roman" w:cs="Times New Roman"/>
                <w:sz w:val="24"/>
                <w:szCs w:val="24"/>
              </w:rPr>
              <w:t>z.</w:t>
            </w:r>
          </w:p>
        </w:tc>
        <w:tc>
          <w:tcPr>
            <w:tcW w:w="1134" w:type="dxa"/>
          </w:tcPr>
          <w:p w14:paraId="183C45C3"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19 ods. 1 až ods. 8 </w:t>
            </w:r>
          </w:p>
        </w:tc>
        <w:tc>
          <w:tcPr>
            <w:tcW w:w="1843" w:type="dxa"/>
            <w:shd w:val="clear" w:color="auto" w:fill="auto"/>
          </w:tcPr>
          <w:p w14:paraId="5B4D1A03" w14:textId="77777777" w:rsidR="000E512F" w:rsidRPr="001E47E5" w:rsidRDefault="000E512F" w:rsidP="000E512F">
            <w:pPr>
              <w:pStyle w:val="gmail-m-1648484718305530482msolistparagraph"/>
              <w:spacing w:before="0" w:beforeAutospacing="0" w:after="0" w:afterAutospacing="0"/>
              <w:jc w:val="both"/>
              <w:rPr>
                <w:rFonts w:ascii="Times New Roman" w:eastAsia="Times New Roman" w:hAnsi="Times New Roman" w:cs="Times New Roman"/>
                <w:sz w:val="24"/>
                <w:szCs w:val="24"/>
                <w:highlight w:val="yellow"/>
              </w:rPr>
            </w:pPr>
            <w:r w:rsidRPr="001E47E5">
              <w:rPr>
                <w:rFonts w:ascii="Times New Roman" w:hAnsi="Times New Roman" w:cs="Times New Roman"/>
                <w:sz w:val="24"/>
                <w:szCs w:val="24"/>
              </w:rPr>
              <w:t>2. EÚ úplná harmonizácia</w:t>
            </w:r>
          </w:p>
        </w:tc>
        <w:tc>
          <w:tcPr>
            <w:tcW w:w="992" w:type="dxa"/>
          </w:tcPr>
          <w:p w14:paraId="37EBCC91"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01.01.2025</w:t>
            </w:r>
          </w:p>
        </w:tc>
        <w:tc>
          <w:tcPr>
            <w:tcW w:w="1160" w:type="dxa"/>
            <w:shd w:val="clear" w:color="auto" w:fill="auto"/>
            <w:noWrap/>
          </w:tcPr>
          <w:p w14:paraId="6C13AA98"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stredné podniky Typ 1</w:t>
            </w:r>
          </w:p>
        </w:tc>
        <w:tc>
          <w:tcPr>
            <w:tcW w:w="1108" w:type="dxa"/>
          </w:tcPr>
          <w:p w14:paraId="498473D7"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1 099 </w:t>
            </w:r>
          </w:p>
        </w:tc>
        <w:tc>
          <w:tcPr>
            <w:tcW w:w="851" w:type="dxa"/>
            <w:shd w:val="clear" w:color="auto" w:fill="auto"/>
            <w:noWrap/>
          </w:tcPr>
          <w:p w14:paraId="795CEB39"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6 250</w:t>
            </w:r>
          </w:p>
        </w:tc>
        <w:tc>
          <w:tcPr>
            <w:tcW w:w="843" w:type="dxa"/>
            <w:shd w:val="clear" w:color="auto" w:fill="auto"/>
            <w:noWrap/>
          </w:tcPr>
          <w:p w14:paraId="7CB8EE07"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6 868 750</w:t>
            </w:r>
          </w:p>
        </w:tc>
        <w:tc>
          <w:tcPr>
            <w:tcW w:w="1000" w:type="dxa"/>
            <w:shd w:val="clear" w:color="auto" w:fill="auto"/>
            <w:noWrap/>
          </w:tcPr>
          <w:p w14:paraId="5D907A5A"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In (zvyšuje náklady)</w:t>
            </w:r>
          </w:p>
        </w:tc>
        <w:tc>
          <w:tcPr>
            <w:tcW w:w="708" w:type="dxa"/>
            <w:shd w:val="clear" w:color="auto" w:fill="auto"/>
            <w:noWrap/>
          </w:tcPr>
          <w:p w14:paraId="0AB2B99F"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134" w:type="dxa"/>
          </w:tcPr>
          <w:p w14:paraId="0587C3F5"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r>
      <w:tr w:rsidR="000E512F" w:rsidRPr="001E47E5" w14:paraId="440B3E58" w14:textId="77777777" w:rsidTr="000E5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6437FC81"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2</w:t>
            </w:r>
          </w:p>
        </w:tc>
        <w:tc>
          <w:tcPr>
            <w:tcW w:w="1740" w:type="dxa"/>
            <w:shd w:val="clear" w:color="auto" w:fill="auto"/>
          </w:tcPr>
          <w:p w14:paraId="52DED5AD"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Zavedenie povinnosti prevádzkovateľa základnej služby pre nové subjekty v súlade so smernicou NIS</w:t>
            </w:r>
            <w:r>
              <w:rPr>
                <w:rFonts w:ascii="Times New Roman" w:hAnsi="Times New Roman" w:cs="Times New Roman"/>
                <w:sz w:val="24"/>
                <w:szCs w:val="24"/>
              </w:rPr>
              <w:t> </w:t>
            </w:r>
            <w:r w:rsidRPr="001E47E5">
              <w:rPr>
                <w:rFonts w:ascii="Times New Roman" w:hAnsi="Times New Roman" w:cs="Times New Roman"/>
                <w:sz w:val="24"/>
                <w:szCs w:val="24"/>
              </w:rPr>
              <w:t>2</w:t>
            </w:r>
          </w:p>
        </w:tc>
        <w:tc>
          <w:tcPr>
            <w:tcW w:w="992" w:type="dxa"/>
          </w:tcPr>
          <w:p w14:paraId="49B82E81"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Pr>
                <w:rFonts w:ascii="Times New Roman" w:hAnsi="Times New Roman" w:cs="Times New Roman"/>
                <w:sz w:val="24"/>
                <w:szCs w:val="24"/>
              </w:rPr>
              <w:t xml:space="preserve">zákon č. </w:t>
            </w:r>
            <w:r w:rsidRPr="001E47E5">
              <w:rPr>
                <w:rFonts w:ascii="Times New Roman" w:hAnsi="Times New Roman" w:cs="Times New Roman"/>
                <w:sz w:val="24"/>
                <w:szCs w:val="24"/>
              </w:rPr>
              <w:t>69/2018 Z.</w:t>
            </w:r>
            <w:r>
              <w:rPr>
                <w:rFonts w:ascii="Times New Roman" w:hAnsi="Times New Roman" w:cs="Times New Roman"/>
                <w:sz w:val="24"/>
                <w:szCs w:val="24"/>
              </w:rPr>
              <w:t> </w:t>
            </w:r>
            <w:r w:rsidRPr="001E47E5">
              <w:rPr>
                <w:rFonts w:ascii="Times New Roman" w:hAnsi="Times New Roman" w:cs="Times New Roman"/>
                <w:sz w:val="24"/>
                <w:szCs w:val="24"/>
              </w:rPr>
              <w:t>z.</w:t>
            </w:r>
          </w:p>
        </w:tc>
        <w:tc>
          <w:tcPr>
            <w:tcW w:w="1134" w:type="dxa"/>
          </w:tcPr>
          <w:p w14:paraId="39DCF0D7"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19 ods. 1 až ods. 8 </w:t>
            </w:r>
          </w:p>
        </w:tc>
        <w:tc>
          <w:tcPr>
            <w:tcW w:w="1843" w:type="dxa"/>
            <w:shd w:val="clear" w:color="auto" w:fill="auto"/>
          </w:tcPr>
          <w:p w14:paraId="6C104A1C" w14:textId="77777777" w:rsidR="000E512F" w:rsidRPr="001E47E5" w:rsidDel="00801596" w:rsidRDefault="000E512F" w:rsidP="000E512F">
            <w:pPr>
              <w:pStyle w:val="gmail-m-1648484718305530482msolistparagraph"/>
              <w:spacing w:before="0" w:beforeAutospacing="0" w:after="0" w:afterAutospacing="0"/>
              <w:jc w:val="both"/>
              <w:rPr>
                <w:rFonts w:ascii="Times New Roman" w:eastAsia="Times New Roman" w:hAnsi="Times New Roman" w:cs="Times New Roman"/>
                <w:sz w:val="24"/>
                <w:szCs w:val="24"/>
                <w:highlight w:val="yellow"/>
              </w:rPr>
            </w:pPr>
            <w:r w:rsidRPr="001E47E5">
              <w:rPr>
                <w:rFonts w:ascii="Times New Roman" w:hAnsi="Times New Roman" w:cs="Times New Roman"/>
                <w:sz w:val="24"/>
                <w:szCs w:val="24"/>
              </w:rPr>
              <w:t>2. EÚ úplná harmonizácia</w:t>
            </w:r>
          </w:p>
        </w:tc>
        <w:tc>
          <w:tcPr>
            <w:tcW w:w="992" w:type="dxa"/>
          </w:tcPr>
          <w:p w14:paraId="47F8047D"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01.01.2025</w:t>
            </w:r>
          </w:p>
        </w:tc>
        <w:tc>
          <w:tcPr>
            <w:tcW w:w="1160" w:type="dxa"/>
            <w:shd w:val="clear" w:color="auto" w:fill="auto"/>
            <w:noWrap/>
          </w:tcPr>
          <w:p w14:paraId="10D1140B"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veľké podniky Typ 4</w:t>
            </w:r>
          </w:p>
        </w:tc>
        <w:tc>
          <w:tcPr>
            <w:tcW w:w="1108" w:type="dxa"/>
          </w:tcPr>
          <w:p w14:paraId="3FFA9B4D"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263 </w:t>
            </w:r>
          </w:p>
        </w:tc>
        <w:tc>
          <w:tcPr>
            <w:tcW w:w="851" w:type="dxa"/>
            <w:shd w:val="clear" w:color="auto" w:fill="auto"/>
            <w:noWrap/>
          </w:tcPr>
          <w:p w14:paraId="0C24A062"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11 250</w:t>
            </w:r>
          </w:p>
        </w:tc>
        <w:tc>
          <w:tcPr>
            <w:tcW w:w="843" w:type="dxa"/>
            <w:shd w:val="clear" w:color="auto" w:fill="auto"/>
            <w:noWrap/>
          </w:tcPr>
          <w:p w14:paraId="7429870C"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2 958 750</w:t>
            </w:r>
          </w:p>
        </w:tc>
        <w:tc>
          <w:tcPr>
            <w:tcW w:w="1000" w:type="dxa"/>
            <w:shd w:val="clear" w:color="auto" w:fill="auto"/>
            <w:noWrap/>
          </w:tcPr>
          <w:p w14:paraId="782EC115"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In (zvyšuje náklady)</w:t>
            </w:r>
          </w:p>
        </w:tc>
        <w:tc>
          <w:tcPr>
            <w:tcW w:w="708" w:type="dxa"/>
            <w:shd w:val="clear" w:color="auto" w:fill="auto"/>
            <w:noWrap/>
          </w:tcPr>
          <w:p w14:paraId="34B227DC"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134" w:type="dxa"/>
          </w:tcPr>
          <w:p w14:paraId="31AFE5AF"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r>
      <w:tr w:rsidR="000E512F" w:rsidRPr="001E47E5" w14:paraId="0FEA393C" w14:textId="77777777" w:rsidTr="000E5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7E6392A7"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lastRenderedPageBreak/>
              <w:t>3</w:t>
            </w:r>
          </w:p>
        </w:tc>
        <w:tc>
          <w:tcPr>
            <w:tcW w:w="1740" w:type="dxa"/>
            <w:shd w:val="clear" w:color="auto" w:fill="auto"/>
          </w:tcPr>
          <w:p w14:paraId="4CFE04F5"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Zavedenie povinnosti prevádzkovateľa základnej služby pre nové subjekty v súlade so smernicou NIS</w:t>
            </w:r>
            <w:r>
              <w:rPr>
                <w:rFonts w:ascii="Times New Roman" w:hAnsi="Times New Roman" w:cs="Times New Roman"/>
                <w:sz w:val="24"/>
                <w:szCs w:val="24"/>
              </w:rPr>
              <w:t> </w:t>
            </w:r>
            <w:r w:rsidRPr="001E47E5">
              <w:rPr>
                <w:rFonts w:ascii="Times New Roman" w:hAnsi="Times New Roman" w:cs="Times New Roman"/>
                <w:sz w:val="24"/>
                <w:szCs w:val="24"/>
              </w:rPr>
              <w:t>2</w:t>
            </w:r>
          </w:p>
        </w:tc>
        <w:tc>
          <w:tcPr>
            <w:tcW w:w="992" w:type="dxa"/>
          </w:tcPr>
          <w:p w14:paraId="4811013F"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Pr>
                <w:rFonts w:ascii="Times New Roman" w:hAnsi="Times New Roman" w:cs="Times New Roman"/>
                <w:sz w:val="24"/>
                <w:szCs w:val="24"/>
              </w:rPr>
              <w:t xml:space="preserve">zákon č. </w:t>
            </w:r>
            <w:r w:rsidRPr="001E47E5">
              <w:rPr>
                <w:rFonts w:ascii="Times New Roman" w:hAnsi="Times New Roman" w:cs="Times New Roman"/>
                <w:sz w:val="24"/>
                <w:szCs w:val="24"/>
              </w:rPr>
              <w:t>69/2018 Z.</w:t>
            </w:r>
            <w:r>
              <w:rPr>
                <w:rFonts w:ascii="Times New Roman" w:hAnsi="Times New Roman" w:cs="Times New Roman"/>
                <w:sz w:val="24"/>
                <w:szCs w:val="24"/>
              </w:rPr>
              <w:t> </w:t>
            </w:r>
            <w:r w:rsidRPr="001E47E5">
              <w:rPr>
                <w:rFonts w:ascii="Times New Roman" w:hAnsi="Times New Roman" w:cs="Times New Roman"/>
                <w:sz w:val="24"/>
                <w:szCs w:val="24"/>
              </w:rPr>
              <w:t>z.</w:t>
            </w:r>
          </w:p>
        </w:tc>
        <w:tc>
          <w:tcPr>
            <w:tcW w:w="1134" w:type="dxa"/>
          </w:tcPr>
          <w:p w14:paraId="4F69AA59"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19 ods. 1 až ods. 8 </w:t>
            </w:r>
          </w:p>
        </w:tc>
        <w:tc>
          <w:tcPr>
            <w:tcW w:w="1843" w:type="dxa"/>
            <w:shd w:val="clear" w:color="auto" w:fill="auto"/>
          </w:tcPr>
          <w:p w14:paraId="23B8F7B8" w14:textId="77777777" w:rsidR="000E512F" w:rsidRPr="001E47E5" w:rsidDel="00801596" w:rsidRDefault="000E512F" w:rsidP="000E512F">
            <w:pPr>
              <w:pStyle w:val="gmail-m-1648484718305530482msolistparagraph"/>
              <w:spacing w:before="0" w:beforeAutospacing="0" w:after="0" w:afterAutospacing="0"/>
              <w:jc w:val="both"/>
              <w:rPr>
                <w:rFonts w:ascii="Times New Roman" w:eastAsia="Times New Roman" w:hAnsi="Times New Roman" w:cs="Times New Roman"/>
                <w:sz w:val="24"/>
                <w:szCs w:val="24"/>
                <w:highlight w:val="yellow"/>
              </w:rPr>
            </w:pPr>
            <w:r w:rsidRPr="001E47E5">
              <w:rPr>
                <w:rFonts w:ascii="Times New Roman" w:hAnsi="Times New Roman" w:cs="Times New Roman"/>
                <w:sz w:val="24"/>
                <w:szCs w:val="24"/>
              </w:rPr>
              <w:t>2. EÚ úplná harmonizácia</w:t>
            </w:r>
          </w:p>
        </w:tc>
        <w:tc>
          <w:tcPr>
            <w:tcW w:w="992" w:type="dxa"/>
          </w:tcPr>
          <w:p w14:paraId="0A040A17"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01.01.2025</w:t>
            </w:r>
          </w:p>
        </w:tc>
        <w:tc>
          <w:tcPr>
            <w:tcW w:w="1160" w:type="dxa"/>
            <w:shd w:val="clear" w:color="auto" w:fill="auto"/>
            <w:noWrap/>
          </w:tcPr>
          <w:p w14:paraId="5803C954"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stredné podniky Typ 2</w:t>
            </w:r>
          </w:p>
        </w:tc>
        <w:tc>
          <w:tcPr>
            <w:tcW w:w="1108" w:type="dxa"/>
          </w:tcPr>
          <w:p w14:paraId="244F8577"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852 </w:t>
            </w:r>
          </w:p>
        </w:tc>
        <w:tc>
          <w:tcPr>
            <w:tcW w:w="851" w:type="dxa"/>
            <w:shd w:val="clear" w:color="auto" w:fill="auto"/>
            <w:noWrap/>
          </w:tcPr>
          <w:p w14:paraId="19BFF9EE"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c>
          <w:tcPr>
            <w:tcW w:w="843" w:type="dxa"/>
            <w:shd w:val="clear" w:color="auto" w:fill="auto"/>
            <w:noWrap/>
          </w:tcPr>
          <w:p w14:paraId="74E3CED0"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000" w:type="dxa"/>
            <w:shd w:val="clear" w:color="auto" w:fill="auto"/>
            <w:noWrap/>
          </w:tcPr>
          <w:p w14:paraId="6281F9F8"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In (zvyšuje náklady)</w:t>
            </w:r>
          </w:p>
        </w:tc>
        <w:tc>
          <w:tcPr>
            <w:tcW w:w="708" w:type="dxa"/>
            <w:shd w:val="clear" w:color="auto" w:fill="auto"/>
            <w:noWrap/>
          </w:tcPr>
          <w:p w14:paraId="2F5F9B67"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134" w:type="dxa"/>
          </w:tcPr>
          <w:p w14:paraId="01D97F03"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r>
      <w:tr w:rsidR="000E512F" w:rsidRPr="001E47E5" w14:paraId="2CC028A3" w14:textId="77777777" w:rsidTr="000E5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27A26D8B"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4</w:t>
            </w:r>
          </w:p>
        </w:tc>
        <w:tc>
          <w:tcPr>
            <w:tcW w:w="1740" w:type="dxa"/>
            <w:shd w:val="clear" w:color="auto" w:fill="auto"/>
          </w:tcPr>
          <w:p w14:paraId="1D514790"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Zavedenie povinnosti prevádzkovateľa základnej služby pre nové subjekty v súlade so smernicou NIS</w:t>
            </w:r>
            <w:r>
              <w:rPr>
                <w:rFonts w:ascii="Times New Roman" w:hAnsi="Times New Roman" w:cs="Times New Roman"/>
                <w:sz w:val="24"/>
                <w:szCs w:val="24"/>
              </w:rPr>
              <w:t> </w:t>
            </w:r>
            <w:r w:rsidRPr="001E47E5">
              <w:rPr>
                <w:rFonts w:ascii="Times New Roman" w:hAnsi="Times New Roman" w:cs="Times New Roman"/>
                <w:sz w:val="24"/>
                <w:szCs w:val="24"/>
              </w:rPr>
              <w:t>2</w:t>
            </w:r>
          </w:p>
        </w:tc>
        <w:tc>
          <w:tcPr>
            <w:tcW w:w="992" w:type="dxa"/>
          </w:tcPr>
          <w:p w14:paraId="52331F86"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Pr>
                <w:rFonts w:ascii="Times New Roman" w:hAnsi="Times New Roman" w:cs="Times New Roman"/>
                <w:sz w:val="24"/>
                <w:szCs w:val="24"/>
              </w:rPr>
              <w:t xml:space="preserve">zákon č. </w:t>
            </w:r>
            <w:r w:rsidRPr="001E47E5">
              <w:rPr>
                <w:rFonts w:ascii="Times New Roman" w:hAnsi="Times New Roman" w:cs="Times New Roman"/>
                <w:sz w:val="24"/>
                <w:szCs w:val="24"/>
              </w:rPr>
              <w:t>69/2018 Z.</w:t>
            </w:r>
            <w:r>
              <w:rPr>
                <w:rFonts w:ascii="Times New Roman" w:hAnsi="Times New Roman" w:cs="Times New Roman"/>
                <w:sz w:val="24"/>
                <w:szCs w:val="24"/>
              </w:rPr>
              <w:t> </w:t>
            </w:r>
            <w:r w:rsidRPr="001E47E5">
              <w:rPr>
                <w:rFonts w:ascii="Times New Roman" w:hAnsi="Times New Roman" w:cs="Times New Roman"/>
                <w:sz w:val="24"/>
                <w:szCs w:val="24"/>
              </w:rPr>
              <w:t>z.</w:t>
            </w:r>
          </w:p>
        </w:tc>
        <w:tc>
          <w:tcPr>
            <w:tcW w:w="1134" w:type="dxa"/>
          </w:tcPr>
          <w:p w14:paraId="0E4D4B13"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19 ods. 1 až ods. 8 </w:t>
            </w:r>
          </w:p>
        </w:tc>
        <w:tc>
          <w:tcPr>
            <w:tcW w:w="1843" w:type="dxa"/>
            <w:shd w:val="clear" w:color="auto" w:fill="auto"/>
          </w:tcPr>
          <w:p w14:paraId="4645C0E3" w14:textId="77777777" w:rsidR="000E512F" w:rsidRPr="001E47E5" w:rsidDel="00801596" w:rsidRDefault="000E512F" w:rsidP="000E512F">
            <w:pPr>
              <w:pStyle w:val="gmail-m-1648484718305530482msolistparagraph"/>
              <w:spacing w:before="0" w:beforeAutospacing="0" w:after="0" w:afterAutospacing="0"/>
              <w:jc w:val="both"/>
              <w:rPr>
                <w:rFonts w:ascii="Times New Roman" w:eastAsia="Times New Roman" w:hAnsi="Times New Roman" w:cs="Times New Roman"/>
                <w:sz w:val="24"/>
                <w:szCs w:val="24"/>
                <w:highlight w:val="yellow"/>
              </w:rPr>
            </w:pPr>
            <w:r w:rsidRPr="001E47E5">
              <w:rPr>
                <w:rFonts w:ascii="Times New Roman" w:hAnsi="Times New Roman" w:cs="Times New Roman"/>
                <w:sz w:val="24"/>
                <w:szCs w:val="24"/>
              </w:rPr>
              <w:t>2. EÚ úplná harmonizácia</w:t>
            </w:r>
          </w:p>
        </w:tc>
        <w:tc>
          <w:tcPr>
            <w:tcW w:w="992" w:type="dxa"/>
          </w:tcPr>
          <w:p w14:paraId="7D05AC03"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01.01.2025</w:t>
            </w:r>
          </w:p>
        </w:tc>
        <w:tc>
          <w:tcPr>
            <w:tcW w:w="1160" w:type="dxa"/>
            <w:shd w:val="clear" w:color="auto" w:fill="auto"/>
            <w:noWrap/>
          </w:tcPr>
          <w:p w14:paraId="5DA4F057"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 xml:space="preserve"> veľké podniky Typ 5</w:t>
            </w:r>
          </w:p>
        </w:tc>
        <w:tc>
          <w:tcPr>
            <w:tcW w:w="1108" w:type="dxa"/>
          </w:tcPr>
          <w:p w14:paraId="1BA5202F"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203 </w:t>
            </w:r>
          </w:p>
        </w:tc>
        <w:tc>
          <w:tcPr>
            <w:tcW w:w="851" w:type="dxa"/>
            <w:shd w:val="clear" w:color="auto" w:fill="auto"/>
            <w:noWrap/>
          </w:tcPr>
          <w:p w14:paraId="28D0781A"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c>
          <w:tcPr>
            <w:tcW w:w="843" w:type="dxa"/>
            <w:shd w:val="clear" w:color="auto" w:fill="auto"/>
            <w:noWrap/>
          </w:tcPr>
          <w:p w14:paraId="609C4CCB"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000" w:type="dxa"/>
            <w:shd w:val="clear" w:color="auto" w:fill="auto"/>
            <w:noWrap/>
          </w:tcPr>
          <w:p w14:paraId="673AEF4C"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In (zvyšuje náklady)</w:t>
            </w:r>
          </w:p>
        </w:tc>
        <w:tc>
          <w:tcPr>
            <w:tcW w:w="708" w:type="dxa"/>
            <w:shd w:val="clear" w:color="auto" w:fill="auto"/>
            <w:noWrap/>
          </w:tcPr>
          <w:p w14:paraId="5AFB117F"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134" w:type="dxa"/>
          </w:tcPr>
          <w:p w14:paraId="6CDB1BA3"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r>
      <w:tr w:rsidR="000E512F" w:rsidRPr="001E47E5" w14:paraId="67962E4F" w14:textId="77777777" w:rsidTr="000E5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62E3C8C2"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5</w:t>
            </w:r>
          </w:p>
        </w:tc>
        <w:tc>
          <w:tcPr>
            <w:tcW w:w="1740" w:type="dxa"/>
            <w:shd w:val="clear" w:color="auto" w:fill="auto"/>
          </w:tcPr>
          <w:p w14:paraId="5799A89F"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Zavedenie povinnosti prevádzkovateľa základnej služby pre nové subjekty v súlade so smernicou NIS</w:t>
            </w:r>
            <w:r>
              <w:rPr>
                <w:rFonts w:ascii="Times New Roman" w:hAnsi="Times New Roman" w:cs="Times New Roman"/>
                <w:sz w:val="24"/>
                <w:szCs w:val="24"/>
              </w:rPr>
              <w:t> </w:t>
            </w:r>
            <w:r w:rsidRPr="001E47E5">
              <w:rPr>
                <w:rFonts w:ascii="Times New Roman" w:hAnsi="Times New Roman" w:cs="Times New Roman"/>
                <w:sz w:val="24"/>
                <w:szCs w:val="24"/>
              </w:rPr>
              <w:t>2</w:t>
            </w:r>
          </w:p>
        </w:tc>
        <w:tc>
          <w:tcPr>
            <w:tcW w:w="992" w:type="dxa"/>
          </w:tcPr>
          <w:p w14:paraId="3CE6B60D"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Pr>
                <w:rFonts w:ascii="Times New Roman" w:hAnsi="Times New Roman" w:cs="Times New Roman"/>
                <w:sz w:val="24"/>
                <w:szCs w:val="24"/>
              </w:rPr>
              <w:t xml:space="preserve">zákon č. </w:t>
            </w:r>
            <w:r w:rsidRPr="001E47E5">
              <w:rPr>
                <w:rFonts w:ascii="Times New Roman" w:hAnsi="Times New Roman" w:cs="Times New Roman"/>
                <w:sz w:val="24"/>
                <w:szCs w:val="24"/>
              </w:rPr>
              <w:t>69/2018 Z.</w:t>
            </w:r>
            <w:r>
              <w:rPr>
                <w:rFonts w:ascii="Times New Roman" w:hAnsi="Times New Roman" w:cs="Times New Roman"/>
                <w:sz w:val="24"/>
                <w:szCs w:val="24"/>
              </w:rPr>
              <w:t> </w:t>
            </w:r>
            <w:r w:rsidRPr="001E47E5">
              <w:rPr>
                <w:rFonts w:ascii="Times New Roman" w:hAnsi="Times New Roman" w:cs="Times New Roman"/>
                <w:sz w:val="24"/>
                <w:szCs w:val="24"/>
              </w:rPr>
              <w:t>z.</w:t>
            </w:r>
          </w:p>
        </w:tc>
        <w:tc>
          <w:tcPr>
            <w:tcW w:w="1134" w:type="dxa"/>
          </w:tcPr>
          <w:p w14:paraId="79E2E5D7"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19 ods. 1 až ods. 8 </w:t>
            </w:r>
          </w:p>
        </w:tc>
        <w:tc>
          <w:tcPr>
            <w:tcW w:w="1843" w:type="dxa"/>
            <w:shd w:val="clear" w:color="auto" w:fill="auto"/>
          </w:tcPr>
          <w:p w14:paraId="10985023" w14:textId="77777777" w:rsidR="000E512F" w:rsidRPr="001E47E5" w:rsidDel="00801596" w:rsidRDefault="000E512F" w:rsidP="000E512F">
            <w:pPr>
              <w:pStyle w:val="gmail-m-1648484718305530482msolistparagraph"/>
              <w:spacing w:before="0" w:beforeAutospacing="0" w:after="0" w:afterAutospacing="0"/>
              <w:jc w:val="both"/>
              <w:rPr>
                <w:rFonts w:ascii="Times New Roman" w:eastAsia="Times New Roman" w:hAnsi="Times New Roman" w:cs="Times New Roman"/>
                <w:sz w:val="24"/>
                <w:szCs w:val="24"/>
                <w:highlight w:val="yellow"/>
              </w:rPr>
            </w:pPr>
            <w:r w:rsidRPr="001E47E5">
              <w:rPr>
                <w:rFonts w:ascii="Times New Roman" w:hAnsi="Times New Roman" w:cs="Times New Roman"/>
                <w:sz w:val="24"/>
                <w:szCs w:val="24"/>
              </w:rPr>
              <w:t>2. EÚ úplná harmonizácia</w:t>
            </w:r>
          </w:p>
        </w:tc>
        <w:tc>
          <w:tcPr>
            <w:tcW w:w="992" w:type="dxa"/>
          </w:tcPr>
          <w:p w14:paraId="3E46F8E6"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01.01.2025</w:t>
            </w:r>
          </w:p>
        </w:tc>
        <w:tc>
          <w:tcPr>
            <w:tcW w:w="1160" w:type="dxa"/>
            <w:shd w:val="clear" w:color="auto" w:fill="auto"/>
            <w:noWrap/>
          </w:tcPr>
          <w:p w14:paraId="43C77382"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stredné podniky Typ 3</w:t>
            </w:r>
          </w:p>
        </w:tc>
        <w:tc>
          <w:tcPr>
            <w:tcW w:w="1108" w:type="dxa"/>
          </w:tcPr>
          <w:p w14:paraId="55A727E7"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796 </w:t>
            </w:r>
          </w:p>
        </w:tc>
        <w:tc>
          <w:tcPr>
            <w:tcW w:w="851" w:type="dxa"/>
            <w:shd w:val="clear" w:color="auto" w:fill="auto"/>
            <w:noWrap/>
          </w:tcPr>
          <w:p w14:paraId="08B2B56B"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c>
          <w:tcPr>
            <w:tcW w:w="843" w:type="dxa"/>
            <w:shd w:val="clear" w:color="auto" w:fill="auto"/>
            <w:noWrap/>
          </w:tcPr>
          <w:p w14:paraId="4AE67DF2"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000" w:type="dxa"/>
            <w:shd w:val="clear" w:color="auto" w:fill="auto"/>
            <w:noWrap/>
          </w:tcPr>
          <w:p w14:paraId="077A8FF9"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In (zvyšuje náklady)</w:t>
            </w:r>
          </w:p>
        </w:tc>
        <w:tc>
          <w:tcPr>
            <w:tcW w:w="708" w:type="dxa"/>
            <w:shd w:val="clear" w:color="auto" w:fill="auto"/>
            <w:noWrap/>
          </w:tcPr>
          <w:p w14:paraId="03F1FBE2"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134" w:type="dxa"/>
          </w:tcPr>
          <w:p w14:paraId="7558B7F5"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r>
      <w:tr w:rsidR="000E512F" w:rsidRPr="001E47E5" w14:paraId="7652479A" w14:textId="77777777" w:rsidTr="000E5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077B73BB"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6</w:t>
            </w:r>
          </w:p>
        </w:tc>
        <w:tc>
          <w:tcPr>
            <w:tcW w:w="1740" w:type="dxa"/>
            <w:shd w:val="clear" w:color="auto" w:fill="auto"/>
          </w:tcPr>
          <w:p w14:paraId="2613770C"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Zavedenie povinnosti prevádzkovateľa základnej služby pre nové </w:t>
            </w:r>
            <w:r w:rsidRPr="001E47E5">
              <w:rPr>
                <w:rFonts w:ascii="Times New Roman" w:hAnsi="Times New Roman" w:cs="Times New Roman"/>
                <w:sz w:val="24"/>
                <w:szCs w:val="24"/>
              </w:rPr>
              <w:lastRenderedPageBreak/>
              <w:t>subjekty v súlade so smernicou NIS</w:t>
            </w:r>
            <w:r>
              <w:rPr>
                <w:rFonts w:ascii="Times New Roman" w:hAnsi="Times New Roman" w:cs="Times New Roman"/>
                <w:sz w:val="24"/>
                <w:szCs w:val="24"/>
              </w:rPr>
              <w:t> </w:t>
            </w:r>
            <w:r w:rsidRPr="001E47E5">
              <w:rPr>
                <w:rFonts w:ascii="Times New Roman" w:hAnsi="Times New Roman" w:cs="Times New Roman"/>
                <w:sz w:val="24"/>
                <w:szCs w:val="24"/>
              </w:rPr>
              <w:t>2</w:t>
            </w:r>
          </w:p>
        </w:tc>
        <w:tc>
          <w:tcPr>
            <w:tcW w:w="992" w:type="dxa"/>
          </w:tcPr>
          <w:p w14:paraId="53CABDFB"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Pr>
                <w:rFonts w:ascii="Times New Roman" w:hAnsi="Times New Roman" w:cs="Times New Roman"/>
                <w:sz w:val="24"/>
                <w:szCs w:val="24"/>
              </w:rPr>
              <w:lastRenderedPageBreak/>
              <w:t xml:space="preserve">zákon č. </w:t>
            </w:r>
            <w:r w:rsidRPr="001E47E5">
              <w:rPr>
                <w:rFonts w:ascii="Times New Roman" w:hAnsi="Times New Roman" w:cs="Times New Roman"/>
                <w:sz w:val="24"/>
                <w:szCs w:val="24"/>
              </w:rPr>
              <w:t>69/2018 Z.</w:t>
            </w:r>
            <w:r>
              <w:rPr>
                <w:rFonts w:ascii="Times New Roman" w:hAnsi="Times New Roman" w:cs="Times New Roman"/>
                <w:sz w:val="24"/>
                <w:szCs w:val="24"/>
              </w:rPr>
              <w:t> </w:t>
            </w:r>
            <w:r w:rsidRPr="001E47E5">
              <w:rPr>
                <w:rFonts w:ascii="Times New Roman" w:hAnsi="Times New Roman" w:cs="Times New Roman"/>
                <w:sz w:val="24"/>
                <w:szCs w:val="24"/>
              </w:rPr>
              <w:t>z.</w:t>
            </w:r>
          </w:p>
        </w:tc>
        <w:tc>
          <w:tcPr>
            <w:tcW w:w="1134" w:type="dxa"/>
          </w:tcPr>
          <w:p w14:paraId="23E72FFC"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19 ods. 1 až ods. 8 </w:t>
            </w:r>
          </w:p>
        </w:tc>
        <w:tc>
          <w:tcPr>
            <w:tcW w:w="1843" w:type="dxa"/>
            <w:shd w:val="clear" w:color="auto" w:fill="auto"/>
          </w:tcPr>
          <w:p w14:paraId="77289C4D" w14:textId="77777777" w:rsidR="000E512F" w:rsidRPr="001E47E5" w:rsidDel="00801596" w:rsidRDefault="000E512F" w:rsidP="000E512F">
            <w:pPr>
              <w:pStyle w:val="gmail-m-1648484718305530482msolistparagraph"/>
              <w:spacing w:before="0" w:beforeAutospacing="0" w:after="0" w:afterAutospacing="0"/>
              <w:jc w:val="both"/>
              <w:rPr>
                <w:rFonts w:ascii="Times New Roman" w:eastAsia="Times New Roman" w:hAnsi="Times New Roman" w:cs="Times New Roman"/>
                <w:sz w:val="24"/>
                <w:szCs w:val="24"/>
                <w:highlight w:val="yellow"/>
              </w:rPr>
            </w:pPr>
            <w:r w:rsidRPr="001E47E5">
              <w:rPr>
                <w:rFonts w:ascii="Times New Roman" w:hAnsi="Times New Roman" w:cs="Times New Roman"/>
                <w:sz w:val="24"/>
                <w:szCs w:val="24"/>
              </w:rPr>
              <w:t>2. EÚ úplná harmonizácia</w:t>
            </w:r>
          </w:p>
        </w:tc>
        <w:tc>
          <w:tcPr>
            <w:tcW w:w="992" w:type="dxa"/>
          </w:tcPr>
          <w:p w14:paraId="6C013A4B"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01.01.2025</w:t>
            </w:r>
          </w:p>
        </w:tc>
        <w:tc>
          <w:tcPr>
            <w:tcW w:w="1160" w:type="dxa"/>
            <w:shd w:val="clear" w:color="auto" w:fill="auto"/>
            <w:noWrap/>
          </w:tcPr>
          <w:p w14:paraId="0626470F"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veľké podniky Typ 6</w:t>
            </w:r>
          </w:p>
        </w:tc>
        <w:tc>
          <w:tcPr>
            <w:tcW w:w="1108" w:type="dxa"/>
          </w:tcPr>
          <w:p w14:paraId="0580CF03"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190 </w:t>
            </w:r>
          </w:p>
        </w:tc>
        <w:tc>
          <w:tcPr>
            <w:tcW w:w="851" w:type="dxa"/>
            <w:shd w:val="clear" w:color="auto" w:fill="auto"/>
            <w:noWrap/>
          </w:tcPr>
          <w:p w14:paraId="39926149"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1 125</w:t>
            </w:r>
          </w:p>
        </w:tc>
        <w:tc>
          <w:tcPr>
            <w:tcW w:w="843" w:type="dxa"/>
            <w:shd w:val="clear" w:color="auto" w:fill="auto"/>
            <w:noWrap/>
          </w:tcPr>
          <w:p w14:paraId="3FAAF407"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213 750</w:t>
            </w:r>
          </w:p>
        </w:tc>
        <w:tc>
          <w:tcPr>
            <w:tcW w:w="1000" w:type="dxa"/>
            <w:shd w:val="clear" w:color="auto" w:fill="auto"/>
            <w:noWrap/>
          </w:tcPr>
          <w:p w14:paraId="1C608776"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In (zvyšuje náklady)</w:t>
            </w:r>
          </w:p>
        </w:tc>
        <w:tc>
          <w:tcPr>
            <w:tcW w:w="708" w:type="dxa"/>
            <w:shd w:val="clear" w:color="auto" w:fill="auto"/>
            <w:noWrap/>
          </w:tcPr>
          <w:p w14:paraId="3E398851"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134" w:type="dxa"/>
          </w:tcPr>
          <w:p w14:paraId="402F6C15"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r>
      <w:tr w:rsidR="000E512F" w:rsidRPr="001E47E5" w14:paraId="2E381025" w14:textId="77777777" w:rsidTr="000E5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4D91E750"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lastRenderedPageBreak/>
              <w:t>7</w:t>
            </w:r>
          </w:p>
        </w:tc>
        <w:tc>
          <w:tcPr>
            <w:tcW w:w="1740" w:type="dxa"/>
            <w:shd w:val="clear" w:color="auto" w:fill="auto"/>
          </w:tcPr>
          <w:p w14:paraId="7163D861"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Zavedenie povinnosti a spôsobu zasielania hlásení pre nové subjekty v súlade so smernicou NIS</w:t>
            </w:r>
            <w:r>
              <w:rPr>
                <w:rFonts w:ascii="Times New Roman" w:hAnsi="Times New Roman" w:cs="Times New Roman"/>
                <w:sz w:val="24"/>
                <w:szCs w:val="24"/>
              </w:rPr>
              <w:t> </w:t>
            </w:r>
            <w:r w:rsidRPr="001E47E5">
              <w:rPr>
                <w:rFonts w:ascii="Times New Roman" w:hAnsi="Times New Roman" w:cs="Times New Roman"/>
                <w:sz w:val="24"/>
                <w:szCs w:val="24"/>
              </w:rPr>
              <w:t>2</w:t>
            </w:r>
          </w:p>
        </w:tc>
        <w:tc>
          <w:tcPr>
            <w:tcW w:w="992" w:type="dxa"/>
          </w:tcPr>
          <w:p w14:paraId="1E70E5CB"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Pr>
                <w:rFonts w:ascii="Times New Roman" w:hAnsi="Times New Roman" w:cs="Times New Roman"/>
                <w:sz w:val="24"/>
                <w:szCs w:val="24"/>
              </w:rPr>
              <w:t xml:space="preserve">zákon č. </w:t>
            </w:r>
            <w:r w:rsidRPr="001E47E5">
              <w:rPr>
                <w:rFonts w:ascii="Times New Roman" w:hAnsi="Times New Roman" w:cs="Times New Roman"/>
                <w:sz w:val="24"/>
                <w:szCs w:val="24"/>
              </w:rPr>
              <w:t>69/2018 Z.</w:t>
            </w:r>
            <w:r>
              <w:rPr>
                <w:rFonts w:ascii="Times New Roman" w:hAnsi="Times New Roman" w:cs="Times New Roman"/>
                <w:sz w:val="24"/>
                <w:szCs w:val="24"/>
              </w:rPr>
              <w:t> </w:t>
            </w:r>
            <w:r w:rsidRPr="001E47E5">
              <w:rPr>
                <w:rFonts w:ascii="Times New Roman" w:hAnsi="Times New Roman" w:cs="Times New Roman"/>
                <w:sz w:val="24"/>
                <w:szCs w:val="24"/>
              </w:rPr>
              <w:t>z.</w:t>
            </w:r>
          </w:p>
        </w:tc>
        <w:tc>
          <w:tcPr>
            <w:tcW w:w="1134" w:type="dxa"/>
          </w:tcPr>
          <w:p w14:paraId="6C2C6D97"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24 ods. 1 až ods. 8</w:t>
            </w:r>
          </w:p>
        </w:tc>
        <w:tc>
          <w:tcPr>
            <w:tcW w:w="1843" w:type="dxa"/>
            <w:shd w:val="clear" w:color="auto" w:fill="auto"/>
          </w:tcPr>
          <w:p w14:paraId="7F7539AE" w14:textId="77777777" w:rsidR="000E512F" w:rsidRPr="001E47E5" w:rsidDel="00801596" w:rsidRDefault="000E512F" w:rsidP="000E512F">
            <w:pPr>
              <w:pStyle w:val="gmail-m-1648484718305530482msolistparagraph"/>
              <w:spacing w:before="0" w:beforeAutospacing="0" w:after="0" w:afterAutospacing="0"/>
              <w:jc w:val="both"/>
              <w:rPr>
                <w:rFonts w:ascii="Times New Roman" w:eastAsia="Times New Roman" w:hAnsi="Times New Roman" w:cs="Times New Roman"/>
                <w:sz w:val="24"/>
                <w:szCs w:val="24"/>
                <w:highlight w:val="yellow"/>
              </w:rPr>
            </w:pPr>
            <w:r w:rsidRPr="001E47E5">
              <w:rPr>
                <w:rFonts w:ascii="Times New Roman" w:hAnsi="Times New Roman" w:cs="Times New Roman"/>
                <w:sz w:val="24"/>
                <w:szCs w:val="24"/>
              </w:rPr>
              <w:t>2. EÚ úplná harmonizácia</w:t>
            </w:r>
          </w:p>
        </w:tc>
        <w:tc>
          <w:tcPr>
            <w:tcW w:w="992" w:type="dxa"/>
          </w:tcPr>
          <w:p w14:paraId="4F32C3EB"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01.01.2025</w:t>
            </w:r>
          </w:p>
        </w:tc>
        <w:tc>
          <w:tcPr>
            <w:tcW w:w="1160" w:type="dxa"/>
            <w:shd w:val="clear" w:color="auto" w:fill="auto"/>
            <w:noWrap/>
          </w:tcPr>
          <w:p w14:paraId="6992E403"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stredné a veľké podniky</w:t>
            </w:r>
          </w:p>
        </w:tc>
        <w:tc>
          <w:tcPr>
            <w:tcW w:w="1108" w:type="dxa"/>
          </w:tcPr>
          <w:p w14:paraId="43423888"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7 346 </w:t>
            </w:r>
          </w:p>
        </w:tc>
        <w:tc>
          <w:tcPr>
            <w:tcW w:w="851" w:type="dxa"/>
            <w:shd w:val="clear" w:color="auto" w:fill="auto"/>
            <w:noWrap/>
          </w:tcPr>
          <w:p w14:paraId="5E7F9365"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37</w:t>
            </w:r>
          </w:p>
        </w:tc>
        <w:tc>
          <w:tcPr>
            <w:tcW w:w="843" w:type="dxa"/>
            <w:shd w:val="clear" w:color="auto" w:fill="auto"/>
            <w:noWrap/>
          </w:tcPr>
          <w:p w14:paraId="5F46694C"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268 264</w:t>
            </w:r>
          </w:p>
        </w:tc>
        <w:tc>
          <w:tcPr>
            <w:tcW w:w="1000" w:type="dxa"/>
            <w:shd w:val="clear" w:color="auto" w:fill="auto"/>
            <w:noWrap/>
          </w:tcPr>
          <w:p w14:paraId="2B42801F"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In (zvyšuje náklady)</w:t>
            </w:r>
          </w:p>
        </w:tc>
        <w:tc>
          <w:tcPr>
            <w:tcW w:w="708" w:type="dxa"/>
            <w:shd w:val="clear" w:color="auto" w:fill="auto"/>
            <w:noWrap/>
          </w:tcPr>
          <w:p w14:paraId="3139F43D"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134" w:type="dxa"/>
          </w:tcPr>
          <w:p w14:paraId="175B8CDF"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r>
      <w:tr w:rsidR="000E512F" w:rsidRPr="001E47E5" w14:paraId="7FB044E7" w14:textId="77777777" w:rsidTr="000E5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37D019B5"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8</w:t>
            </w:r>
          </w:p>
        </w:tc>
        <w:tc>
          <w:tcPr>
            <w:tcW w:w="1740" w:type="dxa"/>
            <w:shd w:val="clear" w:color="auto" w:fill="auto"/>
          </w:tcPr>
          <w:p w14:paraId="45770C6C"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Zavedenie povinnosti auditu kybernetickej bezpečnosti pre nové subjekty v súlade so smernicou NIS</w:t>
            </w:r>
            <w:r>
              <w:rPr>
                <w:rFonts w:ascii="Times New Roman" w:hAnsi="Times New Roman" w:cs="Times New Roman"/>
                <w:sz w:val="24"/>
                <w:szCs w:val="24"/>
              </w:rPr>
              <w:t> </w:t>
            </w:r>
            <w:r w:rsidRPr="001E47E5">
              <w:rPr>
                <w:rFonts w:ascii="Times New Roman" w:hAnsi="Times New Roman" w:cs="Times New Roman"/>
                <w:sz w:val="24"/>
                <w:szCs w:val="24"/>
              </w:rPr>
              <w:t>2</w:t>
            </w:r>
          </w:p>
        </w:tc>
        <w:tc>
          <w:tcPr>
            <w:tcW w:w="992" w:type="dxa"/>
          </w:tcPr>
          <w:p w14:paraId="032452A5"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Pr>
                <w:rFonts w:ascii="Times New Roman" w:hAnsi="Times New Roman" w:cs="Times New Roman"/>
                <w:sz w:val="24"/>
                <w:szCs w:val="24"/>
              </w:rPr>
              <w:t xml:space="preserve">zákon č. </w:t>
            </w:r>
            <w:r w:rsidRPr="001E47E5">
              <w:rPr>
                <w:rFonts w:ascii="Times New Roman" w:hAnsi="Times New Roman" w:cs="Times New Roman"/>
                <w:sz w:val="24"/>
                <w:szCs w:val="24"/>
              </w:rPr>
              <w:t>69/2018 Z.</w:t>
            </w:r>
            <w:r>
              <w:rPr>
                <w:rFonts w:ascii="Times New Roman" w:hAnsi="Times New Roman" w:cs="Times New Roman"/>
                <w:sz w:val="24"/>
                <w:szCs w:val="24"/>
              </w:rPr>
              <w:t> </w:t>
            </w:r>
            <w:r w:rsidRPr="001E47E5">
              <w:rPr>
                <w:rFonts w:ascii="Times New Roman" w:hAnsi="Times New Roman" w:cs="Times New Roman"/>
                <w:sz w:val="24"/>
                <w:szCs w:val="24"/>
              </w:rPr>
              <w:t>z.</w:t>
            </w:r>
          </w:p>
        </w:tc>
        <w:tc>
          <w:tcPr>
            <w:tcW w:w="1134" w:type="dxa"/>
          </w:tcPr>
          <w:p w14:paraId="23833B64"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29 ods. 1, 2, 4, 5, 7, 8 </w:t>
            </w:r>
          </w:p>
        </w:tc>
        <w:tc>
          <w:tcPr>
            <w:tcW w:w="1843" w:type="dxa"/>
            <w:shd w:val="clear" w:color="auto" w:fill="auto"/>
          </w:tcPr>
          <w:p w14:paraId="7C8A2EB0" w14:textId="77777777" w:rsidR="000E512F" w:rsidRPr="001E47E5" w:rsidRDefault="000E512F" w:rsidP="000E512F">
            <w:pPr>
              <w:pStyle w:val="gmail-m-1648484718305530482msolistparagraph"/>
              <w:spacing w:before="0" w:beforeAutospacing="0" w:after="0" w:afterAutospacing="0"/>
              <w:jc w:val="both"/>
              <w:rPr>
                <w:rFonts w:ascii="Times New Roman" w:eastAsia="Times New Roman" w:hAnsi="Times New Roman" w:cs="Times New Roman"/>
                <w:sz w:val="24"/>
                <w:szCs w:val="24"/>
                <w:highlight w:val="yellow"/>
              </w:rPr>
            </w:pPr>
            <w:r w:rsidRPr="001E47E5">
              <w:rPr>
                <w:rFonts w:ascii="Times New Roman" w:hAnsi="Times New Roman" w:cs="Times New Roman"/>
                <w:sz w:val="24"/>
                <w:szCs w:val="24"/>
              </w:rPr>
              <w:t>2. EÚ úplná harmonizácia</w:t>
            </w:r>
          </w:p>
        </w:tc>
        <w:tc>
          <w:tcPr>
            <w:tcW w:w="992" w:type="dxa"/>
          </w:tcPr>
          <w:p w14:paraId="5C2E1218"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01.01.2025</w:t>
            </w:r>
          </w:p>
        </w:tc>
        <w:tc>
          <w:tcPr>
            <w:tcW w:w="1160" w:type="dxa"/>
            <w:shd w:val="clear" w:color="auto" w:fill="auto"/>
            <w:noWrap/>
          </w:tcPr>
          <w:p w14:paraId="6E78FBCE"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stredné podniky</w:t>
            </w:r>
          </w:p>
        </w:tc>
        <w:tc>
          <w:tcPr>
            <w:tcW w:w="1108" w:type="dxa"/>
          </w:tcPr>
          <w:p w14:paraId="32610CEA"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549 </w:t>
            </w:r>
          </w:p>
        </w:tc>
        <w:tc>
          <w:tcPr>
            <w:tcW w:w="851" w:type="dxa"/>
            <w:shd w:val="clear" w:color="auto" w:fill="auto"/>
            <w:noWrap/>
          </w:tcPr>
          <w:p w14:paraId="5039493E"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3 500</w:t>
            </w:r>
          </w:p>
        </w:tc>
        <w:tc>
          <w:tcPr>
            <w:tcW w:w="843" w:type="dxa"/>
            <w:shd w:val="clear" w:color="auto" w:fill="auto"/>
            <w:noWrap/>
          </w:tcPr>
          <w:p w14:paraId="40BBC05E"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1 921 500</w:t>
            </w:r>
          </w:p>
        </w:tc>
        <w:tc>
          <w:tcPr>
            <w:tcW w:w="1000" w:type="dxa"/>
            <w:shd w:val="clear" w:color="auto" w:fill="auto"/>
            <w:noWrap/>
          </w:tcPr>
          <w:p w14:paraId="7DCF9EC0"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In (zvyšuje náklady)</w:t>
            </w:r>
          </w:p>
        </w:tc>
        <w:tc>
          <w:tcPr>
            <w:tcW w:w="708" w:type="dxa"/>
            <w:shd w:val="clear" w:color="auto" w:fill="auto"/>
            <w:noWrap/>
          </w:tcPr>
          <w:p w14:paraId="210A2C54"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134" w:type="dxa"/>
          </w:tcPr>
          <w:p w14:paraId="1E5360AB"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r>
      <w:tr w:rsidR="000E512F" w:rsidRPr="001E47E5" w14:paraId="58AA4103" w14:textId="77777777" w:rsidTr="000E5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28504862"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9</w:t>
            </w:r>
          </w:p>
        </w:tc>
        <w:tc>
          <w:tcPr>
            <w:tcW w:w="1740" w:type="dxa"/>
            <w:shd w:val="clear" w:color="auto" w:fill="auto"/>
          </w:tcPr>
          <w:p w14:paraId="2AF591D3"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Zavedenie povinnosti auditu kybernetickej bezpečnosti pre nové subjekty v súlade so smernicou NIS</w:t>
            </w:r>
            <w:r>
              <w:rPr>
                <w:rFonts w:ascii="Times New Roman" w:hAnsi="Times New Roman" w:cs="Times New Roman"/>
                <w:sz w:val="24"/>
                <w:szCs w:val="24"/>
              </w:rPr>
              <w:t> </w:t>
            </w:r>
            <w:r w:rsidRPr="001E47E5">
              <w:rPr>
                <w:rFonts w:ascii="Times New Roman" w:hAnsi="Times New Roman" w:cs="Times New Roman"/>
                <w:sz w:val="24"/>
                <w:szCs w:val="24"/>
              </w:rPr>
              <w:t>2</w:t>
            </w:r>
          </w:p>
        </w:tc>
        <w:tc>
          <w:tcPr>
            <w:tcW w:w="992" w:type="dxa"/>
          </w:tcPr>
          <w:p w14:paraId="29E8044D"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Pr>
                <w:rFonts w:ascii="Times New Roman" w:hAnsi="Times New Roman" w:cs="Times New Roman"/>
                <w:sz w:val="24"/>
                <w:szCs w:val="24"/>
              </w:rPr>
              <w:t xml:space="preserve">zákon č. </w:t>
            </w:r>
            <w:r w:rsidRPr="001E47E5">
              <w:rPr>
                <w:rFonts w:ascii="Times New Roman" w:hAnsi="Times New Roman" w:cs="Times New Roman"/>
                <w:sz w:val="24"/>
                <w:szCs w:val="24"/>
              </w:rPr>
              <w:t>69/2018 Z.</w:t>
            </w:r>
            <w:r>
              <w:rPr>
                <w:rFonts w:ascii="Times New Roman" w:hAnsi="Times New Roman" w:cs="Times New Roman"/>
                <w:sz w:val="24"/>
                <w:szCs w:val="24"/>
              </w:rPr>
              <w:t> </w:t>
            </w:r>
            <w:r w:rsidRPr="001E47E5">
              <w:rPr>
                <w:rFonts w:ascii="Times New Roman" w:hAnsi="Times New Roman" w:cs="Times New Roman"/>
                <w:sz w:val="24"/>
                <w:szCs w:val="24"/>
              </w:rPr>
              <w:t>z.</w:t>
            </w:r>
          </w:p>
        </w:tc>
        <w:tc>
          <w:tcPr>
            <w:tcW w:w="1134" w:type="dxa"/>
          </w:tcPr>
          <w:p w14:paraId="44F9BDBD"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29 ods. 1, 2, 4, 5, 7, 8 </w:t>
            </w:r>
          </w:p>
        </w:tc>
        <w:tc>
          <w:tcPr>
            <w:tcW w:w="1843" w:type="dxa"/>
            <w:shd w:val="clear" w:color="auto" w:fill="auto"/>
          </w:tcPr>
          <w:p w14:paraId="3BF0C53E" w14:textId="77777777" w:rsidR="000E512F" w:rsidRPr="001E47E5" w:rsidDel="00801596" w:rsidRDefault="000E512F" w:rsidP="000E512F">
            <w:pPr>
              <w:pStyle w:val="gmail-m-1648484718305530482msolistparagraph"/>
              <w:spacing w:before="0" w:beforeAutospacing="0" w:after="0" w:afterAutospacing="0"/>
              <w:jc w:val="both"/>
              <w:rPr>
                <w:rFonts w:ascii="Times New Roman" w:eastAsia="Times New Roman" w:hAnsi="Times New Roman" w:cs="Times New Roman"/>
                <w:sz w:val="24"/>
                <w:szCs w:val="24"/>
                <w:highlight w:val="yellow"/>
              </w:rPr>
            </w:pPr>
            <w:r w:rsidRPr="001E47E5">
              <w:rPr>
                <w:rFonts w:ascii="Times New Roman" w:hAnsi="Times New Roman" w:cs="Times New Roman"/>
                <w:sz w:val="24"/>
                <w:szCs w:val="24"/>
              </w:rPr>
              <w:t>2. EÚ úplná harmonizácia</w:t>
            </w:r>
          </w:p>
        </w:tc>
        <w:tc>
          <w:tcPr>
            <w:tcW w:w="992" w:type="dxa"/>
          </w:tcPr>
          <w:p w14:paraId="1ECB9D3D"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01.01.2025</w:t>
            </w:r>
          </w:p>
        </w:tc>
        <w:tc>
          <w:tcPr>
            <w:tcW w:w="1160" w:type="dxa"/>
            <w:shd w:val="clear" w:color="auto" w:fill="auto"/>
            <w:noWrap/>
          </w:tcPr>
          <w:p w14:paraId="045BEC1B"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veľké podniky</w:t>
            </w:r>
          </w:p>
        </w:tc>
        <w:tc>
          <w:tcPr>
            <w:tcW w:w="1108" w:type="dxa"/>
          </w:tcPr>
          <w:p w14:paraId="557D6B19"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131 </w:t>
            </w:r>
          </w:p>
        </w:tc>
        <w:tc>
          <w:tcPr>
            <w:tcW w:w="851" w:type="dxa"/>
            <w:shd w:val="clear" w:color="auto" w:fill="auto"/>
            <w:noWrap/>
          </w:tcPr>
          <w:p w14:paraId="47828D20"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8 750</w:t>
            </w:r>
          </w:p>
        </w:tc>
        <w:tc>
          <w:tcPr>
            <w:tcW w:w="843" w:type="dxa"/>
            <w:shd w:val="clear" w:color="auto" w:fill="auto"/>
            <w:noWrap/>
          </w:tcPr>
          <w:p w14:paraId="766CE5CE"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1 146 250</w:t>
            </w:r>
          </w:p>
        </w:tc>
        <w:tc>
          <w:tcPr>
            <w:tcW w:w="1000" w:type="dxa"/>
            <w:shd w:val="clear" w:color="auto" w:fill="auto"/>
            <w:noWrap/>
          </w:tcPr>
          <w:p w14:paraId="4AB9003A"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In (zvyšuje náklady)</w:t>
            </w:r>
          </w:p>
        </w:tc>
        <w:tc>
          <w:tcPr>
            <w:tcW w:w="708" w:type="dxa"/>
            <w:shd w:val="clear" w:color="auto" w:fill="auto"/>
            <w:noWrap/>
          </w:tcPr>
          <w:p w14:paraId="364A9C98"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134" w:type="dxa"/>
          </w:tcPr>
          <w:p w14:paraId="67663FCB"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r>
      <w:tr w:rsidR="000E512F" w:rsidRPr="001E47E5" w14:paraId="5BDEC7D2" w14:textId="77777777" w:rsidTr="000E5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168CEA02"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lastRenderedPageBreak/>
              <w:t>10</w:t>
            </w:r>
          </w:p>
        </w:tc>
        <w:tc>
          <w:tcPr>
            <w:tcW w:w="1740" w:type="dxa"/>
            <w:shd w:val="clear" w:color="auto" w:fill="auto"/>
          </w:tcPr>
          <w:p w14:paraId="36FA0101"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Zavedenie povinnosti auditu kybernetickej bezpečnosti pre nové subjekty v súlade so smernicou NIS</w:t>
            </w:r>
            <w:r>
              <w:rPr>
                <w:rFonts w:ascii="Times New Roman" w:hAnsi="Times New Roman" w:cs="Times New Roman"/>
                <w:sz w:val="24"/>
                <w:szCs w:val="24"/>
              </w:rPr>
              <w:t> </w:t>
            </w:r>
            <w:r w:rsidRPr="001E47E5">
              <w:rPr>
                <w:rFonts w:ascii="Times New Roman" w:hAnsi="Times New Roman" w:cs="Times New Roman"/>
                <w:sz w:val="24"/>
                <w:szCs w:val="24"/>
              </w:rPr>
              <w:t>2</w:t>
            </w:r>
          </w:p>
        </w:tc>
        <w:tc>
          <w:tcPr>
            <w:tcW w:w="992" w:type="dxa"/>
          </w:tcPr>
          <w:p w14:paraId="300558A2"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Pr>
                <w:rFonts w:ascii="Times New Roman" w:hAnsi="Times New Roman" w:cs="Times New Roman"/>
                <w:sz w:val="24"/>
                <w:szCs w:val="24"/>
              </w:rPr>
              <w:t xml:space="preserve">zákon č. </w:t>
            </w:r>
            <w:r w:rsidRPr="001E47E5">
              <w:rPr>
                <w:rFonts w:ascii="Times New Roman" w:hAnsi="Times New Roman" w:cs="Times New Roman"/>
                <w:sz w:val="24"/>
                <w:szCs w:val="24"/>
              </w:rPr>
              <w:t>69/2018 Z.</w:t>
            </w:r>
            <w:r>
              <w:rPr>
                <w:rFonts w:ascii="Times New Roman" w:hAnsi="Times New Roman" w:cs="Times New Roman"/>
                <w:sz w:val="24"/>
                <w:szCs w:val="24"/>
              </w:rPr>
              <w:t> </w:t>
            </w:r>
            <w:r w:rsidRPr="001E47E5">
              <w:rPr>
                <w:rFonts w:ascii="Times New Roman" w:hAnsi="Times New Roman" w:cs="Times New Roman"/>
                <w:sz w:val="24"/>
                <w:szCs w:val="24"/>
              </w:rPr>
              <w:t>z.</w:t>
            </w:r>
          </w:p>
        </w:tc>
        <w:tc>
          <w:tcPr>
            <w:tcW w:w="1134" w:type="dxa"/>
          </w:tcPr>
          <w:p w14:paraId="58260D73"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29 ods. 1, 2, 4, 5, 7, 8 </w:t>
            </w:r>
          </w:p>
        </w:tc>
        <w:tc>
          <w:tcPr>
            <w:tcW w:w="1843" w:type="dxa"/>
            <w:shd w:val="clear" w:color="auto" w:fill="auto"/>
          </w:tcPr>
          <w:p w14:paraId="46DEE35F" w14:textId="77777777" w:rsidR="000E512F" w:rsidRPr="001E47E5" w:rsidDel="00801596" w:rsidRDefault="000E512F" w:rsidP="000E512F">
            <w:pPr>
              <w:pStyle w:val="gmail-m-1648484718305530482msolistparagraph"/>
              <w:spacing w:before="0" w:beforeAutospacing="0" w:after="0" w:afterAutospacing="0"/>
              <w:jc w:val="both"/>
              <w:rPr>
                <w:rFonts w:ascii="Times New Roman" w:eastAsia="Times New Roman" w:hAnsi="Times New Roman" w:cs="Times New Roman"/>
                <w:sz w:val="24"/>
                <w:szCs w:val="24"/>
                <w:highlight w:val="yellow"/>
              </w:rPr>
            </w:pPr>
            <w:r w:rsidRPr="001E47E5">
              <w:rPr>
                <w:rFonts w:ascii="Times New Roman" w:hAnsi="Times New Roman" w:cs="Times New Roman"/>
                <w:sz w:val="24"/>
                <w:szCs w:val="24"/>
              </w:rPr>
              <w:t>2. EÚ úplná harmonizácia</w:t>
            </w:r>
          </w:p>
        </w:tc>
        <w:tc>
          <w:tcPr>
            <w:tcW w:w="992" w:type="dxa"/>
          </w:tcPr>
          <w:p w14:paraId="6FC5913F"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01.01.2025</w:t>
            </w:r>
          </w:p>
        </w:tc>
        <w:tc>
          <w:tcPr>
            <w:tcW w:w="1160" w:type="dxa"/>
            <w:shd w:val="clear" w:color="auto" w:fill="auto"/>
            <w:noWrap/>
          </w:tcPr>
          <w:p w14:paraId="096200A5"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stredné podniky</w:t>
            </w:r>
          </w:p>
        </w:tc>
        <w:tc>
          <w:tcPr>
            <w:tcW w:w="1108" w:type="dxa"/>
          </w:tcPr>
          <w:p w14:paraId="0FBF7D01"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2 198 </w:t>
            </w:r>
          </w:p>
        </w:tc>
        <w:tc>
          <w:tcPr>
            <w:tcW w:w="851" w:type="dxa"/>
            <w:shd w:val="clear" w:color="auto" w:fill="auto"/>
            <w:noWrap/>
          </w:tcPr>
          <w:p w14:paraId="402B58A5"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128</w:t>
            </w:r>
          </w:p>
        </w:tc>
        <w:tc>
          <w:tcPr>
            <w:tcW w:w="843" w:type="dxa"/>
            <w:shd w:val="clear" w:color="auto" w:fill="auto"/>
            <w:noWrap/>
          </w:tcPr>
          <w:p w14:paraId="59F47E24"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280 936</w:t>
            </w:r>
          </w:p>
        </w:tc>
        <w:tc>
          <w:tcPr>
            <w:tcW w:w="1000" w:type="dxa"/>
            <w:shd w:val="clear" w:color="auto" w:fill="auto"/>
            <w:noWrap/>
          </w:tcPr>
          <w:p w14:paraId="139820DE"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In (zvyšuje náklady)</w:t>
            </w:r>
          </w:p>
        </w:tc>
        <w:tc>
          <w:tcPr>
            <w:tcW w:w="708" w:type="dxa"/>
            <w:shd w:val="clear" w:color="auto" w:fill="auto"/>
            <w:noWrap/>
          </w:tcPr>
          <w:p w14:paraId="4E31ACCE"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134" w:type="dxa"/>
          </w:tcPr>
          <w:p w14:paraId="62BF319A"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r>
      <w:tr w:rsidR="000E512F" w:rsidRPr="001E47E5" w14:paraId="0DB46FDE" w14:textId="77777777" w:rsidTr="000E5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0CA4AC31"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11</w:t>
            </w:r>
          </w:p>
        </w:tc>
        <w:tc>
          <w:tcPr>
            <w:tcW w:w="1740" w:type="dxa"/>
            <w:shd w:val="clear" w:color="auto" w:fill="auto"/>
          </w:tcPr>
          <w:p w14:paraId="246E92AB"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Zavedenie povinnosti auditu kybernetickej bezpečnosti pre nové subjekty v súlade so smernicou NIS</w:t>
            </w:r>
            <w:r>
              <w:rPr>
                <w:rFonts w:ascii="Times New Roman" w:hAnsi="Times New Roman" w:cs="Times New Roman"/>
                <w:sz w:val="24"/>
                <w:szCs w:val="24"/>
              </w:rPr>
              <w:t> </w:t>
            </w:r>
            <w:r w:rsidRPr="001E47E5">
              <w:rPr>
                <w:rFonts w:ascii="Times New Roman" w:hAnsi="Times New Roman" w:cs="Times New Roman"/>
                <w:sz w:val="24"/>
                <w:szCs w:val="24"/>
              </w:rPr>
              <w:t>2</w:t>
            </w:r>
          </w:p>
        </w:tc>
        <w:tc>
          <w:tcPr>
            <w:tcW w:w="992" w:type="dxa"/>
          </w:tcPr>
          <w:p w14:paraId="40FD6CCF"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Pr>
                <w:rFonts w:ascii="Times New Roman" w:hAnsi="Times New Roman" w:cs="Times New Roman"/>
                <w:sz w:val="24"/>
                <w:szCs w:val="24"/>
              </w:rPr>
              <w:t xml:space="preserve">zákon č. </w:t>
            </w:r>
            <w:r w:rsidRPr="001E47E5">
              <w:rPr>
                <w:rFonts w:ascii="Times New Roman" w:hAnsi="Times New Roman" w:cs="Times New Roman"/>
                <w:sz w:val="24"/>
                <w:szCs w:val="24"/>
              </w:rPr>
              <w:t>69/2018 Z.</w:t>
            </w:r>
            <w:r>
              <w:rPr>
                <w:rFonts w:ascii="Times New Roman" w:hAnsi="Times New Roman" w:cs="Times New Roman"/>
                <w:sz w:val="24"/>
                <w:szCs w:val="24"/>
              </w:rPr>
              <w:t> </w:t>
            </w:r>
            <w:r w:rsidRPr="001E47E5">
              <w:rPr>
                <w:rFonts w:ascii="Times New Roman" w:hAnsi="Times New Roman" w:cs="Times New Roman"/>
                <w:sz w:val="24"/>
                <w:szCs w:val="24"/>
              </w:rPr>
              <w:t>z.</w:t>
            </w:r>
          </w:p>
        </w:tc>
        <w:tc>
          <w:tcPr>
            <w:tcW w:w="1134" w:type="dxa"/>
          </w:tcPr>
          <w:p w14:paraId="55440E00"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29 ods. 1, 2, 4, 5, 7, 8 </w:t>
            </w:r>
          </w:p>
        </w:tc>
        <w:tc>
          <w:tcPr>
            <w:tcW w:w="1843" w:type="dxa"/>
            <w:shd w:val="clear" w:color="auto" w:fill="auto"/>
          </w:tcPr>
          <w:p w14:paraId="2ED9F6CF" w14:textId="77777777" w:rsidR="000E512F" w:rsidRPr="001E47E5" w:rsidDel="00801596" w:rsidRDefault="000E512F" w:rsidP="000E512F">
            <w:pPr>
              <w:pStyle w:val="gmail-m-1648484718305530482msolistparagraph"/>
              <w:spacing w:before="0" w:beforeAutospacing="0" w:after="0" w:afterAutospacing="0"/>
              <w:jc w:val="both"/>
              <w:rPr>
                <w:rFonts w:ascii="Times New Roman" w:eastAsia="Times New Roman" w:hAnsi="Times New Roman" w:cs="Times New Roman"/>
                <w:sz w:val="24"/>
                <w:szCs w:val="24"/>
                <w:highlight w:val="yellow"/>
              </w:rPr>
            </w:pPr>
            <w:r w:rsidRPr="001E47E5">
              <w:rPr>
                <w:rFonts w:ascii="Times New Roman" w:hAnsi="Times New Roman" w:cs="Times New Roman"/>
                <w:sz w:val="24"/>
                <w:szCs w:val="24"/>
              </w:rPr>
              <w:t>2. EÚ úplná harmonizácia</w:t>
            </w:r>
          </w:p>
        </w:tc>
        <w:tc>
          <w:tcPr>
            <w:tcW w:w="992" w:type="dxa"/>
          </w:tcPr>
          <w:p w14:paraId="7ADE30BF"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01.01.2025</w:t>
            </w:r>
          </w:p>
        </w:tc>
        <w:tc>
          <w:tcPr>
            <w:tcW w:w="1160" w:type="dxa"/>
            <w:shd w:val="clear" w:color="auto" w:fill="auto"/>
            <w:noWrap/>
          </w:tcPr>
          <w:p w14:paraId="39010F84"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veľké podniky</w:t>
            </w:r>
          </w:p>
        </w:tc>
        <w:tc>
          <w:tcPr>
            <w:tcW w:w="1108" w:type="dxa"/>
          </w:tcPr>
          <w:p w14:paraId="78BD05CE"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525 </w:t>
            </w:r>
          </w:p>
        </w:tc>
        <w:tc>
          <w:tcPr>
            <w:tcW w:w="851" w:type="dxa"/>
            <w:shd w:val="clear" w:color="auto" w:fill="auto"/>
            <w:noWrap/>
          </w:tcPr>
          <w:p w14:paraId="06949B49"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128</w:t>
            </w:r>
          </w:p>
        </w:tc>
        <w:tc>
          <w:tcPr>
            <w:tcW w:w="843" w:type="dxa"/>
            <w:shd w:val="clear" w:color="auto" w:fill="auto"/>
            <w:noWrap/>
          </w:tcPr>
          <w:p w14:paraId="0E160548"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67 103</w:t>
            </w:r>
          </w:p>
        </w:tc>
        <w:tc>
          <w:tcPr>
            <w:tcW w:w="1000" w:type="dxa"/>
            <w:shd w:val="clear" w:color="auto" w:fill="auto"/>
            <w:noWrap/>
          </w:tcPr>
          <w:p w14:paraId="7DD552C0"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In (zvyšuje náklady)</w:t>
            </w:r>
          </w:p>
        </w:tc>
        <w:tc>
          <w:tcPr>
            <w:tcW w:w="708" w:type="dxa"/>
            <w:shd w:val="clear" w:color="auto" w:fill="auto"/>
            <w:noWrap/>
          </w:tcPr>
          <w:p w14:paraId="7BD48768"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134" w:type="dxa"/>
          </w:tcPr>
          <w:p w14:paraId="235BA422"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r>
      <w:tr w:rsidR="000E512F" w:rsidRPr="001E47E5" w14:paraId="77DFC2B6" w14:textId="77777777" w:rsidTr="000E5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5E343E03"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12</w:t>
            </w:r>
          </w:p>
        </w:tc>
        <w:tc>
          <w:tcPr>
            <w:tcW w:w="1740" w:type="dxa"/>
            <w:shd w:val="clear" w:color="auto" w:fill="auto"/>
          </w:tcPr>
          <w:p w14:paraId="153BD2EF"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Zavedenie poriadkovej pokuty</w:t>
            </w:r>
          </w:p>
        </w:tc>
        <w:tc>
          <w:tcPr>
            <w:tcW w:w="992" w:type="dxa"/>
          </w:tcPr>
          <w:p w14:paraId="3317C622"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Pr>
                <w:rFonts w:ascii="Times New Roman" w:hAnsi="Times New Roman" w:cs="Times New Roman"/>
                <w:sz w:val="24"/>
                <w:szCs w:val="24"/>
              </w:rPr>
              <w:t xml:space="preserve">zákon č. </w:t>
            </w:r>
            <w:r w:rsidRPr="001E47E5">
              <w:rPr>
                <w:rFonts w:ascii="Times New Roman" w:hAnsi="Times New Roman" w:cs="Times New Roman"/>
                <w:sz w:val="24"/>
                <w:szCs w:val="24"/>
              </w:rPr>
              <w:t>69/2018 Z.</w:t>
            </w:r>
            <w:r>
              <w:rPr>
                <w:rFonts w:ascii="Times New Roman" w:hAnsi="Times New Roman" w:cs="Times New Roman"/>
                <w:sz w:val="24"/>
                <w:szCs w:val="24"/>
              </w:rPr>
              <w:t> </w:t>
            </w:r>
            <w:r w:rsidRPr="001E47E5">
              <w:rPr>
                <w:rFonts w:ascii="Times New Roman" w:hAnsi="Times New Roman" w:cs="Times New Roman"/>
                <w:sz w:val="24"/>
                <w:szCs w:val="24"/>
              </w:rPr>
              <w:t>z.</w:t>
            </w:r>
          </w:p>
        </w:tc>
        <w:tc>
          <w:tcPr>
            <w:tcW w:w="1134" w:type="dxa"/>
          </w:tcPr>
          <w:p w14:paraId="3218DFBE"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29n</w:t>
            </w:r>
          </w:p>
        </w:tc>
        <w:tc>
          <w:tcPr>
            <w:tcW w:w="1843" w:type="dxa"/>
            <w:shd w:val="clear" w:color="auto" w:fill="auto"/>
          </w:tcPr>
          <w:p w14:paraId="7F4C4A3F" w14:textId="77777777" w:rsidR="000E512F" w:rsidRPr="001E47E5" w:rsidDel="00801596" w:rsidRDefault="000E512F" w:rsidP="000E512F">
            <w:pPr>
              <w:pStyle w:val="gmail-m-1648484718305530482msolistparagraph"/>
              <w:spacing w:before="0" w:beforeAutospacing="0" w:after="0" w:afterAutospacing="0"/>
              <w:jc w:val="both"/>
              <w:rPr>
                <w:rFonts w:ascii="Times New Roman" w:eastAsia="Times New Roman" w:hAnsi="Times New Roman" w:cs="Times New Roman"/>
                <w:sz w:val="24"/>
                <w:szCs w:val="24"/>
                <w:highlight w:val="yellow"/>
              </w:rPr>
            </w:pPr>
            <w:r w:rsidRPr="001E47E5">
              <w:rPr>
                <w:rFonts w:ascii="Times New Roman" w:hAnsi="Times New Roman" w:cs="Times New Roman"/>
                <w:sz w:val="24"/>
                <w:szCs w:val="24"/>
              </w:rPr>
              <w:t>2. EÚ úplná harmonizácia</w:t>
            </w:r>
          </w:p>
        </w:tc>
        <w:tc>
          <w:tcPr>
            <w:tcW w:w="992" w:type="dxa"/>
          </w:tcPr>
          <w:p w14:paraId="2CC94501"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01.01.2025</w:t>
            </w:r>
          </w:p>
        </w:tc>
        <w:tc>
          <w:tcPr>
            <w:tcW w:w="1160" w:type="dxa"/>
            <w:shd w:val="clear" w:color="auto" w:fill="auto"/>
            <w:noWrap/>
          </w:tcPr>
          <w:p w14:paraId="4069036A"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stredné a veľké podniky</w:t>
            </w:r>
          </w:p>
        </w:tc>
        <w:tc>
          <w:tcPr>
            <w:tcW w:w="1108" w:type="dxa"/>
          </w:tcPr>
          <w:p w14:paraId="17B4E15C"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3 403 </w:t>
            </w:r>
          </w:p>
        </w:tc>
        <w:tc>
          <w:tcPr>
            <w:tcW w:w="851" w:type="dxa"/>
            <w:shd w:val="clear" w:color="auto" w:fill="auto"/>
            <w:noWrap/>
          </w:tcPr>
          <w:p w14:paraId="113656D3"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10</w:t>
            </w:r>
          </w:p>
        </w:tc>
        <w:tc>
          <w:tcPr>
            <w:tcW w:w="843" w:type="dxa"/>
            <w:shd w:val="clear" w:color="auto" w:fill="auto"/>
            <w:noWrap/>
          </w:tcPr>
          <w:p w14:paraId="6CAD8C4E"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34 030</w:t>
            </w:r>
          </w:p>
        </w:tc>
        <w:tc>
          <w:tcPr>
            <w:tcW w:w="1000" w:type="dxa"/>
            <w:shd w:val="clear" w:color="auto" w:fill="auto"/>
            <w:noWrap/>
          </w:tcPr>
          <w:p w14:paraId="58EC7A41"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In (zvyšuje náklady)</w:t>
            </w:r>
          </w:p>
        </w:tc>
        <w:tc>
          <w:tcPr>
            <w:tcW w:w="708" w:type="dxa"/>
            <w:shd w:val="clear" w:color="auto" w:fill="auto"/>
            <w:noWrap/>
          </w:tcPr>
          <w:p w14:paraId="031AFB70"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134" w:type="dxa"/>
          </w:tcPr>
          <w:p w14:paraId="3D2CB9C6"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r>
      <w:tr w:rsidR="000E512F" w:rsidRPr="001E47E5" w14:paraId="33CC4DB1" w14:textId="77777777" w:rsidTr="000E5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5E3DB288"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13</w:t>
            </w:r>
          </w:p>
        </w:tc>
        <w:tc>
          <w:tcPr>
            <w:tcW w:w="1740" w:type="dxa"/>
            <w:shd w:val="clear" w:color="auto" w:fill="auto"/>
          </w:tcPr>
          <w:p w14:paraId="7FF6F354"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Zavedenie priestupku pre nové subjekty</w:t>
            </w:r>
          </w:p>
        </w:tc>
        <w:tc>
          <w:tcPr>
            <w:tcW w:w="992" w:type="dxa"/>
          </w:tcPr>
          <w:p w14:paraId="3FE1DB3F"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Pr>
                <w:rFonts w:ascii="Times New Roman" w:hAnsi="Times New Roman" w:cs="Times New Roman"/>
                <w:sz w:val="24"/>
                <w:szCs w:val="24"/>
              </w:rPr>
              <w:t xml:space="preserve">zákon č. </w:t>
            </w:r>
            <w:r w:rsidRPr="001E47E5">
              <w:rPr>
                <w:rFonts w:ascii="Times New Roman" w:hAnsi="Times New Roman" w:cs="Times New Roman"/>
                <w:sz w:val="24"/>
                <w:szCs w:val="24"/>
              </w:rPr>
              <w:t>69/2018 Z.</w:t>
            </w:r>
            <w:r>
              <w:rPr>
                <w:rFonts w:ascii="Times New Roman" w:hAnsi="Times New Roman" w:cs="Times New Roman"/>
                <w:sz w:val="24"/>
                <w:szCs w:val="24"/>
              </w:rPr>
              <w:t> </w:t>
            </w:r>
            <w:r w:rsidRPr="001E47E5">
              <w:rPr>
                <w:rFonts w:ascii="Times New Roman" w:hAnsi="Times New Roman" w:cs="Times New Roman"/>
                <w:sz w:val="24"/>
                <w:szCs w:val="24"/>
              </w:rPr>
              <w:t>z.</w:t>
            </w:r>
          </w:p>
        </w:tc>
        <w:tc>
          <w:tcPr>
            <w:tcW w:w="1134" w:type="dxa"/>
          </w:tcPr>
          <w:p w14:paraId="56A4D1EF"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30</w:t>
            </w:r>
          </w:p>
        </w:tc>
        <w:tc>
          <w:tcPr>
            <w:tcW w:w="1843" w:type="dxa"/>
            <w:shd w:val="clear" w:color="auto" w:fill="auto"/>
          </w:tcPr>
          <w:p w14:paraId="0C1693B2" w14:textId="77777777" w:rsidR="000E512F" w:rsidRPr="001E47E5" w:rsidDel="00801596" w:rsidRDefault="000E512F" w:rsidP="000E512F">
            <w:pPr>
              <w:pStyle w:val="gmail-m-1648484718305530482msolistparagraph"/>
              <w:spacing w:before="0" w:beforeAutospacing="0" w:after="0" w:afterAutospacing="0"/>
              <w:jc w:val="both"/>
              <w:rPr>
                <w:rFonts w:ascii="Times New Roman" w:eastAsia="Times New Roman" w:hAnsi="Times New Roman" w:cs="Times New Roman"/>
                <w:sz w:val="24"/>
                <w:szCs w:val="24"/>
                <w:highlight w:val="yellow"/>
              </w:rPr>
            </w:pPr>
            <w:r w:rsidRPr="001E47E5">
              <w:rPr>
                <w:rFonts w:ascii="Times New Roman" w:hAnsi="Times New Roman" w:cs="Times New Roman"/>
                <w:sz w:val="24"/>
                <w:szCs w:val="24"/>
              </w:rPr>
              <w:t>2. EÚ úplná harmonizácia</w:t>
            </w:r>
          </w:p>
        </w:tc>
        <w:tc>
          <w:tcPr>
            <w:tcW w:w="992" w:type="dxa"/>
          </w:tcPr>
          <w:p w14:paraId="592CCD48"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01.01.2025</w:t>
            </w:r>
          </w:p>
        </w:tc>
        <w:tc>
          <w:tcPr>
            <w:tcW w:w="1160" w:type="dxa"/>
            <w:shd w:val="clear" w:color="auto" w:fill="auto"/>
            <w:noWrap/>
          </w:tcPr>
          <w:p w14:paraId="26CC3726"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stredné a veľké podniky</w:t>
            </w:r>
          </w:p>
        </w:tc>
        <w:tc>
          <w:tcPr>
            <w:tcW w:w="1108" w:type="dxa"/>
          </w:tcPr>
          <w:p w14:paraId="036C672E"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3 403 </w:t>
            </w:r>
          </w:p>
        </w:tc>
        <w:tc>
          <w:tcPr>
            <w:tcW w:w="851" w:type="dxa"/>
            <w:shd w:val="clear" w:color="auto" w:fill="auto"/>
            <w:noWrap/>
          </w:tcPr>
          <w:p w14:paraId="70BEEFED"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10</w:t>
            </w:r>
          </w:p>
        </w:tc>
        <w:tc>
          <w:tcPr>
            <w:tcW w:w="843" w:type="dxa"/>
            <w:shd w:val="clear" w:color="auto" w:fill="auto"/>
            <w:noWrap/>
          </w:tcPr>
          <w:p w14:paraId="68075B58"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34 030</w:t>
            </w:r>
          </w:p>
        </w:tc>
        <w:tc>
          <w:tcPr>
            <w:tcW w:w="1000" w:type="dxa"/>
            <w:shd w:val="clear" w:color="auto" w:fill="auto"/>
            <w:noWrap/>
          </w:tcPr>
          <w:p w14:paraId="7D482FBB"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In (zvyšuje náklady)</w:t>
            </w:r>
          </w:p>
        </w:tc>
        <w:tc>
          <w:tcPr>
            <w:tcW w:w="708" w:type="dxa"/>
            <w:shd w:val="clear" w:color="auto" w:fill="auto"/>
            <w:noWrap/>
          </w:tcPr>
          <w:p w14:paraId="555C274C"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134" w:type="dxa"/>
          </w:tcPr>
          <w:p w14:paraId="4B5C6CF2"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r>
      <w:tr w:rsidR="000E512F" w:rsidRPr="001E47E5" w14:paraId="5D399369" w14:textId="77777777" w:rsidTr="000E5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Pr>
          <w:p w14:paraId="3FCD479B"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14</w:t>
            </w:r>
          </w:p>
        </w:tc>
        <w:tc>
          <w:tcPr>
            <w:tcW w:w="1740" w:type="dxa"/>
            <w:shd w:val="clear" w:color="auto" w:fill="auto"/>
          </w:tcPr>
          <w:p w14:paraId="4140EA03"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Zavedenie správnych deliktov pre nové subjekty</w:t>
            </w:r>
          </w:p>
        </w:tc>
        <w:tc>
          <w:tcPr>
            <w:tcW w:w="992" w:type="dxa"/>
          </w:tcPr>
          <w:p w14:paraId="725E53B9"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Pr>
                <w:rFonts w:ascii="Times New Roman" w:hAnsi="Times New Roman" w:cs="Times New Roman"/>
                <w:sz w:val="24"/>
                <w:szCs w:val="24"/>
              </w:rPr>
              <w:t xml:space="preserve">zákon č. </w:t>
            </w:r>
            <w:r w:rsidRPr="001E47E5">
              <w:rPr>
                <w:rFonts w:ascii="Times New Roman" w:hAnsi="Times New Roman" w:cs="Times New Roman"/>
                <w:sz w:val="24"/>
                <w:szCs w:val="24"/>
              </w:rPr>
              <w:t>69/2018 Z.</w:t>
            </w:r>
            <w:r>
              <w:rPr>
                <w:rFonts w:ascii="Times New Roman" w:hAnsi="Times New Roman" w:cs="Times New Roman"/>
                <w:sz w:val="24"/>
                <w:szCs w:val="24"/>
              </w:rPr>
              <w:t> </w:t>
            </w:r>
            <w:r w:rsidRPr="001E47E5">
              <w:rPr>
                <w:rFonts w:ascii="Times New Roman" w:hAnsi="Times New Roman" w:cs="Times New Roman"/>
                <w:sz w:val="24"/>
                <w:szCs w:val="24"/>
              </w:rPr>
              <w:t>z.</w:t>
            </w:r>
          </w:p>
        </w:tc>
        <w:tc>
          <w:tcPr>
            <w:tcW w:w="1134" w:type="dxa"/>
          </w:tcPr>
          <w:p w14:paraId="27BEC9DC"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31</w:t>
            </w:r>
          </w:p>
        </w:tc>
        <w:tc>
          <w:tcPr>
            <w:tcW w:w="1843" w:type="dxa"/>
            <w:shd w:val="clear" w:color="auto" w:fill="auto"/>
          </w:tcPr>
          <w:p w14:paraId="5D52B4E4" w14:textId="77777777" w:rsidR="000E512F" w:rsidRPr="001E47E5" w:rsidDel="00801596" w:rsidRDefault="000E512F" w:rsidP="000E512F">
            <w:pPr>
              <w:pStyle w:val="gmail-m-1648484718305530482msolistparagraph"/>
              <w:spacing w:before="0" w:beforeAutospacing="0" w:after="0" w:afterAutospacing="0"/>
              <w:jc w:val="both"/>
              <w:rPr>
                <w:rFonts w:ascii="Times New Roman" w:eastAsia="Times New Roman" w:hAnsi="Times New Roman" w:cs="Times New Roman"/>
                <w:sz w:val="24"/>
                <w:szCs w:val="24"/>
                <w:highlight w:val="yellow"/>
              </w:rPr>
            </w:pPr>
            <w:r w:rsidRPr="001E47E5">
              <w:rPr>
                <w:rFonts w:ascii="Times New Roman" w:hAnsi="Times New Roman" w:cs="Times New Roman"/>
                <w:sz w:val="24"/>
                <w:szCs w:val="24"/>
              </w:rPr>
              <w:t>2. EÚ úplná harmonizácia</w:t>
            </w:r>
          </w:p>
        </w:tc>
        <w:tc>
          <w:tcPr>
            <w:tcW w:w="992" w:type="dxa"/>
          </w:tcPr>
          <w:p w14:paraId="48F282F7"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01.01.2025</w:t>
            </w:r>
          </w:p>
        </w:tc>
        <w:tc>
          <w:tcPr>
            <w:tcW w:w="1160" w:type="dxa"/>
            <w:shd w:val="clear" w:color="auto" w:fill="auto"/>
            <w:noWrap/>
          </w:tcPr>
          <w:p w14:paraId="1A972C67"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stredné a veľké podniky</w:t>
            </w:r>
          </w:p>
        </w:tc>
        <w:tc>
          <w:tcPr>
            <w:tcW w:w="1108" w:type="dxa"/>
          </w:tcPr>
          <w:p w14:paraId="348F29C2"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 xml:space="preserve"> 3 403 </w:t>
            </w:r>
          </w:p>
        </w:tc>
        <w:tc>
          <w:tcPr>
            <w:tcW w:w="851" w:type="dxa"/>
            <w:shd w:val="clear" w:color="auto" w:fill="auto"/>
            <w:noWrap/>
          </w:tcPr>
          <w:p w14:paraId="7341D61C"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10</w:t>
            </w:r>
          </w:p>
        </w:tc>
        <w:tc>
          <w:tcPr>
            <w:tcW w:w="843" w:type="dxa"/>
            <w:shd w:val="clear" w:color="auto" w:fill="auto"/>
            <w:noWrap/>
          </w:tcPr>
          <w:p w14:paraId="3FBFD9D2"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34 030</w:t>
            </w:r>
          </w:p>
        </w:tc>
        <w:tc>
          <w:tcPr>
            <w:tcW w:w="1000" w:type="dxa"/>
            <w:shd w:val="clear" w:color="auto" w:fill="auto"/>
            <w:noWrap/>
          </w:tcPr>
          <w:p w14:paraId="3E142BA0"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In (zvyšuje náklady)</w:t>
            </w:r>
          </w:p>
        </w:tc>
        <w:tc>
          <w:tcPr>
            <w:tcW w:w="708" w:type="dxa"/>
            <w:shd w:val="clear" w:color="auto" w:fill="auto"/>
            <w:noWrap/>
          </w:tcPr>
          <w:p w14:paraId="26DA66E7" w14:textId="77777777" w:rsidR="000E512F" w:rsidRPr="001E47E5" w:rsidRDefault="000E512F" w:rsidP="000E512F">
            <w:pPr>
              <w:spacing w:after="0" w:line="240" w:lineRule="auto"/>
              <w:rPr>
                <w:rFonts w:ascii="Times New Roman" w:eastAsia="Times New Roman" w:hAnsi="Times New Roman" w:cs="Times New Roman"/>
                <w:color w:val="000000"/>
                <w:sz w:val="24"/>
                <w:szCs w:val="24"/>
                <w:highlight w:val="yellow"/>
                <w:lang w:eastAsia="sk-SK"/>
              </w:rPr>
            </w:pPr>
            <w:r w:rsidRPr="001E47E5">
              <w:rPr>
                <w:rFonts w:ascii="Times New Roman" w:hAnsi="Times New Roman" w:cs="Times New Roman"/>
                <w:sz w:val="24"/>
                <w:szCs w:val="24"/>
              </w:rPr>
              <w:t>0</w:t>
            </w:r>
          </w:p>
        </w:tc>
        <w:tc>
          <w:tcPr>
            <w:tcW w:w="1134" w:type="dxa"/>
          </w:tcPr>
          <w:p w14:paraId="23AA743A" w14:textId="77777777" w:rsidR="000E512F" w:rsidRPr="001E47E5" w:rsidRDefault="000E512F" w:rsidP="000E512F">
            <w:pPr>
              <w:spacing w:after="0" w:line="240" w:lineRule="auto"/>
              <w:rPr>
                <w:rFonts w:ascii="Times New Roman" w:eastAsia="Times New Roman" w:hAnsi="Times New Roman" w:cs="Times New Roman"/>
                <w:sz w:val="24"/>
                <w:szCs w:val="24"/>
                <w:highlight w:val="yellow"/>
                <w:lang w:eastAsia="sk-SK"/>
              </w:rPr>
            </w:pPr>
            <w:r w:rsidRPr="001E47E5">
              <w:rPr>
                <w:rFonts w:ascii="Times New Roman" w:hAnsi="Times New Roman" w:cs="Times New Roman"/>
                <w:sz w:val="24"/>
                <w:szCs w:val="24"/>
              </w:rPr>
              <w:t>0</w:t>
            </w:r>
          </w:p>
        </w:tc>
      </w:tr>
    </w:tbl>
    <w:p w14:paraId="04D901C8" w14:textId="77777777" w:rsidR="000E512F" w:rsidRPr="001E47E5" w:rsidRDefault="000E512F" w:rsidP="000E512F">
      <w:pPr>
        <w:jc w:val="both"/>
        <w:rPr>
          <w:rFonts w:ascii="Times New Roman" w:eastAsia="Calibri" w:hAnsi="Times New Roman" w:cs="Times New Roman"/>
          <w:i/>
          <w:highlight w:val="yellow"/>
        </w:rPr>
      </w:pPr>
    </w:p>
    <w:p w14:paraId="142618F2" w14:textId="77777777" w:rsidR="000E512F" w:rsidRPr="001E47E5" w:rsidRDefault="000E512F" w:rsidP="000E512F">
      <w:pPr>
        <w:jc w:val="both"/>
        <w:rPr>
          <w:rFonts w:ascii="Times New Roman" w:eastAsia="Calibri" w:hAnsi="Times New Roman" w:cs="Times New Roman"/>
          <w:b/>
          <w:bCs/>
          <w:i/>
          <w:sz w:val="24"/>
          <w:szCs w:val="24"/>
          <w:highlight w:val="yellow"/>
        </w:rPr>
        <w:sectPr w:rsidR="000E512F" w:rsidRPr="001E47E5" w:rsidSect="000E512F">
          <w:pgSz w:w="16838" w:h="11906" w:orient="landscape"/>
          <w:pgMar w:top="1417" w:right="1417" w:bottom="1417" w:left="1417" w:header="708" w:footer="708" w:gutter="0"/>
          <w:cols w:space="708"/>
          <w:docGrid w:linePitch="360"/>
        </w:sectPr>
      </w:pPr>
    </w:p>
    <w:p w14:paraId="1497B3BD" w14:textId="77777777" w:rsidR="000E512F" w:rsidRPr="001E47E5" w:rsidRDefault="000E512F" w:rsidP="000E512F">
      <w:pPr>
        <w:jc w:val="both"/>
        <w:rPr>
          <w:rFonts w:ascii="Times New Roman" w:eastAsia="Calibri" w:hAnsi="Times New Roman" w:cs="Times New Roman"/>
          <w:b/>
          <w:bCs/>
          <w:i/>
          <w:sz w:val="24"/>
          <w:szCs w:val="24"/>
          <w:u w:val="single"/>
        </w:rPr>
      </w:pPr>
      <w:r w:rsidRPr="001E47E5">
        <w:rPr>
          <w:rFonts w:ascii="Times New Roman" w:eastAsia="Calibri" w:hAnsi="Times New Roman" w:cs="Times New Roman"/>
          <w:b/>
          <w:bCs/>
          <w:i/>
          <w:sz w:val="24"/>
          <w:szCs w:val="24"/>
          <w:u w:val="single"/>
        </w:rPr>
        <w:lastRenderedPageBreak/>
        <w:t xml:space="preserve">3.1.3 Doplňujúce informácie k spôsobu výpočtu vplyvov jednotlivých regulácií na zmenu nákladov </w:t>
      </w:r>
    </w:p>
    <w:p w14:paraId="1AD71980" w14:textId="77777777" w:rsidR="000E512F" w:rsidRPr="001E47E5" w:rsidRDefault="000E512F" w:rsidP="000E512F">
      <w:pPr>
        <w:jc w:val="both"/>
        <w:rPr>
          <w:rFonts w:ascii="Times New Roman" w:eastAsia="Calibri" w:hAnsi="Times New Roman" w:cs="Times New Roman"/>
          <w:bCs/>
          <w:color w:val="000000"/>
          <w:sz w:val="24"/>
          <w:szCs w:val="24"/>
        </w:rPr>
      </w:pPr>
      <w:r w:rsidRPr="001E47E5">
        <w:rPr>
          <w:rFonts w:ascii="Times New Roman" w:eastAsia="Calibri" w:hAnsi="Times New Roman" w:cs="Times New Roman"/>
          <w:bCs/>
          <w:color w:val="000000"/>
          <w:sz w:val="24"/>
          <w:szCs w:val="24"/>
        </w:rPr>
        <w:t>Vplyv novej regulácie na podnikateľské prostredie nastane v </w:t>
      </w:r>
      <w:r>
        <w:rPr>
          <w:rFonts w:ascii="Times New Roman" w:eastAsia="Calibri" w:hAnsi="Times New Roman" w:cs="Times New Roman"/>
          <w:bCs/>
          <w:color w:val="000000"/>
          <w:sz w:val="24"/>
          <w:szCs w:val="24"/>
        </w:rPr>
        <w:t>piatich</w:t>
      </w:r>
      <w:r w:rsidRPr="001E47E5">
        <w:rPr>
          <w:rFonts w:ascii="Times New Roman" w:eastAsia="Calibri" w:hAnsi="Times New Roman" w:cs="Times New Roman"/>
          <w:bCs/>
          <w:color w:val="000000"/>
          <w:sz w:val="24"/>
          <w:szCs w:val="24"/>
        </w:rPr>
        <w:t xml:space="preserve"> hlavných oblastiach</w:t>
      </w:r>
    </w:p>
    <w:p w14:paraId="48FA140C" w14:textId="77777777" w:rsidR="000E512F" w:rsidRPr="001E47E5" w:rsidRDefault="000E512F" w:rsidP="000E512F">
      <w:pPr>
        <w:pStyle w:val="Odsekzoznamu"/>
        <w:numPr>
          <w:ilvl w:val="0"/>
          <w:numId w:val="33"/>
        </w:numPr>
        <w:ind w:left="426" w:hanging="426"/>
        <w:jc w:val="both"/>
        <w:rPr>
          <w:rFonts w:ascii="Times New Roman" w:eastAsia="Calibri" w:hAnsi="Times New Roman" w:cs="Times New Roman"/>
          <w:bCs/>
          <w:color w:val="000000"/>
          <w:sz w:val="24"/>
          <w:szCs w:val="24"/>
        </w:rPr>
      </w:pPr>
      <w:r w:rsidRPr="001E47E5">
        <w:rPr>
          <w:rFonts w:ascii="Times New Roman" w:eastAsia="Calibri" w:hAnsi="Times New Roman" w:cs="Times New Roman"/>
          <w:bCs/>
          <w:color w:val="000000"/>
          <w:sz w:val="24"/>
          <w:szCs w:val="24"/>
        </w:rPr>
        <w:t>Zavedenie povinnosti prevádzkovateľa základnej služby pre nové subjekty v súlade so smernicou NIS</w:t>
      </w:r>
      <w:r>
        <w:rPr>
          <w:rFonts w:ascii="Times New Roman" w:eastAsia="Calibri" w:hAnsi="Times New Roman" w:cs="Times New Roman"/>
          <w:bCs/>
          <w:color w:val="000000"/>
          <w:sz w:val="24"/>
          <w:szCs w:val="24"/>
        </w:rPr>
        <w:t> </w:t>
      </w:r>
      <w:r w:rsidRPr="001E47E5">
        <w:rPr>
          <w:rFonts w:ascii="Times New Roman" w:eastAsia="Calibri" w:hAnsi="Times New Roman" w:cs="Times New Roman"/>
          <w:bCs/>
          <w:color w:val="000000"/>
          <w:sz w:val="24"/>
          <w:szCs w:val="24"/>
        </w:rPr>
        <w:t>2</w:t>
      </w:r>
    </w:p>
    <w:p w14:paraId="3CDFF450" w14:textId="77777777" w:rsidR="000E512F" w:rsidRPr="001E47E5" w:rsidRDefault="000E512F" w:rsidP="000E512F">
      <w:pPr>
        <w:pStyle w:val="Odsekzoznamu"/>
        <w:numPr>
          <w:ilvl w:val="0"/>
          <w:numId w:val="33"/>
        </w:numPr>
        <w:ind w:left="426" w:hanging="426"/>
        <w:jc w:val="both"/>
        <w:rPr>
          <w:rFonts w:ascii="Times New Roman" w:eastAsia="Calibri" w:hAnsi="Times New Roman" w:cs="Times New Roman"/>
          <w:bCs/>
          <w:color w:val="000000"/>
          <w:sz w:val="24"/>
          <w:szCs w:val="24"/>
        </w:rPr>
      </w:pPr>
      <w:r w:rsidRPr="001E47E5">
        <w:rPr>
          <w:rFonts w:ascii="Times New Roman" w:eastAsia="Calibri" w:hAnsi="Times New Roman" w:cs="Times New Roman"/>
          <w:bCs/>
          <w:color w:val="000000"/>
          <w:sz w:val="24"/>
          <w:szCs w:val="24"/>
        </w:rPr>
        <w:t>Zavedenie povinnosti a spôsobu zasielania hlásení pre nové subjekty v súlade so smernicou NIS</w:t>
      </w:r>
      <w:r>
        <w:rPr>
          <w:rFonts w:ascii="Times New Roman" w:eastAsia="Calibri" w:hAnsi="Times New Roman" w:cs="Times New Roman"/>
          <w:bCs/>
          <w:color w:val="000000"/>
          <w:sz w:val="24"/>
          <w:szCs w:val="24"/>
        </w:rPr>
        <w:t> </w:t>
      </w:r>
      <w:r w:rsidRPr="001E47E5">
        <w:rPr>
          <w:rFonts w:ascii="Times New Roman" w:eastAsia="Calibri" w:hAnsi="Times New Roman" w:cs="Times New Roman"/>
          <w:bCs/>
          <w:color w:val="000000"/>
          <w:sz w:val="24"/>
          <w:szCs w:val="24"/>
        </w:rPr>
        <w:t>2</w:t>
      </w:r>
    </w:p>
    <w:p w14:paraId="76AC86BD" w14:textId="77777777" w:rsidR="000E512F" w:rsidRPr="001E47E5" w:rsidRDefault="000E512F" w:rsidP="000E512F">
      <w:pPr>
        <w:pStyle w:val="Odsekzoznamu"/>
        <w:numPr>
          <w:ilvl w:val="0"/>
          <w:numId w:val="33"/>
        </w:numPr>
        <w:ind w:left="426" w:hanging="426"/>
        <w:jc w:val="both"/>
        <w:rPr>
          <w:rFonts w:ascii="Times New Roman" w:eastAsia="Calibri" w:hAnsi="Times New Roman" w:cs="Times New Roman"/>
          <w:bCs/>
          <w:color w:val="000000"/>
          <w:sz w:val="24"/>
          <w:szCs w:val="24"/>
        </w:rPr>
      </w:pPr>
      <w:r w:rsidRPr="001E47E5">
        <w:rPr>
          <w:rFonts w:ascii="Times New Roman" w:eastAsia="Calibri" w:hAnsi="Times New Roman" w:cs="Times New Roman"/>
          <w:bCs/>
          <w:color w:val="000000"/>
          <w:sz w:val="24"/>
          <w:szCs w:val="24"/>
        </w:rPr>
        <w:t>Zavedenie povinnosti auditu kybernetickej bezpečnosti pre nové subjekty v súlade so smernicou NIS</w:t>
      </w:r>
      <w:r>
        <w:rPr>
          <w:rFonts w:ascii="Times New Roman" w:eastAsia="Calibri" w:hAnsi="Times New Roman" w:cs="Times New Roman"/>
          <w:bCs/>
          <w:color w:val="000000"/>
          <w:sz w:val="24"/>
          <w:szCs w:val="24"/>
        </w:rPr>
        <w:t> </w:t>
      </w:r>
      <w:r w:rsidRPr="001E47E5">
        <w:rPr>
          <w:rFonts w:ascii="Times New Roman" w:eastAsia="Calibri" w:hAnsi="Times New Roman" w:cs="Times New Roman"/>
          <w:bCs/>
          <w:color w:val="000000"/>
          <w:sz w:val="24"/>
          <w:szCs w:val="24"/>
        </w:rPr>
        <w:t>2</w:t>
      </w:r>
    </w:p>
    <w:p w14:paraId="53B9ED28" w14:textId="77777777" w:rsidR="000E512F" w:rsidRPr="001E47E5" w:rsidRDefault="000E512F" w:rsidP="000E512F">
      <w:pPr>
        <w:pStyle w:val="Odsekzoznamu"/>
        <w:numPr>
          <w:ilvl w:val="0"/>
          <w:numId w:val="33"/>
        </w:numPr>
        <w:ind w:left="426" w:hanging="426"/>
        <w:jc w:val="both"/>
        <w:rPr>
          <w:rFonts w:ascii="Times New Roman" w:eastAsia="Calibri" w:hAnsi="Times New Roman" w:cs="Times New Roman"/>
          <w:bCs/>
          <w:color w:val="000000"/>
          <w:sz w:val="24"/>
          <w:szCs w:val="24"/>
        </w:rPr>
      </w:pPr>
      <w:r w:rsidRPr="001E47E5">
        <w:rPr>
          <w:rFonts w:ascii="Times New Roman" w:eastAsia="Calibri" w:hAnsi="Times New Roman" w:cs="Times New Roman"/>
          <w:bCs/>
          <w:color w:val="000000"/>
          <w:sz w:val="24"/>
          <w:szCs w:val="24"/>
        </w:rPr>
        <w:t>Zavedenie poriadkovej pokuty, priestupku a správnych deliktov pre nové subjekty</w:t>
      </w:r>
    </w:p>
    <w:p w14:paraId="1ECBF1F9" w14:textId="77777777" w:rsidR="000E512F" w:rsidRPr="001E47E5" w:rsidRDefault="000E512F" w:rsidP="000E512F">
      <w:pPr>
        <w:jc w:val="both"/>
        <w:rPr>
          <w:rFonts w:ascii="Times New Roman" w:eastAsia="Calibri" w:hAnsi="Times New Roman" w:cs="Times New Roman"/>
          <w:bCs/>
          <w:color w:val="000000"/>
          <w:sz w:val="24"/>
          <w:szCs w:val="24"/>
        </w:rPr>
      </w:pPr>
      <w:r w:rsidRPr="001E47E5">
        <w:rPr>
          <w:rFonts w:ascii="Times New Roman" w:eastAsia="Calibri" w:hAnsi="Times New Roman" w:cs="Times New Roman"/>
          <w:bCs/>
          <w:color w:val="000000"/>
          <w:sz w:val="24"/>
          <w:szCs w:val="24"/>
        </w:rPr>
        <w:t xml:space="preserve">Spôsob výpočtu vplyvov pre každú z týchto oblastí je popísaný v ďalšom texte. </w:t>
      </w:r>
    </w:p>
    <w:p w14:paraId="110E9A27" w14:textId="77777777" w:rsidR="000E512F" w:rsidRPr="001E47E5" w:rsidRDefault="000E512F" w:rsidP="000E512F">
      <w:pPr>
        <w:jc w:val="both"/>
        <w:rPr>
          <w:rFonts w:ascii="Times New Roman" w:eastAsia="Calibri" w:hAnsi="Times New Roman" w:cs="Times New Roman"/>
          <w:b/>
          <w:color w:val="000000"/>
          <w:sz w:val="24"/>
          <w:szCs w:val="24"/>
        </w:rPr>
      </w:pPr>
      <w:r w:rsidRPr="001E47E5">
        <w:rPr>
          <w:rFonts w:ascii="Times New Roman" w:eastAsia="Calibri" w:hAnsi="Times New Roman" w:cs="Times New Roman"/>
          <w:b/>
          <w:color w:val="000000"/>
          <w:sz w:val="24"/>
          <w:szCs w:val="24"/>
        </w:rPr>
        <w:t>3.1.3.1. Vstupné faktory</w:t>
      </w:r>
    </w:p>
    <w:p w14:paraId="783C8296" w14:textId="77777777" w:rsidR="000E512F" w:rsidRPr="001E47E5" w:rsidRDefault="000E512F" w:rsidP="000E512F">
      <w:pPr>
        <w:jc w:val="both"/>
        <w:rPr>
          <w:rFonts w:ascii="Times New Roman" w:eastAsia="Calibri" w:hAnsi="Times New Roman" w:cs="Times New Roman"/>
          <w:bCs/>
          <w:color w:val="000000"/>
          <w:sz w:val="24"/>
          <w:szCs w:val="24"/>
        </w:rPr>
      </w:pPr>
      <w:r w:rsidRPr="001E47E5">
        <w:rPr>
          <w:rFonts w:ascii="Times New Roman" w:eastAsia="Calibri" w:hAnsi="Times New Roman" w:cs="Times New Roman"/>
          <w:bCs/>
          <w:color w:val="000000"/>
          <w:sz w:val="24"/>
          <w:szCs w:val="24"/>
        </w:rPr>
        <w:t>Základným vstupným faktorom je Početnosť jednotlivých dotknutých subjektov, ktorú zobrazuje nasledujúca tabuľka</w:t>
      </w:r>
    </w:p>
    <w:tbl>
      <w:tblPr>
        <w:tblW w:w="0" w:type="auto"/>
        <w:tblLook w:val="04A0" w:firstRow="1" w:lastRow="0" w:firstColumn="1" w:lastColumn="0" w:noHBand="0" w:noVBand="1"/>
      </w:tblPr>
      <w:tblGrid>
        <w:gridCol w:w="4698"/>
        <w:gridCol w:w="4698"/>
      </w:tblGrid>
      <w:tr w:rsidR="000E512F" w:rsidRPr="000C7611" w14:paraId="16304535" w14:textId="77777777" w:rsidTr="000E512F">
        <w:tc>
          <w:tcPr>
            <w:tcW w:w="4698" w:type="dxa"/>
          </w:tcPr>
          <w:p w14:paraId="446AAC14" w14:textId="77777777" w:rsidR="000E512F" w:rsidRPr="000C7611" w:rsidRDefault="000E512F" w:rsidP="000E512F">
            <w:pPr>
              <w:jc w:val="both"/>
              <w:rPr>
                <w:rFonts w:ascii="Times New Roman" w:eastAsia="Calibri" w:hAnsi="Times New Roman" w:cs="Times New Roman"/>
                <w:b/>
                <w:color w:val="000000"/>
                <w:sz w:val="24"/>
                <w:szCs w:val="24"/>
              </w:rPr>
            </w:pPr>
            <w:r w:rsidRPr="000C7611">
              <w:rPr>
                <w:rFonts w:ascii="Times New Roman" w:eastAsia="Calibri" w:hAnsi="Times New Roman" w:cs="Times New Roman"/>
                <w:b/>
                <w:color w:val="000000"/>
                <w:sz w:val="24"/>
                <w:szCs w:val="24"/>
              </w:rPr>
              <w:t>Dotknutý subjekt</w:t>
            </w:r>
          </w:p>
        </w:tc>
        <w:tc>
          <w:tcPr>
            <w:tcW w:w="4698" w:type="dxa"/>
          </w:tcPr>
          <w:p w14:paraId="4B585135" w14:textId="77777777" w:rsidR="000E512F" w:rsidRPr="000C7611" w:rsidRDefault="000E512F" w:rsidP="000E512F">
            <w:pPr>
              <w:jc w:val="both"/>
              <w:rPr>
                <w:rFonts w:ascii="Times New Roman" w:eastAsia="Calibri" w:hAnsi="Times New Roman" w:cs="Times New Roman"/>
                <w:b/>
                <w:color w:val="000000"/>
                <w:sz w:val="24"/>
                <w:szCs w:val="24"/>
              </w:rPr>
            </w:pPr>
            <w:r w:rsidRPr="000C7611">
              <w:rPr>
                <w:rFonts w:ascii="Times New Roman" w:eastAsia="Calibri" w:hAnsi="Times New Roman" w:cs="Times New Roman"/>
                <w:b/>
                <w:color w:val="000000"/>
                <w:sz w:val="24"/>
                <w:szCs w:val="24"/>
              </w:rPr>
              <w:t>Početnosť</w:t>
            </w:r>
          </w:p>
        </w:tc>
      </w:tr>
      <w:tr w:rsidR="000E512F" w:rsidRPr="000C7611" w14:paraId="0DE3E78E" w14:textId="77777777" w:rsidTr="000E512F">
        <w:tc>
          <w:tcPr>
            <w:tcW w:w="4698" w:type="dxa"/>
          </w:tcPr>
          <w:p w14:paraId="54DBCBC2" w14:textId="77777777" w:rsidR="000E512F" w:rsidRPr="000C7611" w:rsidRDefault="000E512F" w:rsidP="000E512F">
            <w:pPr>
              <w:jc w:val="both"/>
              <w:rPr>
                <w:rFonts w:ascii="Times New Roman" w:eastAsia="Calibri" w:hAnsi="Times New Roman" w:cs="Times New Roman"/>
                <w:bCs/>
                <w:color w:val="000000"/>
                <w:sz w:val="24"/>
                <w:szCs w:val="24"/>
              </w:rPr>
            </w:pPr>
            <w:r w:rsidRPr="000C7611">
              <w:rPr>
                <w:rFonts w:ascii="Times New Roman" w:eastAsia="Calibri" w:hAnsi="Times New Roman" w:cs="Times New Roman"/>
                <w:bCs/>
                <w:color w:val="000000"/>
                <w:sz w:val="24"/>
                <w:szCs w:val="24"/>
              </w:rPr>
              <w:t>Stredné podniky</w:t>
            </w:r>
          </w:p>
        </w:tc>
        <w:tc>
          <w:tcPr>
            <w:tcW w:w="4698" w:type="dxa"/>
          </w:tcPr>
          <w:p w14:paraId="0F24B296" w14:textId="77777777" w:rsidR="000E512F" w:rsidRPr="000C7611" w:rsidRDefault="000E512F" w:rsidP="000E512F">
            <w:pPr>
              <w:jc w:val="both"/>
              <w:rPr>
                <w:rFonts w:ascii="Times New Roman" w:eastAsia="Calibri" w:hAnsi="Times New Roman" w:cs="Times New Roman"/>
                <w:bCs/>
                <w:color w:val="000000"/>
                <w:sz w:val="24"/>
                <w:szCs w:val="24"/>
              </w:rPr>
            </w:pPr>
            <w:r w:rsidRPr="000C7611">
              <w:rPr>
                <w:rFonts w:ascii="Times New Roman" w:eastAsia="Calibri" w:hAnsi="Times New Roman" w:cs="Times New Roman"/>
                <w:bCs/>
                <w:color w:val="000000"/>
                <w:sz w:val="24"/>
                <w:szCs w:val="24"/>
              </w:rPr>
              <w:t>2 747</w:t>
            </w:r>
          </w:p>
        </w:tc>
      </w:tr>
      <w:tr w:rsidR="000E512F" w:rsidRPr="000C7611" w14:paraId="6BC35DB1" w14:textId="77777777" w:rsidTr="000E512F">
        <w:tc>
          <w:tcPr>
            <w:tcW w:w="4698" w:type="dxa"/>
          </w:tcPr>
          <w:p w14:paraId="7B36FBDD" w14:textId="77777777" w:rsidR="000E512F" w:rsidRPr="000C7611" w:rsidRDefault="000E512F" w:rsidP="000E512F">
            <w:pPr>
              <w:jc w:val="both"/>
              <w:rPr>
                <w:rFonts w:ascii="Times New Roman" w:eastAsia="Calibri" w:hAnsi="Times New Roman" w:cs="Times New Roman"/>
                <w:bCs/>
                <w:color w:val="000000"/>
                <w:sz w:val="24"/>
                <w:szCs w:val="24"/>
              </w:rPr>
            </w:pPr>
            <w:r w:rsidRPr="000C7611">
              <w:rPr>
                <w:rFonts w:ascii="Times New Roman" w:eastAsia="Calibri" w:hAnsi="Times New Roman" w:cs="Times New Roman"/>
                <w:bCs/>
                <w:color w:val="000000"/>
                <w:sz w:val="24"/>
                <w:szCs w:val="24"/>
              </w:rPr>
              <w:t>Veľké podniky</w:t>
            </w:r>
          </w:p>
        </w:tc>
        <w:tc>
          <w:tcPr>
            <w:tcW w:w="4698" w:type="dxa"/>
          </w:tcPr>
          <w:p w14:paraId="07693FDB" w14:textId="77777777" w:rsidR="000E512F" w:rsidRPr="000C7611" w:rsidRDefault="000E512F" w:rsidP="000E512F">
            <w:pPr>
              <w:jc w:val="both"/>
              <w:rPr>
                <w:rFonts w:ascii="Times New Roman" w:eastAsia="Calibri" w:hAnsi="Times New Roman" w:cs="Times New Roman"/>
                <w:bCs/>
                <w:color w:val="000000"/>
                <w:sz w:val="24"/>
                <w:szCs w:val="24"/>
              </w:rPr>
            </w:pPr>
            <w:r w:rsidRPr="000C7611">
              <w:rPr>
                <w:rFonts w:ascii="Times New Roman" w:eastAsia="Calibri" w:hAnsi="Times New Roman" w:cs="Times New Roman"/>
                <w:bCs/>
                <w:color w:val="000000"/>
                <w:sz w:val="24"/>
                <w:szCs w:val="24"/>
              </w:rPr>
              <w:t>656</w:t>
            </w:r>
          </w:p>
        </w:tc>
      </w:tr>
      <w:tr w:rsidR="000E512F" w:rsidRPr="000C7611" w14:paraId="7E8D0FCA" w14:textId="77777777" w:rsidTr="000E512F">
        <w:tc>
          <w:tcPr>
            <w:tcW w:w="4698" w:type="dxa"/>
          </w:tcPr>
          <w:p w14:paraId="40EE44CA" w14:textId="77777777" w:rsidR="000E512F" w:rsidRPr="000C7611" w:rsidRDefault="000E512F" w:rsidP="000E512F">
            <w:pPr>
              <w:jc w:val="both"/>
              <w:rPr>
                <w:rFonts w:ascii="Times New Roman" w:eastAsia="Calibri" w:hAnsi="Times New Roman" w:cs="Times New Roman"/>
                <w:b/>
                <w:color w:val="000000"/>
                <w:sz w:val="24"/>
                <w:szCs w:val="24"/>
              </w:rPr>
            </w:pPr>
            <w:r w:rsidRPr="000C7611">
              <w:rPr>
                <w:rFonts w:ascii="Times New Roman" w:eastAsia="Calibri" w:hAnsi="Times New Roman" w:cs="Times New Roman"/>
                <w:b/>
                <w:color w:val="000000"/>
                <w:sz w:val="24"/>
                <w:szCs w:val="24"/>
              </w:rPr>
              <w:t>Celkom</w:t>
            </w:r>
          </w:p>
        </w:tc>
        <w:tc>
          <w:tcPr>
            <w:tcW w:w="4698" w:type="dxa"/>
          </w:tcPr>
          <w:p w14:paraId="0FD1CC08" w14:textId="77777777" w:rsidR="000E512F" w:rsidRPr="000C7611" w:rsidRDefault="000E512F" w:rsidP="000E512F">
            <w:pPr>
              <w:jc w:val="both"/>
              <w:rPr>
                <w:rFonts w:ascii="Times New Roman" w:eastAsia="Calibri" w:hAnsi="Times New Roman" w:cs="Times New Roman"/>
                <w:b/>
                <w:color w:val="000000"/>
                <w:sz w:val="24"/>
                <w:szCs w:val="24"/>
              </w:rPr>
            </w:pPr>
            <w:r w:rsidRPr="000C7611">
              <w:rPr>
                <w:rFonts w:ascii="Times New Roman" w:eastAsia="Calibri" w:hAnsi="Times New Roman" w:cs="Times New Roman"/>
                <w:b/>
                <w:color w:val="000000"/>
                <w:sz w:val="24"/>
                <w:szCs w:val="24"/>
              </w:rPr>
              <w:t>3 403</w:t>
            </w:r>
          </w:p>
        </w:tc>
      </w:tr>
    </w:tbl>
    <w:p w14:paraId="04A3C421" w14:textId="77777777" w:rsidR="000E512F" w:rsidRPr="000C7611" w:rsidRDefault="000E512F" w:rsidP="000E512F">
      <w:pPr>
        <w:jc w:val="both"/>
        <w:rPr>
          <w:rStyle w:val="Hypertextovprepojenie"/>
          <w:rFonts w:ascii="Times New Roman" w:eastAsia="Calibri" w:hAnsi="Times New Roman" w:cs="Times New Roman"/>
          <w:bCs/>
          <w:sz w:val="24"/>
          <w:szCs w:val="24"/>
        </w:rPr>
      </w:pPr>
      <w:r w:rsidRPr="000C7611">
        <w:rPr>
          <w:rFonts w:ascii="Times New Roman" w:eastAsia="Calibri" w:hAnsi="Times New Roman" w:cs="Times New Roman"/>
          <w:bCs/>
          <w:color w:val="000000"/>
          <w:sz w:val="24"/>
          <w:szCs w:val="24"/>
        </w:rPr>
        <w:t xml:space="preserve">Zdroj: </w:t>
      </w:r>
      <w:hyperlink r:id="rId17" w:history="1">
        <w:r w:rsidRPr="000C7611">
          <w:rPr>
            <w:rStyle w:val="Hypertextovprepojenie"/>
            <w:rFonts w:ascii="Times New Roman" w:eastAsia="Calibri" w:hAnsi="Times New Roman" w:cs="Times New Roman"/>
            <w:bCs/>
            <w:sz w:val="24"/>
            <w:szCs w:val="24"/>
          </w:rPr>
          <w:t>https://monitoringmsp.sk/wp-content/uploads/2023/07/MSP_v_cislach_2022.pdf</w:t>
        </w:r>
      </w:hyperlink>
    </w:p>
    <w:tbl>
      <w:tblPr>
        <w:tblW w:w="0" w:type="auto"/>
        <w:tblLook w:val="04A0" w:firstRow="1" w:lastRow="0" w:firstColumn="1" w:lastColumn="0" w:noHBand="0" w:noVBand="1"/>
      </w:tblPr>
      <w:tblGrid>
        <w:gridCol w:w="4698"/>
        <w:gridCol w:w="4698"/>
      </w:tblGrid>
      <w:tr w:rsidR="000E512F" w:rsidRPr="000C7611" w14:paraId="6B65AFA5" w14:textId="77777777" w:rsidTr="000E512F">
        <w:tc>
          <w:tcPr>
            <w:tcW w:w="4698" w:type="dxa"/>
          </w:tcPr>
          <w:p w14:paraId="19A7D053" w14:textId="77777777" w:rsidR="000E512F" w:rsidRPr="000C7611" w:rsidRDefault="000E512F" w:rsidP="000E512F">
            <w:pPr>
              <w:jc w:val="both"/>
              <w:rPr>
                <w:rFonts w:ascii="Times New Roman" w:eastAsia="Calibri" w:hAnsi="Times New Roman" w:cs="Times New Roman"/>
                <w:bCs/>
                <w:color w:val="000000"/>
                <w:sz w:val="24"/>
                <w:szCs w:val="24"/>
              </w:rPr>
            </w:pPr>
            <w:r w:rsidRPr="000C7611">
              <w:rPr>
                <w:rFonts w:ascii="Times New Roman" w:eastAsia="Calibri" w:hAnsi="Times New Roman" w:cs="Times New Roman"/>
                <w:bCs/>
                <w:color w:val="000000"/>
                <w:sz w:val="24"/>
                <w:szCs w:val="24"/>
              </w:rPr>
              <w:t>Osoba poskytujúca niektorú zo služieb alebo vykonávajúca niektorú z činností podľa § 2 ods. 2 návrhu zákona, alebo osoba, ktorá je treťou stranou, ktorá nemá sídlo, pobyt alebo miesto podnikania na území členského štátu Európskej únie a poskytuje tieto služby alebo vykonáva tieto činnosti na území Slovenskej republiky</w:t>
            </w:r>
          </w:p>
        </w:tc>
        <w:tc>
          <w:tcPr>
            <w:tcW w:w="4698" w:type="dxa"/>
          </w:tcPr>
          <w:p w14:paraId="55EFCBAE" w14:textId="77777777" w:rsidR="000E512F" w:rsidRPr="000C7611" w:rsidRDefault="000E512F" w:rsidP="000E512F">
            <w:pPr>
              <w:jc w:val="both"/>
              <w:rPr>
                <w:rFonts w:ascii="Times New Roman" w:eastAsia="Calibri" w:hAnsi="Times New Roman" w:cs="Times New Roman"/>
                <w:bCs/>
                <w:color w:val="000000"/>
                <w:sz w:val="24"/>
                <w:szCs w:val="24"/>
              </w:rPr>
            </w:pPr>
            <w:r w:rsidRPr="000C7611">
              <w:rPr>
                <w:rFonts w:ascii="Times New Roman" w:eastAsia="Calibri" w:hAnsi="Times New Roman" w:cs="Times New Roman"/>
                <w:bCs/>
                <w:color w:val="000000"/>
                <w:sz w:val="24"/>
                <w:szCs w:val="24"/>
              </w:rPr>
              <w:t>500 (odhad)</w:t>
            </w:r>
          </w:p>
        </w:tc>
      </w:tr>
    </w:tbl>
    <w:p w14:paraId="37103A30" w14:textId="77777777" w:rsidR="000E512F" w:rsidRPr="001E47E5" w:rsidRDefault="000E512F" w:rsidP="000E512F">
      <w:pPr>
        <w:spacing w:after="0"/>
        <w:jc w:val="both"/>
        <w:rPr>
          <w:rFonts w:ascii="Times New Roman" w:eastAsia="Calibri" w:hAnsi="Times New Roman" w:cs="Times New Roman"/>
          <w:bCs/>
          <w:color w:val="000000"/>
          <w:sz w:val="24"/>
          <w:szCs w:val="24"/>
        </w:rPr>
      </w:pPr>
    </w:p>
    <w:p w14:paraId="049516FD" w14:textId="77777777" w:rsidR="000E512F" w:rsidRPr="001E47E5" w:rsidRDefault="000E512F" w:rsidP="000E512F">
      <w:pPr>
        <w:spacing w:after="0"/>
        <w:jc w:val="both"/>
        <w:rPr>
          <w:rFonts w:ascii="Times New Roman" w:eastAsia="Calibri" w:hAnsi="Times New Roman" w:cs="Times New Roman"/>
          <w:bCs/>
          <w:color w:val="000000"/>
          <w:sz w:val="24"/>
          <w:szCs w:val="24"/>
        </w:rPr>
      </w:pPr>
      <w:r w:rsidRPr="001E47E5">
        <w:rPr>
          <w:rFonts w:ascii="Times New Roman" w:eastAsia="Calibri" w:hAnsi="Times New Roman" w:cs="Times New Roman"/>
          <w:bCs/>
          <w:color w:val="000000"/>
          <w:sz w:val="24"/>
          <w:szCs w:val="24"/>
        </w:rPr>
        <w:t>Početnosť jednotlivých dotknutých subjektov je čiastočne skreslená, keďže na viaceré subjekty (najmä subjekty spadajúce pod kritickú infraštruktúru) sa príslušné povinnosti vzťahujú už podľa v</w:t>
      </w:r>
      <w:r>
        <w:rPr>
          <w:rFonts w:ascii="Times New Roman" w:eastAsia="Calibri" w:hAnsi="Times New Roman" w:cs="Times New Roman"/>
          <w:bCs/>
          <w:color w:val="000000"/>
          <w:sz w:val="24"/>
          <w:szCs w:val="24"/>
        </w:rPr>
        <w:t> súčasnosti platnej legislatívy</w:t>
      </w:r>
    </w:p>
    <w:p w14:paraId="669F8953" w14:textId="77777777" w:rsidR="000E512F" w:rsidRPr="001E47E5" w:rsidRDefault="000E512F" w:rsidP="000E512F">
      <w:pPr>
        <w:jc w:val="both"/>
        <w:rPr>
          <w:rFonts w:ascii="Times New Roman" w:eastAsia="Calibri" w:hAnsi="Times New Roman" w:cs="Times New Roman"/>
          <w:bCs/>
          <w:i/>
          <w:iCs/>
          <w:color w:val="000000"/>
          <w:sz w:val="24"/>
          <w:szCs w:val="24"/>
          <w:highlight w:val="yellow"/>
        </w:rPr>
      </w:pPr>
    </w:p>
    <w:p w14:paraId="116435CF" w14:textId="77777777" w:rsidR="000E512F" w:rsidRPr="001E47E5" w:rsidRDefault="000E512F" w:rsidP="000E512F">
      <w:pPr>
        <w:jc w:val="both"/>
        <w:rPr>
          <w:rFonts w:ascii="Times New Roman" w:eastAsia="Calibri" w:hAnsi="Times New Roman" w:cs="Times New Roman"/>
          <w:b/>
          <w:color w:val="000000"/>
          <w:sz w:val="24"/>
          <w:szCs w:val="24"/>
        </w:rPr>
      </w:pPr>
      <w:r w:rsidRPr="001E47E5">
        <w:rPr>
          <w:rFonts w:ascii="Times New Roman" w:eastAsia="Calibri" w:hAnsi="Times New Roman" w:cs="Times New Roman"/>
          <w:b/>
          <w:color w:val="000000"/>
          <w:sz w:val="24"/>
          <w:szCs w:val="24"/>
        </w:rPr>
        <w:t>3.1.3.2. Ďalšie faktory ovplyvňujúce výpočet</w:t>
      </w:r>
    </w:p>
    <w:p w14:paraId="4C70F4F4" w14:textId="77777777" w:rsidR="000E512F" w:rsidRPr="001E47E5" w:rsidRDefault="000E512F" w:rsidP="000E512F">
      <w:pPr>
        <w:jc w:val="both"/>
        <w:rPr>
          <w:rFonts w:ascii="Times New Roman" w:eastAsia="Calibri" w:hAnsi="Times New Roman" w:cs="Times New Roman"/>
          <w:bCs/>
          <w:i/>
          <w:iCs/>
          <w:color w:val="000000"/>
          <w:sz w:val="24"/>
          <w:szCs w:val="24"/>
        </w:rPr>
      </w:pPr>
      <w:r w:rsidRPr="001E47E5">
        <w:rPr>
          <w:rFonts w:ascii="Times New Roman" w:eastAsia="Calibri" w:hAnsi="Times New Roman" w:cs="Times New Roman"/>
          <w:bCs/>
          <w:i/>
          <w:iCs/>
          <w:color w:val="000000"/>
          <w:sz w:val="24"/>
          <w:szCs w:val="24"/>
        </w:rPr>
        <w:t>Samotná Európska komisia zdôrazňuje 2 podstatné skutočnosti:</w:t>
      </w:r>
    </w:p>
    <w:p w14:paraId="24721BAB" w14:textId="77777777" w:rsidR="000E512F" w:rsidRPr="008F571D" w:rsidRDefault="000E512F" w:rsidP="000E512F">
      <w:pPr>
        <w:pStyle w:val="Odsekzoznamu"/>
        <w:widowControl w:val="0"/>
        <w:numPr>
          <w:ilvl w:val="0"/>
          <w:numId w:val="34"/>
        </w:numPr>
        <w:spacing w:before="120" w:after="120"/>
        <w:ind w:left="426" w:hanging="426"/>
        <w:jc w:val="both"/>
        <w:rPr>
          <w:rFonts w:ascii="Times New Roman" w:eastAsia="Calibri" w:hAnsi="Times New Roman" w:cs="Times New Roman"/>
          <w:bCs/>
          <w:i/>
          <w:iCs/>
          <w:color w:val="000000"/>
          <w:sz w:val="24"/>
          <w:szCs w:val="24"/>
        </w:rPr>
      </w:pPr>
      <w:r w:rsidRPr="008F571D">
        <w:rPr>
          <w:rFonts w:ascii="Times New Roman" w:hAnsi="Times New Roman" w:cs="Times New Roman"/>
          <w:bCs/>
          <w:noProof/>
          <w:sz w:val="24"/>
          <w:szCs w:val="24"/>
        </w:rPr>
        <w:t xml:space="preserve">Neexistujú žiadne porovnateľné ekonomické údaje na meranie skutočného vplyvu smernice </w:t>
      </w:r>
      <w:r w:rsidRPr="008F571D">
        <w:rPr>
          <w:rFonts w:ascii="Times New Roman" w:hAnsi="Times New Roman" w:cs="Times New Roman"/>
          <w:bCs/>
          <w:noProof/>
          <w:sz w:val="24"/>
          <w:szCs w:val="24"/>
        </w:rPr>
        <w:lastRenderedPageBreak/>
        <w:t>NIS</w:t>
      </w:r>
      <w:r>
        <w:rPr>
          <w:rFonts w:ascii="Times New Roman" w:hAnsi="Times New Roman" w:cs="Times New Roman"/>
          <w:bCs/>
          <w:noProof/>
          <w:sz w:val="24"/>
          <w:szCs w:val="24"/>
        </w:rPr>
        <w:t> </w:t>
      </w:r>
      <w:r w:rsidRPr="008F571D">
        <w:rPr>
          <w:rFonts w:ascii="Times New Roman" w:hAnsi="Times New Roman" w:cs="Times New Roman"/>
          <w:bCs/>
          <w:noProof/>
          <w:sz w:val="24"/>
          <w:szCs w:val="24"/>
        </w:rPr>
        <w:t xml:space="preserve">2 na náklady a prínosy spoločností pôsobiacich v odvetviach a pododvetviach alebo poskytujúcich služby v rámci rozsahu pôsobnosti </w:t>
      </w:r>
      <w:r>
        <w:rPr>
          <w:rFonts w:ascii="Times New Roman" w:hAnsi="Times New Roman" w:cs="Times New Roman"/>
          <w:bCs/>
          <w:noProof/>
          <w:sz w:val="24"/>
          <w:szCs w:val="24"/>
        </w:rPr>
        <w:t xml:space="preserve">smernice </w:t>
      </w:r>
      <w:r w:rsidRPr="008F571D">
        <w:rPr>
          <w:rFonts w:ascii="Times New Roman" w:hAnsi="Times New Roman" w:cs="Times New Roman"/>
          <w:bCs/>
          <w:noProof/>
          <w:sz w:val="24"/>
          <w:szCs w:val="24"/>
        </w:rPr>
        <w:t>NIS</w:t>
      </w:r>
      <w:r>
        <w:rPr>
          <w:rFonts w:ascii="Times New Roman" w:hAnsi="Times New Roman" w:cs="Times New Roman"/>
          <w:bCs/>
          <w:noProof/>
          <w:sz w:val="24"/>
          <w:szCs w:val="24"/>
        </w:rPr>
        <w:t> </w:t>
      </w:r>
      <w:r w:rsidRPr="008F571D">
        <w:rPr>
          <w:rFonts w:ascii="Times New Roman" w:hAnsi="Times New Roman" w:cs="Times New Roman"/>
          <w:bCs/>
          <w:noProof/>
          <w:sz w:val="24"/>
          <w:szCs w:val="24"/>
        </w:rPr>
        <w:t>2. Vzhľadom na tieto nedostatky by sa analýzy hospodárskeho vplyvu a efektívnosti v rámci všetkých možností politiky vrátane základného scenára odvolávali na všeobecne uznávané kvalitatívne ukazovatele na posúdenie nákladov a prínosov rôznych opatrení v oblasti kybernetickej bezpečnosti v súlade s vyššie opísanými zásadami, kvantitatívne odhady alebo predpoklady a informácie získané prostredníctvom návštev krajín v rámci preskúmania NIS</w:t>
      </w:r>
      <w:r>
        <w:rPr>
          <w:rFonts w:ascii="Times New Roman" w:hAnsi="Times New Roman" w:cs="Times New Roman"/>
          <w:bCs/>
          <w:noProof/>
          <w:sz w:val="24"/>
          <w:szCs w:val="24"/>
        </w:rPr>
        <w:t> </w:t>
      </w:r>
      <w:r w:rsidRPr="008F571D">
        <w:rPr>
          <w:rFonts w:ascii="Times New Roman" w:hAnsi="Times New Roman" w:cs="Times New Roman"/>
          <w:bCs/>
          <w:noProof/>
          <w:sz w:val="24"/>
          <w:szCs w:val="24"/>
        </w:rPr>
        <w:t>2 alebo konzultácií, ktoré sa v tomto procese uskutočnili s príslušnými zainteresovanými stranami. Vzhľadom na túto skutočnosť je možné vplyvy len odhadnúť.</w:t>
      </w:r>
    </w:p>
    <w:p w14:paraId="489C3F98" w14:textId="77777777" w:rsidR="000E512F" w:rsidRPr="001E47E5" w:rsidRDefault="000E512F" w:rsidP="000E512F">
      <w:pPr>
        <w:pStyle w:val="Odsekzoznamu"/>
        <w:widowControl w:val="0"/>
        <w:numPr>
          <w:ilvl w:val="0"/>
          <w:numId w:val="34"/>
        </w:numPr>
        <w:spacing w:before="120" w:after="120"/>
        <w:ind w:left="426" w:hanging="426"/>
        <w:jc w:val="both"/>
        <w:rPr>
          <w:rFonts w:ascii="Times New Roman" w:eastAsia="Calibri" w:hAnsi="Times New Roman" w:cs="Times New Roman"/>
          <w:bCs/>
          <w:i/>
          <w:iCs/>
          <w:color w:val="000000"/>
          <w:sz w:val="24"/>
          <w:szCs w:val="24"/>
        </w:rPr>
      </w:pPr>
      <w:r w:rsidRPr="001E47E5">
        <w:rPr>
          <w:rFonts w:ascii="Times New Roman" w:hAnsi="Times New Roman" w:cs="Times New Roman"/>
          <w:bCs/>
          <w:iCs/>
          <w:noProof/>
          <w:sz w:val="24"/>
          <w:szCs w:val="24"/>
        </w:rPr>
        <w:t>Implementáciou smernice NIS</w:t>
      </w:r>
      <w:r>
        <w:rPr>
          <w:rFonts w:ascii="Times New Roman" w:hAnsi="Times New Roman" w:cs="Times New Roman"/>
          <w:bCs/>
          <w:iCs/>
          <w:noProof/>
          <w:sz w:val="24"/>
          <w:szCs w:val="24"/>
        </w:rPr>
        <w:t> </w:t>
      </w:r>
      <w:r w:rsidRPr="001E47E5">
        <w:rPr>
          <w:rFonts w:ascii="Times New Roman" w:hAnsi="Times New Roman" w:cs="Times New Roman"/>
          <w:bCs/>
          <w:iCs/>
          <w:noProof/>
          <w:sz w:val="24"/>
          <w:szCs w:val="24"/>
        </w:rPr>
        <w:t>2 do praxe podnikom v rámci nových sektorov, pododvetví a druhov služieb vznikajú nové náklady na dodržiavanie predpisov vyplývajúce z legislatívnych povinností. Na druhej strane väčšina prevádzkovateľov a poskytovateľov služieb dodržiava medzinárodné normy, pokiaľ ide o bezpečnostné požiadavky. Preto je pomerne ťažké oddeliť vplyv smernice NIS</w:t>
      </w:r>
      <w:r>
        <w:rPr>
          <w:rFonts w:ascii="Times New Roman" w:hAnsi="Times New Roman" w:cs="Times New Roman"/>
          <w:bCs/>
          <w:iCs/>
          <w:noProof/>
          <w:sz w:val="24"/>
          <w:szCs w:val="24"/>
        </w:rPr>
        <w:t> </w:t>
      </w:r>
      <w:r w:rsidRPr="001E47E5">
        <w:rPr>
          <w:rFonts w:ascii="Times New Roman" w:hAnsi="Times New Roman" w:cs="Times New Roman"/>
          <w:bCs/>
          <w:iCs/>
          <w:noProof/>
          <w:sz w:val="24"/>
          <w:szCs w:val="24"/>
        </w:rPr>
        <w:t>2 na výdavky na IKT na úrovni organizácií od celkového vplyvu vývoja medzinárodnej bezpečnosti.</w:t>
      </w:r>
    </w:p>
    <w:p w14:paraId="2D408735" w14:textId="77777777" w:rsidR="000E512F" w:rsidRPr="001E47E5" w:rsidRDefault="000E512F" w:rsidP="000E512F">
      <w:pPr>
        <w:widowControl w:val="0"/>
        <w:spacing w:before="120" w:after="120"/>
        <w:jc w:val="both"/>
        <w:rPr>
          <w:rFonts w:ascii="Times New Roman" w:eastAsia="Calibri" w:hAnsi="Times New Roman" w:cs="Times New Roman"/>
          <w:bCs/>
          <w:i/>
          <w:iCs/>
          <w:color w:val="000000"/>
          <w:sz w:val="24"/>
          <w:szCs w:val="24"/>
          <w:highlight w:val="yellow"/>
        </w:rPr>
      </w:pPr>
    </w:p>
    <w:p w14:paraId="1F8FBFB1" w14:textId="77777777" w:rsidR="000E512F" w:rsidRPr="001E47E5" w:rsidRDefault="000E512F" w:rsidP="000E512F">
      <w:pPr>
        <w:jc w:val="both"/>
        <w:rPr>
          <w:rFonts w:ascii="Times New Roman" w:eastAsia="Calibri" w:hAnsi="Times New Roman" w:cs="Times New Roman"/>
          <w:b/>
          <w:color w:val="000000"/>
          <w:sz w:val="24"/>
          <w:szCs w:val="24"/>
        </w:rPr>
      </w:pPr>
      <w:r w:rsidRPr="001E47E5">
        <w:rPr>
          <w:rFonts w:ascii="Times New Roman" w:eastAsia="Calibri" w:hAnsi="Times New Roman" w:cs="Times New Roman"/>
          <w:b/>
          <w:color w:val="000000"/>
          <w:sz w:val="24"/>
          <w:szCs w:val="24"/>
        </w:rPr>
        <w:t>3.1.3.3. Zavedenie povinnosti prevádzkovateľa základnej služby pre nové subjekty v súlade so smernicou NIS</w:t>
      </w:r>
      <w:r>
        <w:rPr>
          <w:rFonts w:ascii="Times New Roman" w:eastAsia="Calibri" w:hAnsi="Times New Roman" w:cs="Times New Roman"/>
          <w:b/>
          <w:color w:val="000000"/>
          <w:sz w:val="24"/>
          <w:szCs w:val="24"/>
        </w:rPr>
        <w:t> </w:t>
      </w:r>
      <w:r w:rsidRPr="001E47E5">
        <w:rPr>
          <w:rFonts w:ascii="Times New Roman" w:eastAsia="Calibri" w:hAnsi="Times New Roman" w:cs="Times New Roman"/>
          <w:b/>
          <w:color w:val="000000"/>
          <w:sz w:val="24"/>
          <w:szCs w:val="24"/>
        </w:rPr>
        <w:t>2</w:t>
      </w:r>
    </w:p>
    <w:p w14:paraId="68B9AF0F" w14:textId="77777777" w:rsidR="000E512F" w:rsidRPr="001E47E5" w:rsidRDefault="000E512F" w:rsidP="000E512F">
      <w:pPr>
        <w:jc w:val="both"/>
        <w:rPr>
          <w:rFonts w:ascii="Times New Roman" w:hAnsi="Times New Roman" w:cs="Times New Roman"/>
          <w:b/>
          <w:iCs/>
          <w:noProof/>
          <w:sz w:val="24"/>
          <w:szCs w:val="24"/>
        </w:rPr>
      </w:pPr>
      <w:r w:rsidRPr="001E47E5">
        <w:rPr>
          <w:rFonts w:ascii="Times New Roman" w:eastAsia="Calibri" w:hAnsi="Times New Roman" w:cs="Times New Roman"/>
          <w:bCs/>
          <w:color w:val="000000"/>
          <w:sz w:val="24"/>
          <w:szCs w:val="24"/>
        </w:rPr>
        <w:t xml:space="preserve">Nové subjekty, pre ktoré sa zavádzajú povinnosti prevádzkovateľa základnej služby budú musieť vypracovať alebo aktualizovať svoju bezpečnostnú dokumentáciu a svoje interné politiky. </w:t>
      </w:r>
    </w:p>
    <w:tbl>
      <w:tblPr>
        <w:tblW w:w="0" w:type="auto"/>
        <w:tblLook w:val="04A0" w:firstRow="1" w:lastRow="0" w:firstColumn="1" w:lastColumn="0" w:noHBand="0" w:noVBand="1"/>
      </w:tblPr>
      <w:tblGrid>
        <w:gridCol w:w="3132"/>
        <w:gridCol w:w="3132"/>
        <w:gridCol w:w="3132"/>
      </w:tblGrid>
      <w:tr w:rsidR="000E512F" w:rsidRPr="001E47E5" w14:paraId="439EA433" w14:textId="77777777" w:rsidTr="000E512F">
        <w:tc>
          <w:tcPr>
            <w:tcW w:w="3132" w:type="dxa"/>
            <w:shd w:val="clear" w:color="auto" w:fill="D9D9D9" w:themeFill="background1" w:themeFillShade="D9"/>
          </w:tcPr>
          <w:p w14:paraId="367DB069" w14:textId="77777777" w:rsidR="000E512F" w:rsidRPr="000C7611" w:rsidRDefault="000E512F" w:rsidP="000E512F">
            <w:pPr>
              <w:jc w:val="center"/>
              <w:rPr>
                <w:rFonts w:ascii="Times New Roman" w:hAnsi="Times New Roman" w:cs="Times New Roman"/>
                <w:b/>
                <w:iCs/>
                <w:noProof/>
                <w:sz w:val="24"/>
                <w:szCs w:val="24"/>
              </w:rPr>
            </w:pPr>
            <w:r w:rsidRPr="000C7611">
              <w:rPr>
                <w:rFonts w:ascii="Times New Roman" w:hAnsi="Times New Roman" w:cs="Times New Roman"/>
                <w:b/>
                <w:iCs/>
                <w:noProof/>
                <w:sz w:val="24"/>
                <w:szCs w:val="24"/>
              </w:rPr>
              <w:t>Dotknutý subjekt</w:t>
            </w:r>
          </w:p>
        </w:tc>
        <w:tc>
          <w:tcPr>
            <w:tcW w:w="3132" w:type="dxa"/>
            <w:shd w:val="clear" w:color="auto" w:fill="D9D9D9" w:themeFill="background1" w:themeFillShade="D9"/>
          </w:tcPr>
          <w:p w14:paraId="0EE57D72" w14:textId="77777777" w:rsidR="000E512F" w:rsidRPr="000C7611" w:rsidRDefault="000E512F" w:rsidP="000E512F">
            <w:pPr>
              <w:jc w:val="center"/>
              <w:rPr>
                <w:rFonts w:ascii="Times New Roman" w:hAnsi="Times New Roman" w:cs="Times New Roman"/>
                <w:b/>
                <w:iCs/>
                <w:noProof/>
                <w:sz w:val="24"/>
                <w:szCs w:val="24"/>
              </w:rPr>
            </w:pPr>
            <w:r w:rsidRPr="000C7611">
              <w:rPr>
                <w:rFonts w:ascii="Times New Roman" w:hAnsi="Times New Roman" w:cs="Times New Roman"/>
                <w:b/>
                <w:iCs/>
                <w:noProof/>
                <w:sz w:val="24"/>
                <w:szCs w:val="24"/>
              </w:rPr>
              <w:t>Náklad</w:t>
            </w:r>
          </w:p>
        </w:tc>
        <w:tc>
          <w:tcPr>
            <w:tcW w:w="3132" w:type="dxa"/>
            <w:shd w:val="clear" w:color="auto" w:fill="D9D9D9" w:themeFill="background1" w:themeFillShade="D9"/>
          </w:tcPr>
          <w:p w14:paraId="150A34F7" w14:textId="77777777" w:rsidR="000E512F" w:rsidRPr="000C7611" w:rsidRDefault="000E512F" w:rsidP="000E512F">
            <w:pPr>
              <w:jc w:val="center"/>
              <w:rPr>
                <w:rFonts w:ascii="Times New Roman" w:hAnsi="Times New Roman" w:cs="Times New Roman"/>
                <w:b/>
                <w:iCs/>
                <w:noProof/>
                <w:sz w:val="24"/>
                <w:szCs w:val="24"/>
              </w:rPr>
            </w:pPr>
            <w:r w:rsidRPr="000C7611">
              <w:rPr>
                <w:rFonts w:ascii="Times New Roman" w:hAnsi="Times New Roman" w:cs="Times New Roman"/>
                <w:b/>
                <w:iCs/>
                <w:noProof/>
                <w:sz w:val="24"/>
                <w:szCs w:val="24"/>
              </w:rPr>
              <w:t>Cena v EUR s DPH</w:t>
            </w:r>
          </w:p>
        </w:tc>
      </w:tr>
      <w:tr w:rsidR="000E512F" w:rsidRPr="001E47E5" w14:paraId="39C84C3F" w14:textId="77777777" w:rsidTr="000E512F">
        <w:tc>
          <w:tcPr>
            <w:tcW w:w="3132" w:type="dxa"/>
          </w:tcPr>
          <w:p w14:paraId="380E0268" w14:textId="77777777" w:rsidR="000E512F" w:rsidRPr="000C7611" w:rsidRDefault="000E512F" w:rsidP="000E512F">
            <w:pPr>
              <w:jc w:val="both"/>
              <w:rPr>
                <w:rFonts w:ascii="Times New Roman" w:hAnsi="Times New Roman" w:cs="Times New Roman"/>
                <w:bCs/>
                <w:iCs/>
                <w:noProof/>
                <w:sz w:val="24"/>
                <w:szCs w:val="24"/>
              </w:rPr>
            </w:pPr>
            <w:r w:rsidRPr="000C7611">
              <w:rPr>
                <w:rFonts w:ascii="Times New Roman" w:eastAsia="Calibri" w:hAnsi="Times New Roman" w:cs="Times New Roman"/>
                <w:bCs/>
                <w:color w:val="000000"/>
                <w:sz w:val="24"/>
                <w:szCs w:val="24"/>
              </w:rPr>
              <w:t>Stredné podniky</w:t>
            </w:r>
          </w:p>
        </w:tc>
        <w:tc>
          <w:tcPr>
            <w:tcW w:w="3132" w:type="dxa"/>
          </w:tcPr>
          <w:p w14:paraId="0C7F2D5F" w14:textId="77777777" w:rsidR="000E512F" w:rsidRPr="000C7611" w:rsidRDefault="000E512F" w:rsidP="000E512F">
            <w:pPr>
              <w:jc w:val="both"/>
              <w:rPr>
                <w:rFonts w:ascii="Times New Roman" w:hAnsi="Times New Roman" w:cs="Times New Roman"/>
                <w:bCs/>
                <w:iCs/>
                <w:noProof/>
                <w:sz w:val="24"/>
                <w:szCs w:val="24"/>
              </w:rPr>
            </w:pPr>
            <w:r w:rsidRPr="000C7611">
              <w:rPr>
                <w:rFonts w:ascii="Times New Roman" w:hAnsi="Times New Roman" w:cs="Times New Roman"/>
                <w:bCs/>
                <w:iCs/>
                <w:noProof/>
                <w:sz w:val="24"/>
                <w:szCs w:val="24"/>
              </w:rPr>
              <w:t>Vypracovanie/aktualizácia bezpečnostnej dokumentácie</w:t>
            </w:r>
          </w:p>
        </w:tc>
        <w:tc>
          <w:tcPr>
            <w:tcW w:w="3132" w:type="dxa"/>
          </w:tcPr>
          <w:p w14:paraId="05FC43F9" w14:textId="77777777" w:rsidR="000E512F" w:rsidRPr="000C7611" w:rsidRDefault="000E512F" w:rsidP="000E512F">
            <w:pPr>
              <w:jc w:val="both"/>
              <w:rPr>
                <w:rFonts w:ascii="Times New Roman" w:hAnsi="Times New Roman" w:cs="Times New Roman"/>
                <w:bCs/>
                <w:iCs/>
                <w:noProof/>
                <w:sz w:val="24"/>
                <w:szCs w:val="24"/>
              </w:rPr>
            </w:pPr>
            <w:r w:rsidRPr="000C7611">
              <w:rPr>
                <w:rFonts w:ascii="Times New Roman" w:hAnsi="Times New Roman" w:cs="Times New Roman"/>
                <w:bCs/>
                <w:iCs/>
                <w:noProof/>
                <w:sz w:val="24"/>
                <w:szCs w:val="24"/>
              </w:rPr>
              <w:t>25 000</w:t>
            </w:r>
          </w:p>
        </w:tc>
      </w:tr>
      <w:tr w:rsidR="000E512F" w:rsidRPr="001E47E5" w14:paraId="13B7D080" w14:textId="77777777" w:rsidTr="000E512F">
        <w:tc>
          <w:tcPr>
            <w:tcW w:w="3132" w:type="dxa"/>
          </w:tcPr>
          <w:p w14:paraId="5421EDD8" w14:textId="77777777" w:rsidR="000E512F" w:rsidRPr="000C7611" w:rsidRDefault="000E512F" w:rsidP="000E512F">
            <w:pPr>
              <w:jc w:val="both"/>
              <w:rPr>
                <w:rFonts w:ascii="Times New Roman" w:hAnsi="Times New Roman" w:cs="Times New Roman"/>
                <w:bCs/>
                <w:iCs/>
                <w:noProof/>
                <w:sz w:val="24"/>
                <w:szCs w:val="24"/>
              </w:rPr>
            </w:pPr>
            <w:r w:rsidRPr="000C7611">
              <w:rPr>
                <w:rFonts w:ascii="Times New Roman" w:eastAsia="Calibri" w:hAnsi="Times New Roman" w:cs="Times New Roman"/>
                <w:bCs/>
                <w:color w:val="000000"/>
                <w:sz w:val="24"/>
                <w:szCs w:val="24"/>
              </w:rPr>
              <w:t>Veľké podniky</w:t>
            </w:r>
          </w:p>
        </w:tc>
        <w:tc>
          <w:tcPr>
            <w:tcW w:w="3132" w:type="dxa"/>
          </w:tcPr>
          <w:p w14:paraId="34AE52F5" w14:textId="77777777" w:rsidR="000E512F" w:rsidRPr="000C7611" w:rsidRDefault="000E512F" w:rsidP="000E512F">
            <w:pPr>
              <w:jc w:val="both"/>
              <w:rPr>
                <w:rFonts w:ascii="Times New Roman" w:hAnsi="Times New Roman" w:cs="Times New Roman"/>
                <w:bCs/>
                <w:iCs/>
                <w:noProof/>
                <w:sz w:val="24"/>
                <w:szCs w:val="24"/>
              </w:rPr>
            </w:pPr>
            <w:r w:rsidRPr="000C7611">
              <w:rPr>
                <w:rFonts w:ascii="Times New Roman" w:hAnsi="Times New Roman" w:cs="Times New Roman"/>
                <w:bCs/>
                <w:iCs/>
                <w:noProof/>
                <w:sz w:val="24"/>
                <w:szCs w:val="24"/>
              </w:rPr>
              <w:t>Vypracovanie/aktualizácia bezpečnostnej dokumentácie</w:t>
            </w:r>
          </w:p>
        </w:tc>
        <w:tc>
          <w:tcPr>
            <w:tcW w:w="3132" w:type="dxa"/>
          </w:tcPr>
          <w:p w14:paraId="1EB15287" w14:textId="77777777" w:rsidR="000E512F" w:rsidRPr="000C7611" w:rsidRDefault="000E512F" w:rsidP="000E512F">
            <w:pPr>
              <w:jc w:val="both"/>
              <w:rPr>
                <w:rFonts w:ascii="Times New Roman" w:hAnsi="Times New Roman" w:cs="Times New Roman"/>
                <w:bCs/>
                <w:iCs/>
                <w:noProof/>
                <w:sz w:val="24"/>
                <w:szCs w:val="24"/>
              </w:rPr>
            </w:pPr>
            <w:r w:rsidRPr="000C7611">
              <w:rPr>
                <w:rFonts w:ascii="Times New Roman" w:hAnsi="Times New Roman" w:cs="Times New Roman"/>
                <w:bCs/>
                <w:iCs/>
                <w:noProof/>
                <w:sz w:val="24"/>
                <w:szCs w:val="24"/>
              </w:rPr>
              <w:t>45 000</w:t>
            </w:r>
          </w:p>
        </w:tc>
      </w:tr>
    </w:tbl>
    <w:p w14:paraId="0DC66E9B" w14:textId="77777777" w:rsidR="000E512F" w:rsidRPr="001E47E5" w:rsidRDefault="000E512F" w:rsidP="000E512F">
      <w:pPr>
        <w:jc w:val="both"/>
        <w:rPr>
          <w:rFonts w:ascii="Times New Roman" w:hAnsi="Times New Roman" w:cs="Times New Roman"/>
          <w:bCs/>
          <w:iCs/>
          <w:noProof/>
          <w:sz w:val="24"/>
          <w:szCs w:val="24"/>
        </w:rPr>
      </w:pPr>
      <w:r w:rsidRPr="001E47E5">
        <w:rPr>
          <w:rFonts w:ascii="Times New Roman" w:hAnsi="Times New Roman" w:cs="Times New Roman"/>
          <w:bCs/>
          <w:iCs/>
          <w:noProof/>
          <w:sz w:val="24"/>
          <w:szCs w:val="24"/>
        </w:rPr>
        <w:t xml:space="preserve">Zdroj: Cena (expertný odhad) vychádza z údajov uvedených v centrálnom metainformačnom systéme v rámci rozvojových projektov v oblasti kyberbezpečnosti, </w:t>
      </w:r>
      <w:hyperlink r:id="rId18" w:history="1">
        <w:r w:rsidRPr="001E47E5">
          <w:rPr>
            <w:rStyle w:val="Hypertextovprepojenie"/>
            <w:rFonts w:ascii="Times New Roman" w:hAnsi="Times New Roman" w:cs="Times New Roman"/>
            <w:bCs/>
            <w:iCs/>
            <w:noProof/>
            <w:sz w:val="24"/>
            <w:szCs w:val="24"/>
          </w:rPr>
          <w:t>https://metais.vicepremier.gov.sk/cilist/Projekt?page=1&amp;count=20&amp;filter%5BglobalSearch%5D=%257B%257D</w:t>
        </w:r>
      </w:hyperlink>
      <w:r w:rsidRPr="001E47E5">
        <w:rPr>
          <w:rFonts w:ascii="Times New Roman" w:hAnsi="Times New Roman" w:cs="Times New Roman"/>
          <w:bCs/>
          <w:iCs/>
          <w:noProof/>
          <w:sz w:val="24"/>
          <w:szCs w:val="24"/>
        </w:rPr>
        <w:t xml:space="preserve"> </w:t>
      </w:r>
    </w:p>
    <w:p w14:paraId="108DFB51" w14:textId="77777777" w:rsidR="000E512F" w:rsidRPr="001E47E5" w:rsidRDefault="000E512F" w:rsidP="000E512F">
      <w:pPr>
        <w:jc w:val="both"/>
        <w:rPr>
          <w:rFonts w:ascii="Times New Roman" w:hAnsi="Times New Roman" w:cs="Times New Roman"/>
          <w:bCs/>
          <w:iCs/>
          <w:noProof/>
          <w:sz w:val="24"/>
          <w:szCs w:val="24"/>
        </w:rPr>
      </w:pPr>
      <w:r w:rsidRPr="001E47E5">
        <w:rPr>
          <w:rFonts w:ascii="Times New Roman" w:eastAsia="Calibri" w:hAnsi="Times New Roman" w:cs="Times New Roman"/>
          <w:bCs/>
          <w:color w:val="000000"/>
          <w:sz w:val="24"/>
          <w:szCs w:val="24"/>
        </w:rPr>
        <w:t xml:space="preserve">Stredné a veľké podniky však už v súčasnosti v určitej miere majú zavedené kyberbezpečnostné politiky a dokumentáciu v súlade s medzinárodnými normami. Nezačínajú tak na zelenej lúke, preto aj EK uvádza, že </w:t>
      </w:r>
      <w:r w:rsidRPr="001E47E5">
        <w:rPr>
          <w:rFonts w:ascii="Times New Roman" w:hAnsi="Times New Roman" w:cs="Times New Roman"/>
          <w:bCs/>
          <w:iCs/>
          <w:noProof/>
          <w:sz w:val="24"/>
          <w:szCs w:val="24"/>
        </w:rPr>
        <w:t>v strednodobom horizonte (tri až štyri roky) by nové sektory, ktoré sa majú pridať do rozsahu pôsobnosti NIS</w:t>
      </w:r>
      <w:r>
        <w:rPr>
          <w:rFonts w:ascii="Times New Roman" w:hAnsi="Times New Roman" w:cs="Times New Roman"/>
          <w:bCs/>
          <w:iCs/>
          <w:noProof/>
          <w:sz w:val="24"/>
          <w:szCs w:val="24"/>
        </w:rPr>
        <w:t> 2</w:t>
      </w:r>
      <w:r w:rsidRPr="001E47E5">
        <w:rPr>
          <w:rFonts w:ascii="Times New Roman" w:hAnsi="Times New Roman" w:cs="Times New Roman"/>
          <w:bCs/>
          <w:iCs/>
          <w:noProof/>
          <w:sz w:val="24"/>
          <w:szCs w:val="24"/>
        </w:rPr>
        <w:t xml:space="preserve">, zaznamenali približne 22 % nárast ich výdavkov na bezpečnosť IKT. K takémuto nárastu však prirodzene prispelo mnoho ďalších faktorov, ako napríklad vývoj technológií a prostredia hrozieb, GDPR a ďalšie regulačné povinnosti, účinky konkrétnych incidentov, ktoré sa môžu medzitým vyskytnúť, alebo veľkých kríz, úroveň informovanosti, úroveň digitalizácie atď. Na základe prieskumu </w:t>
      </w:r>
      <w:r w:rsidRPr="009544BD">
        <w:rPr>
          <w:rFonts w:ascii="Times New Roman" w:hAnsi="Times New Roman" w:cs="Times New Roman"/>
          <w:bCs/>
          <w:i/>
          <w:iCs/>
          <w:noProof/>
          <w:sz w:val="24"/>
          <w:szCs w:val="24"/>
        </w:rPr>
        <w:t>Kybernetická bezpečnosť</w:t>
      </w:r>
      <w:r>
        <w:rPr>
          <w:rFonts w:ascii="Times New Roman" w:hAnsi="Times New Roman" w:cs="Times New Roman"/>
          <w:bCs/>
          <w:i/>
          <w:iCs/>
          <w:noProof/>
          <w:sz w:val="24"/>
          <w:szCs w:val="24"/>
        </w:rPr>
        <w:t xml:space="preserve"> 2023</w:t>
      </w:r>
      <w:r w:rsidRPr="001E47E5">
        <w:rPr>
          <w:rFonts w:ascii="Times New Roman" w:hAnsi="Times New Roman" w:cs="Times New Roman"/>
          <w:bCs/>
          <w:iCs/>
          <w:noProof/>
          <w:sz w:val="24"/>
          <w:szCs w:val="24"/>
        </w:rPr>
        <w:t>, ktorý bol realizovaný N</w:t>
      </w:r>
      <w:r>
        <w:rPr>
          <w:rFonts w:ascii="Times New Roman" w:hAnsi="Times New Roman" w:cs="Times New Roman"/>
          <w:bCs/>
          <w:iCs/>
          <w:noProof/>
          <w:sz w:val="24"/>
          <w:szCs w:val="24"/>
        </w:rPr>
        <w:t>árodným bezpečnostným úradom (ďalej len „úrad“ alebo „N</w:t>
      </w:r>
      <w:r w:rsidRPr="001E47E5">
        <w:rPr>
          <w:rFonts w:ascii="Times New Roman" w:hAnsi="Times New Roman" w:cs="Times New Roman"/>
          <w:bCs/>
          <w:iCs/>
          <w:noProof/>
          <w:sz w:val="24"/>
          <w:szCs w:val="24"/>
        </w:rPr>
        <w:t>BÚ</w:t>
      </w:r>
      <w:r>
        <w:rPr>
          <w:rFonts w:ascii="Times New Roman" w:hAnsi="Times New Roman" w:cs="Times New Roman"/>
          <w:bCs/>
          <w:iCs/>
          <w:noProof/>
          <w:sz w:val="24"/>
          <w:szCs w:val="24"/>
        </w:rPr>
        <w:t xml:space="preserve">) </w:t>
      </w:r>
      <w:r w:rsidRPr="001E47E5">
        <w:rPr>
          <w:rFonts w:ascii="Times New Roman" w:hAnsi="Times New Roman" w:cs="Times New Roman"/>
          <w:bCs/>
          <w:iCs/>
          <w:noProof/>
          <w:sz w:val="24"/>
          <w:szCs w:val="24"/>
        </w:rPr>
        <w:t>a</w:t>
      </w:r>
      <w:r>
        <w:rPr>
          <w:rFonts w:ascii="Times New Roman" w:hAnsi="Times New Roman" w:cs="Times New Roman"/>
          <w:bCs/>
          <w:iCs/>
          <w:noProof/>
          <w:sz w:val="24"/>
          <w:szCs w:val="24"/>
        </w:rPr>
        <w:t xml:space="preserve"> Kompetenčným a certifikačným centrom kybernetickej bezpečnosti (ďalej len „kompetenčné </w:t>
      </w:r>
      <w:r>
        <w:rPr>
          <w:rFonts w:ascii="Times New Roman" w:hAnsi="Times New Roman" w:cs="Times New Roman"/>
          <w:bCs/>
          <w:iCs/>
          <w:noProof/>
          <w:sz w:val="24"/>
          <w:szCs w:val="24"/>
        </w:rPr>
        <w:lastRenderedPageBreak/>
        <w:t>centrum“ alebo „</w:t>
      </w:r>
      <w:r w:rsidRPr="001E47E5">
        <w:rPr>
          <w:rFonts w:ascii="Times New Roman" w:hAnsi="Times New Roman" w:cs="Times New Roman"/>
          <w:bCs/>
          <w:iCs/>
          <w:noProof/>
          <w:sz w:val="24"/>
          <w:szCs w:val="24"/>
        </w:rPr>
        <w:t>KCCKB</w:t>
      </w:r>
      <w:r>
        <w:rPr>
          <w:rFonts w:ascii="Times New Roman" w:hAnsi="Times New Roman" w:cs="Times New Roman"/>
          <w:bCs/>
          <w:iCs/>
          <w:noProof/>
          <w:sz w:val="24"/>
          <w:szCs w:val="24"/>
        </w:rPr>
        <w:t>“)</w:t>
      </w:r>
      <w:r w:rsidRPr="001E47E5">
        <w:rPr>
          <w:rFonts w:ascii="Times New Roman" w:hAnsi="Times New Roman" w:cs="Times New Roman"/>
          <w:bCs/>
          <w:iCs/>
          <w:noProof/>
          <w:sz w:val="24"/>
          <w:szCs w:val="24"/>
        </w:rPr>
        <w:t xml:space="preserve"> v roku 2023 je možné odhadnúť aký podiel stredných a veľkých podnikov</w:t>
      </w:r>
      <w:r w:rsidRPr="001E47E5">
        <w:rPr>
          <w:rStyle w:val="Odkaznapoznmkupodiarou"/>
          <w:rFonts w:ascii="Times New Roman" w:hAnsi="Times New Roman" w:cs="Times New Roman"/>
          <w:bCs/>
          <w:iCs/>
          <w:noProof/>
          <w:sz w:val="24"/>
          <w:szCs w:val="24"/>
        </w:rPr>
        <w:footnoteReference w:id="2"/>
      </w:r>
      <w:r w:rsidRPr="001E47E5">
        <w:rPr>
          <w:rFonts w:ascii="Times New Roman" w:hAnsi="Times New Roman" w:cs="Times New Roman"/>
          <w:bCs/>
          <w:iCs/>
          <w:noProof/>
          <w:sz w:val="24"/>
          <w:szCs w:val="24"/>
        </w:rPr>
        <w:t xml:space="preserve"> už má čiastočne alebo úplne vypracovanú potrebnú dokumentáciu bez ohľadu na prijatie novej legislatívy a stanoviť vplyv </w:t>
      </w:r>
      <w:r>
        <w:rPr>
          <w:rFonts w:ascii="Times New Roman" w:hAnsi="Times New Roman" w:cs="Times New Roman"/>
          <w:bCs/>
          <w:iCs/>
          <w:noProof/>
          <w:sz w:val="24"/>
          <w:szCs w:val="24"/>
        </w:rPr>
        <w:t xml:space="preserve">návrhu </w:t>
      </w:r>
      <w:r w:rsidRPr="001E47E5">
        <w:rPr>
          <w:rFonts w:ascii="Times New Roman" w:hAnsi="Times New Roman" w:cs="Times New Roman"/>
          <w:bCs/>
          <w:iCs/>
          <w:noProof/>
          <w:sz w:val="24"/>
          <w:szCs w:val="24"/>
        </w:rPr>
        <w:t>novely zákon</w:t>
      </w:r>
      <w:r>
        <w:rPr>
          <w:rFonts w:ascii="Times New Roman" w:hAnsi="Times New Roman" w:cs="Times New Roman"/>
          <w:bCs/>
          <w:iCs/>
          <w:noProof/>
          <w:sz w:val="24"/>
          <w:szCs w:val="24"/>
        </w:rPr>
        <w:t>a č.</w:t>
      </w:r>
      <w:r w:rsidRPr="001E47E5">
        <w:rPr>
          <w:rFonts w:ascii="Times New Roman" w:hAnsi="Times New Roman" w:cs="Times New Roman"/>
          <w:bCs/>
          <w:iCs/>
          <w:noProof/>
          <w:sz w:val="24"/>
          <w:szCs w:val="24"/>
        </w:rPr>
        <w:t xml:space="preserve"> 69/2018 Z. z. na podnikateľské prostredie.</w:t>
      </w:r>
    </w:p>
    <w:tbl>
      <w:tblPr>
        <w:tblW w:w="9493" w:type="dxa"/>
        <w:tblLook w:val="04A0" w:firstRow="1" w:lastRow="0" w:firstColumn="1" w:lastColumn="0" w:noHBand="0" w:noVBand="1"/>
      </w:tblPr>
      <w:tblGrid>
        <w:gridCol w:w="3681"/>
        <w:gridCol w:w="4536"/>
        <w:gridCol w:w="1276"/>
      </w:tblGrid>
      <w:tr w:rsidR="000E512F" w:rsidRPr="001E47E5" w14:paraId="38BCAC5C" w14:textId="77777777" w:rsidTr="000E512F">
        <w:tc>
          <w:tcPr>
            <w:tcW w:w="9493" w:type="dxa"/>
            <w:gridSpan w:val="3"/>
            <w:shd w:val="clear" w:color="auto" w:fill="D9D9D9" w:themeFill="background1" w:themeFillShade="D9"/>
          </w:tcPr>
          <w:p w14:paraId="31EEFF16" w14:textId="77777777" w:rsidR="000E512F" w:rsidRPr="00685281" w:rsidRDefault="000E512F" w:rsidP="000E512F">
            <w:pPr>
              <w:jc w:val="center"/>
              <w:rPr>
                <w:rFonts w:ascii="Times New Roman" w:hAnsi="Times New Roman" w:cs="Times New Roman"/>
                <w:b/>
                <w:iCs/>
                <w:noProof/>
                <w:sz w:val="24"/>
                <w:szCs w:val="24"/>
              </w:rPr>
            </w:pPr>
            <w:r w:rsidRPr="00685281">
              <w:rPr>
                <w:rFonts w:ascii="Times New Roman" w:hAnsi="Times New Roman" w:cs="Times New Roman"/>
                <w:b/>
                <w:iCs/>
                <w:noProof/>
                <w:sz w:val="24"/>
                <w:szCs w:val="24"/>
              </w:rPr>
              <w:t>Prieskum KB 2023</w:t>
            </w:r>
          </w:p>
        </w:tc>
      </w:tr>
      <w:tr w:rsidR="000E512F" w:rsidRPr="001E47E5" w14:paraId="0DA24761" w14:textId="77777777" w:rsidTr="000E512F">
        <w:tc>
          <w:tcPr>
            <w:tcW w:w="3681" w:type="dxa"/>
          </w:tcPr>
          <w:p w14:paraId="392D1632" w14:textId="77777777" w:rsidR="000E512F" w:rsidRPr="00685281" w:rsidRDefault="000E512F" w:rsidP="000E512F">
            <w:pPr>
              <w:jc w:val="both"/>
              <w:rPr>
                <w:rFonts w:ascii="Times New Roman" w:hAnsi="Times New Roman" w:cs="Times New Roman"/>
                <w:b/>
                <w:iCs/>
                <w:noProof/>
                <w:sz w:val="24"/>
                <w:szCs w:val="24"/>
              </w:rPr>
            </w:pPr>
            <w:r w:rsidRPr="00685281">
              <w:rPr>
                <w:rFonts w:ascii="Times New Roman" w:hAnsi="Times New Roman" w:cs="Times New Roman"/>
                <w:b/>
                <w:iCs/>
                <w:noProof/>
                <w:sz w:val="24"/>
                <w:szCs w:val="24"/>
              </w:rPr>
              <w:t>Ukazovateľ</w:t>
            </w:r>
          </w:p>
        </w:tc>
        <w:tc>
          <w:tcPr>
            <w:tcW w:w="4536" w:type="dxa"/>
          </w:tcPr>
          <w:p w14:paraId="11B94EAA" w14:textId="77777777" w:rsidR="000E512F" w:rsidRPr="00685281" w:rsidRDefault="000E512F" w:rsidP="000E512F">
            <w:pPr>
              <w:jc w:val="both"/>
              <w:rPr>
                <w:rFonts w:ascii="Times New Roman" w:hAnsi="Times New Roman" w:cs="Times New Roman"/>
                <w:b/>
                <w:iCs/>
                <w:noProof/>
                <w:sz w:val="24"/>
                <w:szCs w:val="24"/>
              </w:rPr>
            </w:pPr>
            <w:r w:rsidRPr="00685281">
              <w:rPr>
                <w:rFonts w:ascii="Times New Roman" w:hAnsi="Times New Roman" w:cs="Times New Roman"/>
                <w:b/>
                <w:iCs/>
                <w:noProof/>
                <w:sz w:val="24"/>
                <w:szCs w:val="24"/>
              </w:rPr>
              <w:t>Zdôvodnenie použitia v rámci spracovania posúdenia vplyvov</w:t>
            </w:r>
          </w:p>
        </w:tc>
        <w:tc>
          <w:tcPr>
            <w:tcW w:w="1276" w:type="dxa"/>
          </w:tcPr>
          <w:p w14:paraId="0D0B82B6" w14:textId="7EEF40AB" w:rsidR="000E512F" w:rsidRPr="00685281" w:rsidRDefault="000E512F" w:rsidP="000C7611">
            <w:pPr>
              <w:jc w:val="both"/>
              <w:rPr>
                <w:rFonts w:ascii="Times New Roman" w:hAnsi="Times New Roman" w:cs="Times New Roman"/>
                <w:b/>
                <w:iCs/>
                <w:noProof/>
                <w:sz w:val="24"/>
                <w:szCs w:val="24"/>
              </w:rPr>
            </w:pPr>
            <w:r w:rsidRPr="00685281">
              <w:rPr>
                <w:rFonts w:ascii="Times New Roman" w:hAnsi="Times New Roman" w:cs="Times New Roman"/>
                <w:b/>
                <w:iCs/>
                <w:noProof/>
                <w:sz w:val="24"/>
                <w:szCs w:val="24"/>
              </w:rPr>
              <w:t>Podiel v</w:t>
            </w:r>
            <w:r w:rsidR="000C7611">
              <w:rPr>
                <w:rFonts w:ascii="Times New Roman" w:hAnsi="Times New Roman" w:cs="Times New Roman"/>
                <w:b/>
                <w:iCs/>
                <w:noProof/>
                <w:sz w:val="24"/>
                <w:szCs w:val="24"/>
              </w:rPr>
              <w:t> </w:t>
            </w:r>
            <w:r w:rsidRPr="00685281">
              <w:rPr>
                <w:rFonts w:ascii="Times New Roman" w:hAnsi="Times New Roman" w:cs="Times New Roman"/>
                <w:b/>
                <w:iCs/>
                <w:noProof/>
                <w:sz w:val="24"/>
                <w:szCs w:val="24"/>
              </w:rPr>
              <w:t>%</w:t>
            </w:r>
          </w:p>
        </w:tc>
      </w:tr>
      <w:tr w:rsidR="000E512F" w:rsidRPr="001E47E5" w14:paraId="5960AF35" w14:textId="77777777" w:rsidTr="000E512F">
        <w:tc>
          <w:tcPr>
            <w:tcW w:w="3681" w:type="dxa"/>
          </w:tcPr>
          <w:p w14:paraId="2598FDC0"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 xml:space="preserve">Podiel stredne veľkých podnikov, ktoré nemajú vypracovaný ani plány kontinuity činnosti organizácie (BCP) ani analýzu rizík </w:t>
            </w:r>
          </w:p>
        </w:tc>
        <w:tc>
          <w:tcPr>
            <w:tcW w:w="4536" w:type="dxa"/>
          </w:tcPr>
          <w:p w14:paraId="794B7A59"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 xml:space="preserve">Predpokladáme že tieto podniky nemajú vypracovanú žiadnu dokumentáciu alebo len v minimálnej miere </w:t>
            </w:r>
          </w:p>
        </w:tc>
        <w:tc>
          <w:tcPr>
            <w:tcW w:w="1276" w:type="dxa"/>
          </w:tcPr>
          <w:p w14:paraId="5FA1B319"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40%</w:t>
            </w:r>
          </w:p>
        </w:tc>
      </w:tr>
      <w:tr w:rsidR="000E512F" w:rsidRPr="001E47E5" w14:paraId="543D5184" w14:textId="77777777" w:rsidTr="000E512F">
        <w:tc>
          <w:tcPr>
            <w:tcW w:w="3681" w:type="dxa"/>
          </w:tcPr>
          <w:p w14:paraId="6D2E5805"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 xml:space="preserve">Podiel stredne veľkých podnikov, ktoré majú vypracovnú analýzu rizík </w:t>
            </w:r>
          </w:p>
        </w:tc>
        <w:tc>
          <w:tcPr>
            <w:tcW w:w="4536" w:type="dxa"/>
          </w:tcPr>
          <w:p w14:paraId="25F3BADE"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Predpokladáme že podniky so spracovanou analýzou rizík aspoň do určitej miery (50%) majú spracovanú dokumentáciu, ktorej vypracovanie stanovuje zákon ako povinnosť</w:t>
            </w:r>
          </w:p>
        </w:tc>
        <w:tc>
          <w:tcPr>
            <w:tcW w:w="1276" w:type="dxa"/>
          </w:tcPr>
          <w:p w14:paraId="1254A4A7"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60% (po odpočítaní podnikov, ktoré majú aj BCP do ďalších výpočtov vstupuje hodnota 31%)</w:t>
            </w:r>
          </w:p>
        </w:tc>
      </w:tr>
      <w:tr w:rsidR="000E512F" w:rsidRPr="001E47E5" w14:paraId="0A37D983" w14:textId="77777777" w:rsidTr="000E512F">
        <w:tc>
          <w:tcPr>
            <w:tcW w:w="3681" w:type="dxa"/>
          </w:tcPr>
          <w:p w14:paraId="4F6D0D4B"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Podiel stredne veľkých podnikov, ktoré majú vypracované a pripravené plány kontinuity činnosti organizácie (BCP)</w:t>
            </w:r>
          </w:p>
        </w:tc>
        <w:tc>
          <w:tcPr>
            <w:tcW w:w="4536" w:type="dxa"/>
          </w:tcPr>
          <w:p w14:paraId="25A3D602" w14:textId="2A5C4CED" w:rsidR="000E512F" w:rsidRPr="00685281" w:rsidRDefault="000E512F" w:rsidP="00AD4F5D">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Predpokladáme že podniky so spracovanou BCP majú do vysokej miery (90%) majú spracovanú dokumentáciu, ktorej vypracovanie stanovuje zákon ako povinnosť</w:t>
            </w:r>
          </w:p>
        </w:tc>
        <w:tc>
          <w:tcPr>
            <w:tcW w:w="1276" w:type="dxa"/>
          </w:tcPr>
          <w:p w14:paraId="1955C373"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29%</w:t>
            </w:r>
          </w:p>
        </w:tc>
      </w:tr>
    </w:tbl>
    <w:p w14:paraId="1BA03C0D" w14:textId="77777777" w:rsidR="000E512F" w:rsidRPr="001E47E5" w:rsidRDefault="000E512F" w:rsidP="000E512F">
      <w:pPr>
        <w:rPr>
          <w:rFonts w:ascii="Times New Roman" w:hAnsi="Times New Roman" w:cs="Times New Roman"/>
          <w:bCs/>
          <w:iCs/>
          <w:noProof/>
          <w:sz w:val="24"/>
          <w:szCs w:val="24"/>
        </w:rPr>
      </w:pPr>
      <w:r w:rsidRPr="001E47E5">
        <w:rPr>
          <w:rFonts w:ascii="Times New Roman" w:hAnsi="Times New Roman" w:cs="Times New Roman"/>
          <w:bCs/>
          <w:iCs/>
          <w:noProof/>
          <w:sz w:val="24"/>
          <w:szCs w:val="24"/>
        </w:rPr>
        <w:t xml:space="preserve">Zdroj údajov: </w:t>
      </w:r>
      <w:hyperlink r:id="rId19" w:history="1">
        <w:r w:rsidRPr="001E47E5">
          <w:rPr>
            <w:rStyle w:val="Hypertextovprepojenie"/>
            <w:rFonts w:ascii="Times New Roman" w:hAnsi="Times New Roman" w:cs="Times New Roman"/>
            <w:bCs/>
            <w:iCs/>
            <w:noProof/>
            <w:sz w:val="24"/>
            <w:szCs w:val="24"/>
          </w:rPr>
          <w:t>https://cybercompetence.sk/wp-content/uploads/dokumenty/na_stiahnutie/letak_KB-prieskum_verejnej_mienky_msp_2023.pdf</w:t>
        </w:r>
      </w:hyperlink>
    </w:p>
    <w:p w14:paraId="6D2C80CF" w14:textId="77777777" w:rsidR="000E512F" w:rsidRPr="001E47E5" w:rsidRDefault="000E512F" w:rsidP="000E512F">
      <w:pPr>
        <w:jc w:val="both"/>
        <w:rPr>
          <w:rFonts w:ascii="Times New Roman" w:hAnsi="Times New Roman" w:cs="Times New Roman"/>
          <w:bCs/>
          <w:iCs/>
          <w:noProof/>
          <w:sz w:val="24"/>
          <w:szCs w:val="24"/>
        </w:rPr>
      </w:pPr>
    </w:p>
    <w:tbl>
      <w:tblPr>
        <w:tblW w:w="9566" w:type="dxa"/>
        <w:tblLook w:val="04A0" w:firstRow="1" w:lastRow="0" w:firstColumn="1" w:lastColumn="0" w:noHBand="0" w:noVBand="1"/>
      </w:tblPr>
      <w:tblGrid>
        <w:gridCol w:w="846"/>
        <w:gridCol w:w="2614"/>
        <w:gridCol w:w="1524"/>
        <w:gridCol w:w="1340"/>
        <w:gridCol w:w="1618"/>
        <w:gridCol w:w="1624"/>
      </w:tblGrid>
      <w:tr w:rsidR="000E512F" w:rsidRPr="001E47E5" w14:paraId="4E3A692D" w14:textId="77777777" w:rsidTr="000E512F">
        <w:tc>
          <w:tcPr>
            <w:tcW w:w="3460" w:type="dxa"/>
            <w:gridSpan w:val="2"/>
            <w:vMerge w:val="restart"/>
            <w:shd w:val="clear" w:color="auto" w:fill="D9D9D9" w:themeFill="background1" w:themeFillShade="D9"/>
          </w:tcPr>
          <w:p w14:paraId="5F5666FB" w14:textId="77777777" w:rsidR="000E512F" w:rsidRPr="00685281" w:rsidRDefault="000E512F" w:rsidP="000E512F">
            <w:pPr>
              <w:jc w:val="center"/>
              <w:rPr>
                <w:rFonts w:ascii="Times New Roman" w:hAnsi="Times New Roman" w:cs="Times New Roman"/>
                <w:b/>
                <w:iCs/>
                <w:noProof/>
                <w:color w:val="000000" w:themeColor="text1"/>
                <w:sz w:val="24"/>
                <w:szCs w:val="24"/>
              </w:rPr>
            </w:pPr>
            <w:r w:rsidRPr="00685281">
              <w:rPr>
                <w:rFonts w:ascii="Times New Roman" w:hAnsi="Times New Roman" w:cs="Times New Roman"/>
                <w:b/>
                <w:iCs/>
                <w:noProof/>
                <w:color w:val="000000" w:themeColor="text1"/>
                <w:sz w:val="24"/>
                <w:szCs w:val="24"/>
              </w:rPr>
              <w:t>Typ podnikov</w:t>
            </w:r>
          </w:p>
          <w:p w14:paraId="10B986AD" w14:textId="77777777" w:rsidR="000E512F" w:rsidRPr="00685281" w:rsidRDefault="000E512F" w:rsidP="000E512F">
            <w:pPr>
              <w:jc w:val="center"/>
              <w:rPr>
                <w:rFonts w:ascii="Times New Roman" w:hAnsi="Times New Roman" w:cs="Times New Roman"/>
                <w:b/>
                <w:iCs/>
                <w:noProof/>
                <w:color w:val="000000" w:themeColor="text1"/>
                <w:sz w:val="24"/>
                <w:szCs w:val="24"/>
              </w:rPr>
            </w:pPr>
          </w:p>
        </w:tc>
        <w:tc>
          <w:tcPr>
            <w:tcW w:w="2864" w:type="dxa"/>
            <w:gridSpan w:val="2"/>
            <w:shd w:val="clear" w:color="auto" w:fill="D9D9D9" w:themeFill="background1" w:themeFillShade="D9"/>
          </w:tcPr>
          <w:p w14:paraId="38704602" w14:textId="77777777" w:rsidR="000E512F" w:rsidRPr="00685281" w:rsidRDefault="000E512F" w:rsidP="000E512F">
            <w:pPr>
              <w:jc w:val="center"/>
              <w:rPr>
                <w:rFonts w:ascii="Times New Roman" w:hAnsi="Times New Roman" w:cs="Times New Roman"/>
                <w:b/>
                <w:iCs/>
                <w:noProof/>
                <w:color w:val="000000" w:themeColor="text1"/>
                <w:sz w:val="24"/>
                <w:szCs w:val="24"/>
              </w:rPr>
            </w:pPr>
            <w:r w:rsidRPr="00685281">
              <w:rPr>
                <w:rFonts w:ascii="Times New Roman" w:hAnsi="Times New Roman" w:cs="Times New Roman"/>
                <w:b/>
                <w:iCs/>
                <w:noProof/>
                <w:color w:val="000000" w:themeColor="text1"/>
                <w:sz w:val="24"/>
                <w:szCs w:val="24"/>
              </w:rPr>
              <w:t>Počet subjektov</w:t>
            </w:r>
          </w:p>
        </w:tc>
        <w:tc>
          <w:tcPr>
            <w:tcW w:w="3242" w:type="dxa"/>
            <w:gridSpan w:val="2"/>
            <w:shd w:val="clear" w:color="auto" w:fill="D9D9D9" w:themeFill="background1" w:themeFillShade="D9"/>
          </w:tcPr>
          <w:p w14:paraId="463A862E" w14:textId="77777777" w:rsidR="000E512F" w:rsidRPr="00685281" w:rsidRDefault="000E512F" w:rsidP="000E512F">
            <w:pPr>
              <w:jc w:val="center"/>
              <w:rPr>
                <w:rFonts w:ascii="Times New Roman" w:hAnsi="Times New Roman" w:cs="Times New Roman"/>
                <w:b/>
                <w:iCs/>
                <w:noProof/>
                <w:color w:val="000000" w:themeColor="text1"/>
                <w:sz w:val="24"/>
                <w:szCs w:val="24"/>
              </w:rPr>
            </w:pPr>
            <w:r w:rsidRPr="00685281">
              <w:rPr>
                <w:rFonts w:ascii="Times New Roman" w:hAnsi="Times New Roman" w:cs="Times New Roman"/>
                <w:b/>
                <w:iCs/>
                <w:noProof/>
                <w:color w:val="000000" w:themeColor="text1"/>
                <w:sz w:val="24"/>
                <w:szCs w:val="24"/>
              </w:rPr>
              <w:t>Náklad na 1 subjekt</w:t>
            </w:r>
          </w:p>
        </w:tc>
      </w:tr>
      <w:tr w:rsidR="000E512F" w:rsidRPr="001E47E5" w14:paraId="66558211" w14:textId="77777777" w:rsidTr="000E512F">
        <w:tc>
          <w:tcPr>
            <w:tcW w:w="3460" w:type="dxa"/>
            <w:gridSpan w:val="2"/>
            <w:vMerge/>
            <w:shd w:val="clear" w:color="auto" w:fill="D9D9D9" w:themeFill="background1" w:themeFillShade="D9"/>
          </w:tcPr>
          <w:p w14:paraId="31E1D4B7" w14:textId="77777777" w:rsidR="000E512F" w:rsidRPr="00685281" w:rsidRDefault="000E512F" w:rsidP="000E512F">
            <w:pPr>
              <w:jc w:val="center"/>
              <w:rPr>
                <w:rFonts w:ascii="Times New Roman" w:hAnsi="Times New Roman" w:cs="Times New Roman"/>
                <w:b/>
                <w:iCs/>
                <w:noProof/>
                <w:color w:val="000000" w:themeColor="text1"/>
                <w:sz w:val="24"/>
                <w:szCs w:val="24"/>
              </w:rPr>
            </w:pPr>
          </w:p>
        </w:tc>
        <w:tc>
          <w:tcPr>
            <w:tcW w:w="1524" w:type="dxa"/>
            <w:shd w:val="clear" w:color="auto" w:fill="D9D9D9" w:themeFill="background1" w:themeFillShade="D9"/>
          </w:tcPr>
          <w:p w14:paraId="3FAA4380" w14:textId="77777777" w:rsidR="000E512F" w:rsidRPr="00685281" w:rsidRDefault="000E512F" w:rsidP="000E512F">
            <w:pPr>
              <w:jc w:val="center"/>
              <w:rPr>
                <w:rFonts w:ascii="Times New Roman" w:hAnsi="Times New Roman" w:cs="Times New Roman"/>
                <w:b/>
                <w:iCs/>
                <w:noProof/>
                <w:color w:val="000000" w:themeColor="text1"/>
                <w:sz w:val="24"/>
                <w:szCs w:val="24"/>
              </w:rPr>
            </w:pPr>
            <w:r w:rsidRPr="00685281">
              <w:rPr>
                <w:rFonts w:ascii="Times New Roman" w:hAnsi="Times New Roman" w:cs="Times New Roman"/>
                <w:b/>
                <w:iCs/>
                <w:noProof/>
                <w:color w:val="000000" w:themeColor="text1"/>
                <w:sz w:val="24"/>
                <w:szCs w:val="24"/>
              </w:rPr>
              <w:t>%</w:t>
            </w:r>
          </w:p>
        </w:tc>
        <w:tc>
          <w:tcPr>
            <w:tcW w:w="1340" w:type="dxa"/>
            <w:shd w:val="clear" w:color="auto" w:fill="D9D9D9" w:themeFill="background1" w:themeFillShade="D9"/>
          </w:tcPr>
          <w:p w14:paraId="01EC693C" w14:textId="77777777" w:rsidR="000E512F" w:rsidRPr="00685281" w:rsidRDefault="000E512F" w:rsidP="000E512F">
            <w:pPr>
              <w:jc w:val="center"/>
              <w:rPr>
                <w:rFonts w:ascii="Times New Roman" w:hAnsi="Times New Roman" w:cs="Times New Roman"/>
                <w:b/>
                <w:iCs/>
                <w:noProof/>
                <w:color w:val="000000" w:themeColor="text1"/>
                <w:sz w:val="24"/>
                <w:szCs w:val="24"/>
              </w:rPr>
            </w:pPr>
            <w:r w:rsidRPr="00685281">
              <w:rPr>
                <w:rFonts w:ascii="Times New Roman" w:hAnsi="Times New Roman" w:cs="Times New Roman"/>
                <w:b/>
                <w:iCs/>
                <w:noProof/>
                <w:color w:val="000000" w:themeColor="text1"/>
                <w:sz w:val="24"/>
                <w:szCs w:val="24"/>
              </w:rPr>
              <w:t>Abs.</w:t>
            </w:r>
          </w:p>
        </w:tc>
        <w:tc>
          <w:tcPr>
            <w:tcW w:w="1618" w:type="dxa"/>
            <w:shd w:val="clear" w:color="auto" w:fill="D9D9D9" w:themeFill="background1" w:themeFillShade="D9"/>
          </w:tcPr>
          <w:p w14:paraId="658DCD34" w14:textId="77777777" w:rsidR="000E512F" w:rsidRPr="00685281" w:rsidRDefault="000E512F" w:rsidP="000E512F">
            <w:pPr>
              <w:jc w:val="center"/>
              <w:rPr>
                <w:rFonts w:ascii="Times New Roman" w:hAnsi="Times New Roman" w:cs="Times New Roman"/>
                <w:b/>
                <w:iCs/>
                <w:noProof/>
                <w:color w:val="000000" w:themeColor="text1"/>
                <w:sz w:val="24"/>
                <w:szCs w:val="24"/>
              </w:rPr>
            </w:pPr>
            <w:r w:rsidRPr="00685281">
              <w:rPr>
                <w:rFonts w:ascii="Times New Roman" w:hAnsi="Times New Roman" w:cs="Times New Roman"/>
                <w:b/>
                <w:iCs/>
                <w:noProof/>
                <w:color w:val="000000" w:themeColor="text1"/>
                <w:sz w:val="24"/>
                <w:szCs w:val="24"/>
              </w:rPr>
              <w:t>%</w:t>
            </w:r>
          </w:p>
        </w:tc>
        <w:tc>
          <w:tcPr>
            <w:tcW w:w="1624" w:type="dxa"/>
            <w:shd w:val="clear" w:color="auto" w:fill="D9D9D9" w:themeFill="background1" w:themeFillShade="D9"/>
          </w:tcPr>
          <w:p w14:paraId="0C063CC1" w14:textId="77777777" w:rsidR="000E512F" w:rsidRPr="00685281" w:rsidRDefault="000E512F" w:rsidP="000E512F">
            <w:pPr>
              <w:jc w:val="center"/>
              <w:rPr>
                <w:rFonts w:ascii="Times New Roman" w:hAnsi="Times New Roman" w:cs="Times New Roman"/>
                <w:b/>
                <w:iCs/>
                <w:noProof/>
                <w:color w:val="000000" w:themeColor="text1"/>
                <w:sz w:val="24"/>
                <w:szCs w:val="24"/>
              </w:rPr>
            </w:pPr>
            <w:r w:rsidRPr="00685281">
              <w:rPr>
                <w:rFonts w:ascii="Times New Roman" w:hAnsi="Times New Roman" w:cs="Times New Roman"/>
                <w:b/>
                <w:iCs/>
                <w:noProof/>
                <w:color w:val="000000" w:themeColor="text1"/>
                <w:sz w:val="24"/>
                <w:szCs w:val="24"/>
              </w:rPr>
              <w:t>Abs.</w:t>
            </w:r>
          </w:p>
        </w:tc>
      </w:tr>
      <w:tr w:rsidR="000E512F" w:rsidRPr="001E47E5" w14:paraId="12A51618" w14:textId="77777777" w:rsidTr="000E512F">
        <w:tc>
          <w:tcPr>
            <w:tcW w:w="846" w:type="dxa"/>
          </w:tcPr>
          <w:p w14:paraId="796BAABA"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Typ 1</w:t>
            </w:r>
          </w:p>
        </w:tc>
        <w:tc>
          <w:tcPr>
            <w:tcW w:w="2614" w:type="dxa"/>
          </w:tcPr>
          <w:p w14:paraId="328198A2"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Stredný podnik bez dokumentácie</w:t>
            </w:r>
          </w:p>
        </w:tc>
        <w:tc>
          <w:tcPr>
            <w:tcW w:w="1524" w:type="dxa"/>
          </w:tcPr>
          <w:p w14:paraId="30C94A75"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40%</w:t>
            </w:r>
          </w:p>
        </w:tc>
        <w:tc>
          <w:tcPr>
            <w:tcW w:w="1340" w:type="dxa"/>
          </w:tcPr>
          <w:p w14:paraId="353A288C"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1 099</w:t>
            </w:r>
          </w:p>
        </w:tc>
        <w:tc>
          <w:tcPr>
            <w:tcW w:w="1618" w:type="dxa"/>
          </w:tcPr>
          <w:p w14:paraId="133245A0"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100%</w:t>
            </w:r>
          </w:p>
        </w:tc>
        <w:tc>
          <w:tcPr>
            <w:tcW w:w="1624" w:type="dxa"/>
          </w:tcPr>
          <w:p w14:paraId="0AA5B889"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25 000</w:t>
            </w:r>
          </w:p>
        </w:tc>
      </w:tr>
      <w:tr w:rsidR="000E512F" w:rsidRPr="001E47E5" w14:paraId="1B85478C" w14:textId="77777777" w:rsidTr="000E512F">
        <w:tc>
          <w:tcPr>
            <w:tcW w:w="846" w:type="dxa"/>
          </w:tcPr>
          <w:p w14:paraId="624D64A4"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Typ 2</w:t>
            </w:r>
          </w:p>
        </w:tc>
        <w:tc>
          <w:tcPr>
            <w:tcW w:w="2614" w:type="dxa"/>
          </w:tcPr>
          <w:p w14:paraId="4E1AE42F"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Stredný podnik aspoň s analýzou rizík</w:t>
            </w:r>
          </w:p>
        </w:tc>
        <w:tc>
          <w:tcPr>
            <w:tcW w:w="1524" w:type="dxa"/>
          </w:tcPr>
          <w:p w14:paraId="78B0BB88"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31%</w:t>
            </w:r>
          </w:p>
        </w:tc>
        <w:tc>
          <w:tcPr>
            <w:tcW w:w="1340" w:type="dxa"/>
          </w:tcPr>
          <w:p w14:paraId="2F175628"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852</w:t>
            </w:r>
          </w:p>
        </w:tc>
        <w:tc>
          <w:tcPr>
            <w:tcW w:w="1618" w:type="dxa"/>
          </w:tcPr>
          <w:p w14:paraId="2D50F8DA"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50%</w:t>
            </w:r>
          </w:p>
        </w:tc>
        <w:tc>
          <w:tcPr>
            <w:tcW w:w="1624" w:type="dxa"/>
          </w:tcPr>
          <w:p w14:paraId="16677F24"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12 500</w:t>
            </w:r>
          </w:p>
        </w:tc>
      </w:tr>
      <w:tr w:rsidR="000E512F" w:rsidRPr="001E47E5" w14:paraId="280AF5D4" w14:textId="77777777" w:rsidTr="000E512F">
        <w:tc>
          <w:tcPr>
            <w:tcW w:w="846" w:type="dxa"/>
          </w:tcPr>
          <w:p w14:paraId="63167390"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lastRenderedPageBreak/>
              <w:t>Typ 3</w:t>
            </w:r>
          </w:p>
        </w:tc>
        <w:tc>
          <w:tcPr>
            <w:tcW w:w="2614" w:type="dxa"/>
          </w:tcPr>
          <w:p w14:paraId="6F5C53DF"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Stredný podnik aj s BCP</w:t>
            </w:r>
          </w:p>
        </w:tc>
        <w:tc>
          <w:tcPr>
            <w:tcW w:w="1524" w:type="dxa"/>
          </w:tcPr>
          <w:p w14:paraId="440A75D1"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29%</w:t>
            </w:r>
          </w:p>
        </w:tc>
        <w:tc>
          <w:tcPr>
            <w:tcW w:w="1340" w:type="dxa"/>
          </w:tcPr>
          <w:p w14:paraId="6056AAAA"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796</w:t>
            </w:r>
          </w:p>
        </w:tc>
        <w:tc>
          <w:tcPr>
            <w:tcW w:w="1618" w:type="dxa"/>
          </w:tcPr>
          <w:p w14:paraId="77DE307E"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10%</w:t>
            </w:r>
          </w:p>
        </w:tc>
        <w:tc>
          <w:tcPr>
            <w:tcW w:w="1624" w:type="dxa"/>
          </w:tcPr>
          <w:p w14:paraId="21F751D4"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2 500</w:t>
            </w:r>
          </w:p>
        </w:tc>
      </w:tr>
      <w:tr w:rsidR="000E512F" w:rsidRPr="001E47E5" w14:paraId="46468DDE" w14:textId="77777777" w:rsidTr="000E512F">
        <w:tc>
          <w:tcPr>
            <w:tcW w:w="846" w:type="dxa"/>
          </w:tcPr>
          <w:p w14:paraId="47858841"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Typ 4</w:t>
            </w:r>
          </w:p>
        </w:tc>
        <w:tc>
          <w:tcPr>
            <w:tcW w:w="2614" w:type="dxa"/>
          </w:tcPr>
          <w:p w14:paraId="68C8EEF7"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Veľký podnik bez dokumentácie</w:t>
            </w:r>
          </w:p>
        </w:tc>
        <w:tc>
          <w:tcPr>
            <w:tcW w:w="1524" w:type="dxa"/>
          </w:tcPr>
          <w:p w14:paraId="7F847343"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40%</w:t>
            </w:r>
          </w:p>
        </w:tc>
        <w:tc>
          <w:tcPr>
            <w:tcW w:w="1340" w:type="dxa"/>
          </w:tcPr>
          <w:p w14:paraId="1746C302"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263</w:t>
            </w:r>
          </w:p>
        </w:tc>
        <w:tc>
          <w:tcPr>
            <w:tcW w:w="1618" w:type="dxa"/>
          </w:tcPr>
          <w:p w14:paraId="10B3EC56"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100%</w:t>
            </w:r>
          </w:p>
        </w:tc>
        <w:tc>
          <w:tcPr>
            <w:tcW w:w="1624" w:type="dxa"/>
          </w:tcPr>
          <w:p w14:paraId="617E5317"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45 000</w:t>
            </w:r>
          </w:p>
        </w:tc>
      </w:tr>
      <w:tr w:rsidR="000E512F" w:rsidRPr="001E47E5" w14:paraId="58108722" w14:textId="77777777" w:rsidTr="000E512F">
        <w:tc>
          <w:tcPr>
            <w:tcW w:w="846" w:type="dxa"/>
          </w:tcPr>
          <w:p w14:paraId="1BBD68CC"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Typ 5</w:t>
            </w:r>
          </w:p>
        </w:tc>
        <w:tc>
          <w:tcPr>
            <w:tcW w:w="2614" w:type="dxa"/>
          </w:tcPr>
          <w:p w14:paraId="4C6A2A35"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Veľký podnik aspoň s analýzou rizík</w:t>
            </w:r>
          </w:p>
        </w:tc>
        <w:tc>
          <w:tcPr>
            <w:tcW w:w="1524" w:type="dxa"/>
          </w:tcPr>
          <w:p w14:paraId="1FE213C4"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31%</w:t>
            </w:r>
          </w:p>
        </w:tc>
        <w:tc>
          <w:tcPr>
            <w:tcW w:w="1340" w:type="dxa"/>
          </w:tcPr>
          <w:p w14:paraId="3F1CF7E2"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203</w:t>
            </w:r>
          </w:p>
        </w:tc>
        <w:tc>
          <w:tcPr>
            <w:tcW w:w="1618" w:type="dxa"/>
          </w:tcPr>
          <w:p w14:paraId="555E5CFC"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50%</w:t>
            </w:r>
          </w:p>
        </w:tc>
        <w:tc>
          <w:tcPr>
            <w:tcW w:w="1624" w:type="dxa"/>
          </w:tcPr>
          <w:p w14:paraId="20221F1E"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22 500</w:t>
            </w:r>
          </w:p>
        </w:tc>
      </w:tr>
      <w:tr w:rsidR="000E512F" w:rsidRPr="001E47E5" w14:paraId="3505850F" w14:textId="77777777" w:rsidTr="000E512F">
        <w:tc>
          <w:tcPr>
            <w:tcW w:w="846" w:type="dxa"/>
          </w:tcPr>
          <w:p w14:paraId="0D1CF6E6"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Typ 6</w:t>
            </w:r>
          </w:p>
        </w:tc>
        <w:tc>
          <w:tcPr>
            <w:tcW w:w="2614" w:type="dxa"/>
          </w:tcPr>
          <w:p w14:paraId="2B389D56"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Veľký podnik aj s BCP</w:t>
            </w:r>
          </w:p>
        </w:tc>
        <w:tc>
          <w:tcPr>
            <w:tcW w:w="1524" w:type="dxa"/>
          </w:tcPr>
          <w:p w14:paraId="35F8C688"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29%</w:t>
            </w:r>
          </w:p>
        </w:tc>
        <w:tc>
          <w:tcPr>
            <w:tcW w:w="1340" w:type="dxa"/>
          </w:tcPr>
          <w:p w14:paraId="23E52487"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190</w:t>
            </w:r>
          </w:p>
        </w:tc>
        <w:tc>
          <w:tcPr>
            <w:tcW w:w="1618" w:type="dxa"/>
          </w:tcPr>
          <w:p w14:paraId="28B70FB5"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10%</w:t>
            </w:r>
          </w:p>
        </w:tc>
        <w:tc>
          <w:tcPr>
            <w:tcW w:w="1624" w:type="dxa"/>
          </w:tcPr>
          <w:p w14:paraId="11E2633B" w14:textId="77777777" w:rsidR="000E512F" w:rsidRPr="00685281" w:rsidRDefault="000E512F" w:rsidP="000E512F">
            <w:pPr>
              <w:jc w:val="both"/>
              <w:rPr>
                <w:rFonts w:ascii="Times New Roman" w:hAnsi="Times New Roman" w:cs="Times New Roman"/>
                <w:bCs/>
                <w:iCs/>
                <w:noProof/>
                <w:sz w:val="24"/>
                <w:szCs w:val="24"/>
              </w:rPr>
            </w:pPr>
            <w:r w:rsidRPr="00685281">
              <w:rPr>
                <w:rFonts w:ascii="Times New Roman" w:hAnsi="Times New Roman" w:cs="Times New Roman"/>
                <w:bCs/>
                <w:iCs/>
                <w:noProof/>
                <w:sz w:val="24"/>
                <w:szCs w:val="24"/>
              </w:rPr>
              <w:t>4 500</w:t>
            </w:r>
          </w:p>
        </w:tc>
      </w:tr>
    </w:tbl>
    <w:p w14:paraId="2FCE53E3" w14:textId="77777777" w:rsidR="000E512F" w:rsidRPr="001E47E5" w:rsidRDefault="000E512F" w:rsidP="000E512F">
      <w:pPr>
        <w:jc w:val="both"/>
        <w:rPr>
          <w:rFonts w:ascii="Times New Roman" w:hAnsi="Times New Roman" w:cs="Times New Roman"/>
          <w:bCs/>
          <w:iCs/>
          <w:noProof/>
          <w:sz w:val="24"/>
          <w:szCs w:val="24"/>
        </w:rPr>
      </w:pPr>
    </w:p>
    <w:p w14:paraId="1974F13A" w14:textId="77777777" w:rsidR="000E512F" w:rsidRPr="001E47E5" w:rsidRDefault="000E512F" w:rsidP="000E512F">
      <w:pPr>
        <w:jc w:val="both"/>
        <w:rPr>
          <w:rFonts w:ascii="Times New Roman" w:eastAsia="Calibri" w:hAnsi="Times New Roman" w:cs="Times New Roman"/>
          <w:b/>
          <w:color w:val="000000"/>
          <w:sz w:val="24"/>
          <w:szCs w:val="24"/>
        </w:rPr>
      </w:pPr>
      <w:r w:rsidRPr="001E47E5">
        <w:rPr>
          <w:rFonts w:ascii="Times New Roman" w:eastAsia="Calibri" w:hAnsi="Times New Roman" w:cs="Times New Roman"/>
          <w:b/>
          <w:color w:val="000000"/>
          <w:sz w:val="24"/>
          <w:szCs w:val="24"/>
        </w:rPr>
        <w:t xml:space="preserve">3.1.3.4. Zavedenie povinnosti a spôsobu zasielania hlásení pre nové subjekty v súlade so smernicou </w:t>
      </w:r>
      <w:r>
        <w:rPr>
          <w:rFonts w:ascii="Times New Roman" w:eastAsia="Calibri" w:hAnsi="Times New Roman" w:cs="Times New Roman"/>
          <w:b/>
          <w:color w:val="000000"/>
          <w:sz w:val="24"/>
          <w:szCs w:val="24"/>
        </w:rPr>
        <w:t>NIS 2</w:t>
      </w:r>
    </w:p>
    <w:p w14:paraId="3656F5AB" w14:textId="77777777" w:rsidR="000E512F" w:rsidRPr="001E47E5" w:rsidRDefault="000E512F" w:rsidP="000E512F">
      <w:pPr>
        <w:jc w:val="both"/>
        <w:rPr>
          <w:rFonts w:ascii="Times New Roman" w:hAnsi="Times New Roman" w:cs="Times New Roman"/>
          <w:b/>
          <w:iCs/>
          <w:noProof/>
          <w:sz w:val="24"/>
          <w:szCs w:val="24"/>
        </w:rPr>
      </w:pPr>
      <w:r w:rsidRPr="001E47E5">
        <w:rPr>
          <w:rFonts w:ascii="Times New Roman" w:eastAsia="Calibri" w:hAnsi="Times New Roman" w:cs="Times New Roman"/>
          <w:bCs/>
          <w:color w:val="000000"/>
          <w:sz w:val="24"/>
          <w:szCs w:val="24"/>
        </w:rPr>
        <w:t>Nové subjekty, pre ktoré sa zavádzajú povinnosti prevádzkovateľa základnej služby budú musieť hlásiť každý závažný kybernetický bezpečnostný incident a to prostredníctvom jednotného informačného systému kybernetickej bezpečnosti</w:t>
      </w:r>
      <w:r>
        <w:rPr>
          <w:rFonts w:ascii="Times New Roman" w:eastAsia="Calibri" w:hAnsi="Times New Roman" w:cs="Times New Roman"/>
          <w:bCs/>
          <w:color w:val="000000"/>
          <w:sz w:val="24"/>
          <w:szCs w:val="24"/>
        </w:rPr>
        <w:t xml:space="preserve"> (ďalej len „JISKB“)</w:t>
      </w:r>
      <w:r w:rsidRPr="001E47E5">
        <w:rPr>
          <w:rFonts w:ascii="Times New Roman" w:eastAsia="Calibri" w:hAnsi="Times New Roman" w:cs="Times New Roman"/>
          <w:bCs/>
          <w:color w:val="000000"/>
          <w:sz w:val="24"/>
          <w:szCs w:val="24"/>
        </w:rPr>
        <w:t>. Výpočet nárastu hlásení vychádza z historických dát a z údajov o počte podnikateľských subjektov, ktoré sa stanú novými PZS.</w:t>
      </w:r>
    </w:p>
    <w:tbl>
      <w:tblPr>
        <w:tblW w:w="0" w:type="auto"/>
        <w:tblLook w:val="04A0" w:firstRow="1" w:lastRow="0" w:firstColumn="1" w:lastColumn="0" w:noHBand="0" w:noVBand="1"/>
      </w:tblPr>
      <w:tblGrid>
        <w:gridCol w:w="4698"/>
        <w:gridCol w:w="4698"/>
      </w:tblGrid>
      <w:tr w:rsidR="000E512F" w:rsidRPr="001E47E5" w14:paraId="2E5E8E7D" w14:textId="77777777" w:rsidTr="000E512F">
        <w:tc>
          <w:tcPr>
            <w:tcW w:w="4698" w:type="dxa"/>
          </w:tcPr>
          <w:p w14:paraId="411B726B" w14:textId="77777777" w:rsidR="000E512F" w:rsidRPr="00685281" w:rsidRDefault="000E512F" w:rsidP="000E512F">
            <w:pPr>
              <w:jc w:val="both"/>
              <w:rPr>
                <w:rFonts w:ascii="Times New Roman" w:eastAsia="Calibri" w:hAnsi="Times New Roman" w:cs="Times New Roman"/>
                <w:bCs/>
                <w:color w:val="000000"/>
                <w:sz w:val="24"/>
                <w:szCs w:val="24"/>
              </w:rPr>
            </w:pPr>
            <w:r w:rsidRPr="00685281">
              <w:rPr>
                <w:rFonts w:ascii="Times New Roman" w:eastAsia="Calibri" w:hAnsi="Times New Roman" w:cs="Times New Roman"/>
                <w:bCs/>
                <w:color w:val="000000"/>
                <w:sz w:val="24"/>
                <w:szCs w:val="24"/>
              </w:rPr>
              <w:t xml:space="preserve">Počet hlásených </w:t>
            </w:r>
            <w:r w:rsidRPr="00685281">
              <w:rPr>
                <w:rFonts w:ascii="Times New Roman" w:hAnsi="Times New Roman" w:cs="Times New Roman"/>
                <w:sz w:val="24"/>
                <w:szCs w:val="24"/>
              </w:rPr>
              <w:t>kybernetických bezpečnostných incidentov v roku 2023 za PZS mimo verejnej správy</w:t>
            </w:r>
          </w:p>
        </w:tc>
        <w:tc>
          <w:tcPr>
            <w:tcW w:w="4698" w:type="dxa"/>
          </w:tcPr>
          <w:p w14:paraId="55014FC8" w14:textId="77777777" w:rsidR="000E512F" w:rsidRPr="00685281" w:rsidRDefault="000E512F" w:rsidP="000E512F">
            <w:pPr>
              <w:jc w:val="both"/>
              <w:rPr>
                <w:rFonts w:ascii="Times New Roman" w:eastAsia="Calibri" w:hAnsi="Times New Roman" w:cs="Times New Roman"/>
                <w:bCs/>
                <w:color w:val="000000"/>
                <w:sz w:val="24"/>
                <w:szCs w:val="24"/>
              </w:rPr>
            </w:pPr>
            <w:r w:rsidRPr="00685281">
              <w:rPr>
                <w:rFonts w:ascii="Times New Roman" w:eastAsia="Calibri" w:hAnsi="Times New Roman" w:cs="Times New Roman"/>
                <w:bCs/>
                <w:color w:val="000000"/>
                <w:sz w:val="24"/>
                <w:szCs w:val="24"/>
              </w:rPr>
              <w:t>478</w:t>
            </w:r>
          </w:p>
        </w:tc>
      </w:tr>
      <w:tr w:rsidR="000E512F" w:rsidRPr="001E47E5" w14:paraId="1DC3A77D" w14:textId="77777777" w:rsidTr="000E512F">
        <w:tc>
          <w:tcPr>
            <w:tcW w:w="4698" w:type="dxa"/>
          </w:tcPr>
          <w:p w14:paraId="7C8D1B49" w14:textId="77777777" w:rsidR="000E512F" w:rsidRPr="00685281" w:rsidRDefault="000E512F" w:rsidP="000E512F">
            <w:pPr>
              <w:jc w:val="both"/>
              <w:rPr>
                <w:rFonts w:ascii="Times New Roman" w:eastAsia="Calibri" w:hAnsi="Times New Roman" w:cs="Times New Roman"/>
                <w:bCs/>
                <w:color w:val="000000"/>
                <w:sz w:val="24"/>
                <w:szCs w:val="24"/>
              </w:rPr>
            </w:pPr>
            <w:r w:rsidRPr="00685281">
              <w:rPr>
                <w:rFonts w:ascii="Times New Roman" w:eastAsia="Calibri" w:hAnsi="Times New Roman" w:cs="Times New Roman"/>
                <w:bCs/>
                <w:color w:val="000000"/>
                <w:sz w:val="24"/>
                <w:szCs w:val="24"/>
              </w:rPr>
              <w:t xml:space="preserve">Počet PZS mimo verejnej správy </w:t>
            </w:r>
          </w:p>
        </w:tc>
        <w:tc>
          <w:tcPr>
            <w:tcW w:w="4698" w:type="dxa"/>
          </w:tcPr>
          <w:p w14:paraId="4C5CC378" w14:textId="77777777" w:rsidR="000E512F" w:rsidRPr="00685281" w:rsidRDefault="000E512F" w:rsidP="000E512F">
            <w:pPr>
              <w:jc w:val="both"/>
              <w:rPr>
                <w:rFonts w:ascii="Times New Roman" w:hAnsi="Times New Roman" w:cs="Times New Roman"/>
                <w:color w:val="000000"/>
                <w:sz w:val="24"/>
                <w:szCs w:val="24"/>
              </w:rPr>
            </w:pPr>
            <w:r w:rsidRPr="00685281">
              <w:rPr>
                <w:rFonts w:ascii="Times New Roman" w:hAnsi="Times New Roman" w:cs="Times New Roman"/>
                <w:color w:val="000000"/>
                <w:sz w:val="24"/>
                <w:szCs w:val="24"/>
              </w:rPr>
              <w:t>209</w:t>
            </w:r>
          </w:p>
        </w:tc>
      </w:tr>
      <w:tr w:rsidR="000E512F" w:rsidRPr="001E47E5" w14:paraId="4386A476" w14:textId="77777777" w:rsidTr="000E512F">
        <w:tc>
          <w:tcPr>
            <w:tcW w:w="4698" w:type="dxa"/>
          </w:tcPr>
          <w:p w14:paraId="75FD3887" w14:textId="77777777" w:rsidR="000E512F" w:rsidRPr="00685281" w:rsidRDefault="000E512F" w:rsidP="000E512F">
            <w:pPr>
              <w:jc w:val="both"/>
              <w:rPr>
                <w:rFonts w:ascii="Times New Roman" w:eastAsia="Calibri" w:hAnsi="Times New Roman" w:cs="Times New Roman"/>
                <w:bCs/>
                <w:color w:val="000000"/>
                <w:sz w:val="24"/>
                <w:szCs w:val="24"/>
              </w:rPr>
            </w:pPr>
            <w:r w:rsidRPr="00685281">
              <w:rPr>
                <w:rFonts w:ascii="Times New Roman" w:eastAsia="Calibri" w:hAnsi="Times New Roman" w:cs="Times New Roman"/>
                <w:bCs/>
                <w:color w:val="000000"/>
                <w:sz w:val="24"/>
                <w:szCs w:val="24"/>
              </w:rPr>
              <w:t>Počet incidentov na 1 PZS mimo verejnej správy</w:t>
            </w:r>
          </w:p>
        </w:tc>
        <w:tc>
          <w:tcPr>
            <w:tcW w:w="4698" w:type="dxa"/>
          </w:tcPr>
          <w:p w14:paraId="0E6E963F" w14:textId="77777777" w:rsidR="000E512F" w:rsidRPr="00685281" w:rsidRDefault="000E512F" w:rsidP="000E512F">
            <w:pPr>
              <w:jc w:val="both"/>
              <w:rPr>
                <w:rFonts w:ascii="Times New Roman" w:hAnsi="Times New Roman" w:cs="Times New Roman"/>
                <w:color w:val="000000"/>
                <w:sz w:val="24"/>
                <w:szCs w:val="24"/>
              </w:rPr>
            </w:pPr>
            <w:r w:rsidRPr="00685281">
              <w:rPr>
                <w:rFonts w:ascii="Times New Roman" w:hAnsi="Times New Roman" w:cs="Times New Roman"/>
                <w:color w:val="000000"/>
                <w:sz w:val="24"/>
                <w:szCs w:val="24"/>
              </w:rPr>
              <w:t>2,3</w:t>
            </w:r>
          </w:p>
        </w:tc>
      </w:tr>
      <w:tr w:rsidR="000E512F" w:rsidRPr="001E47E5" w14:paraId="23A1E27C" w14:textId="77777777" w:rsidTr="000E512F">
        <w:tc>
          <w:tcPr>
            <w:tcW w:w="4698" w:type="dxa"/>
          </w:tcPr>
          <w:p w14:paraId="1F6017D7" w14:textId="77777777" w:rsidR="000E512F" w:rsidRPr="00685281" w:rsidRDefault="000E512F" w:rsidP="000E512F">
            <w:pPr>
              <w:jc w:val="both"/>
              <w:rPr>
                <w:rFonts w:ascii="Times New Roman" w:eastAsia="Calibri" w:hAnsi="Times New Roman" w:cs="Times New Roman"/>
                <w:bCs/>
                <w:color w:val="000000"/>
                <w:sz w:val="24"/>
                <w:szCs w:val="24"/>
              </w:rPr>
            </w:pPr>
            <w:r w:rsidRPr="00685281">
              <w:rPr>
                <w:rFonts w:ascii="Times New Roman" w:eastAsia="Calibri" w:hAnsi="Times New Roman" w:cs="Times New Roman"/>
                <w:bCs/>
                <w:color w:val="000000"/>
                <w:sz w:val="24"/>
                <w:szCs w:val="24"/>
              </w:rPr>
              <w:t xml:space="preserve">Odhadovaný počet nových hlásení </w:t>
            </w:r>
          </w:p>
        </w:tc>
        <w:tc>
          <w:tcPr>
            <w:tcW w:w="4698" w:type="dxa"/>
          </w:tcPr>
          <w:p w14:paraId="447F45D5" w14:textId="77777777" w:rsidR="000E512F" w:rsidRPr="00685281" w:rsidRDefault="000E512F" w:rsidP="000E512F">
            <w:pPr>
              <w:jc w:val="both"/>
              <w:rPr>
                <w:rFonts w:ascii="Times New Roman" w:hAnsi="Times New Roman" w:cs="Times New Roman"/>
                <w:color w:val="000000"/>
                <w:sz w:val="24"/>
                <w:szCs w:val="24"/>
              </w:rPr>
            </w:pPr>
            <w:r w:rsidRPr="00685281">
              <w:rPr>
                <w:rFonts w:ascii="Times New Roman" w:hAnsi="Times New Roman" w:cs="Times New Roman"/>
                <w:color w:val="000000"/>
                <w:sz w:val="24"/>
                <w:szCs w:val="24"/>
              </w:rPr>
              <w:t xml:space="preserve">7346,2 </w:t>
            </w:r>
          </w:p>
          <w:p w14:paraId="61A6D518" w14:textId="77777777" w:rsidR="000E512F" w:rsidRPr="00685281" w:rsidRDefault="000E512F" w:rsidP="000E512F">
            <w:pPr>
              <w:jc w:val="both"/>
              <w:rPr>
                <w:rFonts w:ascii="Times New Roman" w:hAnsi="Times New Roman" w:cs="Times New Roman"/>
                <w:color w:val="000000"/>
                <w:sz w:val="24"/>
                <w:szCs w:val="24"/>
              </w:rPr>
            </w:pPr>
            <w:r w:rsidRPr="00685281">
              <w:rPr>
                <w:rFonts w:ascii="Times New Roman" w:hAnsi="Times New Roman" w:cs="Times New Roman"/>
                <w:color w:val="000000"/>
                <w:sz w:val="24"/>
                <w:szCs w:val="24"/>
              </w:rPr>
              <w:t>((Počet malých a stredných podnikov – počet súčasných PZS mimo VS)*Priemerný počet hlásení na 1 podnikateľský subjekt)</w:t>
            </w:r>
          </w:p>
          <w:p w14:paraId="5849D5F4" w14:textId="77777777" w:rsidR="000E512F" w:rsidRPr="00685281" w:rsidRDefault="000E512F" w:rsidP="000E512F">
            <w:pPr>
              <w:rPr>
                <w:rFonts w:ascii="Times New Roman" w:hAnsi="Times New Roman" w:cs="Times New Roman"/>
                <w:color w:val="000000"/>
                <w:sz w:val="24"/>
                <w:szCs w:val="24"/>
              </w:rPr>
            </w:pPr>
            <w:r w:rsidRPr="00685281">
              <w:rPr>
                <w:rFonts w:ascii="Times New Roman" w:hAnsi="Times New Roman" w:cs="Times New Roman"/>
                <w:color w:val="000000"/>
                <w:sz w:val="24"/>
                <w:szCs w:val="24"/>
              </w:rPr>
              <w:t>((3 403-209) *2,3)</w:t>
            </w:r>
          </w:p>
        </w:tc>
      </w:tr>
    </w:tbl>
    <w:p w14:paraId="147A77A8" w14:textId="77777777" w:rsidR="000E512F" w:rsidRPr="001E47E5" w:rsidRDefault="000E512F" w:rsidP="000E512F">
      <w:pPr>
        <w:jc w:val="both"/>
        <w:rPr>
          <w:rFonts w:ascii="Times New Roman" w:eastAsia="Calibri" w:hAnsi="Times New Roman" w:cs="Times New Roman"/>
          <w:bCs/>
          <w:color w:val="000000"/>
          <w:sz w:val="24"/>
          <w:szCs w:val="24"/>
        </w:rPr>
      </w:pPr>
      <w:r w:rsidRPr="001E47E5">
        <w:rPr>
          <w:rFonts w:ascii="Times New Roman" w:eastAsia="Calibri" w:hAnsi="Times New Roman" w:cs="Times New Roman"/>
          <w:bCs/>
          <w:color w:val="000000"/>
          <w:sz w:val="24"/>
          <w:szCs w:val="24"/>
        </w:rPr>
        <w:t xml:space="preserve">Zdroj: </w:t>
      </w:r>
      <w:hyperlink r:id="rId20" w:history="1">
        <w:r w:rsidRPr="001E47E5">
          <w:rPr>
            <w:rStyle w:val="Hypertextovprepojenie"/>
            <w:rFonts w:ascii="Times New Roman" w:hAnsi="Times New Roman" w:cs="Times New Roman"/>
            <w:sz w:val="24"/>
            <w:szCs w:val="24"/>
          </w:rPr>
          <w:t>https://www.nbu.gov.sk/data/att/2781.pdf</w:t>
        </w:r>
      </w:hyperlink>
      <w:r w:rsidRPr="001E47E5">
        <w:rPr>
          <w:rFonts w:ascii="Times New Roman" w:hAnsi="Times New Roman" w:cs="Times New Roman"/>
          <w:sz w:val="24"/>
          <w:szCs w:val="24"/>
        </w:rPr>
        <w:t xml:space="preserve">, </w:t>
      </w:r>
      <w:hyperlink r:id="rId21" w:history="1">
        <w:r w:rsidRPr="001E47E5">
          <w:rPr>
            <w:rStyle w:val="Hypertextovprepojenie"/>
            <w:rFonts w:ascii="Times New Roman" w:hAnsi="Times New Roman" w:cs="Times New Roman"/>
            <w:sz w:val="24"/>
            <w:szCs w:val="24"/>
          </w:rPr>
          <w:t>https://www.nbu.gov.sk/data/att/2758.pdf</w:t>
        </w:r>
      </w:hyperlink>
      <w:r w:rsidRPr="001E47E5">
        <w:rPr>
          <w:rFonts w:ascii="Times New Roman" w:hAnsi="Times New Roman" w:cs="Times New Roman"/>
          <w:sz w:val="24"/>
          <w:szCs w:val="24"/>
        </w:rPr>
        <w:t xml:space="preserve"> </w:t>
      </w:r>
    </w:p>
    <w:p w14:paraId="394D1BE2" w14:textId="77777777" w:rsidR="000E512F" w:rsidRPr="001E47E5" w:rsidRDefault="000E512F" w:rsidP="000E512F">
      <w:pPr>
        <w:spacing w:after="0"/>
        <w:jc w:val="both"/>
        <w:rPr>
          <w:rFonts w:ascii="Times New Roman" w:eastAsia="Calibri" w:hAnsi="Times New Roman" w:cs="Times New Roman"/>
          <w:b/>
          <w:color w:val="000000"/>
          <w:sz w:val="24"/>
          <w:szCs w:val="24"/>
        </w:rPr>
      </w:pPr>
    </w:p>
    <w:p w14:paraId="5E337B40" w14:textId="77777777" w:rsidR="000E512F" w:rsidRPr="001E47E5" w:rsidRDefault="000E512F" w:rsidP="000E512F">
      <w:pPr>
        <w:jc w:val="both"/>
        <w:rPr>
          <w:rFonts w:ascii="Times New Roman" w:eastAsia="Calibri" w:hAnsi="Times New Roman" w:cs="Times New Roman"/>
          <w:b/>
          <w:color w:val="000000"/>
          <w:sz w:val="24"/>
          <w:szCs w:val="24"/>
        </w:rPr>
      </w:pPr>
      <w:r w:rsidRPr="001E47E5">
        <w:rPr>
          <w:rFonts w:ascii="Times New Roman" w:eastAsia="Calibri" w:hAnsi="Times New Roman" w:cs="Times New Roman"/>
          <w:b/>
          <w:color w:val="000000"/>
          <w:sz w:val="24"/>
          <w:szCs w:val="24"/>
        </w:rPr>
        <w:t xml:space="preserve">3.1.3.5. Zavedenie povinnosti auditu kybernetickej bezpečnosti pre nové subjekty v súlade so smernicou </w:t>
      </w:r>
      <w:r>
        <w:rPr>
          <w:rFonts w:ascii="Times New Roman" w:eastAsia="Calibri" w:hAnsi="Times New Roman" w:cs="Times New Roman"/>
          <w:b/>
          <w:color w:val="000000"/>
          <w:sz w:val="24"/>
          <w:szCs w:val="24"/>
        </w:rPr>
        <w:t>NIS 2</w:t>
      </w:r>
    </w:p>
    <w:p w14:paraId="780C3165" w14:textId="77777777" w:rsidR="000E512F" w:rsidRPr="001E47E5" w:rsidRDefault="000E512F" w:rsidP="000E512F">
      <w:pPr>
        <w:jc w:val="both"/>
        <w:rPr>
          <w:rFonts w:ascii="Times New Roman" w:eastAsia="Calibri" w:hAnsi="Times New Roman" w:cs="Times New Roman"/>
          <w:bCs/>
          <w:color w:val="000000"/>
          <w:sz w:val="24"/>
          <w:szCs w:val="24"/>
        </w:rPr>
      </w:pPr>
      <w:r w:rsidRPr="001E47E5">
        <w:rPr>
          <w:rFonts w:ascii="Times New Roman" w:eastAsia="Calibri" w:hAnsi="Times New Roman" w:cs="Times New Roman"/>
          <w:bCs/>
          <w:color w:val="000000"/>
          <w:sz w:val="24"/>
          <w:szCs w:val="24"/>
        </w:rPr>
        <w:t>Nové subjekty, pre ktoré sa zavádzajú povinnosti prevádzkovateľa základnej služby budú musieť absolvovať audit kybernetickej bezpečnosti. Náročnosť a cenu vykonania auditu kybernetickej bezpečnosti definuje nasledujúca tabuľka:</w:t>
      </w:r>
    </w:p>
    <w:tbl>
      <w:tblPr>
        <w:tblW w:w="9467" w:type="dxa"/>
        <w:tblLook w:val="04A0" w:firstRow="1" w:lastRow="0" w:firstColumn="1" w:lastColumn="0" w:noHBand="0" w:noVBand="1"/>
      </w:tblPr>
      <w:tblGrid>
        <w:gridCol w:w="2352"/>
        <w:gridCol w:w="2038"/>
        <w:gridCol w:w="2268"/>
        <w:gridCol w:w="2809"/>
      </w:tblGrid>
      <w:tr w:rsidR="000E512F" w:rsidRPr="001E47E5" w14:paraId="665B3DE3" w14:textId="77777777" w:rsidTr="000E512F">
        <w:tc>
          <w:tcPr>
            <w:tcW w:w="2352" w:type="dxa"/>
            <w:shd w:val="clear" w:color="auto" w:fill="D9D9D9" w:themeFill="background1" w:themeFillShade="D9"/>
          </w:tcPr>
          <w:p w14:paraId="06CFE628" w14:textId="77777777" w:rsidR="000E512F" w:rsidRPr="001E47E5" w:rsidRDefault="000E512F" w:rsidP="000E512F">
            <w:pPr>
              <w:jc w:val="both"/>
              <w:rPr>
                <w:b/>
                <w:iCs/>
                <w:noProof/>
              </w:rPr>
            </w:pPr>
            <w:r w:rsidRPr="001E47E5">
              <w:rPr>
                <w:b/>
                <w:iCs/>
                <w:noProof/>
              </w:rPr>
              <w:t>Dotknutý subjekt</w:t>
            </w:r>
          </w:p>
        </w:tc>
        <w:tc>
          <w:tcPr>
            <w:tcW w:w="2038" w:type="dxa"/>
            <w:shd w:val="clear" w:color="auto" w:fill="D9D9D9" w:themeFill="background1" w:themeFillShade="D9"/>
          </w:tcPr>
          <w:p w14:paraId="70BD46BF" w14:textId="77777777" w:rsidR="000E512F" w:rsidRPr="001E47E5" w:rsidRDefault="000E512F" w:rsidP="000E512F">
            <w:pPr>
              <w:jc w:val="both"/>
              <w:rPr>
                <w:b/>
                <w:iCs/>
                <w:noProof/>
              </w:rPr>
            </w:pPr>
            <w:r w:rsidRPr="001E47E5">
              <w:rPr>
                <w:b/>
                <w:iCs/>
                <w:noProof/>
              </w:rPr>
              <w:t>Počet človekodní</w:t>
            </w:r>
          </w:p>
        </w:tc>
        <w:tc>
          <w:tcPr>
            <w:tcW w:w="2268" w:type="dxa"/>
            <w:shd w:val="clear" w:color="auto" w:fill="D9D9D9" w:themeFill="background1" w:themeFillShade="D9"/>
          </w:tcPr>
          <w:p w14:paraId="285012C3" w14:textId="77777777" w:rsidR="000E512F" w:rsidRPr="001E47E5" w:rsidRDefault="000E512F" w:rsidP="000E512F">
            <w:pPr>
              <w:jc w:val="both"/>
              <w:rPr>
                <w:b/>
                <w:iCs/>
                <w:noProof/>
              </w:rPr>
            </w:pPr>
            <w:r w:rsidRPr="001E47E5">
              <w:rPr>
                <w:b/>
                <w:iCs/>
                <w:noProof/>
              </w:rPr>
              <w:t>Cena za človekodeň</w:t>
            </w:r>
          </w:p>
        </w:tc>
        <w:tc>
          <w:tcPr>
            <w:tcW w:w="2809" w:type="dxa"/>
            <w:shd w:val="clear" w:color="auto" w:fill="D9D9D9" w:themeFill="background1" w:themeFillShade="D9"/>
          </w:tcPr>
          <w:p w14:paraId="22EC829B" w14:textId="77777777" w:rsidR="000E512F" w:rsidRPr="001E47E5" w:rsidRDefault="000E512F" w:rsidP="000E512F">
            <w:pPr>
              <w:jc w:val="both"/>
              <w:rPr>
                <w:b/>
                <w:iCs/>
                <w:noProof/>
              </w:rPr>
            </w:pPr>
            <w:r w:rsidRPr="001E47E5">
              <w:rPr>
                <w:b/>
                <w:iCs/>
                <w:noProof/>
              </w:rPr>
              <w:t>Cena celkom</w:t>
            </w:r>
          </w:p>
        </w:tc>
      </w:tr>
      <w:tr w:rsidR="000E512F" w:rsidRPr="001E47E5" w14:paraId="126C7F7D" w14:textId="77777777" w:rsidTr="000E512F">
        <w:tc>
          <w:tcPr>
            <w:tcW w:w="2352" w:type="dxa"/>
          </w:tcPr>
          <w:p w14:paraId="5562158A" w14:textId="77777777" w:rsidR="000E512F" w:rsidRPr="001E47E5" w:rsidRDefault="000E512F" w:rsidP="000E512F">
            <w:pPr>
              <w:jc w:val="both"/>
              <w:rPr>
                <w:bCs/>
                <w:iCs/>
                <w:noProof/>
              </w:rPr>
            </w:pPr>
            <w:r w:rsidRPr="001E47E5">
              <w:rPr>
                <w:rFonts w:eastAsia="Calibri"/>
                <w:bCs/>
                <w:color w:val="000000"/>
              </w:rPr>
              <w:t>Stredné podniky</w:t>
            </w:r>
          </w:p>
        </w:tc>
        <w:tc>
          <w:tcPr>
            <w:tcW w:w="2038" w:type="dxa"/>
          </w:tcPr>
          <w:p w14:paraId="2EE13470" w14:textId="77777777" w:rsidR="000E512F" w:rsidRPr="001E47E5" w:rsidRDefault="000E512F" w:rsidP="000E512F">
            <w:pPr>
              <w:jc w:val="both"/>
              <w:rPr>
                <w:bCs/>
                <w:iCs/>
                <w:noProof/>
              </w:rPr>
            </w:pPr>
            <w:r w:rsidRPr="001E47E5">
              <w:rPr>
                <w:bCs/>
                <w:iCs/>
                <w:noProof/>
              </w:rPr>
              <w:t>20</w:t>
            </w:r>
          </w:p>
        </w:tc>
        <w:tc>
          <w:tcPr>
            <w:tcW w:w="2268" w:type="dxa"/>
          </w:tcPr>
          <w:p w14:paraId="10A57658" w14:textId="77777777" w:rsidR="000E512F" w:rsidRPr="001E47E5" w:rsidRDefault="000E512F" w:rsidP="000E512F">
            <w:pPr>
              <w:jc w:val="both"/>
              <w:rPr>
                <w:bCs/>
                <w:iCs/>
                <w:noProof/>
              </w:rPr>
            </w:pPr>
            <w:r w:rsidRPr="001E47E5">
              <w:rPr>
                <w:bCs/>
                <w:iCs/>
                <w:noProof/>
              </w:rPr>
              <w:t>700</w:t>
            </w:r>
          </w:p>
        </w:tc>
        <w:tc>
          <w:tcPr>
            <w:tcW w:w="2809" w:type="dxa"/>
          </w:tcPr>
          <w:p w14:paraId="36B9D6A6" w14:textId="77777777" w:rsidR="000E512F" w:rsidRPr="001E47E5" w:rsidRDefault="000E512F" w:rsidP="000E512F">
            <w:pPr>
              <w:jc w:val="both"/>
              <w:rPr>
                <w:bCs/>
                <w:iCs/>
                <w:noProof/>
              </w:rPr>
            </w:pPr>
            <w:r w:rsidRPr="001E47E5">
              <w:rPr>
                <w:bCs/>
                <w:iCs/>
                <w:noProof/>
              </w:rPr>
              <w:t>14 000</w:t>
            </w:r>
          </w:p>
        </w:tc>
      </w:tr>
      <w:tr w:rsidR="000E512F" w:rsidRPr="001E47E5" w14:paraId="5953B7E8" w14:textId="77777777" w:rsidTr="000E512F">
        <w:tc>
          <w:tcPr>
            <w:tcW w:w="2352" w:type="dxa"/>
          </w:tcPr>
          <w:p w14:paraId="6763A870" w14:textId="77777777" w:rsidR="000E512F" w:rsidRPr="001E47E5" w:rsidRDefault="000E512F" w:rsidP="000E512F">
            <w:pPr>
              <w:jc w:val="both"/>
              <w:rPr>
                <w:bCs/>
                <w:iCs/>
                <w:noProof/>
              </w:rPr>
            </w:pPr>
            <w:r w:rsidRPr="001E47E5">
              <w:rPr>
                <w:rFonts w:eastAsia="Calibri"/>
                <w:bCs/>
                <w:color w:val="000000"/>
              </w:rPr>
              <w:lastRenderedPageBreak/>
              <w:t>Veľké podniky</w:t>
            </w:r>
          </w:p>
        </w:tc>
        <w:tc>
          <w:tcPr>
            <w:tcW w:w="2038" w:type="dxa"/>
          </w:tcPr>
          <w:p w14:paraId="7541BC35" w14:textId="77777777" w:rsidR="000E512F" w:rsidRPr="001E47E5" w:rsidRDefault="000E512F" w:rsidP="000E512F">
            <w:pPr>
              <w:jc w:val="both"/>
              <w:rPr>
                <w:bCs/>
                <w:iCs/>
                <w:noProof/>
              </w:rPr>
            </w:pPr>
            <w:r w:rsidRPr="001E47E5">
              <w:rPr>
                <w:bCs/>
                <w:iCs/>
                <w:noProof/>
              </w:rPr>
              <w:t>50</w:t>
            </w:r>
          </w:p>
        </w:tc>
        <w:tc>
          <w:tcPr>
            <w:tcW w:w="2268" w:type="dxa"/>
          </w:tcPr>
          <w:p w14:paraId="75DE3031" w14:textId="77777777" w:rsidR="000E512F" w:rsidRPr="001E47E5" w:rsidRDefault="000E512F" w:rsidP="000E512F">
            <w:pPr>
              <w:jc w:val="both"/>
              <w:rPr>
                <w:bCs/>
                <w:iCs/>
                <w:noProof/>
              </w:rPr>
            </w:pPr>
            <w:r w:rsidRPr="001E47E5">
              <w:rPr>
                <w:bCs/>
                <w:iCs/>
                <w:noProof/>
              </w:rPr>
              <w:t>700</w:t>
            </w:r>
          </w:p>
        </w:tc>
        <w:tc>
          <w:tcPr>
            <w:tcW w:w="2809" w:type="dxa"/>
          </w:tcPr>
          <w:p w14:paraId="67EBBA37" w14:textId="77777777" w:rsidR="000E512F" w:rsidRPr="001E47E5" w:rsidRDefault="000E512F" w:rsidP="000E512F">
            <w:pPr>
              <w:jc w:val="both"/>
              <w:rPr>
                <w:bCs/>
                <w:iCs/>
                <w:noProof/>
              </w:rPr>
            </w:pPr>
            <w:r w:rsidRPr="001E47E5">
              <w:rPr>
                <w:bCs/>
                <w:iCs/>
                <w:noProof/>
              </w:rPr>
              <w:t>35 000</w:t>
            </w:r>
          </w:p>
        </w:tc>
      </w:tr>
    </w:tbl>
    <w:p w14:paraId="7BC316A5" w14:textId="77777777" w:rsidR="000E512F" w:rsidRPr="001E47E5" w:rsidRDefault="000E512F" w:rsidP="000E512F">
      <w:pPr>
        <w:jc w:val="both"/>
        <w:rPr>
          <w:rFonts w:ascii="Times New Roman" w:eastAsia="Calibri" w:hAnsi="Times New Roman" w:cs="Times New Roman"/>
          <w:bCs/>
          <w:color w:val="000000"/>
          <w:sz w:val="24"/>
          <w:szCs w:val="24"/>
        </w:rPr>
      </w:pPr>
      <w:r w:rsidRPr="001E47E5">
        <w:rPr>
          <w:rFonts w:ascii="Times New Roman" w:hAnsi="Times New Roman" w:cs="Times New Roman"/>
          <w:bCs/>
          <w:iCs/>
          <w:noProof/>
          <w:sz w:val="24"/>
          <w:szCs w:val="24"/>
        </w:rPr>
        <w:t xml:space="preserve">Zdroj: Počet človekodní vychádza z expertného odhadu </w:t>
      </w:r>
      <w:r>
        <w:rPr>
          <w:rFonts w:ascii="Times New Roman" w:hAnsi="Times New Roman" w:cs="Times New Roman"/>
          <w:bCs/>
          <w:iCs/>
          <w:noProof/>
          <w:sz w:val="24"/>
          <w:szCs w:val="24"/>
        </w:rPr>
        <w:t>k</w:t>
      </w:r>
      <w:r w:rsidRPr="001E47E5">
        <w:rPr>
          <w:rFonts w:ascii="Times New Roman" w:hAnsi="Times New Roman" w:cs="Times New Roman"/>
          <w:bCs/>
          <w:iCs/>
          <w:noProof/>
          <w:sz w:val="24"/>
          <w:szCs w:val="24"/>
        </w:rPr>
        <w:t xml:space="preserve">ompetenčného </w:t>
      </w:r>
      <w:r>
        <w:rPr>
          <w:rFonts w:ascii="Times New Roman" w:hAnsi="Times New Roman" w:cs="Times New Roman"/>
          <w:bCs/>
          <w:iCs/>
          <w:noProof/>
          <w:sz w:val="24"/>
          <w:szCs w:val="24"/>
        </w:rPr>
        <w:t>centra</w:t>
      </w:r>
      <w:r w:rsidRPr="001E47E5">
        <w:rPr>
          <w:rFonts w:ascii="Times New Roman" w:hAnsi="Times New Roman" w:cs="Times New Roman"/>
          <w:bCs/>
          <w:iCs/>
          <w:noProof/>
          <w:sz w:val="24"/>
          <w:szCs w:val="24"/>
        </w:rPr>
        <w:t xml:space="preserve">, cena vychádza z cenníku </w:t>
      </w:r>
      <w:r>
        <w:rPr>
          <w:rFonts w:ascii="Times New Roman" w:hAnsi="Times New Roman" w:cs="Times New Roman"/>
          <w:bCs/>
          <w:iCs/>
          <w:noProof/>
          <w:sz w:val="24"/>
          <w:szCs w:val="24"/>
        </w:rPr>
        <w:t>kompetenčného centra</w:t>
      </w:r>
      <w:r w:rsidRPr="001E47E5">
        <w:rPr>
          <w:rFonts w:ascii="Times New Roman" w:hAnsi="Times New Roman" w:cs="Times New Roman"/>
          <w:bCs/>
          <w:iCs/>
          <w:noProof/>
          <w:sz w:val="24"/>
          <w:szCs w:val="24"/>
        </w:rPr>
        <w:t xml:space="preserve"> </w:t>
      </w:r>
      <w:hyperlink r:id="rId22" w:history="1">
        <w:r w:rsidRPr="001E47E5">
          <w:rPr>
            <w:rStyle w:val="Hypertextovprepojenie"/>
            <w:rFonts w:ascii="Times New Roman" w:hAnsi="Times New Roman" w:cs="Times New Roman"/>
            <w:bCs/>
            <w:iCs/>
            <w:noProof/>
            <w:sz w:val="24"/>
            <w:szCs w:val="24"/>
          </w:rPr>
          <w:t>https://cybercompetence.sk/wp-content/uploads/dokumenty/ine/KCCKB-Cennik.pdf</w:t>
        </w:r>
      </w:hyperlink>
      <w:r w:rsidRPr="001E47E5">
        <w:rPr>
          <w:rFonts w:ascii="Times New Roman" w:hAnsi="Times New Roman" w:cs="Times New Roman"/>
          <w:bCs/>
          <w:iCs/>
          <w:noProof/>
          <w:sz w:val="24"/>
          <w:szCs w:val="24"/>
        </w:rPr>
        <w:t xml:space="preserve"> </w:t>
      </w:r>
    </w:p>
    <w:p w14:paraId="0648B035" w14:textId="77777777" w:rsidR="000E512F" w:rsidRPr="001E47E5" w:rsidRDefault="000E512F" w:rsidP="000E512F">
      <w:pPr>
        <w:jc w:val="both"/>
        <w:rPr>
          <w:rFonts w:ascii="Times New Roman" w:eastAsia="Calibri" w:hAnsi="Times New Roman" w:cs="Times New Roman"/>
          <w:bCs/>
          <w:color w:val="000000"/>
          <w:sz w:val="24"/>
          <w:szCs w:val="24"/>
        </w:rPr>
      </w:pPr>
      <w:r w:rsidRPr="001E47E5">
        <w:rPr>
          <w:rFonts w:ascii="Times New Roman" w:eastAsia="Calibri" w:hAnsi="Times New Roman" w:cs="Times New Roman"/>
          <w:bCs/>
          <w:color w:val="000000"/>
          <w:sz w:val="24"/>
          <w:szCs w:val="24"/>
        </w:rPr>
        <w:t>Pri výpočte vplyvu tejto povinnosti je potrebné zohľadniť § 29 ods</w:t>
      </w:r>
      <w:r>
        <w:rPr>
          <w:rFonts w:ascii="Times New Roman" w:eastAsia="Calibri" w:hAnsi="Times New Roman" w:cs="Times New Roman"/>
          <w:bCs/>
          <w:color w:val="000000"/>
          <w:sz w:val="24"/>
          <w:szCs w:val="24"/>
        </w:rPr>
        <w:t>.</w:t>
      </w:r>
      <w:r w:rsidRPr="001E47E5">
        <w:rPr>
          <w:rFonts w:ascii="Times New Roman" w:eastAsia="Calibri" w:hAnsi="Times New Roman" w:cs="Times New Roman"/>
          <w:bCs/>
          <w:color w:val="000000"/>
          <w:sz w:val="24"/>
          <w:szCs w:val="24"/>
        </w:rPr>
        <w:t xml:space="preserve"> 8 navrhovaného znenia zákona</w:t>
      </w:r>
      <w:r>
        <w:rPr>
          <w:rFonts w:ascii="Times New Roman" w:eastAsia="Calibri" w:hAnsi="Times New Roman" w:cs="Times New Roman"/>
          <w:bCs/>
          <w:color w:val="000000"/>
          <w:sz w:val="24"/>
          <w:szCs w:val="24"/>
        </w:rPr>
        <w:t>,</w:t>
      </w:r>
      <w:r w:rsidRPr="001E47E5">
        <w:rPr>
          <w:rFonts w:ascii="Times New Roman" w:eastAsia="Calibri" w:hAnsi="Times New Roman" w:cs="Times New Roman"/>
          <w:bCs/>
          <w:color w:val="000000"/>
          <w:sz w:val="24"/>
          <w:szCs w:val="24"/>
        </w:rPr>
        <w:t xml:space="preserve"> ktorý znie.</w:t>
      </w:r>
    </w:p>
    <w:p w14:paraId="2D9C82E6" w14:textId="77777777" w:rsidR="000E512F" w:rsidRPr="001E47E5" w:rsidRDefault="000E512F" w:rsidP="000E512F">
      <w:pPr>
        <w:jc w:val="both"/>
        <w:rPr>
          <w:rFonts w:ascii="Times New Roman" w:eastAsia="Calibri" w:hAnsi="Times New Roman" w:cs="Times New Roman"/>
          <w:bCs/>
          <w:color w:val="000000"/>
          <w:sz w:val="24"/>
          <w:szCs w:val="24"/>
        </w:rPr>
      </w:pPr>
      <w:r w:rsidRPr="001E47E5">
        <w:rPr>
          <w:rFonts w:ascii="Times New Roman" w:eastAsia="Calibri" w:hAnsi="Times New Roman" w:cs="Times New Roman"/>
          <w:bCs/>
          <w:color w:val="000000"/>
          <w:sz w:val="24"/>
          <w:szCs w:val="24"/>
        </w:rPr>
        <w:t>„</w:t>
      </w:r>
      <w:r w:rsidRPr="000E1F4A">
        <w:rPr>
          <w:rFonts w:ascii="Times New Roman" w:eastAsia="Calibri" w:hAnsi="Times New Roman" w:cs="Times New Roman"/>
          <w:bCs/>
          <w:color w:val="000000"/>
          <w:sz w:val="24"/>
          <w:szCs w:val="24"/>
        </w:rPr>
        <w:t>(8) Prevádzkovateľ základnej služby, ktorý nie je prevádzkovateľom kritickej základnej služby, môže v periodicite ustanovenej osobitným predpisom31d) zabezpečiť plnenie povinnosti vykonať audit kybernetickej bezpečnosti vykonaním samohodnotenia prostredníctvom jednotného informačného systému kybernetickej bezpečnosti. Samohodnotenie vykonáva manažér kybernetickej bezpečnosti. Takýto prevádzkovateľ základnej služby je povinný podrobiť sa auditu kybernetickej bezpečnosti do piatich rokov odo dňa zaradenia do registra prevádzkovateľov základnej služby a následne podľa periodicity ustanovenej osobitným predpisom</w:t>
      </w:r>
      <w:r w:rsidRPr="000E1F4A">
        <w:rPr>
          <w:rFonts w:ascii="Times New Roman" w:eastAsia="Calibri" w:hAnsi="Times New Roman" w:cs="Times New Roman"/>
          <w:bCs/>
          <w:color w:val="000000"/>
          <w:sz w:val="24"/>
          <w:szCs w:val="24"/>
          <w:vertAlign w:val="superscript"/>
        </w:rPr>
        <w:t>31d</w:t>
      </w:r>
      <w:r w:rsidRPr="000E1F4A">
        <w:rPr>
          <w:rFonts w:ascii="Times New Roman" w:eastAsia="Calibri" w:hAnsi="Times New Roman" w:cs="Times New Roman"/>
          <w:bCs/>
          <w:color w:val="000000"/>
          <w:sz w:val="24"/>
          <w:szCs w:val="24"/>
        </w:rPr>
        <w:t>). V čase povinnosti vykonať audit kybernetickej bezpečnosti sa samohodnotenie nevykonáva.</w:t>
      </w:r>
      <w:r w:rsidRPr="001E47E5">
        <w:rPr>
          <w:rFonts w:ascii="Times New Roman" w:eastAsia="Calibri" w:hAnsi="Times New Roman" w:cs="Times New Roman"/>
          <w:bCs/>
          <w:color w:val="000000"/>
          <w:sz w:val="24"/>
          <w:szCs w:val="24"/>
        </w:rPr>
        <w:t>“.</w:t>
      </w:r>
    </w:p>
    <w:p w14:paraId="68567A62" w14:textId="77777777" w:rsidR="000E512F" w:rsidRPr="001E47E5" w:rsidRDefault="000E512F" w:rsidP="000E512F">
      <w:pPr>
        <w:jc w:val="both"/>
        <w:rPr>
          <w:rFonts w:ascii="Times New Roman" w:eastAsia="Calibri" w:hAnsi="Times New Roman" w:cs="Times New Roman"/>
          <w:bCs/>
          <w:color w:val="000000"/>
          <w:sz w:val="24"/>
          <w:szCs w:val="24"/>
        </w:rPr>
      </w:pPr>
      <w:r w:rsidRPr="001E47E5">
        <w:rPr>
          <w:rFonts w:ascii="Times New Roman" w:eastAsia="Calibri" w:hAnsi="Times New Roman" w:cs="Times New Roman"/>
          <w:bCs/>
          <w:color w:val="000000"/>
          <w:sz w:val="24"/>
          <w:szCs w:val="24"/>
        </w:rPr>
        <w:t>Vzhľadom na uvedené ustanovenie a vzhľadom na skutočnosť, že stredné a veľké podniky vykonávajú audit kybernetickej bezpečnosti (alebo iný spôsob analýzy zraniteľnosti voči kybernetickým incidentom) je možné predpokladať, že veľká časť nových PZS využije možnosť vykonať preverenie účinnosti prijatých bezpečnostných opatrení a plnenia požiadaviek ustanovených zákonom funkcionalitou jednotného informačného systému kybernetickej bezpečnosti. Expertným odhadom bolo stanovené rozdelenie nových subjektov nasledovne:</w:t>
      </w:r>
    </w:p>
    <w:tbl>
      <w:tblPr>
        <w:tblW w:w="9396" w:type="dxa"/>
        <w:tblLook w:val="04A0" w:firstRow="1" w:lastRow="0" w:firstColumn="1" w:lastColumn="0" w:noHBand="0" w:noVBand="1"/>
      </w:tblPr>
      <w:tblGrid>
        <w:gridCol w:w="1713"/>
        <w:gridCol w:w="1684"/>
        <w:gridCol w:w="1418"/>
        <w:gridCol w:w="1843"/>
        <w:gridCol w:w="1419"/>
        <w:gridCol w:w="1319"/>
      </w:tblGrid>
      <w:tr w:rsidR="000E512F" w:rsidRPr="001E47E5" w14:paraId="5792C664" w14:textId="77777777" w:rsidTr="000E512F">
        <w:tc>
          <w:tcPr>
            <w:tcW w:w="1713" w:type="dxa"/>
            <w:vMerge w:val="restart"/>
            <w:shd w:val="clear" w:color="auto" w:fill="D9D9D9" w:themeFill="background1" w:themeFillShade="D9"/>
          </w:tcPr>
          <w:p w14:paraId="58A1F0B8" w14:textId="77777777" w:rsidR="000E512F" w:rsidRPr="001E47E5" w:rsidRDefault="000E512F" w:rsidP="000E512F">
            <w:pPr>
              <w:jc w:val="both"/>
              <w:rPr>
                <w:b/>
                <w:iCs/>
                <w:noProof/>
              </w:rPr>
            </w:pPr>
            <w:r w:rsidRPr="001E47E5">
              <w:rPr>
                <w:b/>
                <w:iCs/>
                <w:noProof/>
              </w:rPr>
              <w:t>Dotknutý subjekt</w:t>
            </w:r>
          </w:p>
        </w:tc>
        <w:tc>
          <w:tcPr>
            <w:tcW w:w="6364" w:type="dxa"/>
            <w:gridSpan w:val="4"/>
            <w:shd w:val="clear" w:color="auto" w:fill="D9D9D9" w:themeFill="background1" w:themeFillShade="D9"/>
          </w:tcPr>
          <w:p w14:paraId="579CAAFE" w14:textId="77777777" w:rsidR="000E512F" w:rsidRPr="001E47E5" w:rsidRDefault="000E512F" w:rsidP="000E512F">
            <w:pPr>
              <w:jc w:val="both"/>
              <w:rPr>
                <w:b/>
                <w:iCs/>
                <w:noProof/>
              </w:rPr>
            </w:pPr>
            <w:r w:rsidRPr="001E47E5">
              <w:rPr>
                <w:b/>
                <w:iCs/>
                <w:noProof/>
              </w:rPr>
              <w:t>Z toho</w:t>
            </w:r>
          </w:p>
        </w:tc>
        <w:tc>
          <w:tcPr>
            <w:tcW w:w="1319" w:type="dxa"/>
            <w:vMerge w:val="restart"/>
            <w:shd w:val="clear" w:color="auto" w:fill="D9D9D9" w:themeFill="background1" w:themeFillShade="D9"/>
          </w:tcPr>
          <w:p w14:paraId="3058BE8C" w14:textId="77777777" w:rsidR="000E512F" w:rsidRPr="001E47E5" w:rsidRDefault="000E512F" w:rsidP="000E512F">
            <w:pPr>
              <w:jc w:val="both"/>
              <w:rPr>
                <w:b/>
                <w:iCs/>
                <w:noProof/>
              </w:rPr>
            </w:pPr>
            <w:r w:rsidRPr="001E47E5">
              <w:rPr>
                <w:b/>
                <w:iCs/>
                <w:noProof/>
              </w:rPr>
              <w:t>Celkom</w:t>
            </w:r>
          </w:p>
        </w:tc>
      </w:tr>
      <w:tr w:rsidR="000E512F" w:rsidRPr="001E47E5" w14:paraId="3D57ED05" w14:textId="77777777" w:rsidTr="000E512F">
        <w:tc>
          <w:tcPr>
            <w:tcW w:w="1713" w:type="dxa"/>
            <w:vMerge/>
            <w:shd w:val="clear" w:color="auto" w:fill="D9D9D9" w:themeFill="background1" w:themeFillShade="D9"/>
          </w:tcPr>
          <w:p w14:paraId="34D1D9BF" w14:textId="77777777" w:rsidR="000E512F" w:rsidRPr="001E47E5" w:rsidRDefault="000E512F" w:rsidP="000E512F">
            <w:pPr>
              <w:jc w:val="both"/>
              <w:rPr>
                <w:b/>
                <w:iCs/>
                <w:noProof/>
              </w:rPr>
            </w:pPr>
          </w:p>
        </w:tc>
        <w:tc>
          <w:tcPr>
            <w:tcW w:w="3102" w:type="dxa"/>
            <w:gridSpan w:val="2"/>
            <w:shd w:val="clear" w:color="auto" w:fill="D9D9D9" w:themeFill="background1" w:themeFillShade="D9"/>
          </w:tcPr>
          <w:p w14:paraId="719B520B" w14:textId="77777777" w:rsidR="000E512F" w:rsidRPr="001E47E5" w:rsidRDefault="000E512F" w:rsidP="000E512F">
            <w:pPr>
              <w:jc w:val="both"/>
              <w:rPr>
                <w:b/>
                <w:iCs/>
                <w:noProof/>
              </w:rPr>
            </w:pPr>
            <w:r w:rsidRPr="001E47E5">
              <w:rPr>
                <w:b/>
                <w:iCs/>
                <w:noProof/>
              </w:rPr>
              <w:t>Vykonajú audit KB</w:t>
            </w:r>
          </w:p>
        </w:tc>
        <w:tc>
          <w:tcPr>
            <w:tcW w:w="3262" w:type="dxa"/>
            <w:gridSpan w:val="2"/>
            <w:shd w:val="clear" w:color="auto" w:fill="D9D9D9" w:themeFill="background1" w:themeFillShade="D9"/>
          </w:tcPr>
          <w:p w14:paraId="6EA77225" w14:textId="77777777" w:rsidR="000E512F" w:rsidRPr="001E47E5" w:rsidRDefault="000E512F" w:rsidP="000E512F">
            <w:pPr>
              <w:jc w:val="both"/>
              <w:rPr>
                <w:b/>
                <w:iCs/>
                <w:noProof/>
              </w:rPr>
            </w:pPr>
            <w:r w:rsidRPr="001E47E5">
              <w:rPr>
                <w:rFonts w:eastAsia="Calibri"/>
                <w:b/>
                <w:color w:val="000000"/>
              </w:rPr>
              <w:t>Využijú funkcionalitu JISKB</w:t>
            </w:r>
          </w:p>
        </w:tc>
        <w:tc>
          <w:tcPr>
            <w:tcW w:w="1319" w:type="dxa"/>
            <w:vMerge/>
            <w:shd w:val="clear" w:color="auto" w:fill="D9D9D9" w:themeFill="background1" w:themeFillShade="D9"/>
          </w:tcPr>
          <w:p w14:paraId="28D2E2EA" w14:textId="77777777" w:rsidR="000E512F" w:rsidRPr="001E47E5" w:rsidRDefault="000E512F" w:rsidP="000E512F">
            <w:pPr>
              <w:jc w:val="both"/>
              <w:rPr>
                <w:rFonts w:eastAsia="Calibri"/>
                <w:b/>
                <w:color w:val="000000"/>
              </w:rPr>
            </w:pPr>
          </w:p>
        </w:tc>
      </w:tr>
      <w:tr w:rsidR="000E512F" w:rsidRPr="001E47E5" w14:paraId="024F9408" w14:textId="77777777" w:rsidTr="000E512F">
        <w:tc>
          <w:tcPr>
            <w:tcW w:w="1713" w:type="dxa"/>
            <w:vMerge/>
            <w:shd w:val="clear" w:color="auto" w:fill="D9D9D9" w:themeFill="background1" w:themeFillShade="D9"/>
          </w:tcPr>
          <w:p w14:paraId="712CB3A0" w14:textId="77777777" w:rsidR="000E512F" w:rsidRPr="001E47E5" w:rsidRDefault="000E512F" w:rsidP="000E512F">
            <w:pPr>
              <w:jc w:val="both"/>
              <w:rPr>
                <w:bCs/>
                <w:iCs/>
                <w:noProof/>
              </w:rPr>
            </w:pPr>
          </w:p>
        </w:tc>
        <w:tc>
          <w:tcPr>
            <w:tcW w:w="1684" w:type="dxa"/>
            <w:shd w:val="clear" w:color="auto" w:fill="D9D9D9" w:themeFill="background1" w:themeFillShade="D9"/>
          </w:tcPr>
          <w:p w14:paraId="5AF40705" w14:textId="77777777" w:rsidR="000E512F" w:rsidRPr="001E47E5" w:rsidRDefault="000E512F" w:rsidP="000E512F">
            <w:pPr>
              <w:jc w:val="both"/>
              <w:rPr>
                <w:b/>
                <w:iCs/>
                <w:noProof/>
              </w:rPr>
            </w:pPr>
            <w:r w:rsidRPr="001E47E5">
              <w:rPr>
                <w:b/>
                <w:iCs/>
                <w:noProof/>
              </w:rPr>
              <w:t>Abs.</w:t>
            </w:r>
          </w:p>
        </w:tc>
        <w:tc>
          <w:tcPr>
            <w:tcW w:w="1418" w:type="dxa"/>
            <w:shd w:val="clear" w:color="auto" w:fill="D9D9D9" w:themeFill="background1" w:themeFillShade="D9"/>
          </w:tcPr>
          <w:p w14:paraId="5EBE3B6F" w14:textId="77777777" w:rsidR="000E512F" w:rsidRPr="001E47E5" w:rsidRDefault="000E512F" w:rsidP="000E512F">
            <w:pPr>
              <w:jc w:val="both"/>
              <w:rPr>
                <w:b/>
                <w:iCs/>
                <w:noProof/>
              </w:rPr>
            </w:pPr>
            <w:r w:rsidRPr="001E47E5">
              <w:rPr>
                <w:b/>
                <w:iCs/>
                <w:noProof/>
              </w:rPr>
              <w:t>%</w:t>
            </w:r>
          </w:p>
        </w:tc>
        <w:tc>
          <w:tcPr>
            <w:tcW w:w="1843" w:type="dxa"/>
            <w:shd w:val="clear" w:color="auto" w:fill="D9D9D9" w:themeFill="background1" w:themeFillShade="D9"/>
          </w:tcPr>
          <w:p w14:paraId="42FAEB63" w14:textId="77777777" w:rsidR="000E512F" w:rsidRPr="001E47E5" w:rsidRDefault="000E512F" w:rsidP="000E512F">
            <w:pPr>
              <w:jc w:val="both"/>
              <w:rPr>
                <w:b/>
                <w:iCs/>
                <w:noProof/>
              </w:rPr>
            </w:pPr>
            <w:r w:rsidRPr="001E47E5">
              <w:rPr>
                <w:b/>
                <w:iCs/>
                <w:noProof/>
              </w:rPr>
              <w:t>Abs.</w:t>
            </w:r>
          </w:p>
        </w:tc>
        <w:tc>
          <w:tcPr>
            <w:tcW w:w="1419" w:type="dxa"/>
            <w:shd w:val="clear" w:color="auto" w:fill="D9D9D9" w:themeFill="background1" w:themeFillShade="D9"/>
          </w:tcPr>
          <w:p w14:paraId="2F251B8B" w14:textId="77777777" w:rsidR="000E512F" w:rsidRPr="001E47E5" w:rsidRDefault="000E512F" w:rsidP="000E512F">
            <w:pPr>
              <w:jc w:val="both"/>
              <w:rPr>
                <w:b/>
                <w:iCs/>
                <w:noProof/>
              </w:rPr>
            </w:pPr>
            <w:r w:rsidRPr="001E47E5">
              <w:rPr>
                <w:b/>
                <w:iCs/>
                <w:noProof/>
              </w:rPr>
              <w:t>%</w:t>
            </w:r>
          </w:p>
        </w:tc>
        <w:tc>
          <w:tcPr>
            <w:tcW w:w="1319" w:type="dxa"/>
            <w:vMerge/>
            <w:shd w:val="clear" w:color="auto" w:fill="D9D9D9" w:themeFill="background1" w:themeFillShade="D9"/>
          </w:tcPr>
          <w:p w14:paraId="3D9E7086" w14:textId="77777777" w:rsidR="000E512F" w:rsidRPr="001E47E5" w:rsidRDefault="000E512F" w:rsidP="000E512F">
            <w:pPr>
              <w:jc w:val="both"/>
              <w:rPr>
                <w:bCs/>
                <w:iCs/>
                <w:noProof/>
              </w:rPr>
            </w:pPr>
          </w:p>
        </w:tc>
      </w:tr>
      <w:tr w:rsidR="000E512F" w:rsidRPr="001E47E5" w14:paraId="1584FE4F" w14:textId="77777777" w:rsidTr="000E512F">
        <w:tc>
          <w:tcPr>
            <w:tcW w:w="1713" w:type="dxa"/>
          </w:tcPr>
          <w:p w14:paraId="41EEB818" w14:textId="77777777" w:rsidR="000E512F" w:rsidRPr="001E47E5" w:rsidRDefault="000E512F" w:rsidP="000E512F">
            <w:pPr>
              <w:jc w:val="both"/>
              <w:rPr>
                <w:bCs/>
                <w:iCs/>
                <w:noProof/>
              </w:rPr>
            </w:pPr>
            <w:r w:rsidRPr="001E47E5">
              <w:rPr>
                <w:rFonts w:eastAsia="Calibri"/>
                <w:bCs/>
                <w:color w:val="000000"/>
              </w:rPr>
              <w:t>Stredné podniky</w:t>
            </w:r>
          </w:p>
        </w:tc>
        <w:tc>
          <w:tcPr>
            <w:tcW w:w="1684" w:type="dxa"/>
          </w:tcPr>
          <w:p w14:paraId="7E194B9B" w14:textId="77777777" w:rsidR="000E512F" w:rsidRPr="001E47E5" w:rsidRDefault="000E512F" w:rsidP="000E512F">
            <w:pPr>
              <w:jc w:val="both"/>
              <w:rPr>
                <w:bCs/>
                <w:iCs/>
                <w:noProof/>
              </w:rPr>
            </w:pPr>
            <w:r w:rsidRPr="001E47E5">
              <w:rPr>
                <w:bCs/>
                <w:iCs/>
                <w:noProof/>
              </w:rPr>
              <w:t>549</w:t>
            </w:r>
          </w:p>
        </w:tc>
        <w:tc>
          <w:tcPr>
            <w:tcW w:w="1418" w:type="dxa"/>
          </w:tcPr>
          <w:p w14:paraId="2B7676D1" w14:textId="77777777" w:rsidR="000E512F" w:rsidRPr="001E47E5" w:rsidRDefault="000E512F" w:rsidP="000E512F">
            <w:pPr>
              <w:jc w:val="both"/>
              <w:rPr>
                <w:bCs/>
                <w:iCs/>
                <w:noProof/>
              </w:rPr>
            </w:pPr>
            <w:r w:rsidRPr="001E47E5">
              <w:rPr>
                <w:bCs/>
                <w:iCs/>
                <w:noProof/>
              </w:rPr>
              <w:t>20</w:t>
            </w:r>
          </w:p>
        </w:tc>
        <w:tc>
          <w:tcPr>
            <w:tcW w:w="1843" w:type="dxa"/>
          </w:tcPr>
          <w:p w14:paraId="7AB8ECFD" w14:textId="77777777" w:rsidR="000E512F" w:rsidRPr="001E47E5" w:rsidRDefault="000E512F" w:rsidP="000E512F">
            <w:pPr>
              <w:jc w:val="both"/>
              <w:rPr>
                <w:bCs/>
                <w:iCs/>
                <w:noProof/>
              </w:rPr>
            </w:pPr>
            <w:r w:rsidRPr="001E47E5">
              <w:rPr>
                <w:bCs/>
                <w:iCs/>
                <w:noProof/>
              </w:rPr>
              <w:t>2 198</w:t>
            </w:r>
          </w:p>
        </w:tc>
        <w:tc>
          <w:tcPr>
            <w:tcW w:w="1419" w:type="dxa"/>
          </w:tcPr>
          <w:p w14:paraId="2368A78A" w14:textId="77777777" w:rsidR="000E512F" w:rsidRPr="001E47E5" w:rsidRDefault="000E512F" w:rsidP="000E512F">
            <w:pPr>
              <w:jc w:val="both"/>
              <w:rPr>
                <w:bCs/>
                <w:iCs/>
                <w:noProof/>
              </w:rPr>
            </w:pPr>
            <w:r w:rsidRPr="001E47E5">
              <w:rPr>
                <w:bCs/>
                <w:iCs/>
                <w:noProof/>
              </w:rPr>
              <w:t>80</w:t>
            </w:r>
          </w:p>
        </w:tc>
        <w:tc>
          <w:tcPr>
            <w:tcW w:w="1319" w:type="dxa"/>
          </w:tcPr>
          <w:p w14:paraId="00F015E7" w14:textId="77777777" w:rsidR="000E512F" w:rsidRPr="001E47E5" w:rsidRDefault="000E512F" w:rsidP="000E512F">
            <w:pPr>
              <w:jc w:val="both"/>
              <w:rPr>
                <w:bCs/>
                <w:iCs/>
                <w:noProof/>
              </w:rPr>
            </w:pPr>
            <w:r w:rsidRPr="001E47E5">
              <w:rPr>
                <w:rFonts w:eastAsia="Calibri"/>
                <w:bCs/>
                <w:color w:val="000000"/>
              </w:rPr>
              <w:t>2 747</w:t>
            </w:r>
          </w:p>
        </w:tc>
      </w:tr>
      <w:tr w:rsidR="000E512F" w:rsidRPr="001E47E5" w14:paraId="0C342F8B" w14:textId="77777777" w:rsidTr="000E512F">
        <w:tc>
          <w:tcPr>
            <w:tcW w:w="1713" w:type="dxa"/>
          </w:tcPr>
          <w:p w14:paraId="2A1CE9CE" w14:textId="77777777" w:rsidR="000E512F" w:rsidRPr="001E47E5" w:rsidRDefault="000E512F" w:rsidP="000E512F">
            <w:pPr>
              <w:jc w:val="both"/>
              <w:rPr>
                <w:bCs/>
                <w:iCs/>
                <w:noProof/>
              </w:rPr>
            </w:pPr>
            <w:r w:rsidRPr="001E47E5">
              <w:rPr>
                <w:rFonts w:eastAsia="Calibri"/>
                <w:bCs/>
                <w:color w:val="000000"/>
              </w:rPr>
              <w:t>Veľké podniky</w:t>
            </w:r>
          </w:p>
        </w:tc>
        <w:tc>
          <w:tcPr>
            <w:tcW w:w="1684" w:type="dxa"/>
          </w:tcPr>
          <w:p w14:paraId="32423F4B" w14:textId="77777777" w:rsidR="000E512F" w:rsidRPr="001E47E5" w:rsidRDefault="000E512F" w:rsidP="000E512F">
            <w:pPr>
              <w:jc w:val="both"/>
              <w:rPr>
                <w:bCs/>
                <w:iCs/>
                <w:noProof/>
              </w:rPr>
            </w:pPr>
            <w:r w:rsidRPr="001E47E5">
              <w:rPr>
                <w:bCs/>
                <w:iCs/>
                <w:noProof/>
              </w:rPr>
              <w:t>131</w:t>
            </w:r>
          </w:p>
        </w:tc>
        <w:tc>
          <w:tcPr>
            <w:tcW w:w="1418" w:type="dxa"/>
          </w:tcPr>
          <w:p w14:paraId="3282EBF6" w14:textId="77777777" w:rsidR="000E512F" w:rsidRPr="001E47E5" w:rsidRDefault="000E512F" w:rsidP="000E512F">
            <w:pPr>
              <w:jc w:val="both"/>
              <w:rPr>
                <w:bCs/>
                <w:iCs/>
                <w:noProof/>
              </w:rPr>
            </w:pPr>
            <w:r w:rsidRPr="001E47E5">
              <w:rPr>
                <w:bCs/>
                <w:iCs/>
                <w:noProof/>
              </w:rPr>
              <w:t>20</w:t>
            </w:r>
          </w:p>
        </w:tc>
        <w:tc>
          <w:tcPr>
            <w:tcW w:w="1843" w:type="dxa"/>
          </w:tcPr>
          <w:p w14:paraId="63A3180A" w14:textId="77777777" w:rsidR="000E512F" w:rsidRPr="001E47E5" w:rsidRDefault="000E512F" w:rsidP="000E512F">
            <w:pPr>
              <w:jc w:val="both"/>
              <w:rPr>
                <w:bCs/>
                <w:iCs/>
                <w:noProof/>
              </w:rPr>
            </w:pPr>
            <w:r w:rsidRPr="001E47E5">
              <w:rPr>
                <w:bCs/>
                <w:iCs/>
                <w:noProof/>
              </w:rPr>
              <w:t>525</w:t>
            </w:r>
          </w:p>
        </w:tc>
        <w:tc>
          <w:tcPr>
            <w:tcW w:w="1419" w:type="dxa"/>
          </w:tcPr>
          <w:p w14:paraId="02DE2DC3" w14:textId="77777777" w:rsidR="000E512F" w:rsidRPr="001E47E5" w:rsidRDefault="000E512F" w:rsidP="000E512F">
            <w:pPr>
              <w:jc w:val="both"/>
              <w:rPr>
                <w:bCs/>
                <w:iCs/>
                <w:noProof/>
              </w:rPr>
            </w:pPr>
            <w:r w:rsidRPr="001E47E5">
              <w:rPr>
                <w:bCs/>
                <w:iCs/>
                <w:noProof/>
              </w:rPr>
              <w:t>80</w:t>
            </w:r>
          </w:p>
        </w:tc>
        <w:tc>
          <w:tcPr>
            <w:tcW w:w="1319" w:type="dxa"/>
          </w:tcPr>
          <w:p w14:paraId="208E3FD9" w14:textId="77777777" w:rsidR="000E512F" w:rsidRPr="001E47E5" w:rsidRDefault="000E512F" w:rsidP="000E512F">
            <w:pPr>
              <w:jc w:val="both"/>
              <w:rPr>
                <w:bCs/>
                <w:iCs/>
                <w:noProof/>
              </w:rPr>
            </w:pPr>
            <w:r w:rsidRPr="001E47E5">
              <w:rPr>
                <w:rFonts w:eastAsia="Calibri"/>
                <w:bCs/>
                <w:color w:val="000000"/>
              </w:rPr>
              <w:t>656</w:t>
            </w:r>
          </w:p>
        </w:tc>
      </w:tr>
    </w:tbl>
    <w:p w14:paraId="4910AB75" w14:textId="77777777" w:rsidR="000E512F" w:rsidRPr="001E47E5" w:rsidRDefault="000E512F" w:rsidP="000E512F">
      <w:pPr>
        <w:spacing w:after="0"/>
        <w:jc w:val="both"/>
        <w:rPr>
          <w:rFonts w:ascii="Times New Roman" w:eastAsia="Calibri" w:hAnsi="Times New Roman" w:cs="Times New Roman"/>
          <w:bCs/>
          <w:color w:val="000000"/>
          <w:sz w:val="24"/>
          <w:szCs w:val="24"/>
          <w:highlight w:val="yellow"/>
        </w:rPr>
      </w:pPr>
    </w:p>
    <w:p w14:paraId="1F8E77AE" w14:textId="77777777" w:rsidR="000E512F" w:rsidRPr="001E47E5" w:rsidRDefault="000E512F" w:rsidP="000E512F">
      <w:pPr>
        <w:jc w:val="both"/>
        <w:rPr>
          <w:rFonts w:ascii="Times New Roman" w:eastAsia="Calibri" w:hAnsi="Times New Roman" w:cs="Times New Roman"/>
          <w:bCs/>
          <w:color w:val="000000"/>
          <w:sz w:val="24"/>
          <w:szCs w:val="24"/>
        </w:rPr>
      </w:pPr>
      <w:r w:rsidRPr="001E47E5">
        <w:rPr>
          <w:rFonts w:ascii="Times New Roman" w:eastAsia="Calibri" w:hAnsi="Times New Roman" w:cs="Times New Roman"/>
          <w:bCs/>
          <w:color w:val="000000"/>
          <w:sz w:val="24"/>
          <w:szCs w:val="24"/>
        </w:rPr>
        <w:t xml:space="preserve">Do samotnej kalkulačky pre Výpočet vplyvov jednotlivých regulácií boli doplnené 4 riadky pričom pre subjekty, ktoré vykonajú audit </w:t>
      </w:r>
      <w:r>
        <w:rPr>
          <w:rFonts w:ascii="Times New Roman" w:eastAsia="Calibri" w:hAnsi="Times New Roman" w:cs="Times New Roman"/>
          <w:bCs/>
          <w:color w:val="000000"/>
          <w:sz w:val="24"/>
          <w:szCs w:val="24"/>
        </w:rPr>
        <w:t>kybernetickej bezpečnosti</w:t>
      </w:r>
      <w:r w:rsidRPr="001E47E5">
        <w:rPr>
          <w:rFonts w:ascii="Times New Roman" w:eastAsia="Calibri" w:hAnsi="Times New Roman" w:cs="Times New Roman"/>
          <w:bCs/>
          <w:color w:val="000000"/>
          <w:sz w:val="24"/>
          <w:szCs w:val="24"/>
        </w:rPr>
        <w:t xml:space="preserve"> bola doplnená cena na základe odhadovaného počtu človekodní a trhovej ceny za človekodeň a pre subjekty, ktoré využijú funkcionalitu JISKB bol využitý benchmark uvedený v rámci typických informačných povinností.</w:t>
      </w:r>
    </w:p>
    <w:p w14:paraId="37920F53" w14:textId="77777777" w:rsidR="000E512F" w:rsidRPr="001E47E5" w:rsidRDefault="000E512F" w:rsidP="000E512F">
      <w:pPr>
        <w:spacing w:after="0"/>
        <w:jc w:val="both"/>
        <w:rPr>
          <w:rFonts w:ascii="Times New Roman" w:eastAsia="Calibri" w:hAnsi="Times New Roman" w:cs="Times New Roman"/>
          <w:bCs/>
          <w:color w:val="000000"/>
          <w:sz w:val="24"/>
          <w:szCs w:val="24"/>
          <w:highlight w:val="yellow"/>
        </w:rPr>
      </w:pPr>
    </w:p>
    <w:p w14:paraId="7962B712" w14:textId="77777777" w:rsidR="000E512F" w:rsidRPr="001E47E5" w:rsidRDefault="000E512F" w:rsidP="000E512F">
      <w:pPr>
        <w:jc w:val="both"/>
        <w:rPr>
          <w:rFonts w:ascii="Times New Roman" w:eastAsia="Calibri" w:hAnsi="Times New Roman" w:cs="Times New Roman"/>
          <w:b/>
          <w:color w:val="000000"/>
          <w:sz w:val="24"/>
          <w:szCs w:val="24"/>
        </w:rPr>
      </w:pPr>
      <w:r w:rsidRPr="001E47E5">
        <w:rPr>
          <w:rFonts w:ascii="Times New Roman" w:eastAsia="Calibri" w:hAnsi="Times New Roman" w:cs="Times New Roman"/>
          <w:b/>
          <w:color w:val="000000"/>
          <w:sz w:val="24"/>
          <w:szCs w:val="24"/>
        </w:rPr>
        <w:t>3.1.3.6. Zavedenie poriadkovej pokuty, priestupku a správnych deliktov pre nové subjekty</w:t>
      </w:r>
    </w:p>
    <w:p w14:paraId="5B161829" w14:textId="77777777" w:rsidR="000E512F" w:rsidRPr="001E47E5" w:rsidRDefault="000E512F" w:rsidP="000E512F">
      <w:pPr>
        <w:widowControl w:val="0"/>
        <w:spacing w:after="0"/>
        <w:jc w:val="both"/>
        <w:rPr>
          <w:rFonts w:ascii="Times New Roman" w:eastAsia="Calibri" w:hAnsi="Times New Roman" w:cs="Times New Roman"/>
          <w:bCs/>
          <w:i/>
          <w:iCs/>
          <w:color w:val="000000"/>
          <w:sz w:val="24"/>
          <w:szCs w:val="24"/>
          <w:highlight w:val="yellow"/>
        </w:rPr>
      </w:pPr>
      <w:r w:rsidRPr="001E47E5">
        <w:rPr>
          <w:rFonts w:ascii="Times New Roman" w:eastAsia="Calibri" w:hAnsi="Times New Roman" w:cs="Times New Roman"/>
          <w:bCs/>
          <w:color w:val="000000"/>
          <w:sz w:val="24"/>
          <w:szCs w:val="24"/>
        </w:rPr>
        <w:t>V zmysle zákona č. 69/2018</w:t>
      </w:r>
      <w:r>
        <w:rPr>
          <w:rFonts w:ascii="Times New Roman" w:eastAsia="Calibri" w:hAnsi="Times New Roman" w:cs="Times New Roman"/>
          <w:bCs/>
          <w:color w:val="000000"/>
          <w:sz w:val="24"/>
          <w:szCs w:val="24"/>
        </w:rPr>
        <w:t xml:space="preserve"> Z. z.</w:t>
      </w:r>
      <w:r w:rsidRPr="001E47E5">
        <w:rPr>
          <w:rFonts w:ascii="Times New Roman" w:eastAsia="Calibri" w:hAnsi="Times New Roman" w:cs="Times New Roman"/>
          <w:bCs/>
          <w:color w:val="000000"/>
          <w:sz w:val="24"/>
          <w:szCs w:val="24"/>
        </w:rPr>
        <w:t xml:space="preserve"> o kybernetickej bezpečnosti je úrad oprávnený uložiť pokutu, ak PZS</w:t>
      </w:r>
      <w:r>
        <w:rPr>
          <w:rFonts w:ascii="Times New Roman" w:eastAsia="Calibri" w:hAnsi="Times New Roman" w:cs="Times New Roman"/>
          <w:bCs/>
          <w:color w:val="000000"/>
          <w:sz w:val="24"/>
          <w:szCs w:val="24"/>
        </w:rPr>
        <w:t xml:space="preserve"> </w:t>
      </w:r>
      <w:r w:rsidRPr="001E47E5">
        <w:rPr>
          <w:rFonts w:ascii="Times New Roman" w:eastAsia="Calibri" w:hAnsi="Times New Roman" w:cs="Times New Roman"/>
          <w:bCs/>
          <w:color w:val="000000"/>
          <w:sz w:val="24"/>
          <w:szCs w:val="24"/>
        </w:rPr>
        <w:t xml:space="preserve">poruší svoje povinnosti, ktoré mu z tohto zákona vyplývajú. V roku 2022 vykonal úrad viacero kontrol plnenia zákonných povinností prevádzkovateľmi základnej služby. Úrad uložil pokutu dvom subjektom v celkovej výške 26 000 EUR. V roku 2023 bolo uložených 38 pokút v celkovej výške 28 300 EUR. Keďže výška pokút nerastie lineárne s počtom pokút, je možné výšku budúcich </w:t>
      </w:r>
      <w:r w:rsidRPr="001E47E5">
        <w:rPr>
          <w:rFonts w:ascii="Times New Roman" w:eastAsia="Calibri" w:hAnsi="Times New Roman" w:cs="Times New Roman"/>
          <w:bCs/>
          <w:color w:val="000000"/>
          <w:sz w:val="24"/>
          <w:szCs w:val="24"/>
        </w:rPr>
        <w:lastRenderedPageBreak/>
        <w:t xml:space="preserve">pokút len odhadnúť </w:t>
      </w:r>
      <w:r>
        <w:rPr>
          <w:rFonts w:ascii="Times New Roman" w:eastAsia="Calibri" w:hAnsi="Times New Roman" w:cs="Times New Roman"/>
          <w:bCs/>
          <w:color w:val="000000"/>
          <w:sz w:val="24"/>
          <w:szCs w:val="24"/>
        </w:rPr>
        <w:t xml:space="preserve">približne </w:t>
      </w:r>
      <w:r w:rsidRPr="001E47E5">
        <w:rPr>
          <w:rFonts w:ascii="Times New Roman" w:eastAsia="Calibri" w:hAnsi="Times New Roman" w:cs="Times New Roman"/>
          <w:bCs/>
          <w:color w:val="000000"/>
          <w:sz w:val="24"/>
          <w:szCs w:val="24"/>
        </w:rPr>
        <w:t>na 102 000 EUR ročne.</w:t>
      </w:r>
    </w:p>
    <w:p w14:paraId="79A9C903" w14:textId="77777777" w:rsidR="000E512F" w:rsidRPr="001E47E5" w:rsidRDefault="000E512F" w:rsidP="000E512F">
      <w:pPr>
        <w:widowControl w:val="0"/>
        <w:spacing w:before="120" w:after="120"/>
        <w:jc w:val="both"/>
        <w:rPr>
          <w:rFonts w:ascii="Times New Roman" w:eastAsia="Calibri" w:hAnsi="Times New Roman" w:cs="Times New Roman"/>
          <w:bCs/>
          <w:i/>
          <w:iCs/>
          <w:color w:val="000000"/>
          <w:sz w:val="24"/>
          <w:szCs w:val="24"/>
          <w:highlight w:val="yellow"/>
        </w:rPr>
      </w:pPr>
    </w:p>
    <w:p w14:paraId="01917C6B" w14:textId="77777777" w:rsidR="000E512F" w:rsidRPr="001E47E5" w:rsidRDefault="000E512F" w:rsidP="000E512F">
      <w:pPr>
        <w:jc w:val="both"/>
        <w:rPr>
          <w:rFonts w:ascii="Times New Roman" w:eastAsia="Calibri" w:hAnsi="Times New Roman" w:cs="Times New Roman"/>
          <w:b/>
          <w:color w:val="000000"/>
          <w:sz w:val="24"/>
          <w:szCs w:val="24"/>
        </w:rPr>
      </w:pPr>
      <w:r w:rsidRPr="001E47E5">
        <w:rPr>
          <w:rFonts w:ascii="Times New Roman" w:eastAsia="Calibri" w:hAnsi="Times New Roman" w:cs="Times New Roman"/>
          <w:b/>
          <w:color w:val="000000"/>
          <w:sz w:val="24"/>
          <w:szCs w:val="24"/>
        </w:rPr>
        <w:t>3.1.3.7. Bližší popis všeobecných ekonomických dopadov</w:t>
      </w:r>
    </w:p>
    <w:p w14:paraId="455EBFF4" w14:textId="77777777" w:rsidR="000E512F" w:rsidRPr="001E47E5" w:rsidRDefault="000E512F" w:rsidP="000E512F">
      <w:pPr>
        <w:pStyle w:val="Normal1"/>
        <w:shd w:val="clear" w:color="auto" w:fill="FFFFFF"/>
        <w:spacing w:before="0" w:beforeAutospacing="0" w:after="0" w:afterAutospacing="0"/>
        <w:jc w:val="both"/>
        <w:textAlignment w:val="baseline"/>
        <w:rPr>
          <w:color w:val="000000"/>
        </w:rPr>
      </w:pPr>
      <w:r w:rsidRPr="001E47E5">
        <w:rPr>
          <w:noProof/>
        </w:rPr>
        <w:t>Pokiaľ ide o ekonomické dopady, samotná Európska komisia vykonala posúdenie vplyvov v rámci celej E</w:t>
      </w:r>
      <w:r>
        <w:rPr>
          <w:noProof/>
        </w:rPr>
        <w:t>urópskej únie</w:t>
      </w:r>
      <w:r w:rsidRPr="001E47E5">
        <w:rPr>
          <w:noProof/>
        </w:rPr>
        <w:t xml:space="preserve">, </w:t>
      </w:r>
      <w:r w:rsidRPr="001E47E5">
        <w:rPr>
          <w:color w:val="000000"/>
          <w:bdr w:val="none" w:sz="0" w:space="0" w:color="auto" w:frame="1"/>
        </w:rPr>
        <w:t>ktoré bolo 23. októbra 2020 predložené výboru pre kontrolu regulácie a ktoré 20. novembra 2020 získalo pozitívne stanovisko s pripomienkami od výboru pre kontrolu regulácie. E</w:t>
      </w:r>
      <w:r>
        <w:rPr>
          <w:color w:val="000000"/>
          <w:bdr w:val="none" w:sz="0" w:space="0" w:color="auto" w:frame="1"/>
        </w:rPr>
        <w:t>urópska komisia</w:t>
      </w:r>
      <w:r w:rsidRPr="001E47E5">
        <w:rPr>
          <w:color w:val="000000"/>
          <w:bdr w:val="none" w:sz="0" w:space="0" w:color="auto" w:frame="1"/>
        </w:rPr>
        <w:t xml:space="preserve"> zvážila niekoľko možností politiky na zlepšenie právneho rámca v oblasti kybernetickej odolnosti a reakcie na kybernetický incident:</w:t>
      </w:r>
    </w:p>
    <w:p w14:paraId="5EF6DE7D" w14:textId="77777777" w:rsidR="000E512F" w:rsidRPr="001E47E5" w:rsidRDefault="000E512F" w:rsidP="000E512F">
      <w:pPr>
        <w:pStyle w:val="li"/>
        <w:numPr>
          <w:ilvl w:val="0"/>
          <w:numId w:val="25"/>
        </w:numPr>
        <w:shd w:val="clear" w:color="auto" w:fill="FFFFFF"/>
        <w:spacing w:before="0" w:beforeAutospacing="0" w:after="0" w:afterAutospacing="0"/>
        <w:ind w:left="426" w:hanging="426"/>
        <w:jc w:val="both"/>
        <w:textAlignment w:val="baseline"/>
        <w:rPr>
          <w:color w:val="000000"/>
        </w:rPr>
      </w:pPr>
      <w:r w:rsidRPr="001E47E5">
        <w:rPr>
          <w:color w:val="000000"/>
          <w:bdr w:val="none" w:sz="0" w:space="0" w:color="auto" w:frame="1"/>
        </w:rPr>
        <w:t>„Nevykonať žiadne opatrenia“: Smernica NIS by zostala nezmenená a neprijali by sa žiadne iné opatrenia nelegislatívnej povahy na odstránenie problémov zistených pri hodnotení smernice NIS.</w:t>
      </w:r>
    </w:p>
    <w:p w14:paraId="3FC24776" w14:textId="77777777" w:rsidR="000E512F" w:rsidRPr="001E47E5" w:rsidRDefault="000E512F" w:rsidP="000E512F">
      <w:pPr>
        <w:pStyle w:val="li"/>
        <w:numPr>
          <w:ilvl w:val="0"/>
          <w:numId w:val="25"/>
        </w:numPr>
        <w:shd w:val="clear" w:color="auto" w:fill="FFFFFF"/>
        <w:spacing w:before="0" w:beforeAutospacing="0" w:after="0" w:afterAutospacing="0"/>
        <w:ind w:left="426" w:hanging="426"/>
        <w:jc w:val="both"/>
        <w:textAlignment w:val="baseline"/>
        <w:rPr>
          <w:color w:val="000000"/>
        </w:rPr>
      </w:pPr>
      <w:r w:rsidRPr="001E47E5">
        <w:rPr>
          <w:color w:val="000000"/>
          <w:bdr w:val="none" w:sz="0" w:space="0" w:color="auto" w:frame="1"/>
        </w:rPr>
        <w:t xml:space="preserve">Možnosť 1: Na legislatívnej úrovni by sa nevykonali žiadne zmeny. Namiesto toho by </w:t>
      </w:r>
      <w:r>
        <w:rPr>
          <w:color w:val="000000"/>
          <w:bdr w:val="none" w:sz="0" w:space="0" w:color="auto" w:frame="1"/>
        </w:rPr>
        <w:t>Európska k</w:t>
      </w:r>
      <w:r w:rsidRPr="001E47E5">
        <w:rPr>
          <w:color w:val="000000"/>
          <w:bdr w:val="none" w:sz="0" w:space="0" w:color="auto" w:frame="1"/>
        </w:rPr>
        <w:t>omisia vydala odporúčania a usmernenia (napríklad, pokiaľ ide o identifikáciu prevádzkovateľov základných služieb, bezpečnostné požiadavky, postupy oznamovania incidentov a dohľad), a to po konzultácii</w:t>
      </w:r>
      <w:r>
        <w:rPr>
          <w:color w:val="000000"/>
          <w:bdr w:val="none" w:sz="0" w:space="0" w:color="auto" w:frame="1"/>
        </w:rPr>
        <w:t xml:space="preserve"> so skupinou pre spoluprácu, s A</w:t>
      </w:r>
      <w:r w:rsidRPr="001E47E5">
        <w:rPr>
          <w:color w:val="000000"/>
          <w:bdr w:val="none" w:sz="0" w:space="0" w:color="auto" w:frame="1"/>
        </w:rPr>
        <w:t>gentúrou E</w:t>
      </w:r>
      <w:r>
        <w:rPr>
          <w:color w:val="000000"/>
          <w:bdr w:val="none" w:sz="0" w:space="0" w:color="auto" w:frame="1"/>
        </w:rPr>
        <w:t>urópskej únie</w:t>
      </w:r>
      <w:r w:rsidRPr="001E47E5">
        <w:rPr>
          <w:color w:val="000000"/>
          <w:bdr w:val="none" w:sz="0" w:space="0" w:color="auto" w:frame="1"/>
        </w:rPr>
        <w:t xml:space="preserve"> pre kybernetickú bezpečnosť (ENISA) a prípadne so sieťou jednotiek pre riešenie počítačových bezpečnostných incidentov (jednotky CSIRT).</w:t>
      </w:r>
    </w:p>
    <w:p w14:paraId="1B3C62D8" w14:textId="77777777" w:rsidR="000E512F" w:rsidRPr="001E47E5" w:rsidRDefault="000E512F" w:rsidP="000E512F">
      <w:pPr>
        <w:pStyle w:val="li"/>
        <w:numPr>
          <w:ilvl w:val="0"/>
          <w:numId w:val="25"/>
        </w:numPr>
        <w:shd w:val="clear" w:color="auto" w:fill="FFFFFF"/>
        <w:spacing w:before="0" w:beforeAutospacing="0" w:after="0" w:afterAutospacing="0"/>
        <w:ind w:left="426" w:hanging="426"/>
        <w:jc w:val="both"/>
        <w:textAlignment w:val="baseline"/>
        <w:rPr>
          <w:color w:val="000000"/>
        </w:rPr>
      </w:pPr>
      <w:r w:rsidRPr="001E47E5">
        <w:rPr>
          <w:color w:val="000000"/>
          <w:bdr w:val="none" w:sz="0" w:space="0" w:color="auto" w:frame="1"/>
        </w:rPr>
        <w:t>Možnosť 2: Táto možnosť zahŕňa cielené zmeny smernice NIS vrátane rozšírenia rozsahu jej pôsobnosti a niekoľkých ďalších zmien, ktorých cieľom by bolo zaistiť určité okamžité riešenia zistených problémov, pričom by poskytovali väčšiu zrozumiteľnosť a ďalšiu harmonizáciu (ako napríklad ustanovenia na harmonizáciu prahových hodnôt na identifikáciu). V zmenenej smernici NIS by však zostali zachované hlavné stavebné prvky, prístup a hodnoty.</w:t>
      </w:r>
    </w:p>
    <w:p w14:paraId="76A8BE4D" w14:textId="77777777" w:rsidR="000E512F" w:rsidRPr="001E47E5" w:rsidRDefault="000E512F" w:rsidP="000E512F">
      <w:pPr>
        <w:pStyle w:val="li"/>
        <w:numPr>
          <w:ilvl w:val="0"/>
          <w:numId w:val="25"/>
        </w:numPr>
        <w:shd w:val="clear" w:color="auto" w:fill="FFFFFF"/>
        <w:spacing w:before="0" w:beforeAutospacing="0" w:after="0" w:afterAutospacing="0"/>
        <w:ind w:left="426" w:hanging="426"/>
        <w:jc w:val="both"/>
        <w:textAlignment w:val="baseline"/>
        <w:rPr>
          <w:color w:val="000000"/>
        </w:rPr>
      </w:pPr>
      <w:r w:rsidRPr="001E47E5">
        <w:rPr>
          <w:color w:val="000000"/>
          <w:bdr w:val="none" w:sz="0" w:space="0" w:color="auto" w:frame="1"/>
        </w:rPr>
        <w:t>Možnosť 3: V tomto scenári sú zahrnuté systémové a štrukturálne zmeny smernice NIS (prostredníctvom novej smernice), v rámci ktorých sa plánuje zásadnejšia zmena prístupu, a to v podobe zahrnutia širšej oblasti hospodárstiev v</w:t>
      </w:r>
      <w:r>
        <w:rPr>
          <w:color w:val="000000"/>
          <w:bdr w:val="none" w:sz="0" w:space="0" w:color="auto" w:frame="1"/>
        </w:rPr>
        <w:t> Európskej únii</w:t>
      </w:r>
      <w:r w:rsidRPr="001E47E5">
        <w:rPr>
          <w:color w:val="000000"/>
          <w:bdr w:val="none" w:sz="0" w:space="0" w:color="auto" w:frame="1"/>
        </w:rPr>
        <w:t>, ale zároveň aj cielenejší dohľad zameraný na veľkých a kľúčových účastníkov. Takisto by sa tým zefektívnili povinnosti uložené podnikom a zabezpečila by sa vyššia úroveň ich harmonizácie, vytvorilo by sa účinnejšie nastavenie prevádzkových aspektov a tak</w:t>
      </w:r>
      <w:r>
        <w:rPr>
          <w:color w:val="000000"/>
          <w:bdr w:val="none" w:sz="0" w:space="0" w:color="auto" w:frame="1"/>
        </w:rPr>
        <w:t>tiež</w:t>
      </w:r>
      <w:r w:rsidRPr="001E47E5">
        <w:rPr>
          <w:color w:val="000000"/>
          <w:bdr w:val="none" w:sz="0" w:space="0" w:color="auto" w:frame="1"/>
        </w:rPr>
        <w:t xml:space="preserve"> by vznikol jasný základ pre posilnenú spoločnú zodpovednosť a zodpovednosť rôznych zainteresovaných strán, pokiaľ ide o opatrenia v oblasti kybernetickej bezpečnosti.</w:t>
      </w:r>
    </w:p>
    <w:p w14:paraId="429974E7" w14:textId="77777777" w:rsidR="000E512F" w:rsidRPr="001E47E5" w:rsidRDefault="000E512F" w:rsidP="000E512F">
      <w:pPr>
        <w:pStyle w:val="Normal1"/>
        <w:shd w:val="clear" w:color="auto" w:fill="FFFFFF"/>
        <w:spacing w:before="0" w:beforeAutospacing="0" w:after="0" w:afterAutospacing="0"/>
        <w:jc w:val="both"/>
        <w:textAlignment w:val="baseline"/>
        <w:rPr>
          <w:color w:val="000000"/>
          <w:bdr w:val="none" w:sz="0" w:space="0" w:color="auto" w:frame="1"/>
        </w:rPr>
      </w:pPr>
    </w:p>
    <w:p w14:paraId="14268F2C" w14:textId="77777777" w:rsidR="000E512F" w:rsidRPr="001E47E5" w:rsidRDefault="000E512F" w:rsidP="000E512F">
      <w:pPr>
        <w:pStyle w:val="Normal1"/>
        <w:shd w:val="clear" w:color="auto" w:fill="FFFFFF"/>
        <w:spacing w:before="0" w:beforeAutospacing="0" w:after="0" w:afterAutospacing="0"/>
        <w:jc w:val="both"/>
        <w:textAlignment w:val="baseline"/>
        <w:rPr>
          <w:color w:val="000000"/>
        </w:rPr>
      </w:pPr>
      <w:r w:rsidRPr="001E47E5">
        <w:rPr>
          <w:color w:val="000000"/>
          <w:bdr w:val="none" w:sz="0" w:space="0" w:color="auto" w:frame="1"/>
        </w:rPr>
        <w:t>Z vyššie uvedených možností bola vybraná možnosť 3 (t. j. systémové a štrukturálne zmeny rámca smernice NIS). Pokiaľ ide o účinnosť, táto možnosť jasne stanovila rozsah pôsobnosti smernice NIS</w:t>
      </w:r>
      <w:r>
        <w:rPr>
          <w:color w:val="000000"/>
          <w:bdr w:val="none" w:sz="0" w:space="0" w:color="auto" w:frame="1"/>
        </w:rPr>
        <w:t xml:space="preserve"> 2</w:t>
      </w:r>
      <w:r w:rsidRPr="001E47E5">
        <w:rPr>
          <w:color w:val="000000"/>
          <w:bdr w:val="none" w:sz="0" w:space="0" w:color="auto" w:frame="1"/>
        </w:rPr>
        <w:t>, ktorý sa rozšíril na reprezentatívnejšiu časť hospodárstiev a spoločností v</w:t>
      </w:r>
      <w:r>
        <w:rPr>
          <w:color w:val="000000"/>
          <w:bdr w:val="none" w:sz="0" w:space="0" w:color="auto" w:frame="1"/>
        </w:rPr>
        <w:t> </w:t>
      </w:r>
      <w:r w:rsidRPr="001E47E5">
        <w:rPr>
          <w:color w:val="000000"/>
          <w:bdr w:val="none" w:sz="0" w:space="0" w:color="auto" w:frame="1"/>
        </w:rPr>
        <w:t>E</w:t>
      </w:r>
      <w:r>
        <w:rPr>
          <w:color w:val="000000"/>
          <w:bdr w:val="none" w:sz="0" w:space="0" w:color="auto" w:frame="1"/>
        </w:rPr>
        <w:t>urópskej únii.</w:t>
      </w:r>
      <w:r w:rsidRPr="001E47E5">
        <w:rPr>
          <w:color w:val="000000"/>
          <w:bdr w:val="none" w:sz="0" w:space="0" w:color="auto" w:frame="1"/>
        </w:rPr>
        <w:t xml:space="preserve"> Táto možnosť tak</w:t>
      </w:r>
      <w:r>
        <w:rPr>
          <w:color w:val="000000"/>
          <w:bdr w:val="none" w:sz="0" w:space="0" w:color="auto" w:frame="1"/>
        </w:rPr>
        <w:t>tiež</w:t>
      </w:r>
      <w:r w:rsidRPr="001E47E5">
        <w:rPr>
          <w:color w:val="000000"/>
          <w:bdr w:val="none" w:sz="0" w:space="0" w:color="auto" w:frame="1"/>
        </w:rPr>
        <w:t xml:space="preserve"> zahŕňa opatrenia zamerané na zlepšenie prístupov v oblasti tvorby politík na úrovni členských štátov a na zmenu ich paradigmy, pričom podporuje nové rámce pre riadenie rizika v rámci vzťahov s dodávateľmi a koordinované zverejňovanie informácií o zraniteľnosti. Pokiaľ ide o efektívnosť, E</w:t>
      </w:r>
      <w:r>
        <w:rPr>
          <w:color w:val="000000"/>
          <w:bdr w:val="none" w:sz="0" w:space="0" w:color="auto" w:frame="1"/>
        </w:rPr>
        <w:t>urópska komisia</w:t>
      </w:r>
      <w:r w:rsidRPr="001E47E5">
        <w:rPr>
          <w:color w:val="000000"/>
          <w:bdr w:val="none" w:sz="0" w:space="0" w:color="auto" w:frame="1"/>
        </w:rPr>
        <w:t xml:space="preserve"> vyhodnotila, že zatiaľ čo uprednostňovaná možnosť so sebou prináša dodatočné náklady pre podniky a členské štáty na dodržiavanie pravidiel a presadzovanie, mala by viesť tak</w:t>
      </w:r>
      <w:r>
        <w:rPr>
          <w:color w:val="000000"/>
          <w:bdr w:val="none" w:sz="0" w:space="0" w:color="auto" w:frame="1"/>
        </w:rPr>
        <w:t>tiež</w:t>
      </w:r>
      <w:r w:rsidRPr="001E47E5">
        <w:rPr>
          <w:color w:val="000000"/>
          <w:bdr w:val="none" w:sz="0" w:space="0" w:color="auto" w:frame="1"/>
        </w:rPr>
        <w:t xml:space="preserve"> k účinným kompromisom a synergiám, keďže má najlepší potenciál zo všetkých analyzovaných možností politiky na zabezpečenie zvýšenej a konzistentnej úrovne kybernetickej odolnosti kľúčových subjektov v</w:t>
      </w:r>
      <w:r>
        <w:rPr>
          <w:color w:val="000000"/>
          <w:bdr w:val="none" w:sz="0" w:space="0" w:color="auto" w:frame="1"/>
        </w:rPr>
        <w:t> Európskej únii</w:t>
      </w:r>
      <w:r w:rsidRPr="001E47E5">
        <w:rPr>
          <w:color w:val="000000"/>
          <w:bdr w:val="none" w:sz="0" w:space="0" w:color="auto" w:frame="1"/>
        </w:rPr>
        <w:t xml:space="preserve">, čo by v konečnom dôsledku viedlo k úspore nákladov pre podniky aj spoločnosť. Táto možnosť vedie k určitému dodatočnému administratívnemu zaťaženiu a dodatočným nákladom na dodržiavanie predpisov pre orgány </w:t>
      </w:r>
      <w:r w:rsidRPr="001E47E5">
        <w:rPr>
          <w:color w:val="000000"/>
          <w:bdr w:val="none" w:sz="0" w:space="0" w:color="auto" w:frame="1"/>
        </w:rPr>
        <w:lastRenderedPageBreak/>
        <w:t>členských štátov. Avšak po dôkladnom zvážení, v strednodobom a dlhodobom horizonte by táto možnosť mala priniesť značné výhody.</w:t>
      </w:r>
      <w:r w:rsidRPr="001E47E5">
        <w:rPr>
          <w:rStyle w:val="Odkaznapoznmkupodiarou"/>
          <w:color w:val="000000"/>
          <w:bdr w:val="none" w:sz="0" w:space="0" w:color="auto" w:frame="1"/>
        </w:rPr>
        <w:footnoteReference w:id="3"/>
      </w:r>
    </w:p>
    <w:p w14:paraId="264F48E1" w14:textId="77777777" w:rsidR="000E512F" w:rsidRPr="001E47E5" w:rsidRDefault="000E512F" w:rsidP="000E512F">
      <w:pPr>
        <w:spacing w:after="0" w:line="240" w:lineRule="auto"/>
        <w:ind w:right="-28"/>
        <w:jc w:val="both"/>
        <w:rPr>
          <w:rFonts w:ascii="Times New Roman" w:hAnsi="Times New Roman" w:cs="Times New Roman"/>
          <w:noProof/>
          <w:sz w:val="24"/>
          <w:szCs w:val="24"/>
        </w:rPr>
      </w:pPr>
      <w:r w:rsidRPr="001E47E5">
        <w:rPr>
          <w:rFonts w:ascii="Times New Roman" w:hAnsi="Times New Roman" w:cs="Times New Roman"/>
          <w:noProof/>
          <w:sz w:val="24"/>
          <w:szCs w:val="24"/>
        </w:rPr>
        <w:t xml:space="preserve">S cieľom určiť potenciálny vplyv možností politiky na podniky sa v posúdení vplyvu zohľadnili tieto kroky: </w:t>
      </w:r>
    </w:p>
    <w:p w14:paraId="4AAB9490" w14:textId="77777777" w:rsidR="000E512F" w:rsidRPr="001E47E5" w:rsidRDefault="000E512F" w:rsidP="000E512F">
      <w:pPr>
        <w:pStyle w:val="Odsekzoznamu"/>
        <w:numPr>
          <w:ilvl w:val="0"/>
          <w:numId w:val="26"/>
        </w:numPr>
        <w:spacing w:after="0" w:line="240" w:lineRule="auto"/>
        <w:ind w:left="426" w:right="-28" w:hanging="426"/>
        <w:contextualSpacing w:val="0"/>
        <w:jc w:val="both"/>
        <w:rPr>
          <w:rFonts w:ascii="Times New Roman" w:hAnsi="Times New Roman" w:cs="Times New Roman"/>
          <w:noProof/>
          <w:sz w:val="24"/>
          <w:szCs w:val="24"/>
        </w:rPr>
      </w:pPr>
      <w:r w:rsidRPr="001E47E5">
        <w:rPr>
          <w:rFonts w:ascii="Times New Roman" w:hAnsi="Times New Roman" w:cs="Times New Roman"/>
          <w:noProof/>
          <w:sz w:val="24"/>
          <w:szCs w:val="24"/>
        </w:rPr>
        <w:t>určenie subjektov pôsobiacich v súčasných a budúcich odvetviach, pododvetviach a druhoch služieb, ktoré spadajú do rozsahu pôsobnosti NIS</w:t>
      </w:r>
      <w:r>
        <w:rPr>
          <w:rFonts w:ascii="Times New Roman" w:hAnsi="Times New Roman" w:cs="Times New Roman"/>
          <w:noProof/>
          <w:sz w:val="24"/>
          <w:szCs w:val="24"/>
        </w:rPr>
        <w:t>;</w:t>
      </w:r>
      <w:r w:rsidRPr="001E47E5">
        <w:rPr>
          <w:rFonts w:ascii="Times New Roman" w:hAnsi="Times New Roman" w:cs="Times New Roman"/>
          <w:noProof/>
          <w:sz w:val="24"/>
          <w:szCs w:val="24"/>
        </w:rPr>
        <w:t xml:space="preserve"> </w:t>
      </w:r>
    </w:p>
    <w:p w14:paraId="336F3453" w14:textId="77777777" w:rsidR="000E512F" w:rsidRPr="001E47E5" w:rsidRDefault="000E512F" w:rsidP="000E512F">
      <w:pPr>
        <w:pStyle w:val="Odsekzoznamu"/>
        <w:numPr>
          <w:ilvl w:val="0"/>
          <w:numId w:val="26"/>
        </w:numPr>
        <w:spacing w:after="0" w:line="240" w:lineRule="auto"/>
        <w:ind w:left="426" w:right="-28" w:hanging="426"/>
        <w:contextualSpacing w:val="0"/>
        <w:jc w:val="both"/>
        <w:rPr>
          <w:rFonts w:ascii="Times New Roman" w:hAnsi="Times New Roman" w:cs="Times New Roman"/>
          <w:noProof/>
          <w:sz w:val="24"/>
          <w:szCs w:val="24"/>
        </w:rPr>
      </w:pPr>
      <w:r w:rsidRPr="001E47E5">
        <w:rPr>
          <w:rFonts w:ascii="Times New Roman" w:hAnsi="Times New Roman" w:cs="Times New Roman"/>
          <w:noProof/>
          <w:sz w:val="24"/>
          <w:szCs w:val="24"/>
        </w:rPr>
        <w:t xml:space="preserve">odhad priemerných nákladov vypočítaných ako percento výdavkov na bezpečnosť IKT z výdavkov na IKT a celkových príjmov v jednotlivých odvetviach a ich pravdepodobný vývoj; </w:t>
      </w:r>
    </w:p>
    <w:p w14:paraId="4C373017" w14:textId="77777777" w:rsidR="000E512F" w:rsidRPr="001E47E5" w:rsidRDefault="000E512F" w:rsidP="000E512F">
      <w:pPr>
        <w:pStyle w:val="Odsekzoznamu"/>
        <w:numPr>
          <w:ilvl w:val="0"/>
          <w:numId w:val="26"/>
        </w:numPr>
        <w:spacing w:after="0" w:line="240" w:lineRule="auto"/>
        <w:ind w:left="426" w:right="-28" w:hanging="426"/>
        <w:contextualSpacing w:val="0"/>
        <w:jc w:val="both"/>
        <w:rPr>
          <w:rFonts w:ascii="Times New Roman" w:hAnsi="Times New Roman" w:cs="Times New Roman"/>
          <w:noProof/>
          <w:sz w:val="24"/>
          <w:szCs w:val="24"/>
        </w:rPr>
      </w:pPr>
      <w:r w:rsidRPr="001E47E5">
        <w:rPr>
          <w:rFonts w:ascii="Times New Roman" w:hAnsi="Times New Roman" w:cs="Times New Roman"/>
          <w:noProof/>
          <w:sz w:val="24"/>
          <w:szCs w:val="24"/>
        </w:rPr>
        <w:t xml:space="preserve">odhad nákladov a prínosov na úrovni organizácií. </w:t>
      </w:r>
    </w:p>
    <w:p w14:paraId="7C3CB752" w14:textId="77777777" w:rsidR="000E512F" w:rsidRPr="001E47E5" w:rsidRDefault="000E512F" w:rsidP="000E512F">
      <w:pPr>
        <w:spacing w:before="120" w:after="120"/>
        <w:ind w:right="-29"/>
        <w:jc w:val="both"/>
        <w:rPr>
          <w:rFonts w:ascii="Times New Roman" w:hAnsi="Times New Roman" w:cs="Times New Roman"/>
          <w:noProof/>
          <w:sz w:val="24"/>
          <w:szCs w:val="24"/>
        </w:rPr>
      </w:pPr>
      <w:r w:rsidRPr="001E47E5">
        <w:rPr>
          <w:rFonts w:ascii="Times New Roman" w:hAnsi="Times New Roman" w:cs="Times New Roman"/>
          <w:noProof/>
          <w:sz w:val="24"/>
          <w:szCs w:val="24"/>
        </w:rPr>
        <w:t>Ako sa zdôrazňuje v správe IPACSO, hlavným cieľom investícií do kybernetickej bezpečnosti je znížiť riziko narušenia bezpečnosti a zároveň znížiť variabilitu potenciálnych strát z kybernetickej kriminality. V tejto súvislosti majú obmedzené dostupné informácie o odhadovaných nákladoch a</w:t>
      </w:r>
      <w:r>
        <w:rPr>
          <w:rFonts w:ascii="Times New Roman" w:hAnsi="Times New Roman" w:cs="Times New Roman"/>
          <w:noProof/>
          <w:sz w:val="24"/>
          <w:szCs w:val="24"/>
        </w:rPr>
        <w:t> </w:t>
      </w:r>
      <w:r w:rsidRPr="001E47E5">
        <w:rPr>
          <w:rFonts w:ascii="Times New Roman" w:hAnsi="Times New Roman" w:cs="Times New Roman"/>
          <w:noProof/>
          <w:sz w:val="24"/>
          <w:szCs w:val="24"/>
        </w:rPr>
        <w:t>prínosoch, kompromisoch a rozpočtových obmedzeniach často negatívny vplyv na rozhodnutie investovať viac na úrovni organizácie. Literatúra zároveň ukázala, že investície do kybernetickej bezpečnosti majú v porovnaní s inými opatreniami, ktoré zlepšujú výnosy, predovšetkým charakter úspory nákladov.  Výskum naznačil, že spoločnosti sa v oblasti kybernetickej bezpečnosti často spoliehajú skôr na reaktívne investičné stratégie než na proaktívne, keďže je často efektívnejšie spoliehať sa na osvedčené existujúce technológie a byť schopný rýchlo implementovať opravy a</w:t>
      </w:r>
      <w:r>
        <w:rPr>
          <w:rFonts w:ascii="Times New Roman" w:hAnsi="Times New Roman" w:cs="Times New Roman"/>
          <w:noProof/>
          <w:sz w:val="24"/>
          <w:szCs w:val="24"/>
        </w:rPr>
        <w:t> </w:t>
      </w:r>
      <w:r w:rsidRPr="001E47E5">
        <w:rPr>
          <w:rFonts w:ascii="Times New Roman" w:hAnsi="Times New Roman" w:cs="Times New Roman"/>
          <w:noProof/>
          <w:sz w:val="24"/>
          <w:szCs w:val="24"/>
        </w:rPr>
        <w:t xml:space="preserve">posilniť bezpečnosť po tom, ako došlo k narušeniu. </w:t>
      </w:r>
    </w:p>
    <w:p w14:paraId="4051C43E" w14:textId="77777777" w:rsidR="000E512F" w:rsidRPr="001E47E5" w:rsidRDefault="000E512F" w:rsidP="000E512F">
      <w:pPr>
        <w:spacing w:before="120" w:after="120"/>
        <w:ind w:right="-29"/>
        <w:jc w:val="both"/>
        <w:rPr>
          <w:rFonts w:ascii="Times New Roman" w:hAnsi="Times New Roman" w:cs="Times New Roman"/>
          <w:noProof/>
          <w:sz w:val="24"/>
          <w:szCs w:val="24"/>
        </w:rPr>
      </w:pPr>
      <w:r w:rsidRPr="001E47E5">
        <w:rPr>
          <w:rFonts w:ascii="Times New Roman" w:hAnsi="Times New Roman" w:cs="Times New Roman"/>
          <w:noProof/>
          <w:sz w:val="24"/>
          <w:szCs w:val="24"/>
        </w:rPr>
        <w:t>Typické náklady a prínosy v oblasti kybernetickej bezpečnosti sú nasledovné:</w:t>
      </w:r>
    </w:p>
    <w:p w14:paraId="1BE25751" w14:textId="77777777" w:rsidR="000E512F" w:rsidRPr="001E47E5" w:rsidRDefault="000E512F" w:rsidP="000E512F">
      <w:pPr>
        <w:pStyle w:val="Odsekzoznamu"/>
        <w:numPr>
          <w:ilvl w:val="0"/>
          <w:numId w:val="27"/>
        </w:numPr>
        <w:spacing w:before="120" w:after="120" w:line="240" w:lineRule="auto"/>
        <w:ind w:left="426" w:right="-29" w:hanging="426"/>
        <w:contextualSpacing w:val="0"/>
        <w:jc w:val="both"/>
        <w:rPr>
          <w:rFonts w:ascii="Times New Roman" w:hAnsi="Times New Roman" w:cs="Times New Roman"/>
          <w:noProof/>
          <w:sz w:val="24"/>
          <w:szCs w:val="24"/>
        </w:rPr>
      </w:pPr>
      <w:r w:rsidRPr="001E47E5">
        <w:rPr>
          <w:rFonts w:ascii="Times New Roman" w:hAnsi="Times New Roman" w:cs="Times New Roman"/>
          <w:noProof/>
          <w:sz w:val="24"/>
          <w:szCs w:val="24"/>
        </w:rPr>
        <w:t>Náklady: personálne náklady (napr. zriadenie nových interných tímov), náklady na nákup</w:t>
      </w:r>
      <w:r>
        <w:rPr>
          <w:rFonts w:ascii="Times New Roman" w:hAnsi="Times New Roman" w:cs="Times New Roman"/>
          <w:noProof/>
          <w:sz w:val="24"/>
          <w:szCs w:val="24"/>
        </w:rPr>
        <w:t xml:space="preserve"> tovarov a služieb</w:t>
      </w:r>
      <w:r w:rsidRPr="001E47E5">
        <w:rPr>
          <w:rFonts w:ascii="Times New Roman" w:hAnsi="Times New Roman" w:cs="Times New Roman"/>
          <w:noProof/>
          <w:sz w:val="24"/>
          <w:szCs w:val="24"/>
        </w:rPr>
        <w:t xml:space="preserve"> (hardvér, softvér, poradenské služby), administratívne náklady, náklady na</w:t>
      </w:r>
      <w:r>
        <w:rPr>
          <w:rFonts w:ascii="Times New Roman" w:hAnsi="Times New Roman" w:cs="Times New Roman"/>
          <w:noProof/>
          <w:sz w:val="24"/>
          <w:szCs w:val="24"/>
        </w:rPr>
        <w:t> </w:t>
      </w:r>
      <w:r w:rsidRPr="001E47E5">
        <w:rPr>
          <w:rFonts w:ascii="Times New Roman" w:hAnsi="Times New Roman" w:cs="Times New Roman"/>
          <w:noProof/>
          <w:sz w:val="24"/>
          <w:szCs w:val="24"/>
        </w:rPr>
        <w:t>ušlé príležitosti, interný výskum a vývoj.</w:t>
      </w:r>
    </w:p>
    <w:p w14:paraId="553C7B44" w14:textId="77777777" w:rsidR="000E512F" w:rsidRPr="001E47E5" w:rsidRDefault="000E512F" w:rsidP="000E512F">
      <w:pPr>
        <w:pStyle w:val="Odsekzoznamu"/>
        <w:numPr>
          <w:ilvl w:val="0"/>
          <w:numId w:val="27"/>
        </w:numPr>
        <w:spacing w:before="120" w:after="120" w:line="240" w:lineRule="auto"/>
        <w:ind w:left="426" w:right="-29" w:hanging="426"/>
        <w:contextualSpacing w:val="0"/>
        <w:jc w:val="both"/>
        <w:rPr>
          <w:rFonts w:ascii="Times New Roman" w:hAnsi="Times New Roman" w:cs="Times New Roman"/>
          <w:noProof/>
          <w:sz w:val="24"/>
          <w:szCs w:val="24"/>
        </w:rPr>
      </w:pPr>
      <w:r w:rsidRPr="001E47E5">
        <w:rPr>
          <w:rFonts w:ascii="Times New Roman" w:hAnsi="Times New Roman" w:cs="Times New Roman"/>
          <w:noProof/>
          <w:sz w:val="24"/>
          <w:szCs w:val="24"/>
        </w:rPr>
        <w:t>Prínosy: zníženie počtu bezpečnostných incidentov a strát z počítačovej kriminality; zníženie nákladov na zodpovednosť za narušenie; zvýšenie dôvery zákazníkov; zvýšenie reputácie spoločnosti; ochrana pred nekalou konkurenciou (priemyselná špionáž); zníženie počtu nespokojných zákazníkov, ktorí menia dodávateľa, zvýšenie súladu s predpismi.</w:t>
      </w:r>
    </w:p>
    <w:p w14:paraId="0C51CC6D" w14:textId="77777777" w:rsidR="000E512F" w:rsidRPr="001E47E5" w:rsidRDefault="000E512F" w:rsidP="000E512F">
      <w:pPr>
        <w:widowControl w:val="0"/>
        <w:spacing w:before="120" w:after="120"/>
        <w:jc w:val="both"/>
        <w:rPr>
          <w:rFonts w:ascii="Times New Roman" w:hAnsi="Times New Roman" w:cs="Times New Roman"/>
          <w:b/>
          <w:bCs/>
          <w:noProof/>
          <w:sz w:val="24"/>
          <w:szCs w:val="24"/>
        </w:rPr>
      </w:pPr>
      <w:r w:rsidRPr="001E47E5">
        <w:rPr>
          <w:rFonts w:ascii="Times New Roman" w:hAnsi="Times New Roman" w:cs="Times New Roman"/>
          <w:b/>
          <w:bCs/>
          <w:noProof/>
          <w:sz w:val="24"/>
          <w:szCs w:val="24"/>
        </w:rPr>
        <w:t xml:space="preserve">Neexistujú žiadne porovnateľné ekonomické údaje na meranie skutočného vplyvu smernice </w:t>
      </w:r>
      <w:r>
        <w:rPr>
          <w:rFonts w:ascii="Times New Roman" w:hAnsi="Times New Roman" w:cs="Times New Roman"/>
          <w:b/>
          <w:bCs/>
          <w:noProof/>
          <w:sz w:val="24"/>
          <w:szCs w:val="24"/>
        </w:rPr>
        <w:t>NIS 2</w:t>
      </w:r>
      <w:r w:rsidRPr="001E47E5">
        <w:rPr>
          <w:rFonts w:ascii="Times New Roman" w:hAnsi="Times New Roman" w:cs="Times New Roman"/>
          <w:b/>
          <w:bCs/>
          <w:noProof/>
          <w:sz w:val="24"/>
          <w:szCs w:val="24"/>
        </w:rPr>
        <w:t xml:space="preserve"> na náklady a prínosy spoločností pôsobiacich v odvetviach a pododvetviach alebo poskytujúcich služby v rámci rozsahu pôsobnosti </w:t>
      </w:r>
      <w:r>
        <w:rPr>
          <w:rFonts w:ascii="Times New Roman" w:hAnsi="Times New Roman" w:cs="Times New Roman"/>
          <w:b/>
          <w:bCs/>
          <w:noProof/>
          <w:sz w:val="24"/>
          <w:szCs w:val="24"/>
        </w:rPr>
        <w:t>smernice NIS 2</w:t>
      </w:r>
      <w:r w:rsidRPr="001E47E5">
        <w:rPr>
          <w:rFonts w:ascii="Times New Roman" w:hAnsi="Times New Roman" w:cs="Times New Roman"/>
          <w:b/>
          <w:bCs/>
          <w:noProof/>
          <w:sz w:val="24"/>
          <w:szCs w:val="24"/>
        </w:rPr>
        <w:t xml:space="preserve">. Vzhľadom na tieto nedostatky by sa analýzy hospodárskeho vplyvu a efektívnosti v rámci všetkých možností politiky vrátane základného scenára odvolávali na všeobecne uznávané kvalitatívne ukazovatele na posúdenie nákladov a prínosov rôznych opatrení v oblasti kybernetickej bezpečnosti v súlade s vyššie opísanými zásadami, kvantitatívne odhady alebo predpoklady a informácie získané prostredníctvom návštev krajín v rámci preskúmania </w:t>
      </w:r>
      <w:r>
        <w:rPr>
          <w:rFonts w:ascii="Times New Roman" w:hAnsi="Times New Roman" w:cs="Times New Roman"/>
          <w:b/>
          <w:bCs/>
          <w:noProof/>
          <w:sz w:val="24"/>
          <w:szCs w:val="24"/>
        </w:rPr>
        <w:t>smernice NIS 2</w:t>
      </w:r>
      <w:r w:rsidRPr="001E47E5">
        <w:rPr>
          <w:rFonts w:ascii="Times New Roman" w:hAnsi="Times New Roman" w:cs="Times New Roman"/>
          <w:b/>
          <w:bCs/>
          <w:noProof/>
          <w:sz w:val="24"/>
          <w:szCs w:val="24"/>
        </w:rPr>
        <w:t xml:space="preserve"> alebo konzultácií, ktoré sa v</w:t>
      </w:r>
      <w:r>
        <w:rPr>
          <w:rFonts w:ascii="Times New Roman" w:hAnsi="Times New Roman" w:cs="Times New Roman"/>
          <w:b/>
          <w:bCs/>
          <w:noProof/>
          <w:sz w:val="24"/>
          <w:szCs w:val="24"/>
        </w:rPr>
        <w:t> </w:t>
      </w:r>
      <w:r w:rsidRPr="001E47E5">
        <w:rPr>
          <w:rFonts w:ascii="Times New Roman" w:hAnsi="Times New Roman" w:cs="Times New Roman"/>
          <w:b/>
          <w:bCs/>
          <w:noProof/>
          <w:sz w:val="24"/>
          <w:szCs w:val="24"/>
        </w:rPr>
        <w:t xml:space="preserve">tomto procese uskutočnili s príslušnými zainteresovanými stranami. </w:t>
      </w:r>
    </w:p>
    <w:p w14:paraId="391C3A94" w14:textId="77777777" w:rsidR="000E512F" w:rsidRPr="001E47E5" w:rsidRDefault="000E512F" w:rsidP="000E512F">
      <w:pPr>
        <w:widowControl w:val="0"/>
        <w:spacing w:before="120" w:after="120"/>
        <w:jc w:val="both"/>
        <w:rPr>
          <w:rFonts w:ascii="Times New Roman" w:hAnsi="Times New Roman" w:cs="Times New Roman"/>
          <w:bCs/>
          <w:iCs/>
          <w:noProof/>
          <w:sz w:val="24"/>
          <w:szCs w:val="24"/>
        </w:rPr>
      </w:pPr>
      <w:r w:rsidRPr="001E47E5">
        <w:rPr>
          <w:rFonts w:ascii="Times New Roman" w:hAnsi="Times New Roman" w:cs="Times New Roman"/>
          <w:b/>
          <w:bCs/>
          <w:noProof/>
          <w:sz w:val="24"/>
          <w:szCs w:val="24"/>
        </w:rPr>
        <w:t xml:space="preserve">Vzhľadom na túto skutočnosť je možné vplyvy len odhadnúť. </w:t>
      </w:r>
      <w:r w:rsidRPr="001E47E5">
        <w:rPr>
          <w:rFonts w:ascii="Times New Roman" w:hAnsi="Times New Roman" w:cs="Times New Roman"/>
          <w:bCs/>
          <w:iCs/>
          <w:noProof/>
          <w:sz w:val="24"/>
          <w:szCs w:val="24"/>
        </w:rPr>
        <w:t xml:space="preserve">Implementáciou smernice </w:t>
      </w:r>
      <w:r>
        <w:rPr>
          <w:rFonts w:ascii="Times New Roman" w:hAnsi="Times New Roman" w:cs="Times New Roman"/>
          <w:bCs/>
          <w:iCs/>
          <w:noProof/>
          <w:sz w:val="24"/>
          <w:szCs w:val="24"/>
        </w:rPr>
        <w:t>NIS 2</w:t>
      </w:r>
      <w:r w:rsidRPr="001E47E5">
        <w:rPr>
          <w:rFonts w:ascii="Times New Roman" w:hAnsi="Times New Roman" w:cs="Times New Roman"/>
          <w:bCs/>
          <w:iCs/>
          <w:noProof/>
          <w:sz w:val="24"/>
          <w:szCs w:val="24"/>
        </w:rPr>
        <w:t xml:space="preserve"> do praxe podnikom v rámci nových sektorov, pododvetví a druhov služieb vznikajú nové náklady na dodržiavanie </w:t>
      </w:r>
      <w:r>
        <w:rPr>
          <w:rFonts w:ascii="Times New Roman" w:hAnsi="Times New Roman" w:cs="Times New Roman"/>
          <w:bCs/>
          <w:iCs/>
          <w:noProof/>
          <w:sz w:val="24"/>
          <w:szCs w:val="24"/>
        </w:rPr>
        <w:t>povinností</w:t>
      </w:r>
      <w:r w:rsidRPr="001E47E5">
        <w:rPr>
          <w:rFonts w:ascii="Times New Roman" w:hAnsi="Times New Roman" w:cs="Times New Roman"/>
          <w:bCs/>
          <w:iCs/>
          <w:noProof/>
          <w:sz w:val="24"/>
          <w:szCs w:val="24"/>
        </w:rPr>
        <w:t xml:space="preserve"> vyplývajúc</w:t>
      </w:r>
      <w:r>
        <w:rPr>
          <w:rFonts w:ascii="Times New Roman" w:hAnsi="Times New Roman" w:cs="Times New Roman"/>
          <w:bCs/>
          <w:iCs/>
          <w:noProof/>
          <w:sz w:val="24"/>
          <w:szCs w:val="24"/>
        </w:rPr>
        <w:t>ich</w:t>
      </w:r>
      <w:r w:rsidRPr="001E47E5">
        <w:rPr>
          <w:rFonts w:ascii="Times New Roman" w:hAnsi="Times New Roman" w:cs="Times New Roman"/>
          <w:bCs/>
          <w:iCs/>
          <w:noProof/>
          <w:sz w:val="24"/>
          <w:szCs w:val="24"/>
        </w:rPr>
        <w:t xml:space="preserve"> z legislatívy. Na druhej strane väčšina prevádzkovateľov </w:t>
      </w:r>
      <w:r w:rsidRPr="001E47E5">
        <w:rPr>
          <w:rFonts w:ascii="Times New Roman" w:hAnsi="Times New Roman" w:cs="Times New Roman"/>
          <w:bCs/>
          <w:iCs/>
          <w:noProof/>
          <w:sz w:val="24"/>
          <w:szCs w:val="24"/>
        </w:rPr>
        <w:lastRenderedPageBreak/>
        <w:t xml:space="preserve">a poskytovateľov služieb dodržiava medzinárodné normy, pokiaľ ide o bezpečnostné požiadavky. Preto je pomerne ťažké oddeliť vplyv smernice </w:t>
      </w:r>
      <w:r>
        <w:rPr>
          <w:rFonts w:ascii="Times New Roman" w:hAnsi="Times New Roman" w:cs="Times New Roman"/>
          <w:bCs/>
          <w:iCs/>
          <w:noProof/>
          <w:sz w:val="24"/>
          <w:szCs w:val="24"/>
        </w:rPr>
        <w:t>NIS 2</w:t>
      </w:r>
      <w:r w:rsidRPr="001E47E5">
        <w:rPr>
          <w:rFonts w:ascii="Times New Roman" w:hAnsi="Times New Roman" w:cs="Times New Roman"/>
          <w:bCs/>
          <w:iCs/>
          <w:noProof/>
          <w:sz w:val="24"/>
          <w:szCs w:val="24"/>
        </w:rPr>
        <w:t xml:space="preserve"> na výdavky na IKT na úrovni organizácií od</w:t>
      </w:r>
      <w:r>
        <w:rPr>
          <w:rFonts w:ascii="Times New Roman" w:hAnsi="Times New Roman" w:cs="Times New Roman"/>
          <w:bCs/>
          <w:iCs/>
          <w:noProof/>
          <w:sz w:val="24"/>
          <w:szCs w:val="24"/>
        </w:rPr>
        <w:t> </w:t>
      </w:r>
      <w:r w:rsidRPr="001E47E5">
        <w:rPr>
          <w:rFonts w:ascii="Times New Roman" w:hAnsi="Times New Roman" w:cs="Times New Roman"/>
          <w:bCs/>
          <w:iCs/>
          <w:noProof/>
          <w:sz w:val="24"/>
          <w:szCs w:val="24"/>
        </w:rPr>
        <w:t xml:space="preserve">celkového vplyvu vývoja medzinárodnej bezpečnosti. Nové bezpečnostné požiadavky v rámci smernice </w:t>
      </w:r>
      <w:r>
        <w:rPr>
          <w:rFonts w:ascii="Times New Roman" w:hAnsi="Times New Roman" w:cs="Times New Roman"/>
          <w:bCs/>
          <w:iCs/>
          <w:noProof/>
          <w:sz w:val="24"/>
          <w:szCs w:val="24"/>
        </w:rPr>
        <w:t>NIS 2</w:t>
      </w:r>
      <w:r w:rsidRPr="001E47E5">
        <w:rPr>
          <w:rFonts w:ascii="Times New Roman" w:hAnsi="Times New Roman" w:cs="Times New Roman"/>
          <w:bCs/>
          <w:iCs/>
          <w:noProof/>
          <w:sz w:val="24"/>
          <w:szCs w:val="24"/>
        </w:rPr>
        <w:t xml:space="preserve"> boli založené na riadení rizík a do veľkej miery by sa riadili existujúcimi medzinárodnými normami a postupmi väčšiny členských štátov. Okrem toho sa zjednodušili povinnosti týkajúce sa oznamovania incidentov, aby sa zabezpečila väčšia zrozumiteľnosť obsahu, vzoru a času predloženia, čím sa znížila dodatočná administratívna záťaž pre podniky. Na základe údajov E</w:t>
      </w:r>
      <w:r>
        <w:rPr>
          <w:rFonts w:ascii="Times New Roman" w:hAnsi="Times New Roman" w:cs="Times New Roman"/>
          <w:bCs/>
          <w:iCs/>
          <w:noProof/>
          <w:sz w:val="24"/>
          <w:szCs w:val="24"/>
        </w:rPr>
        <w:t>urópskej komisie</w:t>
      </w:r>
      <w:r w:rsidRPr="001E47E5">
        <w:rPr>
          <w:rFonts w:ascii="Times New Roman" w:hAnsi="Times New Roman" w:cs="Times New Roman"/>
          <w:bCs/>
          <w:iCs/>
          <w:noProof/>
          <w:sz w:val="24"/>
          <w:szCs w:val="24"/>
        </w:rPr>
        <w:t xml:space="preserve"> sa predpokladá, že v strednodobom horizonte (tri až štyri roky) by nové sektory, ktoré sa majú pridať do rozsahu pôsobnosti NIS, zaznamenali približne 22 % nárast ich výdavkov na</w:t>
      </w:r>
      <w:r>
        <w:rPr>
          <w:rFonts w:ascii="Times New Roman" w:hAnsi="Times New Roman" w:cs="Times New Roman"/>
          <w:bCs/>
          <w:iCs/>
          <w:noProof/>
          <w:sz w:val="24"/>
          <w:szCs w:val="24"/>
        </w:rPr>
        <w:t> </w:t>
      </w:r>
      <w:r w:rsidRPr="001E47E5">
        <w:rPr>
          <w:rFonts w:ascii="Times New Roman" w:hAnsi="Times New Roman" w:cs="Times New Roman"/>
          <w:bCs/>
          <w:iCs/>
          <w:noProof/>
          <w:sz w:val="24"/>
          <w:szCs w:val="24"/>
        </w:rPr>
        <w:t xml:space="preserve">bezpečnosť IKT. K takémuto nárastu však prirodzene prispeje mnoho ďalších faktorov, ako napríklad vývoj technológií a prostredia hrozieb, GDPR a ďalšie regulačné povinnosti, účinky konkrétnych incidentov, ktoré sa môžu medzitým vyskytnúť, alebo veľkých kríz, úroveň informovanosti, úroveň digitalizácie atď. </w:t>
      </w:r>
    </w:p>
    <w:p w14:paraId="0B001676" w14:textId="77777777" w:rsidR="000E512F" w:rsidRPr="001E47E5" w:rsidRDefault="000E512F" w:rsidP="000E512F">
      <w:pPr>
        <w:spacing w:before="120" w:after="120"/>
        <w:ind w:right="-29"/>
        <w:jc w:val="both"/>
        <w:rPr>
          <w:rFonts w:ascii="Times New Roman" w:hAnsi="Times New Roman" w:cs="Times New Roman"/>
          <w:bCs/>
          <w:iCs/>
          <w:noProof/>
          <w:sz w:val="24"/>
          <w:szCs w:val="24"/>
        </w:rPr>
      </w:pPr>
      <w:r w:rsidRPr="001E47E5">
        <w:rPr>
          <w:rFonts w:ascii="Times New Roman" w:hAnsi="Times New Roman" w:cs="Times New Roman"/>
          <w:bCs/>
          <w:iCs/>
          <w:noProof/>
          <w:sz w:val="24"/>
          <w:szCs w:val="24"/>
        </w:rPr>
        <w:t xml:space="preserve">Hlavné náklady, ktoré spoločnostiam vznikajú v súvislosti s rámcom </w:t>
      </w:r>
      <w:r>
        <w:rPr>
          <w:rFonts w:ascii="Times New Roman" w:hAnsi="Times New Roman" w:cs="Times New Roman"/>
          <w:bCs/>
          <w:iCs/>
          <w:noProof/>
          <w:sz w:val="24"/>
          <w:szCs w:val="24"/>
        </w:rPr>
        <w:t>smernice NIS 2</w:t>
      </w:r>
      <w:r w:rsidRPr="001E47E5">
        <w:rPr>
          <w:rFonts w:ascii="Times New Roman" w:hAnsi="Times New Roman" w:cs="Times New Roman"/>
          <w:bCs/>
          <w:iCs/>
          <w:noProof/>
          <w:sz w:val="24"/>
          <w:szCs w:val="24"/>
        </w:rPr>
        <w:t>, sú náklady na</w:t>
      </w:r>
      <w:r>
        <w:rPr>
          <w:rFonts w:ascii="Times New Roman" w:hAnsi="Times New Roman" w:cs="Times New Roman"/>
          <w:bCs/>
          <w:iCs/>
          <w:noProof/>
          <w:sz w:val="24"/>
          <w:szCs w:val="24"/>
        </w:rPr>
        <w:t> </w:t>
      </w:r>
      <w:r w:rsidRPr="001E47E5">
        <w:rPr>
          <w:rFonts w:ascii="Times New Roman" w:hAnsi="Times New Roman" w:cs="Times New Roman"/>
          <w:bCs/>
          <w:iCs/>
          <w:noProof/>
          <w:sz w:val="24"/>
          <w:szCs w:val="24"/>
        </w:rPr>
        <w:t>dodržiavanie predpisov, najmä v súvislosti s implementáciou bezpečnostných požiadaviek (t. j. povinnosti riadenia rizík), oznamovacích povinností (t. j. povinnosti hlásenia incidentov) a</w:t>
      </w:r>
      <w:r>
        <w:rPr>
          <w:rFonts w:ascii="Times New Roman" w:hAnsi="Times New Roman" w:cs="Times New Roman"/>
          <w:bCs/>
          <w:iCs/>
          <w:noProof/>
          <w:sz w:val="24"/>
          <w:szCs w:val="24"/>
        </w:rPr>
        <w:t> </w:t>
      </w:r>
      <w:r w:rsidRPr="001E47E5">
        <w:rPr>
          <w:rFonts w:ascii="Times New Roman" w:hAnsi="Times New Roman" w:cs="Times New Roman"/>
          <w:bCs/>
          <w:iCs/>
          <w:noProof/>
          <w:sz w:val="24"/>
          <w:szCs w:val="24"/>
        </w:rPr>
        <w:t xml:space="preserve"> uplatňovania opatrení dohľadu (t. j. dokumentovanie súladu prostredníctvom audítorských správ, výsledkov testov, skenovania atď.).</w:t>
      </w:r>
      <w:r w:rsidRPr="001E47E5">
        <w:rPr>
          <w:rStyle w:val="Odkaznapoznmkupodiarou"/>
          <w:rFonts w:ascii="Times New Roman" w:hAnsi="Times New Roman" w:cs="Times New Roman"/>
          <w:bCs/>
          <w:iCs/>
          <w:noProof/>
          <w:sz w:val="24"/>
          <w:szCs w:val="24"/>
        </w:rPr>
        <w:footnoteReference w:id="4"/>
      </w:r>
      <w:r w:rsidRPr="001E47E5">
        <w:rPr>
          <w:rFonts w:ascii="Times New Roman" w:hAnsi="Times New Roman" w:cs="Times New Roman"/>
          <w:bCs/>
          <w:iCs/>
          <w:noProof/>
          <w:sz w:val="24"/>
          <w:szCs w:val="24"/>
        </w:rPr>
        <w:t xml:space="preserve"> Na účely zváženia nákladov a prínosov sa v revíznej štúdii NIS vypracoval model vychádzajúci z anualizovaných nákladov na kybernetickú kriminalitu, ktorý sa použil ako náhradný ukazovateľ nákladov na kybernetický bezpečnostný incident. Tento údaj sa vzťahoval na odhad Eurostatu, podľa ktorého sa v roku 2019 vyskytlo približne 450 kybernetických bezpečnostných incidentov týkajúcich sa kritických infraštruktúr, ako sú zdravotníctvo, financie a</w:t>
      </w:r>
      <w:r>
        <w:rPr>
          <w:rFonts w:ascii="Times New Roman" w:hAnsi="Times New Roman" w:cs="Times New Roman"/>
          <w:bCs/>
          <w:iCs/>
          <w:noProof/>
          <w:sz w:val="24"/>
          <w:szCs w:val="24"/>
        </w:rPr>
        <w:t> </w:t>
      </w:r>
      <w:r w:rsidRPr="001E47E5">
        <w:rPr>
          <w:rFonts w:ascii="Times New Roman" w:hAnsi="Times New Roman" w:cs="Times New Roman"/>
          <w:bCs/>
          <w:iCs/>
          <w:noProof/>
          <w:sz w:val="24"/>
          <w:szCs w:val="24"/>
        </w:rPr>
        <w:t xml:space="preserve">energetika. Podľa modelovania sa vďaka zavedeniu </w:t>
      </w:r>
      <w:r>
        <w:rPr>
          <w:rFonts w:ascii="Times New Roman" w:hAnsi="Times New Roman" w:cs="Times New Roman"/>
          <w:bCs/>
          <w:iCs/>
          <w:noProof/>
          <w:sz w:val="24"/>
          <w:szCs w:val="24"/>
        </w:rPr>
        <w:t>smernice NIS 2</w:t>
      </w:r>
      <w:r w:rsidRPr="001E47E5">
        <w:rPr>
          <w:rFonts w:ascii="Times New Roman" w:hAnsi="Times New Roman" w:cs="Times New Roman"/>
          <w:bCs/>
          <w:iCs/>
          <w:noProof/>
          <w:sz w:val="24"/>
          <w:szCs w:val="24"/>
        </w:rPr>
        <w:t xml:space="preserve"> v desaťročnom horizonte znížia náklady na incidenty v oblasti kybernetickej bezpečnosti o 11,3 miliardy EUR.</w:t>
      </w:r>
    </w:p>
    <w:p w14:paraId="1D6A666A" w14:textId="77777777" w:rsidR="000E512F" w:rsidRPr="001E47E5" w:rsidRDefault="000E512F" w:rsidP="000E512F">
      <w:pPr>
        <w:widowControl w:val="0"/>
        <w:spacing w:before="120" w:after="120"/>
        <w:jc w:val="both"/>
        <w:rPr>
          <w:rFonts w:ascii="Times New Roman" w:hAnsi="Times New Roman" w:cs="Times New Roman"/>
          <w:bCs/>
          <w:iCs/>
          <w:noProof/>
          <w:sz w:val="24"/>
          <w:szCs w:val="24"/>
        </w:rPr>
      </w:pPr>
      <w:r w:rsidRPr="001E47E5">
        <w:rPr>
          <w:rFonts w:ascii="Times New Roman" w:hAnsi="Times New Roman" w:cs="Times New Roman"/>
          <w:bCs/>
          <w:iCs/>
          <w:noProof/>
          <w:sz w:val="24"/>
          <w:szCs w:val="24"/>
        </w:rPr>
        <w:t xml:space="preserve">Prehľad hlavných prínosov a nákladov poskytujú nasledovné tabuľky. </w:t>
      </w:r>
    </w:p>
    <w:p w14:paraId="15E7B72B" w14:textId="77777777" w:rsidR="000E512F" w:rsidRPr="001E47E5" w:rsidRDefault="000E512F" w:rsidP="000E512F">
      <w:pPr>
        <w:widowControl w:val="0"/>
        <w:spacing w:before="120" w:after="120"/>
        <w:jc w:val="both"/>
        <w:rPr>
          <w:rFonts w:ascii="Arial" w:hAnsi="Arial" w:cs="Arial"/>
          <w:i/>
          <w:noProof/>
          <w:highlight w:val="yellow"/>
        </w:rPr>
      </w:pPr>
      <w:r w:rsidRPr="001E47E5">
        <w:rPr>
          <w:rFonts w:ascii="Times New Roman" w:hAnsi="Times New Roman" w:cs="Times New Roman"/>
          <w:b/>
          <w:bCs/>
          <w:noProof/>
          <w:sz w:val="24"/>
          <w:szCs w:val="24"/>
        </w:rPr>
        <w:t>Prehľad nákladov a prínosov pre podniky na základe posúdenia vplyvov vykonaného E</w:t>
      </w:r>
      <w:r>
        <w:rPr>
          <w:rFonts w:ascii="Times New Roman" w:hAnsi="Times New Roman" w:cs="Times New Roman"/>
          <w:b/>
          <w:bCs/>
          <w:noProof/>
          <w:sz w:val="24"/>
          <w:szCs w:val="24"/>
        </w:rPr>
        <w:t>urópskou komisiou</w:t>
      </w:r>
    </w:p>
    <w:tbl>
      <w:tblPr>
        <w:tblW w:w="9072"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0E512F" w:rsidRPr="001E47E5" w14:paraId="18333DBF" w14:textId="77777777" w:rsidTr="000E512F">
        <w:tc>
          <w:tcPr>
            <w:tcW w:w="9072" w:type="dxa"/>
            <w:tcBorders>
              <w:top w:val="double" w:sz="4" w:space="0" w:color="auto"/>
              <w:bottom w:val="single" w:sz="4" w:space="0" w:color="auto"/>
            </w:tcBorders>
            <w:shd w:val="clear" w:color="auto" w:fill="BFBFBF" w:themeFill="background1" w:themeFillShade="BF"/>
          </w:tcPr>
          <w:p w14:paraId="756AAB1C" w14:textId="77777777" w:rsidR="000E512F" w:rsidRPr="001E47E5" w:rsidRDefault="000E512F" w:rsidP="000E512F">
            <w:pPr>
              <w:pStyle w:val="P68B1DB1-Normal1"/>
              <w:tabs>
                <w:tab w:val="num" w:pos="425"/>
              </w:tabs>
              <w:jc w:val="both"/>
              <w:rPr>
                <w:rFonts w:ascii="Times New Roman" w:hAnsi="Times New Roman" w:cs="Times New Roman"/>
                <w:i w:val="0"/>
                <w:iCs/>
                <w:szCs w:val="24"/>
                <w:highlight w:val="none"/>
                <w:lang w:val="sk-SK"/>
              </w:rPr>
            </w:pPr>
            <w:r w:rsidRPr="001E47E5">
              <w:rPr>
                <w:rFonts w:ascii="Times New Roman" w:hAnsi="Times New Roman" w:cs="Times New Roman"/>
                <w:i w:val="0"/>
                <w:iCs/>
                <w:szCs w:val="24"/>
                <w:highlight w:val="none"/>
                <w:lang w:val="sk-SK"/>
              </w:rPr>
              <w:t xml:space="preserve">I. Prehľad prínosov </w:t>
            </w:r>
          </w:p>
        </w:tc>
      </w:tr>
      <w:tr w:rsidR="000E512F" w:rsidRPr="001E47E5" w14:paraId="73C5D1C3" w14:textId="77777777" w:rsidTr="000E512F">
        <w:tc>
          <w:tcPr>
            <w:tcW w:w="9072" w:type="dxa"/>
            <w:tcBorders>
              <w:top w:val="single" w:sz="4" w:space="0" w:color="auto"/>
            </w:tcBorders>
            <w:shd w:val="clear" w:color="auto" w:fill="BFBFBF" w:themeFill="background1" w:themeFillShade="BF"/>
          </w:tcPr>
          <w:p w14:paraId="00D48382" w14:textId="77777777" w:rsidR="000E512F" w:rsidRPr="001E47E5" w:rsidRDefault="000E512F" w:rsidP="000E512F">
            <w:pPr>
              <w:pStyle w:val="P68B1DB1-Normal1"/>
              <w:tabs>
                <w:tab w:val="num" w:pos="425"/>
              </w:tabs>
              <w:jc w:val="both"/>
              <w:rPr>
                <w:rFonts w:ascii="Times New Roman" w:hAnsi="Times New Roman" w:cs="Times New Roman"/>
                <w:i w:val="0"/>
                <w:iCs/>
                <w:szCs w:val="24"/>
                <w:highlight w:val="none"/>
                <w:lang w:val="sk-SK"/>
              </w:rPr>
            </w:pPr>
            <w:r w:rsidRPr="001E47E5">
              <w:rPr>
                <w:rFonts w:ascii="Times New Roman" w:hAnsi="Times New Roman" w:cs="Times New Roman"/>
                <w:i w:val="0"/>
                <w:iCs/>
                <w:szCs w:val="24"/>
                <w:highlight w:val="none"/>
                <w:lang w:val="sk-SK"/>
              </w:rPr>
              <w:t>Popis</w:t>
            </w:r>
          </w:p>
        </w:tc>
      </w:tr>
      <w:tr w:rsidR="000E512F" w:rsidRPr="001E47E5" w14:paraId="1EA74F37" w14:textId="77777777" w:rsidTr="000E512F">
        <w:tc>
          <w:tcPr>
            <w:tcW w:w="9072" w:type="dxa"/>
            <w:tcBorders>
              <w:top w:val="double" w:sz="4" w:space="0" w:color="auto"/>
            </w:tcBorders>
          </w:tcPr>
          <w:p w14:paraId="070D273F" w14:textId="77777777" w:rsidR="000E512F" w:rsidRPr="001E47E5" w:rsidRDefault="000E512F" w:rsidP="000E512F">
            <w:pPr>
              <w:pStyle w:val="P68B1DB1-Normal2"/>
              <w:adjustRightInd w:val="0"/>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Zníženie administratívnej záťaže vyradením procesu identifikácie</w:t>
            </w:r>
          </w:p>
        </w:tc>
      </w:tr>
      <w:tr w:rsidR="000E512F" w:rsidRPr="001E47E5" w14:paraId="179FB21D" w14:textId="77777777" w:rsidTr="000E512F">
        <w:tc>
          <w:tcPr>
            <w:tcW w:w="9072" w:type="dxa"/>
            <w:tcBorders>
              <w:top w:val="double" w:sz="4" w:space="0" w:color="auto"/>
              <w:bottom w:val="double" w:sz="4" w:space="0" w:color="auto"/>
            </w:tcBorders>
          </w:tcPr>
          <w:p w14:paraId="1396B4B8" w14:textId="77777777" w:rsidR="000E512F" w:rsidRPr="001E47E5" w:rsidRDefault="000E512F" w:rsidP="000E512F">
            <w:pPr>
              <w:pStyle w:val="P68B1DB1-Normal2"/>
              <w:adjustRightInd w:val="0"/>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 xml:space="preserve">Zvýšenie súladu s bezpečnostnými požiadavkami </w:t>
            </w:r>
          </w:p>
        </w:tc>
      </w:tr>
      <w:tr w:rsidR="000E512F" w:rsidRPr="001E47E5" w14:paraId="3CB8D5E3" w14:textId="77777777" w:rsidTr="000E512F">
        <w:tc>
          <w:tcPr>
            <w:tcW w:w="9072" w:type="dxa"/>
            <w:tcBorders>
              <w:top w:val="double" w:sz="4" w:space="0" w:color="auto"/>
              <w:bottom w:val="single" w:sz="4" w:space="0" w:color="auto"/>
            </w:tcBorders>
          </w:tcPr>
          <w:p w14:paraId="6480D002" w14:textId="77777777" w:rsidR="000E512F" w:rsidRPr="001E47E5" w:rsidRDefault="000E512F" w:rsidP="000E512F">
            <w:pPr>
              <w:pStyle w:val="P68B1DB1-Normal2"/>
              <w:adjustRightInd w:val="0"/>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 xml:space="preserve">Jednotné kontaktné miesto pre oznámenia o narušení bezpečnosti vyplývajúce zo smernice </w:t>
            </w:r>
            <w:r>
              <w:rPr>
                <w:rFonts w:ascii="Times New Roman" w:hAnsi="Times New Roman" w:cs="Times New Roman"/>
                <w:szCs w:val="24"/>
                <w:highlight w:val="none"/>
                <w:lang w:val="sk-SK"/>
              </w:rPr>
              <w:t>NIS 2</w:t>
            </w:r>
            <w:r w:rsidRPr="001E47E5">
              <w:rPr>
                <w:rFonts w:ascii="Times New Roman" w:hAnsi="Times New Roman" w:cs="Times New Roman"/>
                <w:szCs w:val="24"/>
                <w:highlight w:val="none"/>
                <w:lang w:val="sk-SK"/>
              </w:rPr>
              <w:t>, všeobecného nariadenia o ochrane údajov a smernice o súkromí a elektronických komunikáciách, čím sa znižuje administratívna záťaž vyplývajúca z ohlasovacích povinností</w:t>
            </w:r>
          </w:p>
        </w:tc>
      </w:tr>
      <w:tr w:rsidR="000E512F" w:rsidRPr="001E47E5" w14:paraId="7BCCD804" w14:textId="77777777" w:rsidTr="000E512F">
        <w:tc>
          <w:tcPr>
            <w:tcW w:w="9072" w:type="dxa"/>
            <w:tcBorders>
              <w:top w:val="single" w:sz="4" w:space="0" w:color="auto"/>
              <w:bottom w:val="single" w:sz="4" w:space="0" w:color="auto"/>
            </w:tcBorders>
          </w:tcPr>
          <w:p w14:paraId="19F2344B" w14:textId="77777777" w:rsidR="000E512F" w:rsidRPr="001E47E5" w:rsidRDefault="000E512F" w:rsidP="000E512F">
            <w:pPr>
              <w:pStyle w:val="P68B1DB1-Normal2"/>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Zníženie strát z počítačovej kriminality (strednodobý</w:t>
            </w:r>
            <w:r>
              <w:rPr>
                <w:rFonts w:ascii="Times New Roman" w:hAnsi="Times New Roman" w:cs="Times New Roman"/>
                <w:szCs w:val="24"/>
                <w:highlight w:val="none"/>
                <w:lang w:val="sk-SK"/>
              </w:rPr>
              <w:t>m</w:t>
            </w:r>
            <w:r w:rsidRPr="001E47E5">
              <w:rPr>
                <w:rFonts w:ascii="Times New Roman" w:hAnsi="Times New Roman" w:cs="Times New Roman"/>
                <w:szCs w:val="24"/>
                <w:highlight w:val="none"/>
                <w:lang w:val="sk-SK"/>
              </w:rPr>
              <w:t>/dlhodobý</w:t>
            </w:r>
            <w:r>
              <w:rPr>
                <w:rFonts w:ascii="Times New Roman" w:hAnsi="Times New Roman" w:cs="Times New Roman"/>
                <w:szCs w:val="24"/>
                <w:highlight w:val="none"/>
                <w:lang w:val="sk-SK"/>
              </w:rPr>
              <w:t>m</w:t>
            </w:r>
            <w:r w:rsidRPr="001E47E5">
              <w:rPr>
                <w:rFonts w:ascii="Times New Roman" w:hAnsi="Times New Roman" w:cs="Times New Roman"/>
                <w:szCs w:val="24"/>
                <w:highlight w:val="none"/>
                <w:lang w:val="sk-SK"/>
              </w:rPr>
              <w:t xml:space="preserve"> uplatňovaním vyššej úrovne bezpečnostných požiadaviek) Používanie vyššej úrovne bezpečnostných požiadaviek a najmä plne nasadenej bezpečnostnej automatizácie (napr. používanie pokročilých </w:t>
            </w:r>
            <w:r w:rsidRPr="001E47E5">
              <w:rPr>
                <w:rFonts w:ascii="Times New Roman" w:hAnsi="Times New Roman" w:cs="Times New Roman"/>
                <w:szCs w:val="24"/>
                <w:highlight w:val="none"/>
                <w:lang w:val="sk-SK"/>
              </w:rPr>
              <w:lastRenderedPageBreak/>
              <w:t>technológií, umelej inteligencie, automatizovaných skenovacích nástrojov atď.) pomáha spoločnostiam znížiť životný cyklus porušenia o 74 dní v porovnaní so spoločnosťami bez nasadenia bezpečnostnej</w:t>
            </w:r>
            <w:r>
              <w:rPr>
                <w:rFonts w:ascii="Times New Roman" w:hAnsi="Times New Roman" w:cs="Times New Roman"/>
                <w:szCs w:val="24"/>
                <w:highlight w:val="none"/>
                <w:lang w:val="sk-SK"/>
              </w:rPr>
              <w:t xml:space="preserve"> automatizácie z 308 na 234 dní</w:t>
            </w:r>
          </w:p>
        </w:tc>
      </w:tr>
      <w:tr w:rsidR="000E512F" w:rsidRPr="001E47E5" w14:paraId="58FC73F3" w14:textId="77777777" w:rsidTr="000E512F">
        <w:tc>
          <w:tcPr>
            <w:tcW w:w="9072" w:type="dxa"/>
            <w:tcBorders>
              <w:top w:val="single" w:sz="4" w:space="0" w:color="auto"/>
              <w:bottom w:val="single" w:sz="4" w:space="0" w:color="auto"/>
            </w:tcBorders>
          </w:tcPr>
          <w:p w14:paraId="7C88092F" w14:textId="77777777" w:rsidR="000E512F" w:rsidRPr="001E47E5" w:rsidRDefault="000E512F" w:rsidP="000E512F">
            <w:pPr>
              <w:pStyle w:val="P68B1DB1-Normal2"/>
              <w:adjustRightInd w:val="0"/>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lastRenderedPageBreak/>
              <w:t>Zníženie počtu bezpečnostných incidentov a strát z počítačovej kriminality</w:t>
            </w:r>
          </w:p>
          <w:p w14:paraId="09D55A78" w14:textId="77777777" w:rsidR="000E512F" w:rsidRPr="001E47E5" w:rsidRDefault="000E512F" w:rsidP="000E512F">
            <w:pPr>
              <w:pStyle w:val="P68B1DB1-Normal2"/>
              <w:adjustRightInd w:val="0"/>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Odhadované zníženie nákladov na kybernetické incidenty o 11,3 miliardy EUR počas 10-ročného obdobia</w:t>
            </w:r>
          </w:p>
        </w:tc>
      </w:tr>
      <w:tr w:rsidR="000E512F" w:rsidRPr="001E47E5" w14:paraId="5B654A74" w14:textId="77777777" w:rsidTr="000E512F">
        <w:tc>
          <w:tcPr>
            <w:tcW w:w="9072" w:type="dxa"/>
            <w:tcBorders>
              <w:top w:val="single" w:sz="4" w:space="0" w:color="auto"/>
              <w:bottom w:val="single" w:sz="4" w:space="0" w:color="auto"/>
            </w:tcBorders>
          </w:tcPr>
          <w:p w14:paraId="67F9209E" w14:textId="77777777" w:rsidR="000E512F" w:rsidRPr="001E47E5" w:rsidRDefault="000E512F" w:rsidP="000E512F">
            <w:pPr>
              <w:pStyle w:val="P68B1DB1-Normal2"/>
              <w:adjustRightInd w:val="0"/>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Zníženie nákladovej zodpovednosti za porušenia</w:t>
            </w:r>
          </w:p>
        </w:tc>
      </w:tr>
      <w:tr w:rsidR="000E512F" w:rsidRPr="001E47E5" w14:paraId="3301CD62" w14:textId="77777777" w:rsidTr="000E512F">
        <w:tc>
          <w:tcPr>
            <w:tcW w:w="9072" w:type="dxa"/>
            <w:tcBorders>
              <w:top w:val="single" w:sz="4" w:space="0" w:color="auto"/>
              <w:bottom w:val="single" w:sz="4" w:space="0" w:color="auto"/>
            </w:tcBorders>
          </w:tcPr>
          <w:p w14:paraId="57E6240C" w14:textId="77777777" w:rsidR="000E512F" w:rsidRPr="001E47E5" w:rsidRDefault="000E512F" w:rsidP="000E512F">
            <w:pPr>
              <w:pStyle w:val="P68B1DB1-Normal2"/>
              <w:adjustRightInd w:val="0"/>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Zvýšenie dôvery zákazníkov</w:t>
            </w:r>
          </w:p>
        </w:tc>
      </w:tr>
      <w:tr w:rsidR="000E512F" w:rsidRPr="001E47E5" w14:paraId="5A1E49ED" w14:textId="77777777" w:rsidTr="000E512F">
        <w:tc>
          <w:tcPr>
            <w:tcW w:w="9072" w:type="dxa"/>
            <w:tcBorders>
              <w:top w:val="single" w:sz="4" w:space="0" w:color="auto"/>
              <w:bottom w:val="single" w:sz="4" w:space="0" w:color="auto"/>
            </w:tcBorders>
          </w:tcPr>
          <w:p w14:paraId="6730E717" w14:textId="77777777" w:rsidR="000E512F" w:rsidRPr="001E47E5" w:rsidRDefault="000E512F" w:rsidP="000E512F">
            <w:pPr>
              <w:pStyle w:val="P68B1DB1-Normal2"/>
              <w:adjustRightInd w:val="0"/>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Ochrana pred nekalou hospodárskou súťažou (napr. zabránením priemyselnej špionáži)</w:t>
            </w:r>
          </w:p>
        </w:tc>
      </w:tr>
      <w:tr w:rsidR="000E512F" w:rsidRPr="001E47E5" w14:paraId="3F5F35CC" w14:textId="77777777" w:rsidTr="000E512F">
        <w:tc>
          <w:tcPr>
            <w:tcW w:w="9072" w:type="dxa"/>
            <w:tcBorders>
              <w:top w:val="single" w:sz="4" w:space="0" w:color="auto"/>
              <w:bottom w:val="single" w:sz="4" w:space="0" w:color="auto"/>
            </w:tcBorders>
          </w:tcPr>
          <w:p w14:paraId="5706EA81" w14:textId="77777777" w:rsidR="000E512F" w:rsidRPr="001E47E5" w:rsidRDefault="000E512F" w:rsidP="000E512F">
            <w:pPr>
              <w:pStyle w:val="P68B1DB1-Normal2"/>
              <w:adjustRightInd w:val="0"/>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 xml:space="preserve">Zvýšená a konzistentná úroveň odolnosti na úrovni kľúčových </w:t>
            </w:r>
            <w:r>
              <w:rPr>
                <w:rFonts w:ascii="Times New Roman" w:hAnsi="Times New Roman" w:cs="Times New Roman"/>
                <w:szCs w:val="24"/>
                <w:highlight w:val="none"/>
                <w:lang w:val="sk-SK"/>
              </w:rPr>
              <w:t xml:space="preserve">subjektov - </w:t>
            </w:r>
            <w:r w:rsidRPr="001E47E5">
              <w:rPr>
                <w:rFonts w:ascii="Times New Roman" w:hAnsi="Times New Roman" w:cs="Times New Roman"/>
                <w:szCs w:val="24"/>
                <w:highlight w:val="none"/>
                <w:lang w:val="sk-SK"/>
              </w:rPr>
              <w:t>podnikov</w:t>
            </w:r>
          </w:p>
        </w:tc>
      </w:tr>
      <w:tr w:rsidR="000E512F" w:rsidRPr="001E47E5" w14:paraId="0386CEC5" w14:textId="77777777" w:rsidTr="000E512F">
        <w:tc>
          <w:tcPr>
            <w:tcW w:w="9072" w:type="dxa"/>
            <w:tcBorders>
              <w:top w:val="single" w:sz="4" w:space="0" w:color="auto"/>
              <w:bottom w:val="single" w:sz="4" w:space="0" w:color="auto"/>
            </w:tcBorders>
          </w:tcPr>
          <w:p w14:paraId="429FB245" w14:textId="77777777" w:rsidR="000E512F" w:rsidRPr="001E47E5" w:rsidRDefault="000E512F" w:rsidP="000E512F">
            <w:pPr>
              <w:pStyle w:val="P68B1DB1-Normal2"/>
              <w:adjustRightInd w:val="0"/>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Zlepšenie situačného povedomia</w:t>
            </w:r>
          </w:p>
        </w:tc>
      </w:tr>
      <w:tr w:rsidR="000E512F" w:rsidRPr="001E47E5" w14:paraId="3CDCB2BE" w14:textId="77777777" w:rsidTr="000E512F">
        <w:trPr>
          <w:trHeight w:val="207"/>
        </w:trPr>
        <w:tc>
          <w:tcPr>
            <w:tcW w:w="9072" w:type="dxa"/>
            <w:tcBorders>
              <w:top w:val="single" w:sz="4" w:space="0" w:color="auto"/>
              <w:bottom w:val="double" w:sz="4" w:space="0" w:color="auto"/>
            </w:tcBorders>
          </w:tcPr>
          <w:p w14:paraId="65B71CE7" w14:textId="77777777" w:rsidR="000E512F" w:rsidRPr="001E47E5" w:rsidRDefault="000E512F" w:rsidP="000E512F">
            <w:pPr>
              <w:pStyle w:val="P68B1DB1-Normal2"/>
              <w:adjustRightInd w:val="0"/>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Zvýšenie operačných spôsobilostí</w:t>
            </w:r>
          </w:p>
        </w:tc>
      </w:tr>
      <w:tr w:rsidR="000E512F" w:rsidRPr="001E47E5" w14:paraId="22B81454" w14:textId="77777777" w:rsidTr="000E512F">
        <w:trPr>
          <w:trHeight w:val="14"/>
        </w:trPr>
        <w:tc>
          <w:tcPr>
            <w:tcW w:w="9072" w:type="dxa"/>
            <w:tcBorders>
              <w:top w:val="double" w:sz="4" w:space="0" w:color="auto"/>
            </w:tcBorders>
          </w:tcPr>
          <w:p w14:paraId="79C20148"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Lepšia ochrana osobných údajov</w:t>
            </w:r>
          </w:p>
        </w:tc>
      </w:tr>
    </w:tbl>
    <w:p w14:paraId="0AF0A705" w14:textId="77777777" w:rsidR="000E512F" w:rsidRPr="001E47E5" w:rsidRDefault="000E512F" w:rsidP="000E512F">
      <w:pPr>
        <w:ind w:right="-964"/>
        <w:jc w:val="both"/>
        <w:rPr>
          <w:rFonts w:ascii="Arial" w:hAnsi="Arial" w:cs="Arial"/>
          <w:i/>
          <w:noProof/>
          <w:highlight w:val="yellow"/>
        </w:rPr>
      </w:pPr>
    </w:p>
    <w:p w14:paraId="4D442FC0" w14:textId="77777777" w:rsidR="000E512F" w:rsidRPr="001E47E5" w:rsidRDefault="000E512F" w:rsidP="000E512F">
      <w:pPr>
        <w:ind w:right="-964"/>
        <w:jc w:val="both"/>
        <w:rPr>
          <w:rFonts w:ascii="Arial" w:hAnsi="Arial" w:cs="Arial"/>
          <w:i/>
          <w:noProof/>
          <w:highlight w:val="yellow"/>
        </w:rPr>
        <w:sectPr w:rsidR="000E512F" w:rsidRPr="001E47E5" w:rsidSect="000E512F">
          <w:pgSz w:w="12240" w:h="15840"/>
          <w:pgMar w:top="1417" w:right="1417" w:bottom="1417" w:left="1417" w:header="708" w:footer="708" w:gutter="0"/>
          <w:cols w:space="708"/>
          <w:docGrid w:linePitch="360"/>
        </w:sectPr>
      </w:pPr>
    </w:p>
    <w:tbl>
      <w:tblPr>
        <w:tblW w:w="13326"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254"/>
        <w:gridCol w:w="992"/>
        <w:gridCol w:w="4678"/>
        <w:gridCol w:w="3402"/>
      </w:tblGrid>
      <w:tr w:rsidR="000E512F" w:rsidRPr="001E47E5" w14:paraId="0C726A50" w14:textId="77777777" w:rsidTr="000E512F">
        <w:tc>
          <w:tcPr>
            <w:tcW w:w="5246" w:type="dxa"/>
            <w:gridSpan w:val="2"/>
            <w:shd w:val="clear" w:color="auto" w:fill="BFBFBF" w:themeFill="background1" w:themeFillShade="BF"/>
            <w:tcMar>
              <w:top w:w="57" w:type="dxa"/>
              <w:left w:w="57" w:type="dxa"/>
              <w:bottom w:w="57" w:type="dxa"/>
              <w:right w:w="57" w:type="dxa"/>
            </w:tcMar>
          </w:tcPr>
          <w:p w14:paraId="4BE8B6C9" w14:textId="77777777" w:rsidR="000E512F" w:rsidRPr="001E47E5" w:rsidRDefault="000E512F" w:rsidP="000E512F">
            <w:pPr>
              <w:pStyle w:val="P68B1DB1-Normal1"/>
              <w:tabs>
                <w:tab w:val="num" w:pos="425"/>
              </w:tabs>
              <w:jc w:val="both"/>
              <w:rPr>
                <w:rFonts w:ascii="Times New Roman" w:hAnsi="Times New Roman" w:cs="Times New Roman"/>
                <w:iCs/>
                <w:szCs w:val="24"/>
                <w:highlight w:val="none"/>
                <w:lang w:val="sk-SK"/>
              </w:rPr>
            </w:pPr>
            <w:r w:rsidRPr="001E47E5">
              <w:rPr>
                <w:rFonts w:ascii="Times New Roman" w:hAnsi="Times New Roman" w:cs="Times New Roman"/>
                <w:iCs/>
                <w:szCs w:val="24"/>
                <w:highlight w:val="none"/>
                <w:lang w:val="sk-SK"/>
              </w:rPr>
              <w:lastRenderedPageBreak/>
              <w:t xml:space="preserve">II. Prehľad nákladov </w:t>
            </w:r>
          </w:p>
        </w:tc>
        <w:tc>
          <w:tcPr>
            <w:tcW w:w="8080" w:type="dxa"/>
            <w:gridSpan w:val="2"/>
            <w:shd w:val="clear" w:color="auto" w:fill="BFBFBF" w:themeFill="background1" w:themeFillShade="BF"/>
          </w:tcPr>
          <w:p w14:paraId="39B91549" w14:textId="77777777" w:rsidR="000E512F" w:rsidRPr="001E47E5" w:rsidRDefault="000E512F" w:rsidP="000E512F">
            <w:pPr>
              <w:pStyle w:val="P68B1DB1-Normal1"/>
              <w:tabs>
                <w:tab w:val="num" w:pos="425"/>
              </w:tabs>
              <w:jc w:val="both"/>
              <w:rPr>
                <w:rFonts w:ascii="Times New Roman" w:hAnsi="Times New Roman" w:cs="Times New Roman"/>
                <w:iCs/>
                <w:szCs w:val="24"/>
                <w:highlight w:val="none"/>
                <w:lang w:val="sk-SK"/>
              </w:rPr>
            </w:pPr>
          </w:p>
        </w:tc>
      </w:tr>
      <w:tr w:rsidR="000E512F" w:rsidRPr="001E47E5" w14:paraId="16F0D190" w14:textId="77777777" w:rsidTr="000E512F">
        <w:trPr>
          <w:trHeight w:val="278"/>
        </w:trPr>
        <w:tc>
          <w:tcPr>
            <w:tcW w:w="5246" w:type="dxa"/>
            <w:gridSpan w:val="2"/>
            <w:vMerge w:val="restart"/>
            <w:tcBorders>
              <w:top w:val="double" w:sz="4" w:space="0" w:color="auto"/>
              <w:right w:val="double" w:sz="4" w:space="0" w:color="auto"/>
              <w:tl2br w:val="double" w:sz="4" w:space="0" w:color="auto"/>
            </w:tcBorders>
            <w:tcMar>
              <w:top w:w="57" w:type="dxa"/>
              <w:left w:w="57" w:type="dxa"/>
              <w:bottom w:w="57" w:type="dxa"/>
              <w:right w:w="57" w:type="dxa"/>
            </w:tcMar>
          </w:tcPr>
          <w:p w14:paraId="1C653BE8" w14:textId="77777777" w:rsidR="000E512F" w:rsidRPr="001E47E5" w:rsidRDefault="000E512F" w:rsidP="000E512F">
            <w:pPr>
              <w:tabs>
                <w:tab w:val="num" w:pos="425"/>
              </w:tabs>
              <w:jc w:val="both"/>
              <w:rPr>
                <w:szCs w:val="24"/>
              </w:rPr>
            </w:pPr>
          </w:p>
        </w:tc>
        <w:tc>
          <w:tcPr>
            <w:tcW w:w="8080" w:type="dxa"/>
            <w:gridSpan w:val="2"/>
            <w:tcMar>
              <w:top w:w="57" w:type="dxa"/>
              <w:left w:w="57" w:type="dxa"/>
              <w:bottom w:w="57" w:type="dxa"/>
              <w:right w:w="57" w:type="dxa"/>
            </w:tcMar>
          </w:tcPr>
          <w:p w14:paraId="72B7F9A3"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Podniky</w:t>
            </w:r>
          </w:p>
        </w:tc>
      </w:tr>
      <w:tr w:rsidR="000E512F" w:rsidRPr="001E47E5" w14:paraId="04318B70" w14:textId="77777777" w:rsidTr="000E512F">
        <w:tc>
          <w:tcPr>
            <w:tcW w:w="5246" w:type="dxa"/>
            <w:gridSpan w:val="2"/>
            <w:vMerge/>
            <w:tcBorders>
              <w:bottom w:val="double" w:sz="4" w:space="0" w:color="auto"/>
              <w:right w:val="double" w:sz="4" w:space="0" w:color="auto"/>
              <w:tl2br w:val="double" w:sz="4" w:space="0" w:color="auto"/>
            </w:tcBorders>
            <w:tcMar>
              <w:top w:w="57" w:type="dxa"/>
              <w:left w:w="57" w:type="dxa"/>
              <w:bottom w:w="57" w:type="dxa"/>
              <w:right w:w="57" w:type="dxa"/>
            </w:tcMar>
          </w:tcPr>
          <w:p w14:paraId="2FA431CB" w14:textId="77777777" w:rsidR="000E512F" w:rsidRPr="001E47E5" w:rsidRDefault="000E512F" w:rsidP="000E512F">
            <w:pPr>
              <w:tabs>
                <w:tab w:val="num" w:pos="425"/>
              </w:tabs>
              <w:jc w:val="both"/>
              <w:rPr>
                <w:szCs w:val="24"/>
              </w:rPr>
            </w:pPr>
          </w:p>
        </w:tc>
        <w:tc>
          <w:tcPr>
            <w:tcW w:w="4678" w:type="dxa"/>
            <w:tcBorders>
              <w:bottom w:val="double" w:sz="4" w:space="0" w:color="auto"/>
            </w:tcBorders>
            <w:tcMar>
              <w:top w:w="57" w:type="dxa"/>
              <w:left w:w="57" w:type="dxa"/>
              <w:bottom w:w="57" w:type="dxa"/>
              <w:right w:w="57" w:type="dxa"/>
            </w:tcMar>
          </w:tcPr>
          <w:p w14:paraId="4917003A"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Jednorazové</w:t>
            </w:r>
          </w:p>
        </w:tc>
        <w:tc>
          <w:tcPr>
            <w:tcW w:w="3402" w:type="dxa"/>
            <w:tcBorders>
              <w:bottom w:val="double" w:sz="4" w:space="0" w:color="auto"/>
            </w:tcBorders>
            <w:tcMar>
              <w:top w:w="57" w:type="dxa"/>
              <w:left w:w="57" w:type="dxa"/>
              <w:bottom w:w="57" w:type="dxa"/>
              <w:right w:w="57" w:type="dxa"/>
            </w:tcMar>
          </w:tcPr>
          <w:p w14:paraId="127095DA"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Opakované</w:t>
            </w:r>
          </w:p>
        </w:tc>
      </w:tr>
      <w:tr w:rsidR="000E512F" w:rsidRPr="001E47E5" w14:paraId="7BBD0D8E" w14:textId="77777777" w:rsidTr="000E512F">
        <w:trPr>
          <w:trHeight w:val="307"/>
        </w:trPr>
        <w:tc>
          <w:tcPr>
            <w:tcW w:w="4254" w:type="dxa"/>
            <w:tcMar>
              <w:top w:w="57" w:type="dxa"/>
              <w:left w:w="57" w:type="dxa"/>
              <w:bottom w:w="57" w:type="dxa"/>
              <w:right w:w="57" w:type="dxa"/>
            </w:tcMar>
            <w:vAlign w:val="center"/>
          </w:tcPr>
          <w:p w14:paraId="7BBF06D9" w14:textId="77777777" w:rsidR="000E512F" w:rsidRPr="001E47E5" w:rsidRDefault="000E512F" w:rsidP="000E512F">
            <w:pPr>
              <w:pStyle w:val="P68B1DB1-Normal5"/>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Opatrenie a)</w:t>
            </w:r>
          </w:p>
          <w:p w14:paraId="6A76B7C1" w14:textId="77777777" w:rsidR="000E512F" w:rsidRPr="001E47E5" w:rsidRDefault="000E512F" w:rsidP="000E512F">
            <w:pPr>
              <w:pStyle w:val="P68B1DB1-Normal1"/>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Rozšírenie rozsahu pôsobnosti NIS (vrátane doplnenia veľkostného stropu)</w:t>
            </w:r>
          </w:p>
        </w:tc>
        <w:tc>
          <w:tcPr>
            <w:tcW w:w="992" w:type="dxa"/>
            <w:tcBorders>
              <w:right w:val="double" w:sz="4" w:space="0" w:color="auto"/>
            </w:tcBorders>
            <w:tcMar>
              <w:top w:w="57" w:type="dxa"/>
              <w:left w:w="57" w:type="dxa"/>
              <w:bottom w:w="57" w:type="dxa"/>
              <w:right w:w="57" w:type="dxa"/>
            </w:tcMar>
            <w:vAlign w:val="center"/>
          </w:tcPr>
          <w:p w14:paraId="677449F1"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Priame náklady</w:t>
            </w:r>
          </w:p>
        </w:tc>
        <w:tc>
          <w:tcPr>
            <w:tcW w:w="4678" w:type="dxa"/>
            <w:tcMar>
              <w:top w:w="57" w:type="dxa"/>
              <w:left w:w="57" w:type="dxa"/>
              <w:bottom w:w="57" w:type="dxa"/>
              <w:right w:w="57" w:type="dxa"/>
            </w:tcMar>
          </w:tcPr>
          <w:p w14:paraId="734592CA" w14:textId="77777777" w:rsidR="000E512F" w:rsidRPr="00BC225E" w:rsidRDefault="000E512F" w:rsidP="000E512F">
            <w:pPr>
              <w:pStyle w:val="P68B1DB1-Normal6"/>
              <w:tabs>
                <w:tab w:val="num" w:pos="425"/>
              </w:tabs>
              <w:jc w:val="both"/>
              <w:rPr>
                <w:rFonts w:ascii="Times New Roman" w:hAnsi="Times New Roman" w:cs="Times New Roman"/>
                <w:szCs w:val="24"/>
                <w:highlight w:val="none"/>
                <w:lang w:val="sk-SK"/>
              </w:rPr>
            </w:pPr>
            <w:r w:rsidRPr="00BC225E">
              <w:rPr>
                <w:rFonts w:ascii="Times New Roman" w:hAnsi="Times New Roman" w:cs="Times New Roman"/>
                <w:szCs w:val="24"/>
                <w:highlight w:val="none"/>
                <w:lang w:val="sk-SK"/>
              </w:rPr>
              <w:t xml:space="preserve">Priemerné 22 % zvýšenie výdavkov na bezpečnosť IKT v nových odvetviach/službách </w:t>
            </w:r>
          </w:p>
          <w:p w14:paraId="4F1D5355" w14:textId="77777777" w:rsidR="000E512F" w:rsidRPr="00BC225E" w:rsidRDefault="000E512F" w:rsidP="000E512F">
            <w:pPr>
              <w:pStyle w:val="P68B1DB1-Normal6"/>
              <w:tabs>
                <w:tab w:val="num" w:pos="425"/>
              </w:tabs>
              <w:jc w:val="both"/>
              <w:rPr>
                <w:rFonts w:ascii="Times New Roman" w:hAnsi="Times New Roman" w:cs="Times New Roman"/>
                <w:szCs w:val="24"/>
                <w:highlight w:val="none"/>
                <w:lang w:val="sk-SK"/>
              </w:rPr>
            </w:pPr>
            <w:r w:rsidRPr="00BC225E">
              <w:rPr>
                <w:rFonts w:ascii="Times New Roman" w:hAnsi="Times New Roman" w:cs="Times New Roman"/>
                <w:szCs w:val="24"/>
                <w:highlight w:val="none"/>
                <w:lang w:val="sk-SK"/>
              </w:rPr>
              <w:t>V prípade nových odvetví alebo služieb by sa v prípade stredných podnikov mohlo očakávať zvýšenie výdavkov na IKT o približne 25 %.</w:t>
            </w:r>
          </w:p>
          <w:p w14:paraId="3312B8C6" w14:textId="77777777" w:rsidR="000E512F" w:rsidRPr="001E47E5" w:rsidRDefault="000E512F" w:rsidP="000E512F">
            <w:pPr>
              <w:pStyle w:val="P68B1DB1-Normal6"/>
              <w:tabs>
                <w:tab w:val="num" w:pos="425"/>
              </w:tabs>
              <w:jc w:val="both"/>
              <w:rPr>
                <w:rFonts w:ascii="Times New Roman" w:hAnsi="Times New Roman" w:cs="Times New Roman"/>
                <w:szCs w:val="24"/>
                <w:highlight w:val="none"/>
                <w:lang w:val="sk-SK"/>
              </w:rPr>
            </w:pPr>
            <w:r w:rsidRPr="00BC225E">
              <w:rPr>
                <w:rFonts w:ascii="Times New Roman" w:hAnsi="Times New Roman" w:cs="Times New Roman"/>
                <w:szCs w:val="24"/>
                <w:highlight w:val="none"/>
                <w:lang w:val="sk-SK"/>
              </w:rPr>
              <w:t>Poznámka: celkovo sa okrem odhadovaného zvýšenia výdavkov na IKT vyvolaného rozšírením rozsahu pôsobnosti odvetvia odhaduje priemerný nárast výdavkov na bezpečnosť IKT o 12 % v odvetviach/službách, ktoré v súčasnosti patria do rozsahu pôsobnosti smernice NIS v nasledujúcich 3 – 4 rokoch. V prípade stredných podnikov je tento odhad približne 15 %. Toto zvýšenie sa týka kumulatívneho účinku všetkých opatrení</w:t>
            </w:r>
            <w:r w:rsidRPr="001E47E5">
              <w:rPr>
                <w:rFonts w:ascii="Times New Roman" w:hAnsi="Times New Roman" w:cs="Times New Roman"/>
                <w:szCs w:val="24"/>
                <w:highlight w:val="none"/>
                <w:lang w:val="sk-SK"/>
              </w:rPr>
              <w:t xml:space="preserve"> </w:t>
            </w:r>
          </w:p>
        </w:tc>
        <w:tc>
          <w:tcPr>
            <w:tcW w:w="3402" w:type="dxa"/>
            <w:tcMar>
              <w:top w:w="57" w:type="dxa"/>
              <w:left w:w="57" w:type="dxa"/>
              <w:bottom w:w="57" w:type="dxa"/>
              <w:right w:w="57" w:type="dxa"/>
            </w:tcMar>
          </w:tcPr>
          <w:p w14:paraId="7047560C"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Náklady na implementáciu vyšších bezpečnostných požiadaviek a zdokumentovaných bezpečnostných opatrení</w:t>
            </w:r>
          </w:p>
        </w:tc>
      </w:tr>
      <w:tr w:rsidR="000E512F" w:rsidRPr="001E47E5" w14:paraId="7D80048A" w14:textId="77777777" w:rsidTr="000E512F">
        <w:tc>
          <w:tcPr>
            <w:tcW w:w="4254" w:type="dxa"/>
            <w:tcBorders>
              <w:top w:val="double" w:sz="4" w:space="0" w:color="auto"/>
            </w:tcBorders>
            <w:tcMar>
              <w:top w:w="57" w:type="dxa"/>
              <w:left w:w="57" w:type="dxa"/>
              <w:bottom w:w="57" w:type="dxa"/>
              <w:right w:w="57" w:type="dxa"/>
            </w:tcMar>
          </w:tcPr>
          <w:p w14:paraId="1EBE02E3" w14:textId="77777777" w:rsidR="000E512F" w:rsidRPr="001E47E5" w:rsidRDefault="000E512F" w:rsidP="000E512F">
            <w:pPr>
              <w:pStyle w:val="P68B1DB1-Normal5"/>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Opatrenie b)</w:t>
            </w:r>
          </w:p>
          <w:p w14:paraId="7A819381" w14:textId="77777777" w:rsidR="000E512F" w:rsidRPr="001E47E5" w:rsidRDefault="000E512F" w:rsidP="000E512F">
            <w:pPr>
              <w:pStyle w:val="P68B1DB1-Normal1"/>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Vyradenie procesu identifikácie a rovnaké postavenie všetkých prevádzkovateľov a poskytovateľov digitálnych služieb pri súčasnom rozlišovaní z dôvodov dôležitosti/kritickosti</w:t>
            </w:r>
          </w:p>
        </w:tc>
        <w:tc>
          <w:tcPr>
            <w:tcW w:w="992" w:type="dxa"/>
            <w:tcBorders>
              <w:top w:val="double" w:sz="4" w:space="0" w:color="auto"/>
              <w:right w:val="double" w:sz="4" w:space="0" w:color="auto"/>
            </w:tcBorders>
            <w:tcMar>
              <w:top w:w="57" w:type="dxa"/>
              <w:left w:w="57" w:type="dxa"/>
              <w:bottom w:w="57" w:type="dxa"/>
              <w:right w:w="57" w:type="dxa"/>
            </w:tcMar>
            <w:vAlign w:val="center"/>
          </w:tcPr>
          <w:p w14:paraId="5804C249"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Priame náklady</w:t>
            </w:r>
          </w:p>
        </w:tc>
        <w:tc>
          <w:tcPr>
            <w:tcW w:w="4678" w:type="dxa"/>
            <w:tcBorders>
              <w:top w:val="double" w:sz="4" w:space="0" w:color="auto"/>
            </w:tcBorders>
            <w:tcMar>
              <w:top w:w="57" w:type="dxa"/>
              <w:left w:w="57" w:type="dxa"/>
              <w:bottom w:w="57" w:type="dxa"/>
              <w:right w:w="57" w:type="dxa"/>
            </w:tcMar>
          </w:tcPr>
          <w:p w14:paraId="499E3F43"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Zanedbateľné personálne náklady (najmä právne oddelenia), žiadne dodatočné FTE</w:t>
            </w:r>
          </w:p>
        </w:tc>
        <w:tc>
          <w:tcPr>
            <w:tcW w:w="3402" w:type="dxa"/>
            <w:tcBorders>
              <w:top w:val="double" w:sz="4" w:space="0" w:color="auto"/>
            </w:tcBorders>
            <w:tcMar>
              <w:top w:w="57" w:type="dxa"/>
              <w:left w:w="57" w:type="dxa"/>
              <w:bottom w:w="57" w:type="dxa"/>
              <w:right w:w="57" w:type="dxa"/>
            </w:tcMar>
          </w:tcPr>
          <w:p w14:paraId="56EDD7E3"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neuvádza sa</w:t>
            </w:r>
          </w:p>
        </w:tc>
      </w:tr>
      <w:tr w:rsidR="000E512F" w:rsidRPr="001E47E5" w14:paraId="1411B4E4" w14:textId="77777777" w:rsidTr="000E512F">
        <w:trPr>
          <w:trHeight w:val="515"/>
        </w:trPr>
        <w:tc>
          <w:tcPr>
            <w:tcW w:w="4254" w:type="dxa"/>
            <w:tcMar>
              <w:top w:w="57" w:type="dxa"/>
              <w:left w:w="57" w:type="dxa"/>
              <w:bottom w:w="57" w:type="dxa"/>
              <w:right w:w="57" w:type="dxa"/>
            </w:tcMar>
          </w:tcPr>
          <w:p w14:paraId="333B239C" w14:textId="77777777" w:rsidR="000E512F" w:rsidRPr="001E47E5" w:rsidRDefault="000E512F" w:rsidP="000E512F">
            <w:pPr>
              <w:pStyle w:val="P68B1DB1-Normal5"/>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Opatrenie c)</w:t>
            </w:r>
          </w:p>
          <w:p w14:paraId="7ED1ECB6" w14:textId="77777777" w:rsidR="000E512F" w:rsidRPr="001E47E5" w:rsidRDefault="000E512F" w:rsidP="000E512F">
            <w:pPr>
              <w:pStyle w:val="P68B1DB1-Normal1"/>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Ďalšia harmonizácia a zefektívnenie požiadaviek na riadenie rizík/bezpečnosť</w:t>
            </w:r>
          </w:p>
        </w:tc>
        <w:tc>
          <w:tcPr>
            <w:tcW w:w="992" w:type="dxa"/>
            <w:tcBorders>
              <w:right w:val="double" w:sz="4" w:space="0" w:color="auto"/>
            </w:tcBorders>
            <w:tcMar>
              <w:top w:w="57" w:type="dxa"/>
              <w:left w:w="57" w:type="dxa"/>
              <w:bottom w:w="57" w:type="dxa"/>
              <w:right w:w="57" w:type="dxa"/>
            </w:tcMar>
            <w:vAlign w:val="center"/>
          </w:tcPr>
          <w:p w14:paraId="5673088A"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Priame náklady</w:t>
            </w:r>
          </w:p>
        </w:tc>
        <w:tc>
          <w:tcPr>
            <w:tcW w:w="4678" w:type="dxa"/>
            <w:tcMar>
              <w:top w:w="57" w:type="dxa"/>
              <w:left w:w="57" w:type="dxa"/>
              <w:bottom w:w="57" w:type="dxa"/>
              <w:right w:w="57" w:type="dxa"/>
            </w:tcMar>
          </w:tcPr>
          <w:p w14:paraId="161B6AE1" w14:textId="77777777" w:rsidR="000E512F" w:rsidRPr="001E47E5" w:rsidRDefault="000E512F" w:rsidP="000E512F">
            <w:pPr>
              <w:pStyle w:val="P68B1DB1-ListBullet4"/>
              <w:numPr>
                <w:ilvl w:val="0"/>
                <w:numId w:val="29"/>
              </w:numPr>
              <w:spacing w:after="0"/>
              <w:ind w:left="284" w:hanging="284"/>
              <w:jc w:val="left"/>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 xml:space="preserve">Personál (vrátane potenciálneho vytvorenia nových interných tímov): </w:t>
            </w:r>
            <w:r w:rsidRPr="001E47E5">
              <w:rPr>
                <w:rFonts w:ascii="Times New Roman" w:hAnsi="Times New Roman" w:cs="Times New Roman"/>
                <w:color w:val="000000" w:themeColor="text1"/>
                <w:szCs w:val="24"/>
                <w:highlight w:val="none"/>
                <w:lang w:val="sk-SK"/>
              </w:rPr>
              <w:t>2 – 4 dodatočné FTE</w:t>
            </w:r>
          </w:p>
          <w:p w14:paraId="34DFFDED" w14:textId="77777777" w:rsidR="000E512F" w:rsidRPr="001E47E5" w:rsidRDefault="000E512F" w:rsidP="000E512F">
            <w:pPr>
              <w:pStyle w:val="P68B1DB1-ListBullet4"/>
              <w:numPr>
                <w:ilvl w:val="0"/>
                <w:numId w:val="29"/>
              </w:numPr>
              <w:spacing w:after="0"/>
              <w:ind w:left="284" w:hanging="284"/>
              <w:jc w:val="left"/>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Administratívne náklady</w:t>
            </w:r>
          </w:p>
          <w:p w14:paraId="101D2BD1" w14:textId="77777777" w:rsidR="000E512F" w:rsidRPr="001E47E5" w:rsidRDefault="000E512F" w:rsidP="000E512F">
            <w:pPr>
              <w:pStyle w:val="P68B1DB1-ListBullet4"/>
              <w:numPr>
                <w:ilvl w:val="0"/>
                <w:numId w:val="29"/>
              </w:numPr>
              <w:spacing w:after="0"/>
              <w:ind w:left="284" w:hanging="284"/>
              <w:jc w:val="left"/>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Príležitostné náklady</w:t>
            </w:r>
          </w:p>
          <w:p w14:paraId="4A26A5AD" w14:textId="77777777" w:rsidR="000E512F" w:rsidRPr="001E47E5" w:rsidRDefault="000E512F" w:rsidP="000E512F">
            <w:pPr>
              <w:pStyle w:val="P68B1DB1-ListBullet4"/>
              <w:numPr>
                <w:ilvl w:val="0"/>
                <w:numId w:val="29"/>
              </w:numPr>
              <w:spacing w:after="0"/>
              <w:ind w:left="284" w:hanging="284"/>
              <w:jc w:val="left"/>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lastRenderedPageBreak/>
              <w:t>Potenciálne zvýšenie nákupných nákladov na kybernetickú bezpečnosť o + 10 – 15 %.</w:t>
            </w:r>
          </w:p>
        </w:tc>
        <w:tc>
          <w:tcPr>
            <w:tcW w:w="3402" w:type="dxa"/>
            <w:tcMar>
              <w:top w:w="57" w:type="dxa"/>
              <w:left w:w="57" w:type="dxa"/>
              <w:bottom w:w="57" w:type="dxa"/>
              <w:right w:w="57" w:type="dxa"/>
            </w:tcMar>
          </w:tcPr>
          <w:p w14:paraId="47AEB2E4" w14:textId="77777777" w:rsidR="000E512F" w:rsidRPr="001E47E5" w:rsidRDefault="000E512F" w:rsidP="000E512F">
            <w:pPr>
              <w:pStyle w:val="P68B1DB1-ListBullet4"/>
              <w:numPr>
                <w:ilvl w:val="0"/>
                <w:numId w:val="29"/>
              </w:numPr>
              <w:spacing w:after="0"/>
              <w:jc w:val="left"/>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lastRenderedPageBreak/>
              <w:t>Obstarávacie náklady (poradenstvo, audit, penetračné testy atď.)</w:t>
            </w:r>
          </w:p>
        </w:tc>
      </w:tr>
      <w:tr w:rsidR="000E512F" w:rsidRPr="001E47E5" w14:paraId="02E236ED" w14:textId="77777777" w:rsidTr="000E512F">
        <w:trPr>
          <w:trHeight w:val="1174"/>
        </w:trPr>
        <w:tc>
          <w:tcPr>
            <w:tcW w:w="4254" w:type="dxa"/>
            <w:tcMar>
              <w:top w:w="57" w:type="dxa"/>
              <w:left w:w="57" w:type="dxa"/>
              <w:bottom w:w="57" w:type="dxa"/>
              <w:right w:w="57" w:type="dxa"/>
            </w:tcMar>
          </w:tcPr>
          <w:p w14:paraId="06553D10" w14:textId="77777777" w:rsidR="000E512F" w:rsidRPr="001E47E5" w:rsidRDefault="000E512F" w:rsidP="000E512F">
            <w:pPr>
              <w:pStyle w:val="P68B1DB1-Normal5"/>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lastRenderedPageBreak/>
              <w:t>Opatrenie d) Bezpečnostné prvky týkajúce sa dodávateľských vzťahov a posúdenia rizika špecifického pre dodávateľa</w:t>
            </w:r>
          </w:p>
        </w:tc>
        <w:tc>
          <w:tcPr>
            <w:tcW w:w="992" w:type="dxa"/>
            <w:tcBorders>
              <w:right w:val="double" w:sz="4" w:space="0" w:color="auto"/>
            </w:tcBorders>
            <w:tcMar>
              <w:top w:w="57" w:type="dxa"/>
              <w:left w:w="57" w:type="dxa"/>
              <w:bottom w:w="57" w:type="dxa"/>
              <w:right w:w="57" w:type="dxa"/>
            </w:tcMar>
            <w:vAlign w:val="center"/>
          </w:tcPr>
          <w:p w14:paraId="0F144510"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Priame náklady</w:t>
            </w:r>
          </w:p>
        </w:tc>
        <w:tc>
          <w:tcPr>
            <w:tcW w:w="4678" w:type="dxa"/>
            <w:tcMar>
              <w:top w:w="57" w:type="dxa"/>
              <w:left w:w="57" w:type="dxa"/>
              <w:bottom w:w="57" w:type="dxa"/>
              <w:right w:w="57" w:type="dxa"/>
            </w:tcMar>
          </w:tcPr>
          <w:p w14:paraId="17AA3DC6" w14:textId="77777777" w:rsidR="000E512F" w:rsidRPr="001E47E5" w:rsidRDefault="000E512F" w:rsidP="000E512F">
            <w:pPr>
              <w:pStyle w:val="P68B1DB1-ListBullet4"/>
              <w:numPr>
                <w:ilvl w:val="0"/>
                <w:numId w:val="29"/>
              </w:numPr>
              <w:spacing w:after="0"/>
              <w:ind w:left="284" w:hanging="284"/>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Zamestnanci – v priemere 1 FTE</w:t>
            </w:r>
          </w:p>
          <w:p w14:paraId="791088ED" w14:textId="77777777" w:rsidR="000E512F" w:rsidRPr="001E47E5" w:rsidRDefault="000E512F" w:rsidP="000E512F">
            <w:pPr>
              <w:pStyle w:val="P68B1DB1-ListBullet4"/>
              <w:numPr>
                <w:ilvl w:val="0"/>
                <w:numId w:val="29"/>
              </w:numPr>
              <w:spacing w:after="0"/>
              <w:ind w:left="284" w:hanging="284"/>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Obstarávacie náklady (konzultácia, audit)</w:t>
            </w:r>
          </w:p>
          <w:p w14:paraId="0A61EE8D" w14:textId="77777777" w:rsidR="000E512F" w:rsidRPr="001E47E5" w:rsidRDefault="000E512F" w:rsidP="000E512F">
            <w:pPr>
              <w:pStyle w:val="P68B1DB1-ListBullet4"/>
              <w:numPr>
                <w:ilvl w:val="0"/>
                <w:numId w:val="29"/>
              </w:numPr>
              <w:spacing w:after="0"/>
              <w:ind w:left="284" w:hanging="284"/>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Príležitostné náklady</w:t>
            </w:r>
          </w:p>
        </w:tc>
        <w:tc>
          <w:tcPr>
            <w:tcW w:w="3402" w:type="dxa"/>
            <w:tcMar>
              <w:top w:w="57" w:type="dxa"/>
              <w:left w:w="57" w:type="dxa"/>
              <w:bottom w:w="57" w:type="dxa"/>
              <w:right w:w="57" w:type="dxa"/>
            </w:tcMar>
          </w:tcPr>
          <w:p w14:paraId="6A0953D6" w14:textId="77777777" w:rsidR="000E512F" w:rsidRPr="001E47E5" w:rsidRDefault="000E512F" w:rsidP="000E512F">
            <w:pPr>
              <w:pStyle w:val="P68B1DB1-ListBullet4"/>
              <w:numPr>
                <w:ilvl w:val="0"/>
                <w:numId w:val="29"/>
              </w:numPr>
              <w:spacing w:after="0"/>
              <w:ind w:left="284" w:hanging="284"/>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 xml:space="preserve">Personálne a potenciálne pravidelné externé zabezpečovanie činností na posudzovanie rizík (najmä pre </w:t>
            </w:r>
            <w:r w:rsidRPr="001E47E5">
              <w:rPr>
                <w:rFonts w:ascii="Times New Roman" w:hAnsi="Times New Roman" w:cs="Times New Roman"/>
                <w:color w:val="000000" w:themeColor="text1"/>
                <w:szCs w:val="24"/>
                <w:highlight w:val="none"/>
                <w:lang w:val="sk-SK"/>
              </w:rPr>
              <w:t xml:space="preserve">MSP): potenciálne zvýšenie nákladov na bezpečnosť IKT o 2 – 4 % </w:t>
            </w:r>
          </w:p>
        </w:tc>
      </w:tr>
      <w:tr w:rsidR="000E512F" w:rsidRPr="001E47E5" w14:paraId="6CC05300" w14:textId="77777777" w:rsidTr="000E512F">
        <w:trPr>
          <w:trHeight w:val="515"/>
        </w:trPr>
        <w:tc>
          <w:tcPr>
            <w:tcW w:w="4254" w:type="dxa"/>
            <w:tcMar>
              <w:top w:w="57" w:type="dxa"/>
              <w:left w:w="57" w:type="dxa"/>
              <w:bottom w:w="57" w:type="dxa"/>
              <w:right w:w="57" w:type="dxa"/>
            </w:tcMar>
          </w:tcPr>
          <w:p w14:paraId="3B61D114" w14:textId="77777777" w:rsidR="000E512F" w:rsidRPr="001E47E5" w:rsidRDefault="000E512F" w:rsidP="000E512F">
            <w:pPr>
              <w:pStyle w:val="P68B1DB1-Normal5"/>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Opatrenie e) Zefektívnenie oznámení o incidentoch</w:t>
            </w:r>
          </w:p>
        </w:tc>
        <w:tc>
          <w:tcPr>
            <w:tcW w:w="992" w:type="dxa"/>
            <w:tcBorders>
              <w:right w:val="double" w:sz="4" w:space="0" w:color="auto"/>
            </w:tcBorders>
            <w:tcMar>
              <w:top w:w="57" w:type="dxa"/>
              <w:left w:w="57" w:type="dxa"/>
              <w:bottom w:w="57" w:type="dxa"/>
              <w:right w:w="57" w:type="dxa"/>
            </w:tcMar>
            <w:vAlign w:val="center"/>
          </w:tcPr>
          <w:p w14:paraId="329EC1D6"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Priame náklady</w:t>
            </w:r>
          </w:p>
        </w:tc>
        <w:tc>
          <w:tcPr>
            <w:tcW w:w="4678" w:type="dxa"/>
            <w:tcMar>
              <w:top w:w="57" w:type="dxa"/>
              <w:left w:w="57" w:type="dxa"/>
              <w:bottom w:w="57" w:type="dxa"/>
              <w:right w:w="57" w:type="dxa"/>
            </w:tcMar>
          </w:tcPr>
          <w:p w14:paraId="0F7F09DC" w14:textId="77777777" w:rsidR="000E512F" w:rsidRPr="001E47E5" w:rsidRDefault="000E512F" w:rsidP="000E512F">
            <w:pPr>
              <w:pStyle w:val="P68B1DB1-Normal2"/>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Personálne náklady – potenciálne 1 – 2 FTE</w:t>
            </w:r>
          </w:p>
        </w:tc>
        <w:tc>
          <w:tcPr>
            <w:tcW w:w="3402" w:type="dxa"/>
            <w:tcMar>
              <w:top w:w="57" w:type="dxa"/>
              <w:left w:w="57" w:type="dxa"/>
              <w:bottom w:w="57" w:type="dxa"/>
              <w:right w:w="57" w:type="dxa"/>
            </w:tcMar>
          </w:tcPr>
          <w:p w14:paraId="17A9EB9B"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Pravidelné personálne náklady</w:t>
            </w:r>
          </w:p>
        </w:tc>
      </w:tr>
      <w:tr w:rsidR="000E512F" w:rsidRPr="001E47E5" w14:paraId="07C8DBF0" w14:textId="77777777" w:rsidTr="000E512F">
        <w:trPr>
          <w:trHeight w:val="515"/>
        </w:trPr>
        <w:tc>
          <w:tcPr>
            <w:tcW w:w="4254" w:type="dxa"/>
            <w:tcMar>
              <w:top w:w="57" w:type="dxa"/>
              <w:left w:w="57" w:type="dxa"/>
              <w:bottom w:w="57" w:type="dxa"/>
              <w:right w:w="57" w:type="dxa"/>
            </w:tcMar>
          </w:tcPr>
          <w:p w14:paraId="293D21F6" w14:textId="77777777" w:rsidR="000E512F" w:rsidRPr="001E47E5" w:rsidRDefault="000E512F" w:rsidP="000E512F">
            <w:pPr>
              <w:pStyle w:val="P68B1DB1-Normal5"/>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Opatrenie f)</w:t>
            </w:r>
          </w:p>
          <w:p w14:paraId="294C90B1" w14:textId="77777777" w:rsidR="000E512F" w:rsidRPr="001E47E5" w:rsidRDefault="000E512F" w:rsidP="000E512F">
            <w:pPr>
              <w:pStyle w:val="P68B1DB1-Normal1"/>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Posilnenie a ďalšia harmonizácia dohľadu a presadzovania</w:t>
            </w:r>
          </w:p>
        </w:tc>
        <w:tc>
          <w:tcPr>
            <w:tcW w:w="992" w:type="dxa"/>
            <w:tcBorders>
              <w:right w:val="double" w:sz="4" w:space="0" w:color="auto"/>
            </w:tcBorders>
            <w:tcMar>
              <w:top w:w="57" w:type="dxa"/>
              <w:left w:w="57" w:type="dxa"/>
              <w:bottom w:w="57" w:type="dxa"/>
              <w:right w:w="57" w:type="dxa"/>
            </w:tcMar>
            <w:vAlign w:val="center"/>
          </w:tcPr>
          <w:p w14:paraId="7957A439"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Priame náklady</w:t>
            </w:r>
          </w:p>
        </w:tc>
        <w:tc>
          <w:tcPr>
            <w:tcW w:w="4678" w:type="dxa"/>
            <w:tcMar>
              <w:top w:w="57" w:type="dxa"/>
              <w:left w:w="57" w:type="dxa"/>
              <w:bottom w:w="57" w:type="dxa"/>
              <w:right w:w="57" w:type="dxa"/>
            </w:tcMar>
          </w:tcPr>
          <w:p w14:paraId="32441B50"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Personálne (2 FTE) a náklady na nákup (najmä pre poskytovateľov digitálnych služieb a MSP)</w:t>
            </w:r>
          </w:p>
        </w:tc>
        <w:tc>
          <w:tcPr>
            <w:tcW w:w="3402" w:type="dxa"/>
            <w:tcMar>
              <w:top w:w="57" w:type="dxa"/>
              <w:left w:w="57" w:type="dxa"/>
              <w:bottom w:w="57" w:type="dxa"/>
              <w:right w:w="57" w:type="dxa"/>
            </w:tcMar>
          </w:tcPr>
          <w:p w14:paraId="79D8A899"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Pravidelné personálne náklady a potenciálne zvýšenie outsourcingu, najmä v prípade auditov (najmä MSP a poskytovateľov digitálnych služieb) – celkovo ďalších 5 % opakujúcich sa nákladov na nákup</w:t>
            </w:r>
          </w:p>
        </w:tc>
      </w:tr>
      <w:tr w:rsidR="000E512F" w:rsidRPr="001E47E5" w14:paraId="4720B59D" w14:textId="77777777" w:rsidTr="000E512F">
        <w:trPr>
          <w:trHeight w:val="515"/>
        </w:trPr>
        <w:tc>
          <w:tcPr>
            <w:tcW w:w="4254" w:type="dxa"/>
            <w:tcMar>
              <w:top w:w="57" w:type="dxa"/>
              <w:left w:w="57" w:type="dxa"/>
              <w:bottom w:w="57" w:type="dxa"/>
              <w:right w:w="57" w:type="dxa"/>
            </w:tcMar>
          </w:tcPr>
          <w:p w14:paraId="3FAA3E76" w14:textId="77777777" w:rsidR="000E512F" w:rsidRPr="001E47E5" w:rsidRDefault="000E512F" w:rsidP="000E512F">
            <w:pPr>
              <w:pStyle w:val="P68B1DB1-Normal5"/>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Akcia h)</w:t>
            </w:r>
          </w:p>
          <w:p w14:paraId="012AF828" w14:textId="77777777" w:rsidR="000E512F" w:rsidRPr="001E47E5" w:rsidRDefault="000E512F" w:rsidP="000E512F">
            <w:pPr>
              <w:pStyle w:val="P68B1DB1-Normal1"/>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Posilnenie spolupráce a výmeny informácií (aj prostredníctvom ISACA s účasťou verejných orgánov)</w:t>
            </w:r>
          </w:p>
        </w:tc>
        <w:tc>
          <w:tcPr>
            <w:tcW w:w="992" w:type="dxa"/>
            <w:tcBorders>
              <w:right w:val="double" w:sz="4" w:space="0" w:color="auto"/>
            </w:tcBorders>
            <w:tcMar>
              <w:top w:w="57" w:type="dxa"/>
              <w:left w:w="57" w:type="dxa"/>
              <w:bottom w:w="57" w:type="dxa"/>
              <w:right w:w="57" w:type="dxa"/>
            </w:tcMar>
            <w:vAlign w:val="center"/>
          </w:tcPr>
          <w:p w14:paraId="687ECE5A"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Priame náklady</w:t>
            </w:r>
          </w:p>
        </w:tc>
        <w:tc>
          <w:tcPr>
            <w:tcW w:w="4678" w:type="dxa"/>
            <w:tcMar>
              <w:top w:w="57" w:type="dxa"/>
              <w:left w:w="57" w:type="dxa"/>
              <w:bottom w:w="57" w:type="dxa"/>
              <w:right w:w="57" w:type="dxa"/>
            </w:tcMar>
          </w:tcPr>
          <w:p w14:paraId="63BF38E6"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Personálne náklady – 1 dodatočný FTE</w:t>
            </w:r>
          </w:p>
        </w:tc>
        <w:tc>
          <w:tcPr>
            <w:tcW w:w="3402" w:type="dxa"/>
            <w:tcMar>
              <w:top w:w="57" w:type="dxa"/>
              <w:left w:w="57" w:type="dxa"/>
              <w:bottom w:w="57" w:type="dxa"/>
              <w:right w:w="57" w:type="dxa"/>
            </w:tcMar>
          </w:tcPr>
          <w:p w14:paraId="39F6AB91" w14:textId="77777777" w:rsidR="000E512F" w:rsidRPr="001E47E5" w:rsidRDefault="000E512F" w:rsidP="000E512F">
            <w:pPr>
              <w:pStyle w:val="P68B1DB1-Normal2"/>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Väčšie zapojenie do verejno-súkromných partnerstiev a ISAC – opakujúce sa náklady na zamestnancov (stredná úroveň)</w:t>
            </w:r>
          </w:p>
        </w:tc>
      </w:tr>
      <w:tr w:rsidR="000E512F" w:rsidRPr="001E47E5" w14:paraId="19B8D477" w14:textId="77777777" w:rsidTr="000E512F">
        <w:trPr>
          <w:trHeight w:val="515"/>
        </w:trPr>
        <w:tc>
          <w:tcPr>
            <w:tcW w:w="4254" w:type="dxa"/>
            <w:tcMar>
              <w:top w:w="57" w:type="dxa"/>
              <w:left w:w="57" w:type="dxa"/>
              <w:bottom w:w="57" w:type="dxa"/>
              <w:right w:w="57" w:type="dxa"/>
            </w:tcMar>
          </w:tcPr>
          <w:p w14:paraId="4CE41D01" w14:textId="77777777" w:rsidR="000E512F" w:rsidRPr="001E47E5" w:rsidRDefault="000E512F" w:rsidP="000E512F">
            <w:pPr>
              <w:pStyle w:val="P68B1DB1-Normal5"/>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Opatrenie i)</w:t>
            </w:r>
          </w:p>
          <w:p w14:paraId="66398873" w14:textId="77777777" w:rsidR="000E512F" w:rsidRPr="001E47E5" w:rsidRDefault="000E512F" w:rsidP="000E512F">
            <w:pPr>
              <w:pStyle w:val="P68B1DB1-Normal1"/>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Stimulovanie koordinovaného zverejňovania informácií o zraniteľnosti</w:t>
            </w:r>
          </w:p>
        </w:tc>
        <w:tc>
          <w:tcPr>
            <w:tcW w:w="992" w:type="dxa"/>
            <w:tcBorders>
              <w:right w:val="double" w:sz="4" w:space="0" w:color="auto"/>
            </w:tcBorders>
            <w:tcMar>
              <w:top w:w="57" w:type="dxa"/>
              <w:left w:w="57" w:type="dxa"/>
              <w:bottom w:w="57" w:type="dxa"/>
              <w:right w:w="57" w:type="dxa"/>
            </w:tcMar>
            <w:vAlign w:val="center"/>
          </w:tcPr>
          <w:p w14:paraId="4834A2DB"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Priame náklady</w:t>
            </w:r>
          </w:p>
        </w:tc>
        <w:tc>
          <w:tcPr>
            <w:tcW w:w="4678" w:type="dxa"/>
            <w:tcMar>
              <w:top w:w="57" w:type="dxa"/>
              <w:left w:w="57" w:type="dxa"/>
              <w:bottom w:w="57" w:type="dxa"/>
              <w:right w:w="57" w:type="dxa"/>
            </w:tcMar>
          </w:tcPr>
          <w:p w14:paraId="265887CC"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Zanedbateľné personálne náklady (by mohli využívať existujúce ekvivalenty plného pracovného času, ktoré by monitorovali dodatočný vstupný kanál)</w:t>
            </w:r>
          </w:p>
        </w:tc>
        <w:tc>
          <w:tcPr>
            <w:tcW w:w="3402" w:type="dxa"/>
            <w:tcMar>
              <w:top w:w="57" w:type="dxa"/>
              <w:left w:w="57" w:type="dxa"/>
              <w:bottom w:w="57" w:type="dxa"/>
              <w:right w:w="57" w:type="dxa"/>
            </w:tcMar>
          </w:tcPr>
          <w:p w14:paraId="2D5E6797" w14:textId="77777777" w:rsidR="000E512F" w:rsidRPr="001E47E5" w:rsidRDefault="000E512F" w:rsidP="000E512F">
            <w:pPr>
              <w:pStyle w:val="P68B1DB1-Normal3"/>
              <w:tabs>
                <w:tab w:val="num" w:pos="425"/>
              </w:tabs>
              <w:jc w:val="both"/>
              <w:rPr>
                <w:rFonts w:ascii="Times New Roman" w:hAnsi="Times New Roman" w:cs="Times New Roman"/>
                <w:szCs w:val="24"/>
                <w:highlight w:val="none"/>
                <w:lang w:val="sk-SK"/>
              </w:rPr>
            </w:pPr>
            <w:r w:rsidRPr="001E47E5">
              <w:rPr>
                <w:rFonts w:ascii="Times New Roman" w:hAnsi="Times New Roman" w:cs="Times New Roman"/>
                <w:szCs w:val="24"/>
                <w:highlight w:val="none"/>
                <w:lang w:val="sk-SK"/>
              </w:rPr>
              <w:t>Zanedbateľné personálne náklady</w:t>
            </w:r>
          </w:p>
        </w:tc>
      </w:tr>
    </w:tbl>
    <w:p w14:paraId="62BB8D14" w14:textId="77777777" w:rsidR="000E512F" w:rsidRPr="001E47E5" w:rsidRDefault="000E512F" w:rsidP="000E512F">
      <w:pPr>
        <w:pStyle w:val="Pta"/>
        <w:tabs>
          <w:tab w:val="left" w:pos="708"/>
        </w:tabs>
        <w:rPr>
          <w:rFonts w:cs="Arial"/>
          <w:b/>
          <w:bCs/>
          <w:sz w:val="24"/>
          <w:szCs w:val="24"/>
        </w:rPr>
        <w:sectPr w:rsidR="000E512F" w:rsidRPr="001E47E5" w:rsidSect="000E512F">
          <w:pgSz w:w="15840" w:h="12240" w:orient="landscape"/>
          <w:pgMar w:top="1417" w:right="1417" w:bottom="1417" w:left="1417" w:header="708" w:footer="708" w:gutter="0"/>
          <w:cols w:space="708"/>
          <w:docGrid w:linePitch="360"/>
        </w:sectPr>
      </w:pPr>
    </w:p>
    <w:p w14:paraId="50202CC7" w14:textId="77777777" w:rsidR="000E512F" w:rsidRPr="001E47E5" w:rsidRDefault="000E512F" w:rsidP="000E512F">
      <w:pPr>
        <w:jc w:val="both"/>
        <w:rPr>
          <w:rFonts w:ascii="Times New Roman" w:eastAsia="Calibri" w:hAnsi="Times New Roman" w:cs="Times New Roman"/>
          <w:b/>
          <w:bCs/>
          <w:i/>
          <w:sz w:val="24"/>
          <w:szCs w:val="24"/>
          <w:u w:val="single"/>
        </w:rPr>
      </w:pPr>
      <w:r w:rsidRPr="001E47E5">
        <w:rPr>
          <w:rFonts w:ascii="Times New Roman" w:eastAsia="Calibri" w:hAnsi="Times New Roman" w:cs="Times New Roman"/>
          <w:b/>
          <w:bCs/>
          <w:i/>
          <w:sz w:val="24"/>
          <w:szCs w:val="24"/>
          <w:u w:val="single"/>
        </w:rPr>
        <w:lastRenderedPageBreak/>
        <w:t>3.1.4 Odôvodnenie goldplatingu podľa bodu 4 časti III jednotnej metodiky a ďalšie doplňujúce informácie</w:t>
      </w:r>
      <w:r w:rsidRPr="001E47E5">
        <w:rPr>
          <w:rStyle w:val="Odkaznapoznmkupodiarou"/>
          <w:rFonts w:ascii="Times New Roman" w:eastAsia="Calibri" w:hAnsi="Times New Roman" w:cs="Times New Roman"/>
          <w:b/>
          <w:bCs/>
          <w:i/>
          <w:sz w:val="24"/>
          <w:szCs w:val="24"/>
          <w:u w:val="single"/>
        </w:rPr>
        <w:footnoteReference w:id="5"/>
      </w:r>
      <w:r w:rsidRPr="001E47E5">
        <w:rPr>
          <w:rFonts w:ascii="Times New Roman" w:eastAsia="Calibri" w:hAnsi="Times New Roman" w:cs="Times New Roman"/>
          <w:b/>
          <w:bCs/>
          <w:i/>
          <w:sz w:val="24"/>
          <w:szCs w:val="24"/>
          <w:u w:val="single"/>
        </w:rPr>
        <w:t xml:space="preserve"> </w:t>
      </w:r>
    </w:p>
    <w:p w14:paraId="7D62B970" w14:textId="77777777" w:rsidR="000E512F" w:rsidRPr="001E47E5" w:rsidRDefault="000E512F" w:rsidP="000E512F">
      <w:pPr>
        <w:jc w:val="both"/>
        <w:rPr>
          <w:rFonts w:ascii="Times New Roman" w:eastAsia="Calibri" w:hAnsi="Times New Roman" w:cs="Times New Roman"/>
          <w:bCs/>
          <w:i/>
          <w:iCs/>
          <w:sz w:val="24"/>
          <w:szCs w:val="24"/>
        </w:rPr>
      </w:pPr>
      <w:r w:rsidRPr="001E47E5">
        <w:rPr>
          <w:rFonts w:ascii="Times New Roman" w:eastAsia="Calibri" w:hAnsi="Times New Roman" w:cs="Times New Roman"/>
          <w:bCs/>
          <w:i/>
          <w:iCs/>
          <w:color w:val="000000"/>
          <w:sz w:val="24"/>
          <w:szCs w:val="24"/>
        </w:rPr>
        <w:t>Nerelevantné nedochádza ku goldplatingu</w:t>
      </w:r>
    </w:p>
    <w:p w14:paraId="4F70F426" w14:textId="77777777" w:rsidR="000E512F" w:rsidRPr="001E47E5" w:rsidRDefault="000E512F" w:rsidP="000E512F">
      <w:pPr>
        <w:jc w:val="both"/>
        <w:rPr>
          <w:rFonts w:ascii="Times New Roman" w:eastAsia="Calibri" w:hAnsi="Times New Roman" w:cs="Times New Roman"/>
          <w:b/>
          <w:sz w:val="24"/>
          <w:szCs w:val="24"/>
        </w:rPr>
      </w:pPr>
      <w:r w:rsidRPr="001E47E5">
        <w:rPr>
          <w:rFonts w:ascii="Times New Roman" w:eastAsia="Calibri" w:hAnsi="Times New Roman" w:cs="Times New Roman"/>
          <w:b/>
          <w:sz w:val="24"/>
          <w:szCs w:val="24"/>
        </w:rPr>
        <w:t>3.2 Vyhodnotenie konzultácií s podnikateľskými subjektmi pred predbežným pripomienkovým konaním</w:t>
      </w:r>
    </w:p>
    <w:p w14:paraId="3B533663" w14:textId="77777777" w:rsidR="000E512F" w:rsidRPr="001E47E5" w:rsidRDefault="000E512F" w:rsidP="000E512F">
      <w:pPr>
        <w:spacing w:after="0"/>
        <w:jc w:val="both"/>
        <w:rPr>
          <w:rFonts w:ascii="Times New Roman" w:eastAsia="Calibri" w:hAnsi="Times New Roman" w:cs="Times New Roman"/>
          <w:i/>
          <w:sz w:val="24"/>
          <w:szCs w:val="24"/>
        </w:rPr>
      </w:pPr>
    </w:p>
    <w:p w14:paraId="025A52FA" w14:textId="77777777" w:rsidR="000E512F" w:rsidRPr="001E47E5" w:rsidRDefault="000E512F" w:rsidP="000E512F">
      <w:pPr>
        <w:jc w:val="both"/>
        <w:rPr>
          <w:rFonts w:ascii="Times New Roman" w:hAnsi="Times New Roman" w:cs="Times New Roman"/>
          <w:sz w:val="24"/>
          <w:szCs w:val="24"/>
        </w:rPr>
      </w:pPr>
      <w:r w:rsidRPr="001E47E5">
        <w:rPr>
          <w:rFonts w:ascii="Times New Roman" w:hAnsi="Times New Roman" w:cs="Times New Roman"/>
          <w:sz w:val="24"/>
          <w:szCs w:val="24"/>
        </w:rPr>
        <w:t xml:space="preserve">Transpozícia smernice </w:t>
      </w:r>
      <w:r>
        <w:rPr>
          <w:rFonts w:ascii="Times New Roman" w:hAnsi="Times New Roman" w:cs="Times New Roman"/>
          <w:sz w:val="24"/>
          <w:szCs w:val="24"/>
        </w:rPr>
        <w:t>NIS 2</w:t>
      </w:r>
      <w:r w:rsidRPr="001E47E5">
        <w:rPr>
          <w:rFonts w:ascii="Times New Roman" w:hAnsi="Times New Roman" w:cs="Times New Roman"/>
          <w:sz w:val="24"/>
          <w:szCs w:val="24"/>
        </w:rPr>
        <w:t xml:space="preserve"> poskytuje členským štátom priestor na prispôsobenie sa ich aktuálnej situácii, organizačnému nastaveniu a prípadne vzájomne prepojeným stratégiám, činnostiam a iniciatívam. NBÚ chce túto možnosť v plnej miere využiť na vytvorenie modernizácie a rozšírenie v súčasnosti fungujúcich mechanizmov. Proces transpozície smernice preto prebieha participatívnym spôsobom. Participácia bola v úvodnej fáze realizovaná organizovaným a metodickým procesom, do ktorého sa zapojili všetky zainteresované strany s cieľom iniciovať diskusiu a kooperatívny konzultačný proces zameraný na prijímanie kolektívne záväzných rozhodnutí. Diskusia predstavovala interaktívny proces medzi zainteresovanými partnermi z kybernetickej komunity zastúpenej súkromným sektorom, akademickou obcou, organizáciami a verejnými činiteľmi s cieľom významne prispieť k politickým rozhodnutiam transparentným a zodpovedným spôsobom. V úvodnej fáze sa iniciovala štruktúrovaná diskusia s hlavnými skupinami zainteresovaných strán – orgánmi verejnej správy, reprezentatívnymi organizáciami kritických sektorov, odborníkmi na kybernetickú bezpečnosť, akademickou obcou, súkromnými poskytovateľmi riešení a služieb. </w:t>
      </w:r>
    </w:p>
    <w:p w14:paraId="5E2E0095" w14:textId="77777777" w:rsidR="000E512F" w:rsidRPr="001E47E5" w:rsidRDefault="000E512F" w:rsidP="000E512F">
      <w:pPr>
        <w:jc w:val="both"/>
        <w:rPr>
          <w:rFonts w:ascii="Times New Roman" w:hAnsi="Times New Roman" w:cs="Times New Roman"/>
          <w:sz w:val="24"/>
          <w:szCs w:val="24"/>
        </w:rPr>
      </w:pPr>
      <w:r w:rsidRPr="001E47E5">
        <w:rPr>
          <w:rFonts w:ascii="Times New Roman" w:hAnsi="Times New Roman" w:cs="Times New Roman"/>
          <w:b/>
          <w:bCs/>
          <w:sz w:val="24"/>
          <w:szCs w:val="24"/>
        </w:rPr>
        <w:t>Workshopy a panely</w:t>
      </w:r>
      <w:r w:rsidRPr="001E47E5">
        <w:rPr>
          <w:rFonts w:ascii="Times New Roman" w:hAnsi="Times New Roman" w:cs="Times New Roman"/>
          <w:sz w:val="24"/>
          <w:szCs w:val="24"/>
        </w:rPr>
        <w:t xml:space="preserve"> sú jedným z hlavných nástrojov pre získanie spätnej väzby od širokej kyberbezpečnostnej komunity. V projekte bolo realizované veľké množstvo workshopov a panelov, v ktorých si komunita navzájom odovzdávala skúsenosti so súčasnou legislatívou a prezentovala očakávania v súvislosti s novou legislatívou. Zástupcovia NBÚ aj KCCKB prezentovali požiadavky novej legislatívy, približovali legislatívny proces, a to s cieľom získať spätnú väzbu a pripraviť komunitu na prichádzajúce zmeny súvisiace s aplikáciou </w:t>
      </w:r>
      <w:r>
        <w:rPr>
          <w:rFonts w:ascii="Times New Roman" w:hAnsi="Times New Roman" w:cs="Times New Roman"/>
          <w:sz w:val="24"/>
          <w:szCs w:val="24"/>
        </w:rPr>
        <w:t>NIS 2</w:t>
      </w:r>
      <w:r w:rsidRPr="001E47E5">
        <w:rPr>
          <w:rFonts w:ascii="Times New Roman" w:hAnsi="Times New Roman" w:cs="Times New Roman"/>
          <w:sz w:val="24"/>
          <w:szCs w:val="24"/>
        </w:rPr>
        <w:t xml:space="preserve"> do praxe. Prehľad workshopov a panelov, v rámci ktorých prebiehali konzultácie k novej legislatíve od októbra 2023</w:t>
      </w:r>
      <w:r>
        <w:rPr>
          <w:rFonts w:ascii="Times New Roman" w:hAnsi="Times New Roman" w:cs="Times New Roman"/>
          <w:sz w:val="24"/>
          <w:szCs w:val="24"/>
        </w:rPr>
        <w:t>.</w:t>
      </w:r>
    </w:p>
    <w:tbl>
      <w:tblPr>
        <w:tblW w:w="9067" w:type="dxa"/>
        <w:tblLayout w:type="fixed"/>
        <w:tblLook w:val="04A0" w:firstRow="1" w:lastRow="0" w:firstColumn="1" w:lastColumn="0" w:noHBand="0" w:noVBand="1"/>
      </w:tblPr>
      <w:tblGrid>
        <w:gridCol w:w="1980"/>
        <w:gridCol w:w="7087"/>
      </w:tblGrid>
      <w:tr w:rsidR="000E512F" w:rsidRPr="00685281" w14:paraId="1EE83AA3" w14:textId="77777777" w:rsidTr="000E512F">
        <w:tc>
          <w:tcPr>
            <w:tcW w:w="1980" w:type="dxa"/>
            <w:shd w:val="clear" w:color="auto" w:fill="D9D9D9" w:themeFill="background1" w:themeFillShade="D9"/>
          </w:tcPr>
          <w:p w14:paraId="25D94413"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Podujatie</w:t>
            </w:r>
          </w:p>
        </w:tc>
        <w:tc>
          <w:tcPr>
            <w:tcW w:w="7087" w:type="dxa"/>
          </w:tcPr>
          <w:p w14:paraId="1B15659F"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Konferencia Kybernetická bezpečnosť 2023</w:t>
            </w:r>
          </w:p>
        </w:tc>
      </w:tr>
      <w:tr w:rsidR="000E512F" w:rsidRPr="00685281" w14:paraId="7C770347" w14:textId="77777777" w:rsidTr="000E512F">
        <w:tc>
          <w:tcPr>
            <w:tcW w:w="1980" w:type="dxa"/>
            <w:shd w:val="clear" w:color="auto" w:fill="D9D9D9" w:themeFill="background1" w:themeFillShade="D9"/>
          </w:tcPr>
          <w:p w14:paraId="4E1E49B1"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Dátum</w:t>
            </w:r>
          </w:p>
        </w:tc>
        <w:tc>
          <w:tcPr>
            <w:tcW w:w="7087" w:type="dxa"/>
          </w:tcPr>
          <w:p w14:paraId="7AFDFA44"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02. – 03.10. 2023</w:t>
            </w:r>
          </w:p>
        </w:tc>
      </w:tr>
      <w:tr w:rsidR="000E512F" w:rsidRPr="00685281" w14:paraId="147DFB18" w14:textId="77777777" w:rsidTr="000E512F">
        <w:tc>
          <w:tcPr>
            <w:tcW w:w="1980" w:type="dxa"/>
            <w:shd w:val="clear" w:color="auto" w:fill="D9D9D9" w:themeFill="background1" w:themeFillShade="D9"/>
          </w:tcPr>
          <w:p w14:paraId="7CC5AF4E"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Popis</w:t>
            </w:r>
          </w:p>
        </w:tc>
        <w:tc>
          <w:tcPr>
            <w:tcW w:w="7087" w:type="dxa"/>
          </w:tcPr>
          <w:p w14:paraId="46E32E8F" w14:textId="77777777" w:rsidR="000E512F" w:rsidRPr="00685281" w:rsidRDefault="000E512F" w:rsidP="000E512F">
            <w:pPr>
              <w:jc w:val="both"/>
              <w:rPr>
                <w:rFonts w:ascii="Times New Roman" w:hAnsi="Times New Roman" w:cs="Times New Roman"/>
                <w:sz w:val="24"/>
                <w:szCs w:val="24"/>
              </w:rPr>
            </w:pPr>
            <w:r w:rsidRPr="00685281">
              <w:rPr>
                <w:rFonts w:ascii="Times New Roman" w:hAnsi="Times New Roman" w:cs="Times New Roman"/>
                <w:sz w:val="24"/>
                <w:szCs w:val="24"/>
              </w:rPr>
              <w:t xml:space="preserve">Mesiac október bol Európskym mesiacom kybernetickej bezpečnosti. Uskutočnila sa v ňom prestížna EPI konferencia Kybernetická bezpečnosť 2023. Piaty ročník sa venoval širokému spektru tém – od zdôraznenia reálneho presahu notácie informačnej architektúry a kybernetickej bezpečnosti, resp. riadenia kybernetických rizík, cez odolnosť v kyberpriestore založenú na každodennej realite, bilancii auditu a posudzovania kyberbezpečnosti až po ľudské zdroje </w:t>
            </w:r>
            <w:r w:rsidRPr="00685281">
              <w:rPr>
                <w:rFonts w:ascii="Times New Roman" w:hAnsi="Times New Roman" w:cs="Times New Roman"/>
                <w:sz w:val="24"/>
                <w:szCs w:val="24"/>
              </w:rPr>
              <w:lastRenderedPageBreak/>
              <w:t>v kyberbezpečnosti a ochrane údajov. Predmetom bolo aj predstavenie a konzultácie k pripravovanej novele zákona č. 69/2018 Z. z. o kybernetickej bezpečnosti, ktorou sa transponuje smernica NIS 2.</w:t>
            </w:r>
          </w:p>
        </w:tc>
      </w:tr>
      <w:tr w:rsidR="000E512F" w:rsidRPr="00685281" w14:paraId="59ABB93F" w14:textId="77777777" w:rsidTr="000E512F">
        <w:tc>
          <w:tcPr>
            <w:tcW w:w="1980" w:type="dxa"/>
            <w:shd w:val="clear" w:color="auto" w:fill="D9D9D9" w:themeFill="background1" w:themeFillShade="D9"/>
          </w:tcPr>
          <w:p w14:paraId="401684B6"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lastRenderedPageBreak/>
              <w:t>Cieľová skupina</w:t>
            </w:r>
          </w:p>
        </w:tc>
        <w:tc>
          <w:tcPr>
            <w:tcW w:w="7087" w:type="dxa"/>
          </w:tcPr>
          <w:p w14:paraId="3AEE0E6A"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samospráva, súkromný sektor</w:t>
            </w:r>
          </w:p>
        </w:tc>
      </w:tr>
    </w:tbl>
    <w:p w14:paraId="2BEE7D54" w14:textId="77777777" w:rsidR="000E512F" w:rsidRPr="00685281" w:rsidRDefault="000E512F" w:rsidP="000E512F">
      <w:pPr>
        <w:rPr>
          <w:rFonts w:ascii="Times New Roman" w:hAnsi="Times New Roman" w:cs="Times New Roman"/>
          <w:sz w:val="24"/>
          <w:szCs w:val="24"/>
        </w:rPr>
      </w:pPr>
    </w:p>
    <w:tbl>
      <w:tblPr>
        <w:tblW w:w="9067" w:type="dxa"/>
        <w:tblLayout w:type="fixed"/>
        <w:tblLook w:val="04A0" w:firstRow="1" w:lastRow="0" w:firstColumn="1" w:lastColumn="0" w:noHBand="0" w:noVBand="1"/>
      </w:tblPr>
      <w:tblGrid>
        <w:gridCol w:w="1980"/>
        <w:gridCol w:w="7087"/>
      </w:tblGrid>
      <w:tr w:rsidR="000E512F" w:rsidRPr="00685281" w14:paraId="1A6303D2" w14:textId="77777777" w:rsidTr="000E512F">
        <w:tc>
          <w:tcPr>
            <w:tcW w:w="1980" w:type="dxa"/>
            <w:shd w:val="clear" w:color="auto" w:fill="D9D9D9" w:themeFill="background1" w:themeFillShade="D9"/>
          </w:tcPr>
          <w:p w14:paraId="774AD861"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Podujatie</w:t>
            </w:r>
          </w:p>
        </w:tc>
        <w:tc>
          <w:tcPr>
            <w:tcW w:w="7087" w:type="dxa"/>
          </w:tcPr>
          <w:p w14:paraId="0D5BEB6A" w14:textId="77777777" w:rsidR="000E512F" w:rsidRPr="00685281" w:rsidRDefault="000E512F" w:rsidP="000E512F">
            <w:pPr>
              <w:jc w:val="both"/>
              <w:rPr>
                <w:rFonts w:ascii="Times New Roman" w:hAnsi="Times New Roman" w:cs="Times New Roman"/>
                <w:sz w:val="24"/>
                <w:szCs w:val="24"/>
              </w:rPr>
            </w:pPr>
            <w:r w:rsidRPr="00685281">
              <w:rPr>
                <w:rFonts w:ascii="Times New Roman" w:hAnsi="Times New Roman" w:cs="Times New Roman"/>
                <w:sz w:val="24"/>
                <w:szCs w:val="24"/>
              </w:rPr>
              <w:t>Webinár zvyšovanie kybernetickej bezpečnosti slovenských firiem z pohľadu aktuálnej legislatívy a financií</w:t>
            </w:r>
          </w:p>
        </w:tc>
      </w:tr>
      <w:tr w:rsidR="000E512F" w:rsidRPr="00685281" w14:paraId="723AECAB" w14:textId="77777777" w:rsidTr="000E512F">
        <w:tc>
          <w:tcPr>
            <w:tcW w:w="1980" w:type="dxa"/>
            <w:shd w:val="clear" w:color="auto" w:fill="D9D9D9" w:themeFill="background1" w:themeFillShade="D9"/>
          </w:tcPr>
          <w:p w14:paraId="63965F9C"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Dátum</w:t>
            </w:r>
          </w:p>
        </w:tc>
        <w:tc>
          <w:tcPr>
            <w:tcW w:w="7087" w:type="dxa"/>
          </w:tcPr>
          <w:p w14:paraId="1ADED916"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05.10.2023</w:t>
            </w:r>
          </w:p>
        </w:tc>
      </w:tr>
      <w:tr w:rsidR="000E512F" w:rsidRPr="00685281" w14:paraId="6F85334E" w14:textId="77777777" w:rsidTr="000E512F">
        <w:tc>
          <w:tcPr>
            <w:tcW w:w="1980" w:type="dxa"/>
            <w:shd w:val="clear" w:color="auto" w:fill="D9D9D9" w:themeFill="background1" w:themeFillShade="D9"/>
          </w:tcPr>
          <w:p w14:paraId="5996477E"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Popis</w:t>
            </w:r>
          </w:p>
        </w:tc>
        <w:tc>
          <w:tcPr>
            <w:tcW w:w="7087" w:type="dxa"/>
          </w:tcPr>
          <w:p w14:paraId="754191D9" w14:textId="77777777" w:rsidR="000E512F" w:rsidRPr="00685281" w:rsidRDefault="000E512F" w:rsidP="000E512F">
            <w:pPr>
              <w:jc w:val="both"/>
              <w:rPr>
                <w:rFonts w:ascii="Times New Roman" w:hAnsi="Times New Roman" w:cs="Times New Roman"/>
                <w:sz w:val="24"/>
                <w:szCs w:val="24"/>
              </w:rPr>
            </w:pPr>
            <w:r w:rsidRPr="00685281">
              <w:rPr>
                <w:rFonts w:ascii="Times New Roman" w:hAnsi="Times New Roman" w:cs="Times New Roman"/>
                <w:sz w:val="24"/>
                <w:szCs w:val="24"/>
              </w:rPr>
              <w:t>Slovenská agentúra pre rozvoj investícií a obchodu (SARIO) pre slovenských podnikateľov zorganizovala webinár s názvom Zvyšovanie kybernetickej bezpečnosti slovenských firiem z pohľadu aktuálnej legislatívy a financií. Počas webináru boli prezentované najnovšie novinky z oblasti legislatívy kybernetickej bezpečnosti; možnosti, ako získať finančnú podporu na kyberbezpečnostné projekty a ako zvýšiť kybernetickú bezpečnosť slovenských firiem. Keďže na sektory ako digitálna infraštruktúra, energetika, fintech, priemysel, obehové hospodárstvo, zdravotníctvo a bankovníctvo sa vzťahujú povinnosti zo zákona o kybernetickej bezpečnosti, boli predstavené informácie o tom, ako ich naplniť, novinky v legislatíve NIS 2 aj informácie o novom znalostnom štandarde pre roly v kybernetickej bezpečnosti.</w:t>
            </w:r>
          </w:p>
        </w:tc>
      </w:tr>
      <w:tr w:rsidR="000E512F" w:rsidRPr="00685281" w14:paraId="745D7117" w14:textId="77777777" w:rsidTr="000E512F">
        <w:tc>
          <w:tcPr>
            <w:tcW w:w="1980" w:type="dxa"/>
            <w:shd w:val="clear" w:color="auto" w:fill="D9D9D9" w:themeFill="background1" w:themeFillShade="D9"/>
          </w:tcPr>
          <w:p w14:paraId="640E32BE"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Cieľová skupina</w:t>
            </w:r>
          </w:p>
        </w:tc>
        <w:tc>
          <w:tcPr>
            <w:tcW w:w="7087" w:type="dxa"/>
          </w:tcPr>
          <w:p w14:paraId="0FBD8329"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súkromný sektor</w:t>
            </w:r>
          </w:p>
        </w:tc>
      </w:tr>
    </w:tbl>
    <w:p w14:paraId="3FC87E36" w14:textId="77777777" w:rsidR="000E512F" w:rsidRPr="00685281" w:rsidRDefault="000E512F" w:rsidP="000E512F">
      <w:pPr>
        <w:rPr>
          <w:rFonts w:ascii="Times New Roman" w:hAnsi="Times New Roman" w:cs="Times New Roman"/>
          <w:sz w:val="24"/>
          <w:szCs w:val="24"/>
        </w:rPr>
      </w:pPr>
    </w:p>
    <w:tbl>
      <w:tblPr>
        <w:tblW w:w="9067" w:type="dxa"/>
        <w:tblLayout w:type="fixed"/>
        <w:tblLook w:val="04A0" w:firstRow="1" w:lastRow="0" w:firstColumn="1" w:lastColumn="0" w:noHBand="0" w:noVBand="1"/>
      </w:tblPr>
      <w:tblGrid>
        <w:gridCol w:w="1980"/>
        <w:gridCol w:w="7087"/>
      </w:tblGrid>
      <w:tr w:rsidR="000E512F" w:rsidRPr="00685281" w14:paraId="428537A2" w14:textId="77777777" w:rsidTr="000E512F">
        <w:tc>
          <w:tcPr>
            <w:tcW w:w="1980" w:type="dxa"/>
            <w:shd w:val="clear" w:color="auto" w:fill="D9D9D9" w:themeFill="background1" w:themeFillShade="D9"/>
          </w:tcPr>
          <w:p w14:paraId="099EA507"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Podujatie</w:t>
            </w:r>
          </w:p>
        </w:tc>
        <w:tc>
          <w:tcPr>
            <w:tcW w:w="7087" w:type="dxa"/>
          </w:tcPr>
          <w:p w14:paraId="262DB4FE"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Stretnutie certifikovaných audítorov</w:t>
            </w:r>
          </w:p>
        </w:tc>
      </w:tr>
      <w:tr w:rsidR="000E512F" w:rsidRPr="00685281" w14:paraId="28476D57" w14:textId="77777777" w:rsidTr="000E512F">
        <w:tc>
          <w:tcPr>
            <w:tcW w:w="1980" w:type="dxa"/>
            <w:shd w:val="clear" w:color="auto" w:fill="D9D9D9" w:themeFill="background1" w:themeFillShade="D9"/>
          </w:tcPr>
          <w:p w14:paraId="0BB42702"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Dátum</w:t>
            </w:r>
          </w:p>
        </w:tc>
        <w:tc>
          <w:tcPr>
            <w:tcW w:w="7087" w:type="dxa"/>
          </w:tcPr>
          <w:p w14:paraId="19493372"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21.11.2023</w:t>
            </w:r>
          </w:p>
        </w:tc>
      </w:tr>
      <w:tr w:rsidR="000E512F" w:rsidRPr="00685281" w14:paraId="6F0F0ABD" w14:textId="77777777" w:rsidTr="000E512F">
        <w:tc>
          <w:tcPr>
            <w:tcW w:w="1980" w:type="dxa"/>
            <w:shd w:val="clear" w:color="auto" w:fill="D9D9D9" w:themeFill="background1" w:themeFillShade="D9"/>
          </w:tcPr>
          <w:p w14:paraId="573A5CAC"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Popis</w:t>
            </w:r>
          </w:p>
        </w:tc>
        <w:tc>
          <w:tcPr>
            <w:tcW w:w="7087" w:type="dxa"/>
          </w:tcPr>
          <w:p w14:paraId="750229EB" w14:textId="77777777" w:rsidR="000E512F" w:rsidRPr="00685281" w:rsidRDefault="000E512F" w:rsidP="000E512F">
            <w:pPr>
              <w:shd w:val="clear" w:color="auto" w:fill="FFFFFF"/>
              <w:spacing w:after="150"/>
              <w:jc w:val="both"/>
              <w:rPr>
                <w:rFonts w:ascii="Times New Roman" w:hAnsi="Times New Roman" w:cs="Times New Roman"/>
                <w:sz w:val="24"/>
                <w:szCs w:val="24"/>
              </w:rPr>
            </w:pPr>
            <w:r w:rsidRPr="00685281">
              <w:rPr>
                <w:rFonts w:ascii="Times New Roman" w:hAnsi="Times New Roman" w:cs="Times New Roman"/>
                <w:sz w:val="24"/>
                <w:szCs w:val="24"/>
              </w:rPr>
              <w:t>NBÚ a KCCKB v spolupráci so spoločnosťou Tüv Süd Slovakia zorganizovali podujatie pre desiatky audítorov z oblasti kybernetickej bezpečnosti. Zástupcovia spomínaných organizácií si s nimi vymenili aktuálne poznatky a skúsenosti v oblasti regulácie. Hlavnou témou podujatia bola nová smernica NIS 2 a jej dôsledky na prevádzkovateľov základnej služby (PSZ). Cieľom bola diskusia k smernici NIS 2, ktorá je zameraná na celoeurópske zlepšenie úrovne kybernetickej bezpečnosti.</w:t>
            </w:r>
            <w:r w:rsidRPr="00685281">
              <w:rPr>
                <w:rFonts w:ascii="Times New Roman" w:hAnsi="Times New Roman" w:cs="Times New Roman"/>
                <w:color w:val="000000"/>
                <w:sz w:val="24"/>
                <w:szCs w:val="24"/>
              </w:rPr>
              <w:t xml:space="preserve"> </w:t>
            </w:r>
          </w:p>
        </w:tc>
      </w:tr>
      <w:tr w:rsidR="000E512F" w:rsidRPr="00685281" w14:paraId="1E4B5BFA" w14:textId="77777777" w:rsidTr="000E512F">
        <w:tc>
          <w:tcPr>
            <w:tcW w:w="1980" w:type="dxa"/>
            <w:shd w:val="clear" w:color="auto" w:fill="D9D9D9" w:themeFill="background1" w:themeFillShade="D9"/>
          </w:tcPr>
          <w:p w14:paraId="2F1BE3EE"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Cieľová skupina</w:t>
            </w:r>
          </w:p>
        </w:tc>
        <w:tc>
          <w:tcPr>
            <w:tcW w:w="7087" w:type="dxa"/>
          </w:tcPr>
          <w:p w14:paraId="5C03F142"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verejná správa, súkromný sektor</w:t>
            </w:r>
          </w:p>
        </w:tc>
      </w:tr>
    </w:tbl>
    <w:p w14:paraId="4C1447FB" w14:textId="77777777" w:rsidR="000E512F" w:rsidRPr="00685281" w:rsidRDefault="000E512F" w:rsidP="000E512F">
      <w:pPr>
        <w:rPr>
          <w:rFonts w:ascii="Times New Roman" w:hAnsi="Times New Roman" w:cs="Times New Roman"/>
          <w:sz w:val="24"/>
          <w:szCs w:val="24"/>
        </w:rPr>
      </w:pPr>
    </w:p>
    <w:tbl>
      <w:tblPr>
        <w:tblW w:w="9067" w:type="dxa"/>
        <w:tblLayout w:type="fixed"/>
        <w:tblLook w:val="04A0" w:firstRow="1" w:lastRow="0" w:firstColumn="1" w:lastColumn="0" w:noHBand="0" w:noVBand="1"/>
      </w:tblPr>
      <w:tblGrid>
        <w:gridCol w:w="1980"/>
        <w:gridCol w:w="7087"/>
      </w:tblGrid>
      <w:tr w:rsidR="000E512F" w:rsidRPr="00685281" w14:paraId="6F6721D3" w14:textId="77777777" w:rsidTr="000E512F">
        <w:tc>
          <w:tcPr>
            <w:tcW w:w="1980" w:type="dxa"/>
            <w:shd w:val="clear" w:color="auto" w:fill="D9D9D9" w:themeFill="background1" w:themeFillShade="D9"/>
          </w:tcPr>
          <w:p w14:paraId="411A50EF"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Podujatie</w:t>
            </w:r>
          </w:p>
        </w:tc>
        <w:tc>
          <w:tcPr>
            <w:tcW w:w="7087" w:type="dxa"/>
          </w:tcPr>
          <w:p w14:paraId="299FB81E"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Medzinárodná konferencia ITAPA</w:t>
            </w:r>
          </w:p>
        </w:tc>
      </w:tr>
      <w:tr w:rsidR="000E512F" w:rsidRPr="00685281" w14:paraId="18BC5ED0" w14:textId="77777777" w:rsidTr="000E512F">
        <w:tc>
          <w:tcPr>
            <w:tcW w:w="1980" w:type="dxa"/>
            <w:shd w:val="clear" w:color="auto" w:fill="D9D9D9" w:themeFill="background1" w:themeFillShade="D9"/>
          </w:tcPr>
          <w:p w14:paraId="62898E11"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Dátum</w:t>
            </w:r>
          </w:p>
        </w:tc>
        <w:tc>
          <w:tcPr>
            <w:tcW w:w="7087" w:type="dxa"/>
          </w:tcPr>
          <w:p w14:paraId="521C0A1A" w14:textId="77777777" w:rsidR="000E512F" w:rsidRPr="00685281" w:rsidRDefault="000E512F" w:rsidP="000E512F">
            <w:pPr>
              <w:pStyle w:val="Normlnywebov"/>
              <w:jc w:val="both"/>
              <w:rPr>
                <w:color w:val="374151"/>
              </w:rPr>
            </w:pPr>
            <w:r w:rsidRPr="00685281">
              <w:rPr>
                <w:color w:val="374151"/>
              </w:rPr>
              <w:t xml:space="preserve">20.11 – 23.11. </w:t>
            </w:r>
            <w:r w:rsidRPr="00685281">
              <w:t>2023</w:t>
            </w:r>
          </w:p>
        </w:tc>
      </w:tr>
      <w:tr w:rsidR="000E512F" w:rsidRPr="00685281" w14:paraId="2C30D356" w14:textId="77777777" w:rsidTr="000E512F">
        <w:tc>
          <w:tcPr>
            <w:tcW w:w="1980" w:type="dxa"/>
            <w:shd w:val="clear" w:color="auto" w:fill="D9D9D9" w:themeFill="background1" w:themeFillShade="D9"/>
          </w:tcPr>
          <w:p w14:paraId="0D8E2376"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Popis</w:t>
            </w:r>
          </w:p>
        </w:tc>
        <w:tc>
          <w:tcPr>
            <w:tcW w:w="7087" w:type="dxa"/>
          </w:tcPr>
          <w:p w14:paraId="20F32DCD" w14:textId="77777777" w:rsidR="000E512F" w:rsidRPr="00685281" w:rsidRDefault="000E512F" w:rsidP="000E512F">
            <w:pPr>
              <w:jc w:val="both"/>
              <w:rPr>
                <w:rFonts w:ascii="Times New Roman" w:hAnsi="Times New Roman" w:cs="Times New Roman"/>
                <w:sz w:val="24"/>
                <w:szCs w:val="24"/>
                <w:highlight w:val="red"/>
              </w:rPr>
            </w:pPr>
            <w:r w:rsidRPr="00685281">
              <w:rPr>
                <w:rFonts w:ascii="Times New Roman" w:hAnsi="Times New Roman" w:cs="Times New Roman"/>
                <w:color w:val="000000" w:themeColor="text1"/>
                <w:sz w:val="24"/>
                <w:szCs w:val="24"/>
                <w:shd w:val="clear" w:color="auto" w:fill="FFFFFF"/>
              </w:rPr>
              <w:t xml:space="preserve">Prednáška NBÚ a diskusia v rámci viacerých panelov sa zamerala na legislatívnu aktivitu Európskej komisie a Slovenskej republiky. </w:t>
            </w:r>
            <w:r w:rsidRPr="00685281">
              <w:rPr>
                <w:rFonts w:ascii="Times New Roman" w:hAnsi="Times New Roman" w:cs="Times New Roman"/>
                <w:color w:val="000000" w:themeColor="text1"/>
                <w:sz w:val="24"/>
                <w:szCs w:val="24"/>
                <w:shd w:val="clear" w:color="auto" w:fill="FFFFFF"/>
              </w:rPr>
              <w:lastRenderedPageBreak/>
              <w:t xml:space="preserve">Od predstavenia prvej horizontálnej kyberbezpečnostnej legislatívy, ktorou bola smernica NIS, prešla takmer dekáda. Jej cieľom bolo dosiahnutie vysokej úrovni kybernetickej bezpečnosti v celej Európskej únii, čo sa podarilo. Dokonca štandard NIS úspešne Európska únia exportuje aj do tretích krajín podobne ako pri GDPR. Panelisti diskutovali o tom, či je náš súčasný národný legislatívny rámec naďalej vhodný na účinnú reakciu voči kyberbezpečnostným incidentom, hrozbám a trendom. Diskusia mala poukázať na to, kde sa vlastne Slovenská republika nachádza s úrovňou kybernetickej bezpečnosti a súvisiacou digitálnou legislatívou s kyberbezpečnostnými prvkami. </w:t>
            </w:r>
          </w:p>
        </w:tc>
      </w:tr>
      <w:tr w:rsidR="000E512F" w:rsidRPr="00685281" w14:paraId="7E841346" w14:textId="77777777" w:rsidTr="000E512F">
        <w:tc>
          <w:tcPr>
            <w:tcW w:w="1980" w:type="dxa"/>
            <w:shd w:val="clear" w:color="auto" w:fill="D9D9D9" w:themeFill="background1" w:themeFillShade="D9"/>
          </w:tcPr>
          <w:p w14:paraId="6828571E"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lastRenderedPageBreak/>
              <w:t>Cieľová skupina</w:t>
            </w:r>
          </w:p>
        </w:tc>
        <w:tc>
          <w:tcPr>
            <w:tcW w:w="7087" w:type="dxa"/>
          </w:tcPr>
          <w:p w14:paraId="6EA301AC"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verejná správa, súkromný sektor, akademická sféra</w:t>
            </w:r>
          </w:p>
        </w:tc>
      </w:tr>
    </w:tbl>
    <w:p w14:paraId="2BE464EF" w14:textId="77777777" w:rsidR="000E512F" w:rsidRPr="00685281" w:rsidRDefault="000E512F" w:rsidP="000E512F">
      <w:pPr>
        <w:pStyle w:val="Normlnywebov"/>
        <w:jc w:val="both"/>
        <w:rPr>
          <w:color w:val="374151"/>
        </w:rPr>
      </w:pPr>
    </w:p>
    <w:tbl>
      <w:tblPr>
        <w:tblW w:w="9067" w:type="dxa"/>
        <w:tblLayout w:type="fixed"/>
        <w:tblLook w:val="04A0" w:firstRow="1" w:lastRow="0" w:firstColumn="1" w:lastColumn="0" w:noHBand="0" w:noVBand="1"/>
      </w:tblPr>
      <w:tblGrid>
        <w:gridCol w:w="1980"/>
        <w:gridCol w:w="7087"/>
      </w:tblGrid>
      <w:tr w:rsidR="000E512F" w:rsidRPr="00685281" w14:paraId="253F6D9E" w14:textId="77777777" w:rsidTr="000E512F">
        <w:tc>
          <w:tcPr>
            <w:tcW w:w="1980" w:type="dxa"/>
            <w:shd w:val="clear" w:color="auto" w:fill="D9D9D9" w:themeFill="background1" w:themeFillShade="D9"/>
          </w:tcPr>
          <w:p w14:paraId="7400EC14"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Podujatie</w:t>
            </w:r>
          </w:p>
        </w:tc>
        <w:tc>
          <w:tcPr>
            <w:tcW w:w="7087" w:type="dxa"/>
          </w:tcPr>
          <w:p w14:paraId="626DB180"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color w:val="000000"/>
                <w:sz w:val="24"/>
                <w:szCs w:val="24"/>
              </w:rPr>
              <w:t>Workshop KCCKB pre komunitu</w:t>
            </w:r>
          </w:p>
        </w:tc>
      </w:tr>
      <w:tr w:rsidR="000E512F" w:rsidRPr="00685281" w14:paraId="22605FFF" w14:textId="77777777" w:rsidTr="000E512F">
        <w:tc>
          <w:tcPr>
            <w:tcW w:w="1980" w:type="dxa"/>
            <w:shd w:val="clear" w:color="auto" w:fill="D9D9D9" w:themeFill="background1" w:themeFillShade="D9"/>
          </w:tcPr>
          <w:p w14:paraId="0D5D1261"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Dátum</w:t>
            </w:r>
          </w:p>
        </w:tc>
        <w:tc>
          <w:tcPr>
            <w:tcW w:w="7087" w:type="dxa"/>
          </w:tcPr>
          <w:p w14:paraId="4696CDC2" w14:textId="77777777" w:rsidR="000E512F" w:rsidRPr="00685281" w:rsidRDefault="000E512F" w:rsidP="000E512F">
            <w:pPr>
              <w:pStyle w:val="Normlnywebov"/>
              <w:jc w:val="both"/>
              <w:rPr>
                <w:color w:val="374151"/>
              </w:rPr>
            </w:pPr>
            <w:r w:rsidRPr="00685281">
              <w:rPr>
                <w:color w:val="374151"/>
              </w:rPr>
              <w:t>17.01.</w:t>
            </w:r>
            <w:r w:rsidRPr="00685281">
              <w:t>2024</w:t>
            </w:r>
          </w:p>
        </w:tc>
      </w:tr>
      <w:tr w:rsidR="000E512F" w:rsidRPr="00685281" w14:paraId="34CF3FC9" w14:textId="77777777" w:rsidTr="000E512F">
        <w:tc>
          <w:tcPr>
            <w:tcW w:w="1980" w:type="dxa"/>
            <w:shd w:val="clear" w:color="auto" w:fill="D9D9D9" w:themeFill="background1" w:themeFillShade="D9"/>
          </w:tcPr>
          <w:p w14:paraId="664F8F47"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Popis</w:t>
            </w:r>
          </w:p>
        </w:tc>
        <w:tc>
          <w:tcPr>
            <w:tcW w:w="7087" w:type="dxa"/>
          </w:tcPr>
          <w:p w14:paraId="1538883D" w14:textId="77777777" w:rsidR="000E512F" w:rsidRPr="00685281" w:rsidRDefault="000E512F" w:rsidP="000E512F">
            <w:pPr>
              <w:jc w:val="both"/>
              <w:rPr>
                <w:rFonts w:ascii="Times New Roman" w:hAnsi="Times New Roman" w:cs="Times New Roman"/>
                <w:sz w:val="24"/>
                <w:szCs w:val="24"/>
                <w:highlight w:val="red"/>
              </w:rPr>
            </w:pPr>
            <w:r w:rsidRPr="00685281">
              <w:rPr>
                <w:rFonts w:ascii="Times New Roman" w:hAnsi="Times New Roman" w:cs="Times New Roman"/>
                <w:color w:val="000000"/>
                <w:sz w:val="24"/>
                <w:szCs w:val="24"/>
              </w:rPr>
              <w:t>KCCKB v spolupráci s NBÚ, privítali v Bratislave na neformálnom podujatí desiatky členov kyberbezpečnostnej komunity. Hlavnou témou podujatia bola nová smernica NIS 2 a jej dôsledky na prevádzkovateľov základnej služby (PSZ). Zástupcovia komunity si s NBÚ a KCCKB vymenili aktuálne poznatky a skúsenosti v oblasti regulácie NIS 2 a prezentovali návrhy týkajúce sa jej implementácie do praxe.</w:t>
            </w:r>
          </w:p>
        </w:tc>
      </w:tr>
      <w:tr w:rsidR="000E512F" w:rsidRPr="00685281" w14:paraId="65E27230" w14:textId="77777777" w:rsidTr="000E512F">
        <w:tc>
          <w:tcPr>
            <w:tcW w:w="1980" w:type="dxa"/>
            <w:shd w:val="clear" w:color="auto" w:fill="D9D9D9" w:themeFill="background1" w:themeFillShade="D9"/>
          </w:tcPr>
          <w:p w14:paraId="0DCEE1A2"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Cieľová skupina</w:t>
            </w:r>
          </w:p>
        </w:tc>
        <w:tc>
          <w:tcPr>
            <w:tcW w:w="7087" w:type="dxa"/>
          </w:tcPr>
          <w:p w14:paraId="54B2AEA2"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verejná správa, súkromný sektor, akademická sféra</w:t>
            </w:r>
          </w:p>
        </w:tc>
      </w:tr>
    </w:tbl>
    <w:p w14:paraId="3B438683" w14:textId="77777777" w:rsidR="000E512F" w:rsidRPr="00685281" w:rsidRDefault="000E512F" w:rsidP="000E512F">
      <w:pPr>
        <w:pStyle w:val="Normlnywebov"/>
        <w:jc w:val="both"/>
        <w:rPr>
          <w:color w:val="374151"/>
        </w:rPr>
      </w:pPr>
    </w:p>
    <w:tbl>
      <w:tblPr>
        <w:tblW w:w="9067" w:type="dxa"/>
        <w:tblLayout w:type="fixed"/>
        <w:tblLook w:val="04A0" w:firstRow="1" w:lastRow="0" w:firstColumn="1" w:lastColumn="0" w:noHBand="0" w:noVBand="1"/>
      </w:tblPr>
      <w:tblGrid>
        <w:gridCol w:w="1980"/>
        <w:gridCol w:w="7087"/>
      </w:tblGrid>
      <w:tr w:rsidR="000E512F" w:rsidRPr="00685281" w14:paraId="26330CA0" w14:textId="77777777" w:rsidTr="000E512F">
        <w:tc>
          <w:tcPr>
            <w:tcW w:w="1980" w:type="dxa"/>
            <w:shd w:val="clear" w:color="auto" w:fill="D9D9D9" w:themeFill="background1" w:themeFillShade="D9"/>
          </w:tcPr>
          <w:p w14:paraId="288C18B9"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Podujatie</w:t>
            </w:r>
          </w:p>
        </w:tc>
        <w:tc>
          <w:tcPr>
            <w:tcW w:w="7087" w:type="dxa"/>
          </w:tcPr>
          <w:p w14:paraId="219D2F7A"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color w:val="000000"/>
                <w:sz w:val="24"/>
                <w:szCs w:val="24"/>
              </w:rPr>
              <w:t>Výročná schôdza PPP</w:t>
            </w:r>
          </w:p>
        </w:tc>
      </w:tr>
      <w:tr w:rsidR="000E512F" w:rsidRPr="00685281" w14:paraId="5B3ACFB4" w14:textId="77777777" w:rsidTr="000E512F">
        <w:tc>
          <w:tcPr>
            <w:tcW w:w="1980" w:type="dxa"/>
            <w:shd w:val="clear" w:color="auto" w:fill="D9D9D9" w:themeFill="background1" w:themeFillShade="D9"/>
          </w:tcPr>
          <w:p w14:paraId="0F781D89"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Dátum</w:t>
            </w:r>
          </w:p>
        </w:tc>
        <w:tc>
          <w:tcPr>
            <w:tcW w:w="7087" w:type="dxa"/>
          </w:tcPr>
          <w:p w14:paraId="0E11C838" w14:textId="77777777" w:rsidR="000E512F" w:rsidRPr="00685281" w:rsidRDefault="000E512F" w:rsidP="000E512F">
            <w:pPr>
              <w:pStyle w:val="Normlnywebov"/>
              <w:jc w:val="both"/>
              <w:rPr>
                <w:color w:val="374151"/>
              </w:rPr>
            </w:pPr>
            <w:r w:rsidRPr="00685281">
              <w:rPr>
                <w:color w:val="374151"/>
              </w:rPr>
              <w:t>18.01.</w:t>
            </w:r>
            <w:r w:rsidRPr="00685281">
              <w:t>2024</w:t>
            </w:r>
          </w:p>
        </w:tc>
      </w:tr>
      <w:tr w:rsidR="000E512F" w:rsidRPr="00685281" w14:paraId="317775C4" w14:textId="77777777" w:rsidTr="000E512F">
        <w:tc>
          <w:tcPr>
            <w:tcW w:w="1980" w:type="dxa"/>
            <w:shd w:val="clear" w:color="auto" w:fill="D9D9D9" w:themeFill="background1" w:themeFillShade="D9"/>
          </w:tcPr>
          <w:p w14:paraId="7A3F118A"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Popis</w:t>
            </w:r>
          </w:p>
        </w:tc>
        <w:tc>
          <w:tcPr>
            <w:tcW w:w="7087" w:type="dxa"/>
          </w:tcPr>
          <w:p w14:paraId="6090E393" w14:textId="77777777" w:rsidR="000E512F" w:rsidRPr="00685281" w:rsidRDefault="000E512F" w:rsidP="000E512F">
            <w:pPr>
              <w:shd w:val="clear" w:color="auto" w:fill="FFFFFF"/>
              <w:jc w:val="both"/>
              <w:rPr>
                <w:rFonts w:ascii="Times New Roman" w:hAnsi="Times New Roman" w:cs="Times New Roman"/>
                <w:color w:val="000000"/>
                <w:sz w:val="24"/>
                <w:szCs w:val="24"/>
                <w:highlight w:val="yellow"/>
              </w:rPr>
            </w:pPr>
            <w:r w:rsidRPr="00685281">
              <w:rPr>
                <w:rFonts w:ascii="Times New Roman" w:hAnsi="Times New Roman" w:cs="Times New Roman"/>
                <w:color w:val="000000" w:themeColor="text1"/>
                <w:sz w:val="24"/>
                <w:szCs w:val="24"/>
                <w:shd w:val="clear" w:color="auto" w:fill="FFFFFF"/>
              </w:rPr>
              <w:t xml:space="preserve">Zástupcovia NBÚ prezentovali na výročnej schôdzke združenia Partnerstvá pre prosperitu legislatívnu aktivitu Európskej komisie a Slovenskej republiky. Prezentácia bola zameraná na </w:t>
            </w:r>
            <w:r w:rsidRPr="00685281">
              <w:rPr>
                <w:rFonts w:ascii="Times New Roman" w:hAnsi="Times New Roman" w:cs="Times New Roman"/>
                <w:color w:val="000000"/>
                <w:sz w:val="24"/>
                <w:szCs w:val="24"/>
              </w:rPr>
              <w:t>novú smernicu NIS 2 a jej dôsledky na prevádzkovateľov základnej služby (PSZ). Zástupcovia komunity si s NBÚ vymenili aktuálne poznatky a skúsenosti v oblasti regulácie NIS 2 a prezentovali návrhy týkajúce sa jej implementácie do praxe.</w:t>
            </w:r>
          </w:p>
        </w:tc>
      </w:tr>
      <w:tr w:rsidR="000E512F" w:rsidRPr="00685281" w14:paraId="40FFD4B4" w14:textId="77777777" w:rsidTr="000E512F">
        <w:tc>
          <w:tcPr>
            <w:tcW w:w="1980" w:type="dxa"/>
            <w:shd w:val="clear" w:color="auto" w:fill="D9D9D9" w:themeFill="background1" w:themeFillShade="D9"/>
          </w:tcPr>
          <w:p w14:paraId="4EEDA13E"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Cieľová skupina</w:t>
            </w:r>
          </w:p>
        </w:tc>
        <w:tc>
          <w:tcPr>
            <w:tcW w:w="7087" w:type="dxa"/>
          </w:tcPr>
          <w:p w14:paraId="0D4F947A"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verejná správa, súkromný sektor, akademická sféra</w:t>
            </w:r>
          </w:p>
        </w:tc>
      </w:tr>
    </w:tbl>
    <w:p w14:paraId="318FC2B3" w14:textId="77777777" w:rsidR="000E512F" w:rsidRPr="00685281" w:rsidRDefault="000E512F" w:rsidP="000E512F">
      <w:pPr>
        <w:pStyle w:val="Normlnywebov"/>
        <w:jc w:val="both"/>
        <w:rPr>
          <w:color w:val="374151"/>
        </w:rPr>
      </w:pPr>
    </w:p>
    <w:tbl>
      <w:tblPr>
        <w:tblW w:w="9067" w:type="dxa"/>
        <w:tblLayout w:type="fixed"/>
        <w:tblLook w:val="04A0" w:firstRow="1" w:lastRow="0" w:firstColumn="1" w:lastColumn="0" w:noHBand="0" w:noVBand="1"/>
      </w:tblPr>
      <w:tblGrid>
        <w:gridCol w:w="1980"/>
        <w:gridCol w:w="7087"/>
      </w:tblGrid>
      <w:tr w:rsidR="000E512F" w:rsidRPr="00685281" w14:paraId="5015B045" w14:textId="77777777" w:rsidTr="000E512F">
        <w:tc>
          <w:tcPr>
            <w:tcW w:w="1980" w:type="dxa"/>
            <w:shd w:val="clear" w:color="auto" w:fill="D9D9D9" w:themeFill="background1" w:themeFillShade="D9"/>
          </w:tcPr>
          <w:p w14:paraId="732D278A"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Podujatie</w:t>
            </w:r>
          </w:p>
        </w:tc>
        <w:tc>
          <w:tcPr>
            <w:tcW w:w="7087" w:type="dxa"/>
          </w:tcPr>
          <w:p w14:paraId="2652C329"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color w:val="000000"/>
                <w:sz w:val="24"/>
                <w:szCs w:val="24"/>
              </w:rPr>
              <w:t>Webinár pre rakúske spoločnosti pôsobiace v rámci SR</w:t>
            </w:r>
          </w:p>
        </w:tc>
      </w:tr>
      <w:tr w:rsidR="000E512F" w:rsidRPr="00685281" w14:paraId="7E7CA2F6" w14:textId="77777777" w:rsidTr="000E512F">
        <w:tc>
          <w:tcPr>
            <w:tcW w:w="1980" w:type="dxa"/>
            <w:shd w:val="clear" w:color="auto" w:fill="D9D9D9" w:themeFill="background1" w:themeFillShade="D9"/>
          </w:tcPr>
          <w:p w14:paraId="6B181FA1"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Dátum</w:t>
            </w:r>
          </w:p>
        </w:tc>
        <w:tc>
          <w:tcPr>
            <w:tcW w:w="7087" w:type="dxa"/>
          </w:tcPr>
          <w:p w14:paraId="17825828" w14:textId="77777777" w:rsidR="000E512F" w:rsidRPr="00685281" w:rsidRDefault="000E512F" w:rsidP="000E512F">
            <w:pPr>
              <w:pStyle w:val="Normlnywebov"/>
              <w:jc w:val="both"/>
              <w:rPr>
                <w:color w:val="374151"/>
              </w:rPr>
            </w:pPr>
            <w:r w:rsidRPr="00685281">
              <w:rPr>
                <w:color w:val="374151"/>
              </w:rPr>
              <w:t>30.01.</w:t>
            </w:r>
            <w:r w:rsidRPr="00685281">
              <w:t>2024</w:t>
            </w:r>
          </w:p>
        </w:tc>
      </w:tr>
      <w:tr w:rsidR="000E512F" w:rsidRPr="00685281" w14:paraId="350EAA95" w14:textId="77777777" w:rsidTr="000E512F">
        <w:tc>
          <w:tcPr>
            <w:tcW w:w="1980" w:type="dxa"/>
            <w:shd w:val="clear" w:color="auto" w:fill="D9D9D9" w:themeFill="background1" w:themeFillShade="D9"/>
          </w:tcPr>
          <w:p w14:paraId="0E84AC8F"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lastRenderedPageBreak/>
              <w:t>Popis</w:t>
            </w:r>
          </w:p>
        </w:tc>
        <w:tc>
          <w:tcPr>
            <w:tcW w:w="7087" w:type="dxa"/>
          </w:tcPr>
          <w:p w14:paraId="12DCA0BA" w14:textId="77777777" w:rsidR="000E512F" w:rsidRPr="00685281" w:rsidRDefault="000E512F" w:rsidP="000E512F">
            <w:pPr>
              <w:shd w:val="clear" w:color="auto" w:fill="FFFFFF"/>
              <w:jc w:val="both"/>
              <w:rPr>
                <w:rFonts w:ascii="Times New Roman" w:hAnsi="Times New Roman" w:cs="Times New Roman"/>
                <w:color w:val="000000"/>
                <w:sz w:val="24"/>
                <w:szCs w:val="24"/>
              </w:rPr>
            </w:pPr>
            <w:r w:rsidRPr="00685281">
              <w:rPr>
                <w:rFonts w:ascii="Times New Roman" w:hAnsi="Times New Roman" w:cs="Times New Roman"/>
                <w:color w:val="000000"/>
                <w:sz w:val="24"/>
                <w:szCs w:val="24"/>
              </w:rPr>
              <w:t>Európska smernica NIS 2 zavádza prísnejšie predpisy o kybernetickej bezpečnosti pre mnohé odvetvia a spoločnosti – vrátane tých, ktorých sa predchádzajúce predpisy netýkali. Cieľom je obmedziť útoky na IT systémy v Európskej únii, ktoré poškodzujú hospodárstvo a spoločnosti. Rakúskym spoločnostiam bol na webinári poskytnutý prehľad o situácii v Českej republike a na Slovensku so štyrmi špičkovými odborníkmi z Bratislavy, Prahy, Brna a Viedne. Cieľom bolo umožniť rakúskym spoločnostiam, ktoré dodávajú na Slovensko a do Českej republiky, a ich miestnym pobočkám, pripraviť sa čo najlepšie na nové požiadavky, ktoré budú platiť od októbra 2024.</w:t>
            </w:r>
          </w:p>
        </w:tc>
      </w:tr>
      <w:tr w:rsidR="000E512F" w:rsidRPr="00685281" w14:paraId="098CB3ED" w14:textId="77777777" w:rsidTr="000E512F">
        <w:tc>
          <w:tcPr>
            <w:tcW w:w="1980" w:type="dxa"/>
            <w:shd w:val="clear" w:color="auto" w:fill="D9D9D9" w:themeFill="background1" w:themeFillShade="D9"/>
          </w:tcPr>
          <w:p w14:paraId="0EB2D3A6"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Cieľová skupina</w:t>
            </w:r>
          </w:p>
        </w:tc>
        <w:tc>
          <w:tcPr>
            <w:tcW w:w="7087" w:type="dxa"/>
          </w:tcPr>
          <w:p w14:paraId="7D6E3FA6"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súkromný sektor</w:t>
            </w:r>
          </w:p>
        </w:tc>
      </w:tr>
    </w:tbl>
    <w:p w14:paraId="75DF3EDF" w14:textId="77777777" w:rsidR="000E512F" w:rsidRPr="00685281" w:rsidRDefault="000E512F" w:rsidP="000E512F">
      <w:pPr>
        <w:pStyle w:val="Normlnywebov"/>
        <w:jc w:val="both"/>
        <w:rPr>
          <w:color w:val="374151"/>
        </w:rPr>
      </w:pPr>
    </w:p>
    <w:tbl>
      <w:tblPr>
        <w:tblW w:w="9067" w:type="dxa"/>
        <w:tblLayout w:type="fixed"/>
        <w:tblLook w:val="04A0" w:firstRow="1" w:lastRow="0" w:firstColumn="1" w:lastColumn="0" w:noHBand="0" w:noVBand="1"/>
      </w:tblPr>
      <w:tblGrid>
        <w:gridCol w:w="1980"/>
        <w:gridCol w:w="7087"/>
      </w:tblGrid>
      <w:tr w:rsidR="000E512F" w:rsidRPr="00685281" w14:paraId="10CC4D07" w14:textId="77777777" w:rsidTr="000E512F">
        <w:tc>
          <w:tcPr>
            <w:tcW w:w="1980" w:type="dxa"/>
            <w:shd w:val="clear" w:color="auto" w:fill="D9D9D9" w:themeFill="background1" w:themeFillShade="D9"/>
          </w:tcPr>
          <w:p w14:paraId="107BDE8F"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Podujatie</w:t>
            </w:r>
          </w:p>
        </w:tc>
        <w:tc>
          <w:tcPr>
            <w:tcW w:w="7087" w:type="dxa"/>
          </w:tcPr>
          <w:p w14:paraId="7B15DD00"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color w:val="000000"/>
                <w:sz w:val="24"/>
                <w:szCs w:val="24"/>
                <w:shd w:val="clear" w:color="auto" w:fill="FFFFFF"/>
              </w:rPr>
              <w:t>Stretnutie kyberkomunity – American Chamber of Commerce</w:t>
            </w:r>
          </w:p>
        </w:tc>
      </w:tr>
      <w:tr w:rsidR="000E512F" w:rsidRPr="00685281" w14:paraId="0DF817BE" w14:textId="77777777" w:rsidTr="000E512F">
        <w:tc>
          <w:tcPr>
            <w:tcW w:w="1980" w:type="dxa"/>
            <w:shd w:val="clear" w:color="auto" w:fill="D9D9D9" w:themeFill="background1" w:themeFillShade="D9"/>
          </w:tcPr>
          <w:p w14:paraId="08B3BB1F"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Dátum</w:t>
            </w:r>
          </w:p>
        </w:tc>
        <w:tc>
          <w:tcPr>
            <w:tcW w:w="7087" w:type="dxa"/>
          </w:tcPr>
          <w:p w14:paraId="721E42DD" w14:textId="77777777" w:rsidR="000E512F" w:rsidRPr="00685281" w:rsidRDefault="000E512F" w:rsidP="000E512F">
            <w:pPr>
              <w:pStyle w:val="Normlnywebov"/>
              <w:jc w:val="both"/>
              <w:rPr>
                <w:color w:val="374151"/>
              </w:rPr>
            </w:pPr>
            <w:r w:rsidRPr="00685281">
              <w:rPr>
                <w:color w:val="374151"/>
              </w:rPr>
              <w:t>09.02.2024</w:t>
            </w:r>
          </w:p>
        </w:tc>
      </w:tr>
      <w:tr w:rsidR="000E512F" w:rsidRPr="00685281" w14:paraId="4779A5E8" w14:textId="77777777" w:rsidTr="000E512F">
        <w:tc>
          <w:tcPr>
            <w:tcW w:w="1980" w:type="dxa"/>
            <w:shd w:val="clear" w:color="auto" w:fill="D9D9D9" w:themeFill="background1" w:themeFillShade="D9"/>
          </w:tcPr>
          <w:p w14:paraId="01B38674"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Popis</w:t>
            </w:r>
          </w:p>
        </w:tc>
        <w:tc>
          <w:tcPr>
            <w:tcW w:w="7087" w:type="dxa"/>
          </w:tcPr>
          <w:p w14:paraId="5F39CCFB" w14:textId="77777777" w:rsidR="000E512F" w:rsidRPr="00685281" w:rsidRDefault="000E512F" w:rsidP="000E512F">
            <w:pPr>
              <w:shd w:val="clear" w:color="auto" w:fill="FFFFFF"/>
              <w:jc w:val="both"/>
              <w:rPr>
                <w:rFonts w:ascii="Times New Roman" w:hAnsi="Times New Roman" w:cs="Times New Roman"/>
                <w:color w:val="000000"/>
                <w:sz w:val="24"/>
                <w:szCs w:val="24"/>
              </w:rPr>
            </w:pPr>
            <w:r w:rsidRPr="00685281">
              <w:rPr>
                <w:rFonts w:ascii="Times New Roman" w:hAnsi="Times New Roman" w:cs="Times New Roman"/>
                <w:color w:val="000000"/>
                <w:sz w:val="24"/>
                <w:szCs w:val="24"/>
              </w:rPr>
              <w:t xml:space="preserve">NBÚ zrealizoval konzultácie organizované </w:t>
            </w:r>
            <w:r w:rsidRPr="00685281">
              <w:rPr>
                <w:rFonts w:ascii="Times New Roman" w:hAnsi="Times New Roman" w:cs="Times New Roman"/>
                <w:color w:val="000000"/>
                <w:sz w:val="24"/>
                <w:szCs w:val="24"/>
                <w:shd w:val="clear" w:color="auto" w:fill="FFFFFF"/>
              </w:rPr>
              <w:t>American Chamber of Commerce.</w:t>
            </w:r>
            <w:r w:rsidRPr="00685281">
              <w:rPr>
                <w:rFonts w:ascii="Times New Roman" w:hAnsi="Times New Roman" w:cs="Times New Roman"/>
                <w:color w:val="000000"/>
                <w:sz w:val="24"/>
                <w:szCs w:val="24"/>
              </w:rPr>
              <w:t xml:space="preserve"> Hlavnou témou podujatia bola nová smernica NIS 2 a jej dôsledky pre existujúcich a nových PZS. Zástupcovia subjektov si s NBÚ vymenili aktuálne poznatky a skúsenosti v oblasti regulácie NIS 2 a prezentovali návrhy týkajúce sa jej implementácie do praxe.</w:t>
            </w:r>
          </w:p>
        </w:tc>
      </w:tr>
      <w:tr w:rsidR="000E512F" w:rsidRPr="00685281" w14:paraId="29EBBA40" w14:textId="77777777" w:rsidTr="000E512F">
        <w:tc>
          <w:tcPr>
            <w:tcW w:w="1980" w:type="dxa"/>
            <w:shd w:val="clear" w:color="auto" w:fill="D9D9D9" w:themeFill="background1" w:themeFillShade="D9"/>
          </w:tcPr>
          <w:p w14:paraId="20DE9544"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Cieľová skupina</w:t>
            </w:r>
          </w:p>
        </w:tc>
        <w:tc>
          <w:tcPr>
            <w:tcW w:w="7087" w:type="dxa"/>
          </w:tcPr>
          <w:p w14:paraId="16111F55"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súkromný sektor</w:t>
            </w:r>
          </w:p>
        </w:tc>
      </w:tr>
    </w:tbl>
    <w:p w14:paraId="5354EFD5" w14:textId="77777777" w:rsidR="000E512F" w:rsidRPr="00685281" w:rsidRDefault="000E512F" w:rsidP="000E512F">
      <w:pPr>
        <w:pStyle w:val="Normlnywebov"/>
        <w:jc w:val="both"/>
        <w:rPr>
          <w:color w:val="374151"/>
        </w:rPr>
      </w:pPr>
    </w:p>
    <w:tbl>
      <w:tblPr>
        <w:tblW w:w="9067" w:type="dxa"/>
        <w:tblLayout w:type="fixed"/>
        <w:tblLook w:val="04A0" w:firstRow="1" w:lastRow="0" w:firstColumn="1" w:lastColumn="0" w:noHBand="0" w:noVBand="1"/>
      </w:tblPr>
      <w:tblGrid>
        <w:gridCol w:w="1980"/>
        <w:gridCol w:w="7087"/>
      </w:tblGrid>
      <w:tr w:rsidR="000E512F" w:rsidRPr="00685281" w14:paraId="3198BEF1" w14:textId="77777777" w:rsidTr="000E512F">
        <w:tc>
          <w:tcPr>
            <w:tcW w:w="1980" w:type="dxa"/>
            <w:shd w:val="clear" w:color="auto" w:fill="D9D9D9" w:themeFill="background1" w:themeFillShade="D9"/>
          </w:tcPr>
          <w:p w14:paraId="7C819C43"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Podujatie</w:t>
            </w:r>
          </w:p>
        </w:tc>
        <w:tc>
          <w:tcPr>
            <w:tcW w:w="7087" w:type="dxa"/>
          </w:tcPr>
          <w:p w14:paraId="1354A709"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color w:val="000000"/>
                <w:sz w:val="24"/>
                <w:szCs w:val="24"/>
                <w:shd w:val="clear" w:color="auto" w:fill="FFFFFF"/>
              </w:rPr>
              <w:t>Stretnutie audítorov kybernetickej bezpečnosti</w:t>
            </w:r>
          </w:p>
        </w:tc>
      </w:tr>
      <w:tr w:rsidR="000E512F" w:rsidRPr="00685281" w14:paraId="40C11DCC" w14:textId="77777777" w:rsidTr="000E512F">
        <w:tc>
          <w:tcPr>
            <w:tcW w:w="1980" w:type="dxa"/>
            <w:shd w:val="clear" w:color="auto" w:fill="D9D9D9" w:themeFill="background1" w:themeFillShade="D9"/>
          </w:tcPr>
          <w:p w14:paraId="4BE1DFA5"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Dátum</w:t>
            </w:r>
          </w:p>
        </w:tc>
        <w:tc>
          <w:tcPr>
            <w:tcW w:w="7087" w:type="dxa"/>
          </w:tcPr>
          <w:p w14:paraId="334D8A58" w14:textId="77777777" w:rsidR="000E512F" w:rsidRPr="00685281" w:rsidRDefault="000E512F" w:rsidP="000E512F">
            <w:pPr>
              <w:pStyle w:val="Normlnywebov"/>
              <w:jc w:val="both"/>
              <w:rPr>
                <w:color w:val="374151"/>
              </w:rPr>
            </w:pPr>
            <w:r w:rsidRPr="00685281">
              <w:rPr>
                <w:color w:val="374151"/>
              </w:rPr>
              <w:t>18.03.2024</w:t>
            </w:r>
          </w:p>
        </w:tc>
      </w:tr>
      <w:tr w:rsidR="000E512F" w:rsidRPr="00685281" w14:paraId="6B0B38B9" w14:textId="77777777" w:rsidTr="000E512F">
        <w:tc>
          <w:tcPr>
            <w:tcW w:w="1980" w:type="dxa"/>
            <w:shd w:val="clear" w:color="auto" w:fill="D9D9D9" w:themeFill="background1" w:themeFillShade="D9"/>
          </w:tcPr>
          <w:p w14:paraId="4BA0EE0E"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Popis</w:t>
            </w:r>
          </w:p>
        </w:tc>
        <w:tc>
          <w:tcPr>
            <w:tcW w:w="7087" w:type="dxa"/>
          </w:tcPr>
          <w:p w14:paraId="77D96BD8" w14:textId="77777777" w:rsidR="000E512F" w:rsidRPr="00685281" w:rsidRDefault="000E512F" w:rsidP="000E512F">
            <w:pPr>
              <w:shd w:val="clear" w:color="auto" w:fill="FFFFFF"/>
              <w:jc w:val="both"/>
              <w:rPr>
                <w:rFonts w:ascii="Times New Roman" w:hAnsi="Times New Roman" w:cs="Times New Roman"/>
                <w:color w:val="000000"/>
                <w:sz w:val="24"/>
                <w:szCs w:val="24"/>
              </w:rPr>
            </w:pPr>
            <w:r w:rsidRPr="00685281">
              <w:rPr>
                <w:rFonts w:ascii="Times New Roman" w:hAnsi="Times New Roman" w:cs="Times New Roman"/>
                <w:color w:val="000000"/>
                <w:sz w:val="24"/>
                <w:szCs w:val="24"/>
              </w:rPr>
              <w:t>NBÚ zrealizoval konzultácie pre audítorov kybernetickej bezpečnosti</w:t>
            </w:r>
            <w:r w:rsidRPr="00685281">
              <w:rPr>
                <w:rFonts w:ascii="Times New Roman" w:hAnsi="Times New Roman" w:cs="Times New Roman"/>
                <w:color w:val="000000"/>
                <w:sz w:val="24"/>
                <w:szCs w:val="24"/>
                <w:shd w:val="clear" w:color="auto" w:fill="FFFFFF"/>
              </w:rPr>
              <w:t>.</w:t>
            </w:r>
            <w:r w:rsidRPr="00685281">
              <w:rPr>
                <w:rFonts w:ascii="Times New Roman" w:hAnsi="Times New Roman" w:cs="Times New Roman"/>
                <w:color w:val="000000"/>
                <w:sz w:val="24"/>
                <w:szCs w:val="24"/>
              </w:rPr>
              <w:t xml:space="preserve"> Hlavnou témou podujatia bola nová smernica NIS 2 a jej dôsledky pre existujúcich a nových PZS. Audítori kybernetickej bezpečnosti si s NBÚ vymenili aktuálne poznatky a skúsenosti v oblasti regulácie NIS 2 a prezentovali návrhy týkajúce sa jej implementácie do praxe.</w:t>
            </w:r>
          </w:p>
        </w:tc>
      </w:tr>
      <w:tr w:rsidR="000E512F" w:rsidRPr="00685281" w14:paraId="2EF46C57" w14:textId="77777777" w:rsidTr="000E512F">
        <w:tc>
          <w:tcPr>
            <w:tcW w:w="1980" w:type="dxa"/>
            <w:shd w:val="clear" w:color="auto" w:fill="D9D9D9" w:themeFill="background1" w:themeFillShade="D9"/>
          </w:tcPr>
          <w:p w14:paraId="288C09C5"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Cieľová skupina</w:t>
            </w:r>
          </w:p>
        </w:tc>
        <w:tc>
          <w:tcPr>
            <w:tcW w:w="7087" w:type="dxa"/>
          </w:tcPr>
          <w:p w14:paraId="1F5F8816"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odborná verejnosť</w:t>
            </w:r>
          </w:p>
        </w:tc>
      </w:tr>
    </w:tbl>
    <w:p w14:paraId="71ED0FDB" w14:textId="77777777" w:rsidR="000E512F" w:rsidRPr="00685281" w:rsidRDefault="000E512F" w:rsidP="000E512F">
      <w:pPr>
        <w:pStyle w:val="Normlnywebov"/>
        <w:jc w:val="both"/>
        <w:rPr>
          <w:color w:val="374151"/>
        </w:rPr>
      </w:pPr>
    </w:p>
    <w:tbl>
      <w:tblPr>
        <w:tblW w:w="9067" w:type="dxa"/>
        <w:tblLayout w:type="fixed"/>
        <w:tblLook w:val="04A0" w:firstRow="1" w:lastRow="0" w:firstColumn="1" w:lastColumn="0" w:noHBand="0" w:noVBand="1"/>
      </w:tblPr>
      <w:tblGrid>
        <w:gridCol w:w="1980"/>
        <w:gridCol w:w="7087"/>
      </w:tblGrid>
      <w:tr w:rsidR="000E512F" w:rsidRPr="00685281" w14:paraId="655A7E64" w14:textId="77777777" w:rsidTr="000E512F">
        <w:tc>
          <w:tcPr>
            <w:tcW w:w="1980" w:type="dxa"/>
            <w:shd w:val="clear" w:color="auto" w:fill="D9D9D9" w:themeFill="background1" w:themeFillShade="D9"/>
          </w:tcPr>
          <w:p w14:paraId="2E8644FD"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Podujatie</w:t>
            </w:r>
          </w:p>
        </w:tc>
        <w:tc>
          <w:tcPr>
            <w:tcW w:w="7087" w:type="dxa"/>
          </w:tcPr>
          <w:p w14:paraId="70115E45"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color w:val="000000"/>
                <w:sz w:val="24"/>
                <w:szCs w:val="24"/>
                <w:shd w:val="clear" w:color="auto" w:fill="FFFFFF"/>
              </w:rPr>
              <w:t>Stretnutie manažérov kybernetickej bezpečnosti</w:t>
            </w:r>
          </w:p>
        </w:tc>
      </w:tr>
      <w:tr w:rsidR="000E512F" w:rsidRPr="00685281" w14:paraId="0CB41CC6" w14:textId="77777777" w:rsidTr="000E512F">
        <w:tc>
          <w:tcPr>
            <w:tcW w:w="1980" w:type="dxa"/>
            <w:shd w:val="clear" w:color="auto" w:fill="D9D9D9" w:themeFill="background1" w:themeFillShade="D9"/>
          </w:tcPr>
          <w:p w14:paraId="5BAFAFF2"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Dátum</w:t>
            </w:r>
          </w:p>
        </w:tc>
        <w:tc>
          <w:tcPr>
            <w:tcW w:w="7087" w:type="dxa"/>
          </w:tcPr>
          <w:p w14:paraId="7DFDCD26" w14:textId="77777777" w:rsidR="000E512F" w:rsidRPr="00685281" w:rsidRDefault="000E512F" w:rsidP="000E512F">
            <w:pPr>
              <w:pStyle w:val="Normlnywebov"/>
              <w:jc w:val="both"/>
              <w:rPr>
                <w:color w:val="374151"/>
              </w:rPr>
            </w:pPr>
            <w:r w:rsidRPr="00685281">
              <w:rPr>
                <w:color w:val="374151"/>
              </w:rPr>
              <w:t>25.03.2024</w:t>
            </w:r>
          </w:p>
        </w:tc>
      </w:tr>
      <w:tr w:rsidR="000E512F" w:rsidRPr="00685281" w14:paraId="5D948601" w14:textId="77777777" w:rsidTr="000E512F">
        <w:tc>
          <w:tcPr>
            <w:tcW w:w="1980" w:type="dxa"/>
            <w:shd w:val="clear" w:color="auto" w:fill="D9D9D9" w:themeFill="background1" w:themeFillShade="D9"/>
          </w:tcPr>
          <w:p w14:paraId="74C0960B"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Popis</w:t>
            </w:r>
          </w:p>
        </w:tc>
        <w:tc>
          <w:tcPr>
            <w:tcW w:w="7087" w:type="dxa"/>
          </w:tcPr>
          <w:p w14:paraId="1B491417" w14:textId="77777777" w:rsidR="000E512F" w:rsidRPr="00685281" w:rsidRDefault="000E512F" w:rsidP="000E512F">
            <w:pPr>
              <w:shd w:val="clear" w:color="auto" w:fill="FFFFFF"/>
              <w:jc w:val="both"/>
              <w:rPr>
                <w:rFonts w:ascii="Times New Roman" w:hAnsi="Times New Roman" w:cs="Times New Roman"/>
                <w:color w:val="000000"/>
                <w:sz w:val="24"/>
                <w:szCs w:val="24"/>
              </w:rPr>
            </w:pPr>
            <w:r w:rsidRPr="00685281">
              <w:rPr>
                <w:rFonts w:ascii="Times New Roman" w:hAnsi="Times New Roman" w:cs="Times New Roman"/>
                <w:color w:val="000000"/>
                <w:sz w:val="24"/>
                <w:szCs w:val="24"/>
              </w:rPr>
              <w:t>NBÚ zrealizoval konzultácie pre manažérov kybernetickej bezpečnosti</w:t>
            </w:r>
            <w:r w:rsidRPr="00685281">
              <w:rPr>
                <w:rFonts w:ascii="Times New Roman" w:hAnsi="Times New Roman" w:cs="Times New Roman"/>
                <w:color w:val="000000"/>
                <w:sz w:val="24"/>
                <w:szCs w:val="24"/>
                <w:shd w:val="clear" w:color="auto" w:fill="FFFFFF"/>
              </w:rPr>
              <w:t>.</w:t>
            </w:r>
            <w:r w:rsidRPr="00685281">
              <w:rPr>
                <w:rFonts w:ascii="Times New Roman" w:hAnsi="Times New Roman" w:cs="Times New Roman"/>
                <w:color w:val="000000"/>
                <w:sz w:val="24"/>
                <w:szCs w:val="24"/>
              </w:rPr>
              <w:t xml:space="preserve"> Hlavnou témou podujatia bola nová smernica NIS 2 a jej dôsledky pre existujúcich a nových prevádzkovateľov základnej služby (PSZ). </w:t>
            </w:r>
            <w:r w:rsidRPr="00685281">
              <w:rPr>
                <w:rFonts w:ascii="Times New Roman" w:hAnsi="Times New Roman" w:cs="Times New Roman"/>
                <w:color w:val="000000"/>
                <w:sz w:val="24"/>
                <w:szCs w:val="24"/>
              </w:rPr>
              <w:lastRenderedPageBreak/>
              <w:t>Manažéri kybernetickej bezpečnosti si s NBÚ vymenili aktuálne poznatky a skúsenosti v oblasti regulácie NIS 2 a prezentovali návrhy týkajúce sa jej implementácie do praxe.</w:t>
            </w:r>
          </w:p>
        </w:tc>
      </w:tr>
      <w:tr w:rsidR="000E512F" w:rsidRPr="00685281" w14:paraId="2B668101" w14:textId="77777777" w:rsidTr="000E512F">
        <w:tc>
          <w:tcPr>
            <w:tcW w:w="1980" w:type="dxa"/>
            <w:shd w:val="clear" w:color="auto" w:fill="D9D9D9" w:themeFill="background1" w:themeFillShade="D9"/>
          </w:tcPr>
          <w:p w14:paraId="25E5B16D"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lastRenderedPageBreak/>
              <w:t>Cieľová skupina</w:t>
            </w:r>
          </w:p>
        </w:tc>
        <w:tc>
          <w:tcPr>
            <w:tcW w:w="7087" w:type="dxa"/>
          </w:tcPr>
          <w:p w14:paraId="77D46D00"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odborná verejnosť</w:t>
            </w:r>
          </w:p>
        </w:tc>
      </w:tr>
    </w:tbl>
    <w:p w14:paraId="166FBB56" w14:textId="77777777" w:rsidR="000E512F" w:rsidRPr="00685281" w:rsidRDefault="000E512F" w:rsidP="000E512F">
      <w:pPr>
        <w:pStyle w:val="Normlnywebov"/>
        <w:jc w:val="both"/>
        <w:rPr>
          <w:color w:val="374151"/>
        </w:rPr>
      </w:pPr>
    </w:p>
    <w:tbl>
      <w:tblPr>
        <w:tblW w:w="9067" w:type="dxa"/>
        <w:tblLayout w:type="fixed"/>
        <w:tblLook w:val="04A0" w:firstRow="1" w:lastRow="0" w:firstColumn="1" w:lastColumn="0" w:noHBand="0" w:noVBand="1"/>
      </w:tblPr>
      <w:tblGrid>
        <w:gridCol w:w="1980"/>
        <w:gridCol w:w="7087"/>
      </w:tblGrid>
      <w:tr w:rsidR="000E512F" w:rsidRPr="00685281" w14:paraId="1A4B91F8" w14:textId="77777777" w:rsidTr="000E512F">
        <w:tc>
          <w:tcPr>
            <w:tcW w:w="1980" w:type="dxa"/>
            <w:shd w:val="clear" w:color="auto" w:fill="D9D9D9" w:themeFill="background1" w:themeFillShade="D9"/>
          </w:tcPr>
          <w:p w14:paraId="5772A004"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Podujatie</w:t>
            </w:r>
          </w:p>
        </w:tc>
        <w:tc>
          <w:tcPr>
            <w:tcW w:w="7087" w:type="dxa"/>
          </w:tcPr>
          <w:p w14:paraId="6371A81F"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color w:val="000000"/>
                <w:sz w:val="24"/>
                <w:szCs w:val="24"/>
                <w:shd w:val="clear" w:color="auto" w:fill="FFFFFF"/>
              </w:rPr>
              <w:t xml:space="preserve">Výjazdové stretnutie zástupcov prevádzkovateľov základných služieb </w:t>
            </w:r>
          </w:p>
        </w:tc>
      </w:tr>
      <w:tr w:rsidR="000E512F" w:rsidRPr="00685281" w14:paraId="4BDA9C82" w14:textId="77777777" w:rsidTr="000E512F">
        <w:tc>
          <w:tcPr>
            <w:tcW w:w="1980" w:type="dxa"/>
            <w:shd w:val="clear" w:color="auto" w:fill="D9D9D9" w:themeFill="background1" w:themeFillShade="D9"/>
          </w:tcPr>
          <w:p w14:paraId="602B8F5D"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Dátum</w:t>
            </w:r>
          </w:p>
        </w:tc>
        <w:tc>
          <w:tcPr>
            <w:tcW w:w="7087" w:type="dxa"/>
          </w:tcPr>
          <w:p w14:paraId="0227CC70" w14:textId="77777777" w:rsidR="000E512F" w:rsidRPr="00685281" w:rsidRDefault="000E512F" w:rsidP="000E512F">
            <w:pPr>
              <w:pStyle w:val="Normlnywebov"/>
              <w:jc w:val="both"/>
              <w:rPr>
                <w:color w:val="374151"/>
              </w:rPr>
            </w:pPr>
            <w:r w:rsidRPr="00685281">
              <w:rPr>
                <w:color w:val="374151"/>
              </w:rPr>
              <w:t>11.-12.04.2024</w:t>
            </w:r>
          </w:p>
        </w:tc>
      </w:tr>
      <w:tr w:rsidR="000E512F" w:rsidRPr="00685281" w14:paraId="3DADA87A" w14:textId="77777777" w:rsidTr="000E512F">
        <w:tc>
          <w:tcPr>
            <w:tcW w:w="1980" w:type="dxa"/>
            <w:shd w:val="clear" w:color="auto" w:fill="D9D9D9" w:themeFill="background1" w:themeFillShade="D9"/>
          </w:tcPr>
          <w:p w14:paraId="1CB30D6F"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Popis</w:t>
            </w:r>
          </w:p>
        </w:tc>
        <w:tc>
          <w:tcPr>
            <w:tcW w:w="7087" w:type="dxa"/>
          </w:tcPr>
          <w:p w14:paraId="1C171C84" w14:textId="77777777" w:rsidR="000E512F" w:rsidRPr="00685281" w:rsidRDefault="000E512F" w:rsidP="000E512F">
            <w:pPr>
              <w:shd w:val="clear" w:color="auto" w:fill="FFFFFF"/>
              <w:jc w:val="both"/>
              <w:rPr>
                <w:rFonts w:ascii="Times New Roman" w:hAnsi="Times New Roman" w:cs="Times New Roman"/>
                <w:color w:val="000000"/>
                <w:sz w:val="24"/>
                <w:szCs w:val="24"/>
              </w:rPr>
            </w:pPr>
            <w:r w:rsidRPr="00685281">
              <w:rPr>
                <w:rFonts w:ascii="Times New Roman" w:hAnsi="Times New Roman" w:cs="Times New Roman"/>
                <w:color w:val="000000"/>
                <w:sz w:val="24"/>
                <w:szCs w:val="24"/>
              </w:rPr>
              <w:t>NBÚ s partnermi zrealizoval konzultácie pre zástupcov prevádzkovateľov základných služieb</w:t>
            </w:r>
            <w:r w:rsidRPr="00685281">
              <w:rPr>
                <w:rFonts w:ascii="Times New Roman" w:hAnsi="Times New Roman" w:cs="Times New Roman"/>
                <w:color w:val="000000"/>
                <w:sz w:val="24"/>
                <w:szCs w:val="24"/>
                <w:shd w:val="clear" w:color="auto" w:fill="FFFFFF"/>
              </w:rPr>
              <w:t>.</w:t>
            </w:r>
            <w:r w:rsidRPr="00685281">
              <w:rPr>
                <w:rFonts w:ascii="Times New Roman" w:hAnsi="Times New Roman" w:cs="Times New Roman"/>
                <w:color w:val="000000"/>
                <w:sz w:val="24"/>
                <w:szCs w:val="24"/>
              </w:rPr>
              <w:t xml:space="preserve"> Hlavnou témou podujatia bola nová smernica NIS 2 a jej dôsledky pre existujúcich a nových prevádzkovateľov základných služieb. Zástupcovia prevádzkovateľov základných služieb si s NBÚ vymenili aktuálne poznatky a skúsenosti v oblasti regulácie NIS 2 a prezentovali návrhy týkajúce sa jej implementácie do praxe.</w:t>
            </w:r>
          </w:p>
        </w:tc>
      </w:tr>
      <w:tr w:rsidR="000E512F" w:rsidRPr="00685281" w14:paraId="0B35D397" w14:textId="77777777" w:rsidTr="000E512F">
        <w:tc>
          <w:tcPr>
            <w:tcW w:w="1980" w:type="dxa"/>
            <w:shd w:val="clear" w:color="auto" w:fill="D9D9D9" w:themeFill="background1" w:themeFillShade="D9"/>
          </w:tcPr>
          <w:p w14:paraId="4A2536D2"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Cieľová skupina</w:t>
            </w:r>
          </w:p>
        </w:tc>
        <w:tc>
          <w:tcPr>
            <w:tcW w:w="7087" w:type="dxa"/>
          </w:tcPr>
          <w:p w14:paraId="10B502B7"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odborná verejnosť, súkromný sektor, verejný sektor</w:t>
            </w:r>
          </w:p>
        </w:tc>
      </w:tr>
    </w:tbl>
    <w:p w14:paraId="2B0308AC" w14:textId="77777777" w:rsidR="000E512F" w:rsidRPr="001E47E5" w:rsidRDefault="000E512F" w:rsidP="000E512F">
      <w:pPr>
        <w:pStyle w:val="Normlnywebov"/>
        <w:jc w:val="both"/>
        <w:rPr>
          <w:color w:val="374151"/>
        </w:rPr>
      </w:pPr>
    </w:p>
    <w:tbl>
      <w:tblPr>
        <w:tblW w:w="9067" w:type="dxa"/>
        <w:tblLayout w:type="fixed"/>
        <w:tblLook w:val="04A0" w:firstRow="1" w:lastRow="0" w:firstColumn="1" w:lastColumn="0" w:noHBand="0" w:noVBand="1"/>
      </w:tblPr>
      <w:tblGrid>
        <w:gridCol w:w="1980"/>
        <w:gridCol w:w="7087"/>
      </w:tblGrid>
      <w:tr w:rsidR="000E512F" w:rsidRPr="001E47E5" w14:paraId="6FB5505A" w14:textId="77777777" w:rsidTr="000E512F">
        <w:tc>
          <w:tcPr>
            <w:tcW w:w="1980" w:type="dxa"/>
            <w:shd w:val="clear" w:color="auto" w:fill="D9D9D9" w:themeFill="background1" w:themeFillShade="D9"/>
          </w:tcPr>
          <w:p w14:paraId="2E706688"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Podujatie</w:t>
            </w:r>
          </w:p>
        </w:tc>
        <w:tc>
          <w:tcPr>
            <w:tcW w:w="7087" w:type="dxa"/>
          </w:tcPr>
          <w:p w14:paraId="291A4427"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color w:val="000000"/>
                <w:sz w:val="24"/>
                <w:szCs w:val="24"/>
                <w:shd w:val="clear" w:color="auto" w:fill="FFFFFF"/>
              </w:rPr>
              <w:t>Konzultácie s Klubom 500, Republikovou úniou zamestnávateľov a Ministerstvom hospodárstva Slovenskej republiky</w:t>
            </w:r>
          </w:p>
        </w:tc>
      </w:tr>
      <w:tr w:rsidR="000E512F" w:rsidRPr="001E47E5" w14:paraId="2EEC1EE9" w14:textId="77777777" w:rsidTr="000E512F">
        <w:tc>
          <w:tcPr>
            <w:tcW w:w="1980" w:type="dxa"/>
            <w:shd w:val="clear" w:color="auto" w:fill="D9D9D9" w:themeFill="background1" w:themeFillShade="D9"/>
          </w:tcPr>
          <w:p w14:paraId="19D871C7"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Dátum</w:t>
            </w:r>
          </w:p>
        </w:tc>
        <w:tc>
          <w:tcPr>
            <w:tcW w:w="7087" w:type="dxa"/>
          </w:tcPr>
          <w:p w14:paraId="1F91941F" w14:textId="77777777" w:rsidR="000E512F" w:rsidRPr="00685281" w:rsidRDefault="000E512F" w:rsidP="000E512F">
            <w:pPr>
              <w:pStyle w:val="Normlnywebov"/>
              <w:jc w:val="both"/>
              <w:rPr>
                <w:color w:val="374151"/>
              </w:rPr>
            </w:pPr>
            <w:r w:rsidRPr="00685281">
              <w:rPr>
                <w:color w:val="374151"/>
              </w:rPr>
              <w:t>24.04.2024</w:t>
            </w:r>
          </w:p>
        </w:tc>
      </w:tr>
      <w:tr w:rsidR="000E512F" w:rsidRPr="001E47E5" w14:paraId="22A9892D" w14:textId="77777777" w:rsidTr="000E512F">
        <w:tc>
          <w:tcPr>
            <w:tcW w:w="1980" w:type="dxa"/>
            <w:shd w:val="clear" w:color="auto" w:fill="D9D9D9" w:themeFill="background1" w:themeFillShade="D9"/>
          </w:tcPr>
          <w:p w14:paraId="336AAC95"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Popis</w:t>
            </w:r>
          </w:p>
        </w:tc>
        <w:tc>
          <w:tcPr>
            <w:tcW w:w="7087" w:type="dxa"/>
          </w:tcPr>
          <w:p w14:paraId="1E6BA51A" w14:textId="77777777" w:rsidR="000E512F" w:rsidRPr="00685281" w:rsidRDefault="000E512F" w:rsidP="000E512F">
            <w:pPr>
              <w:shd w:val="clear" w:color="auto" w:fill="FFFFFF"/>
              <w:jc w:val="both"/>
              <w:rPr>
                <w:rFonts w:ascii="Times New Roman" w:hAnsi="Times New Roman" w:cs="Times New Roman"/>
                <w:color w:val="000000"/>
                <w:sz w:val="24"/>
                <w:szCs w:val="24"/>
              </w:rPr>
            </w:pPr>
            <w:r w:rsidRPr="00685281">
              <w:rPr>
                <w:rFonts w:ascii="Times New Roman" w:hAnsi="Times New Roman" w:cs="Times New Roman"/>
                <w:color w:val="000000"/>
                <w:sz w:val="24"/>
                <w:szCs w:val="24"/>
              </w:rPr>
              <w:t>NBÚ s partnermi zrealizoval konzultácie pre zástupcov PZS</w:t>
            </w:r>
            <w:r w:rsidRPr="00685281">
              <w:rPr>
                <w:rFonts w:ascii="Times New Roman" w:hAnsi="Times New Roman" w:cs="Times New Roman"/>
                <w:color w:val="000000"/>
                <w:sz w:val="24"/>
                <w:szCs w:val="24"/>
                <w:shd w:val="clear" w:color="auto" w:fill="FFFFFF"/>
              </w:rPr>
              <w:t>.</w:t>
            </w:r>
            <w:r w:rsidRPr="00685281">
              <w:rPr>
                <w:rFonts w:ascii="Times New Roman" w:hAnsi="Times New Roman" w:cs="Times New Roman"/>
                <w:color w:val="000000"/>
                <w:sz w:val="24"/>
                <w:szCs w:val="24"/>
              </w:rPr>
              <w:t xml:space="preserve"> Hlavnou témou podujatia bola nová smernica NIS 2 a jej dôsledky pre existujúcich a nových PZS. Zástupcovia PZS si s NBÚ vymenili aktuálne poznatky a skúsenosti v oblasti regulácie NIS 2 a prezentovali návrhy týkajúce sa jej implementácie do praxe.</w:t>
            </w:r>
          </w:p>
        </w:tc>
      </w:tr>
      <w:tr w:rsidR="000E512F" w:rsidRPr="001E47E5" w14:paraId="13C62B2F" w14:textId="77777777" w:rsidTr="000E512F">
        <w:tc>
          <w:tcPr>
            <w:tcW w:w="1980" w:type="dxa"/>
            <w:shd w:val="clear" w:color="auto" w:fill="D9D9D9" w:themeFill="background1" w:themeFillShade="D9"/>
          </w:tcPr>
          <w:p w14:paraId="5D0035B3"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Cieľová skupina</w:t>
            </w:r>
          </w:p>
        </w:tc>
        <w:tc>
          <w:tcPr>
            <w:tcW w:w="7087" w:type="dxa"/>
          </w:tcPr>
          <w:p w14:paraId="6C18F043"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súkromný sektor</w:t>
            </w:r>
          </w:p>
        </w:tc>
      </w:tr>
    </w:tbl>
    <w:p w14:paraId="347372D5" w14:textId="77777777" w:rsidR="000E512F" w:rsidRPr="001E47E5" w:rsidRDefault="000E512F" w:rsidP="000E512F">
      <w:pPr>
        <w:pStyle w:val="Normlnywebov"/>
        <w:jc w:val="both"/>
        <w:rPr>
          <w:color w:val="374151"/>
        </w:rPr>
      </w:pPr>
    </w:p>
    <w:tbl>
      <w:tblPr>
        <w:tblW w:w="9067" w:type="dxa"/>
        <w:tblLayout w:type="fixed"/>
        <w:tblLook w:val="04A0" w:firstRow="1" w:lastRow="0" w:firstColumn="1" w:lastColumn="0" w:noHBand="0" w:noVBand="1"/>
      </w:tblPr>
      <w:tblGrid>
        <w:gridCol w:w="1980"/>
        <w:gridCol w:w="7087"/>
      </w:tblGrid>
      <w:tr w:rsidR="000E512F" w:rsidRPr="001E47E5" w14:paraId="5D6430F0" w14:textId="77777777" w:rsidTr="000E512F">
        <w:tc>
          <w:tcPr>
            <w:tcW w:w="1980" w:type="dxa"/>
            <w:shd w:val="clear" w:color="auto" w:fill="D9D9D9" w:themeFill="background1" w:themeFillShade="D9"/>
          </w:tcPr>
          <w:p w14:paraId="4C09172A"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Podujatie</w:t>
            </w:r>
          </w:p>
        </w:tc>
        <w:tc>
          <w:tcPr>
            <w:tcW w:w="7087" w:type="dxa"/>
          </w:tcPr>
          <w:p w14:paraId="13CA9288"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color w:val="000000"/>
                <w:sz w:val="24"/>
                <w:szCs w:val="24"/>
                <w:shd w:val="clear" w:color="auto" w:fill="FFFFFF"/>
              </w:rPr>
              <w:t>Konzultácie so Zväzom automobilového priemyslu</w:t>
            </w:r>
          </w:p>
        </w:tc>
      </w:tr>
      <w:tr w:rsidR="000E512F" w:rsidRPr="001E47E5" w14:paraId="085FE6E2" w14:textId="77777777" w:rsidTr="000E512F">
        <w:tc>
          <w:tcPr>
            <w:tcW w:w="1980" w:type="dxa"/>
            <w:shd w:val="clear" w:color="auto" w:fill="D9D9D9" w:themeFill="background1" w:themeFillShade="D9"/>
          </w:tcPr>
          <w:p w14:paraId="67B6569B"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Dátum</w:t>
            </w:r>
          </w:p>
        </w:tc>
        <w:tc>
          <w:tcPr>
            <w:tcW w:w="7087" w:type="dxa"/>
          </w:tcPr>
          <w:p w14:paraId="592555F8" w14:textId="77777777" w:rsidR="000E512F" w:rsidRPr="00685281" w:rsidRDefault="000E512F" w:rsidP="000E512F">
            <w:pPr>
              <w:pStyle w:val="Normlnywebov"/>
              <w:jc w:val="both"/>
              <w:rPr>
                <w:color w:val="374151"/>
              </w:rPr>
            </w:pPr>
            <w:r w:rsidRPr="00685281">
              <w:rPr>
                <w:color w:val="374151"/>
              </w:rPr>
              <w:t>30.04.2024</w:t>
            </w:r>
          </w:p>
        </w:tc>
      </w:tr>
      <w:tr w:rsidR="000E512F" w:rsidRPr="001E47E5" w14:paraId="25A4918B" w14:textId="77777777" w:rsidTr="000E512F">
        <w:tc>
          <w:tcPr>
            <w:tcW w:w="1980" w:type="dxa"/>
            <w:shd w:val="clear" w:color="auto" w:fill="D9D9D9" w:themeFill="background1" w:themeFillShade="D9"/>
          </w:tcPr>
          <w:p w14:paraId="62293322"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Popis</w:t>
            </w:r>
          </w:p>
        </w:tc>
        <w:tc>
          <w:tcPr>
            <w:tcW w:w="7087" w:type="dxa"/>
          </w:tcPr>
          <w:p w14:paraId="619B80AF" w14:textId="77777777" w:rsidR="000E512F" w:rsidRPr="00685281" w:rsidRDefault="000E512F" w:rsidP="000E512F">
            <w:pPr>
              <w:shd w:val="clear" w:color="auto" w:fill="FFFFFF"/>
              <w:jc w:val="both"/>
              <w:rPr>
                <w:rFonts w:ascii="Times New Roman" w:hAnsi="Times New Roman" w:cs="Times New Roman"/>
                <w:color w:val="000000"/>
                <w:sz w:val="24"/>
                <w:szCs w:val="24"/>
              </w:rPr>
            </w:pPr>
            <w:r w:rsidRPr="00685281">
              <w:rPr>
                <w:rFonts w:ascii="Times New Roman" w:hAnsi="Times New Roman" w:cs="Times New Roman"/>
                <w:color w:val="000000"/>
                <w:sz w:val="24"/>
                <w:szCs w:val="24"/>
              </w:rPr>
              <w:t>NBÚ s partnermi zrealizoval konzultácie pre zástupcov PZS</w:t>
            </w:r>
            <w:r w:rsidRPr="00685281">
              <w:rPr>
                <w:rFonts w:ascii="Times New Roman" w:hAnsi="Times New Roman" w:cs="Times New Roman"/>
                <w:color w:val="000000"/>
                <w:sz w:val="24"/>
                <w:szCs w:val="24"/>
                <w:shd w:val="clear" w:color="auto" w:fill="FFFFFF"/>
              </w:rPr>
              <w:t>.</w:t>
            </w:r>
            <w:r w:rsidRPr="00685281">
              <w:rPr>
                <w:rFonts w:ascii="Times New Roman" w:hAnsi="Times New Roman" w:cs="Times New Roman"/>
                <w:color w:val="000000"/>
                <w:sz w:val="24"/>
                <w:szCs w:val="24"/>
              </w:rPr>
              <w:t xml:space="preserve"> Hlavnou témou podujatia bola nová smernica NIS 2 a jej dôsledky pre existujúcich a nových PZS. Zástupcovia PZS si s NBÚ vymenili aktuálne poznatky a skúsenosti v oblasti regulácie NIS 2 a prezentovali návrhy týkajúce sa jej implementácie do praxe.</w:t>
            </w:r>
          </w:p>
        </w:tc>
      </w:tr>
      <w:tr w:rsidR="000E512F" w:rsidRPr="001E47E5" w14:paraId="4B79179A" w14:textId="77777777" w:rsidTr="000E512F">
        <w:tc>
          <w:tcPr>
            <w:tcW w:w="1980" w:type="dxa"/>
            <w:shd w:val="clear" w:color="auto" w:fill="D9D9D9" w:themeFill="background1" w:themeFillShade="D9"/>
          </w:tcPr>
          <w:p w14:paraId="35703E6A"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Cieľová skupina</w:t>
            </w:r>
          </w:p>
        </w:tc>
        <w:tc>
          <w:tcPr>
            <w:tcW w:w="7087" w:type="dxa"/>
          </w:tcPr>
          <w:p w14:paraId="2E1735D6" w14:textId="77777777" w:rsidR="000E512F" w:rsidRPr="00685281" w:rsidRDefault="000E512F" w:rsidP="000E512F">
            <w:pPr>
              <w:rPr>
                <w:rFonts w:ascii="Times New Roman" w:hAnsi="Times New Roman" w:cs="Times New Roman"/>
                <w:sz w:val="24"/>
                <w:szCs w:val="24"/>
              </w:rPr>
            </w:pPr>
            <w:r w:rsidRPr="00685281">
              <w:rPr>
                <w:rFonts w:ascii="Times New Roman" w:hAnsi="Times New Roman" w:cs="Times New Roman"/>
                <w:sz w:val="24"/>
                <w:szCs w:val="24"/>
              </w:rPr>
              <w:t>súkromný sektor</w:t>
            </w:r>
          </w:p>
        </w:tc>
      </w:tr>
    </w:tbl>
    <w:p w14:paraId="1D09BD7B" w14:textId="486600E9" w:rsidR="000E512F" w:rsidRPr="001E47E5" w:rsidRDefault="000E512F" w:rsidP="000E512F">
      <w:pPr>
        <w:jc w:val="both"/>
        <w:rPr>
          <w:rFonts w:ascii="Times New Roman" w:hAnsi="Times New Roman" w:cs="Times New Roman"/>
          <w:sz w:val="24"/>
          <w:szCs w:val="24"/>
        </w:rPr>
      </w:pPr>
      <w:r w:rsidRPr="001E47E5">
        <w:rPr>
          <w:rFonts w:ascii="Times New Roman" w:hAnsi="Times New Roman" w:cs="Times New Roman"/>
          <w:b/>
          <w:bCs/>
          <w:sz w:val="24"/>
          <w:szCs w:val="24"/>
        </w:rPr>
        <w:lastRenderedPageBreak/>
        <w:t>Dotazníkový prieskum</w:t>
      </w:r>
    </w:p>
    <w:p w14:paraId="19B6C9D0" w14:textId="77777777" w:rsidR="000E512F" w:rsidRPr="001E47E5" w:rsidRDefault="000E512F" w:rsidP="000E512F">
      <w:pPr>
        <w:jc w:val="both"/>
        <w:rPr>
          <w:rFonts w:ascii="Times New Roman" w:hAnsi="Times New Roman" w:cs="Times New Roman"/>
          <w:sz w:val="24"/>
          <w:szCs w:val="24"/>
        </w:rPr>
      </w:pPr>
      <w:r w:rsidRPr="001E47E5">
        <w:rPr>
          <w:rFonts w:ascii="Times New Roman" w:hAnsi="Times New Roman" w:cs="Times New Roman"/>
          <w:sz w:val="24"/>
          <w:szCs w:val="24"/>
        </w:rPr>
        <w:t xml:space="preserve">Počet účastníkov workshopov a odborných panelov má limity. </w:t>
      </w:r>
      <w:r>
        <w:rPr>
          <w:rFonts w:ascii="Times New Roman" w:hAnsi="Times New Roman" w:cs="Times New Roman"/>
          <w:sz w:val="24"/>
          <w:szCs w:val="24"/>
        </w:rPr>
        <w:t>Úrad</w:t>
      </w:r>
      <w:r w:rsidRPr="001E47E5">
        <w:rPr>
          <w:rFonts w:ascii="Times New Roman" w:hAnsi="Times New Roman" w:cs="Times New Roman"/>
          <w:sz w:val="24"/>
          <w:szCs w:val="24"/>
        </w:rPr>
        <w:t xml:space="preserve"> preto využil ako ďalší nástroj konzultácií dotazníkový prieskum, ktorý mal za cieľ identifikovať úroveň zrozumiteľnosti zákona č. 69/2018 </w:t>
      </w:r>
      <w:r>
        <w:rPr>
          <w:rFonts w:ascii="Times New Roman" w:hAnsi="Times New Roman" w:cs="Times New Roman"/>
          <w:sz w:val="24"/>
          <w:szCs w:val="24"/>
        </w:rPr>
        <w:t xml:space="preserve">Z. z. </w:t>
      </w:r>
      <w:r w:rsidRPr="001E47E5">
        <w:rPr>
          <w:rFonts w:ascii="Times New Roman" w:hAnsi="Times New Roman" w:cs="Times New Roman"/>
          <w:sz w:val="24"/>
          <w:szCs w:val="24"/>
        </w:rPr>
        <w:t>o kybernetickej bezpečnosti či aktívne zapojiť prevádzkovateľov základnej služby do procesu prípravy novely tohto zákona. Tento dotazník bol navrhnutý s cieľom získať hlbší pohľad na pochopenie zákona, jeho aplikáciu a prípadné požiadavky na jeho zmenu zo strany širokej komunity. Odpovede respondentov pomôžu lepšie pochopiť povedomie osôb konajúcich v mene prevádzkovateľov základných služieb v</w:t>
      </w:r>
      <w:r>
        <w:rPr>
          <w:rFonts w:ascii="Times New Roman" w:hAnsi="Times New Roman" w:cs="Times New Roman"/>
          <w:sz w:val="24"/>
          <w:szCs w:val="24"/>
        </w:rPr>
        <w:t> </w:t>
      </w:r>
      <w:r w:rsidRPr="001E47E5">
        <w:rPr>
          <w:rFonts w:ascii="Times New Roman" w:hAnsi="Times New Roman" w:cs="Times New Roman"/>
          <w:sz w:val="24"/>
          <w:szCs w:val="24"/>
        </w:rPr>
        <w:t xml:space="preserve">spomínanej oblasti. </w:t>
      </w:r>
    </w:p>
    <w:p w14:paraId="1468F7E6" w14:textId="77777777" w:rsidR="000E512F" w:rsidRPr="001E47E5" w:rsidRDefault="000E512F" w:rsidP="000E512F">
      <w:pPr>
        <w:jc w:val="both"/>
        <w:rPr>
          <w:rFonts w:ascii="Times New Roman" w:hAnsi="Times New Roman" w:cs="Times New Roman"/>
          <w:sz w:val="24"/>
          <w:szCs w:val="24"/>
        </w:rPr>
      </w:pPr>
      <w:r w:rsidRPr="001E47E5">
        <w:rPr>
          <w:rFonts w:ascii="Times New Roman" w:hAnsi="Times New Roman" w:cs="Times New Roman"/>
          <w:sz w:val="24"/>
          <w:szCs w:val="24"/>
        </w:rPr>
        <w:t xml:space="preserve">Dotazník bol distribuovaný elektronicky e-mailom 250 najvýznamnejším prevádzkovateľom základnej služby. Viac ako </w:t>
      </w:r>
      <w:r>
        <w:rPr>
          <w:rFonts w:ascii="Times New Roman" w:hAnsi="Times New Roman" w:cs="Times New Roman"/>
          <w:sz w:val="24"/>
          <w:szCs w:val="24"/>
        </w:rPr>
        <w:t>tri</w:t>
      </w:r>
      <w:r w:rsidRPr="001E47E5">
        <w:rPr>
          <w:rFonts w:ascii="Times New Roman" w:hAnsi="Times New Roman" w:cs="Times New Roman"/>
          <w:sz w:val="24"/>
          <w:szCs w:val="24"/>
        </w:rPr>
        <w:t xml:space="preserve"> týždne bol zverejnený na webovom sídle</w:t>
      </w:r>
      <w:r>
        <w:rPr>
          <w:rFonts w:ascii="Times New Roman" w:hAnsi="Times New Roman" w:cs="Times New Roman"/>
          <w:sz w:val="24"/>
          <w:szCs w:val="24"/>
        </w:rPr>
        <w:t xml:space="preserve"> úradu (</w:t>
      </w:r>
      <w:hyperlink r:id="rId23" w:history="1">
        <w:r w:rsidRPr="001E47E5">
          <w:rPr>
            <w:rStyle w:val="Hypertextovprepojenie"/>
            <w:rFonts w:ascii="Times New Roman" w:hAnsi="Times New Roman" w:cs="Times New Roman"/>
            <w:sz w:val="24"/>
            <w:szCs w:val="24"/>
          </w:rPr>
          <w:t>www.nbu.gov.sk</w:t>
        </w:r>
      </w:hyperlink>
      <w:r>
        <w:rPr>
          <w:rStyle w:val="Hypertextovprepojenie"/>
          <w:rFonts w:ascii="Times New Roman" w:hAnsi="Times New Roman" w:cs="Times New Roman"/>
          <w:sz w:val="24"/>
          <w:szCs w:val="24"/>
        </w:rPr>
        <w:t>)</w:t>
      </w:r>
      <w:r w:rsidRPr="001E47E5">
        <w:rPr>
          <w:rFonts w:ascii="Times New Roman" w:hAnsi="Times New Roman" w:cs="Times New Roman"/>
          <w:sz w:val="24"/>
          <w:szCs w:val="24"/>
        </w:rPr>
        <w:t>. Celkovo bolo doručených 105 odpovedí, ktoré sú zhrnuté v tejto kapitole.</w:t>
      </w:r>
    </w:p>
    <w:p w14:paraId="19FAE309" w14:textId="77777777" w:rsidR="000E512F" w:rsidRPr="001E47E5" w:rsidRDefault="000E512F" w:rsidP="000E512F">
      <w:pPr>
        <w:spacing w:before="240" w:line="360" w:lineRule="auto"/>
        <w:rPr>
          <w:rFonts w:ascii="Times New Roman" w:hAnsi="Times New Roman" w:cs="Times New Roman"/>
          <w:sz w:val="24"/>
          <w:szCs w:val="24"/>
        </w:rPr>
      </w:pPr>
      <w:r w:rsidRPr="001E47E5">
        <w:rPr>
          <w:rFonts w:ascii="Times New Roman" w:hAnsi="Times New Roman" w:cs="Times New Roman"/>
          <w:b/>
          <w:noProof/>
          <w:sz w:val="24"/>
          <w:szCs w:val="24"/>
          <w:lang w:eastAsia="sk-SK"/>
        </w:rPr>
        <w:drawing>
          <wp:inline distT="0" distB="0" distL="0" distR="0" wp14:anchorId="1966F1BB" wp14:editId="1D544AAF">
            <wp:extent cx="5730949" cy="3182620"/>
            <wp:effectExtent l="0" t="0" r="0" b="5080"/>
            <wp:docPr id="365425173" name="Obrázok 6" descr="A graph with numbers and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A graph with numbers and a bar&#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7229" cy="3186108"/>
                    </a:xfrm>
                    <a:prstGeom prst="rect">
                      <a:avLst/>
                    </a:prstGeom>
                    <a:noFill/>
                  </pic:spPr>
                </pic:pic>
              </a:graphicData>
            </a:graphic>
          </wp:inline>
        </w:drawing>
      </w:r>
    </w:p>
    <w:p w14:paraId="48E497C0" w14:textId="77777777" w:rsidR="000E512F" w:rsidRPr="001E47E5" w:rsidRDefault="000E512F" w:rsidP="000E512F">
      <w:pPr>
        <w:jc w:val="both"/>
        <w:rPr>
          <w:rFonts w:ascii="Times New Roman" w:eastAsia="Times New Roman" w:hAnsi="Times New Roman" w:cs="Times New Roman"/>
          <w:bCs/>
          <w:sz w:val="24"/>
          <w:szCs w:val="24"/>
          <w:lang w:eastAsia="en-GB"/>
        </w:rPr>
      </w:pPr>
      <w:r w:rsidRPr="001E47E5">
        <w:rPr>
          <w:rFonts w:ascii="Times New Roman" w:eastAsia="Times New Roman" w:hAnsi="Times New Roman" w:cs="Times New Roman"/>
          <w:bCs/>
          <w:sz w:val="24"/>
          <w:szCs w:val="24"/>
          <w:lang w:eastAsia="en-GB"/>
        </w:rPr>
        <w:t>Poznatky a odporúčania získané cez vyššie uvedené komunikačné nástroje je možné zhrnúť do nasledujúcich bodov:</w:t>
      </w:r>
    </w:p>
    <w:p w14:paraId="049E8588"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sidRPr="001E47E5">
        <w:rPr>
          <w:rFonts w:ascii="Times New Roman" w:eastAsia="Times New Roman" w:hAnsi="Times New Roman" w:cs="Times New Roman"/>
          <w:bCs/>
          <w:sz w:val="24"/>
          <w:szCs w:val="24"/>
          <w:lang w:eastAsia="sk-SK"/>
        </w:rPr>
        <w:t xml:space="preserve">zosúladiť vyhlášku </w:t>
      </w:r>
      <w:r>
        <w:rPr>
          <w:rFonts w:ascii="Times New Roman" w:eastAsia="Times New Roman" w:hAnsi="Times New Roman" w:cs="Times New Roman"/>
          <w:bCs/>
          <w:sz w:val="24"/>
          <w:szCs w:val="24"/>
          <w:lang w:eastAsia="sk-SK"/>
        </w:rPr>
        <w:t>Národného bezpečnostného úradu č 164</w:t>
      </w:r>
      <w:r w:rsidRPr="001E47E5">
        <w:rPr>
          <w:rFonts w:ascii="Times New Roman" w:eastAsia="Times New Roman" w:hAnsi="Times New Roman" w:cs="Times New Roman"/>
          <w:bCs/>
          <w:sz w:val="24"/>
          <w:szCs w:val="24"/>
          <w:lang w:eastAsia="sk-SK"/>
        </w:rPr>
        <w:t>/2018</w:t>
      </w:r>
      <w:r>
        <w:rPr>
          <w:rFonts w:ascii="Times New Roman" w:eastAsia="Times New Roman" w:hAnsi="Times New Roman" w:cs="Times New Roman"/>
          <w:bCs/>
          <w:sz w:val="24"/>
          <w:szCs w:val="24"/>
          <w:lang w:eastAsia="sk-SK"/>
        </w:rPr>
        <w:t xml:space="preserve"> Z. z.</w:t>
      </w:r>
      <w:r w:rsidRPr="001E47E5">
        <w:rPr>
          <w:rFonts w:ascii="Times New Roman" w:eastAsia="Times New Roman" w:hAnsi="Times New Roman" w:cs="Times New Roman"/>
          <w:bCs/>
          <w:sz w:val="24"/>
          <w:szCs w:val="24"/>
          <w:lang w:eastAsia="sk-SK"/>
        </w:rPr>
        <w:t>, ktorou sa určujú identi</w:t>
      </w:r>
      <w:r>
        <w:rPr>
          <w:rFonts w:ascii="Times New Roman" w:eastAsia="Times New Roman" w:hAnsi="Times New Roman" w:cs="Times New Roman"/>
          <w:bCs/>
          <w:sz w:val="24"/>
          <w:szCs w:val="24"/>
          <w:lang w:eastAsia="sk-SK"/>
        </w:rPr>
        <w:t>fikačné kritériá prevádzkovanej</w:t>
      </w:r>
      <w:r w:rsidRPr="001E47E5">
        <w:rPr>
          <w:rFonts w:ascii="Times New Roman" w:eastAsia="Times New Roman" w:hAnsi="Times New Roman" w:cs="Times New Roman"/>
          <w:bCs/>
          <w:sz w:val="24"/>
          <w:szCs w:val="24"/>
          <w:lang w:eastAsia="sk-SK"/>
        </w:rPr>
        <w:t xml:space="preserve"> služby </w:t>
      </w:r>
      <w:r>
        <w:rPr>
          <w:rFonts w:ascii="Times New Roman" w:eastAsia="Times New Roman" w:hAnsi="Times New Roman" w:cs="Times New Roman"/>
          <w:bCs/>
          <w:sz w:val="24"/>
          <w:szCs w:val="24"/>
          <w:lang w:eastAsia="sk-SK"/>
        </w:rPr>
        <w:t xml:space="preserve">(kritériá základnej služby) </w:t>
      </w:r>
      <w:r w:rsidRPr="001E47E5">
        <w:rPr>
          <w:rFonts w:ascii="Times New Roman" w:eastAsia="Times New Roman" w:hAnsi="Times New Roman" w:cs="Times New Roman"/>
          <w:bCs/>
          <w:sz w:val="24"/>
          <w:szCs w:val="24"/>
          <w:lang w:eastAsia="sk-SK"/>
        </w:rPr>
        <w:t xml:space="preserve">so smernicou </w:t>
      </w:r>
      <w:r>
        <w:rPr>
          <w:rFonts w:ascii="Times New Roman" w:eastAsia="Times New Roman" w:hAnsi="Times New Roman" w:cs="Times New Roman"/>
          <w:bCs/>
          <w:sz w:val="24"/>
          <w:szCs w:val="24"/>
          <w:lang w:eastAsia="sk-SK"/>
        </w:rPr>
        <w:t>NIS 2 z dôvodu absencie niektorých ustanovení</w:t>
      </w:r>
      <w:r w:rsidRPr="001E47E5">
        <w:rPr>
          <w:rFonts w:ascii="Times New Roman" w:eastAsia="Times New Roman" w:hAnsi="Times New Roman" w:cs="Times New Roman"/>
          <w:bCs/>
          <w:sz w:val="24"/>
          <w:szCs w:val="24"/>
          <w:lang w:eastAsia="sk-SK"/>
        </w:rPr>
        <w:t>.</w:t>
      </w:r>
    </w:p>
    <w:p w14:paraId="507571A5" w14:textId="77777777" w:rsidR="000E512F" w:rsidRPr="001E47E5" w:rsidRDefault="000E512F" w:rsidP="000E512F">
      <w:pPr>
        <w:pStyle w:val="Odsekzoznamu"/>
        <w:numPr>
          <w:ilvl w:val="0"/>
          <w:numId w:val="24"/>
        </w:numPr>
        <w:spacing w:after="0" w:line="240" w:lineRule="auto"/>
        <w:ind w:left="426" w:hanging="426"/>
        <w:jc w:val="both"/>
        <w:rPr>
          <w:rFonts w:ascii="Times New Roman" w:eastAsia="Times New Roman" w:hAnsi="Times New Roman" w:cs="Times New Roman"/>
          <w:sz w:val="24"/>
          <w:szCs w:val="24"/>
          <w:shd w:val="clear" w:color="auto" w:fill="FFFFFF"/>
          <w:lang w:eastAsia="en-GB"/>
        </w:rPr>
      </w:pPr>
      <w:r w:rsidRPr="001E47E5">
        <w:rPr>
          <w:rFonts w:ascii="Times New Roman" w:eastAsia="Times New Roman" w:hAnsi="Times New Roman" w:cs="Times New Roman"/>
          <w:sz w:val="24"/>
          <w:szCs w:val="24"/>
          <w:shd w:val="clear" w:color="auto" w:fill="FFFFFF"/>
          <w:lang w:eastAsia="en-GB"/>
        </w:rPr>
        <w:t>V</w:t>
      </w:r>
      <w:r>
        <w:rPr>
          <w:rFonts w:ascii="Times New Roman" w:eastAsia="Times New Roman" w:hAnsi="Times New Roman" w:cs="Times New Roman"/>
          <w:sz w:val="24"/>
          <w:szCs w:val="24"/>
          <w:shd w:val="clear" w:color="auto" w:fill="FFFFFF"/>
          <w:lang w:eastAsia="en-GB"/>
        </w:rPr>
        <w:t>o</w:t>
      </w:r>
      <w:r w:rsidRPr="001E47E5">
        <w:rPr>
          <w:rFonts w:ascii="Times New Roman" w:eastAsia="Times New Roman" w:hAnsi="Times New Roman" w:cs="Times New Roman"/>
          <w:sz w:val="24"/>
          <w:szCs w:val="24"/>
          <w:shd w:val="clear" w:color="auto" w:fill="FFFFFF"/>
          <w:lang w:eastAsia="en-GB"/>
        </w:rPr>
        <w:t xml:space="preserve"> vyhláške </w:t>
      </w:r>
      <w:r>
        <w:rPr>
          <w:rFonts w:ascii="Times New Roman" w:eastAsia="Times New Roman" w:hAnsi="Times New Roman" w:cs="Times New Roman"/>
          <w:sz w:val="24"/>
          <w:szCs w:val="24"/>
          <w:shd w:val="clear" w:color="auto" w:fill="FFFFFF"/>
          <w:lang w:eastAsia="en-GB"/>
        </w:rPr>
        <w:t xml:space="preserve">č. </w:t>
      </w:r>
      <w:r w:rsidRPr="001E47E5">
        <w:rPr>
          <w:rFonts w:ascii="Times New Roman" w:eastAsia="Times New Roman" w:hAnsi="Times New Roman" w:cs="Times New Roman"/>
          <w:sz w:val="24"/>
          <w:szCs w:val="24"/>
          <w:shd w:val="clear" w:color="auto" w:fill="FFFFFF"/>
          <w:lang w:eastAsia="en-GB"/>
        </w:rPr>
        <w:t xml:space="preserve">164/2018 </w:t>
      </w:r>
      <w:r>
        <w:rPr>
          <w:rFonts w:ascii="Times New Roman" w:eastAsia="Times New Roman" w:hAnsi="Times New Roman" w:cs="Times New Roman"/>
          <w:sz w:val="24"/>
          <w:szCs w:val="24"/>
          <w:shd w:val="clear" w:color="auto" w:fill="FFFFFF"/>
          <w:lang w:eastAsia="en-GB"/>
        </w:rPr>
        <w:t xml:space="preserve">Z. z. </w:t>
      </w:r>
      <w:r w:rsidRPr="001E47E5">
        <w:rPr>
          <w:rFonts w:ascii="Times New Roman" w:eastAsia="Times New Roman" w:hAnsi="Times New Roman" w:cs="Times New Roman"/>
          <w:sz w:val="24"/>
          <w:szCs w:val="24"/>
          <w:shd w:val="clear" w:color="auto" w:fill="FFFFFF"/>
          <w:lang w:eastAsia="en-GB"/>
        </w:rPr>
        <w:t xml:space="preserve">v prílohe č. 1 </w:t>
      </w:r>
      <w:r>
        <w:rPr>
          <w:rFonts w:ascii="Times New Roman" w:eastAsia="Times New Roman" w:hAnsi="Times New Roman" w:cs="Times New Roman"/>
          <w:sz w:val="24"/>
          <w:szCs w:val="24"/>
          <w:shd w:val="clear" w:color="auto" w:fill="FFFFFF"/>
          <w:lang w:eastAsia="en-GB"/>
        </w:rPr>
        <w:t xml:space="preserve">sa </w:t>
      </w:r>
      <w:r w:rsidRPr="001E47E5">
        <w:rPr>
          <w:rFonts w:ascii="Times New Roman" w:eastAsia="Times New Roman" w:hAnsi="Times New Roman" w:cs="Times New Roman"/>
          <w:sz w:val="24"/>
          <w:szCs w:val="24"/>
          <w:shd w:val="clear" w:color="auto" w:fill="FFFFFF"/>
          <w:lang w:eastAsia="en-GB"/>
        </w:rPr>
        <w:t xml:space="preserve">však v odvetví 8. Digitálna infraštruktúra </w:t>
      </w:r>
      <w:r>
        <w:rPr>
          <w:rFonts w:ascii="Times New Roman" w:eastAsia="Times New Roman" w:hAnsi="Times New Roman" w:cs="Times New Roman"/>
          <w:sz w:val="24"/>
          <w:szCs w:val="24"/>
          <w:shd w:val="clear" w:color="auto" w:fill="FFFFFF"/>
          <w:lang w:eastAsia="en-GB"/>
        </w:rPr>
        <w:t xml:space="preserve">uvádza </w:t>
      </w:r>
      <w:r w:rsidRPr="001E47E5">
        <w:rPr>
          <w:rFonts w:ascii="Times New Roman" w:eastAsia="Times New Roman" w:hAnsi="Times New Roman" w:cs="Times New Roman"/>
          <w:sz w:val="24"/>
          <w:szCs w:val="24"/>
          <w:shd w:val="clear" w:color="auto" w:fill="FFFFFF"/>
          <w:lang w:eastAsia="en-GB"/>
        </w:rPr>
        <w:t>iný počet subjektov:</w:t>
      </w:r>
    </w:p>
    <w:p w14:paraId="4495AC78" w14:textId="77777777" w:rsidR="000E512F" w:rsidRPr="001E47E5" w:rsidRDefault="000E512F" w:rsidP="000E512F">
      <w:pPr>
        <w:pStyle w:val="Odsekzoznamu"/>
        <w:numPr>
          <w:ilvl w:val="0"/>
          <w:numId w:val="24"/>
        </w:numPr>
        <w:spacing w:after="0" w:line="240" w:lineRule="auto"/>
        <w:ind w:left="851" w:hanging="426"/>
        <w:jc w:val="both"/>
        <w:rPr>
          <w:rFonts w:ascii="Times New Roman" w:eastAsia="Times New Roman" w:hAnsi="Times New Roman" w:cs="Times New Roman"/>
          <w:bCs/>
          <w:sz w:val="24"/>
          <w:szCs w:val="24"/>
          <w:shd w:val="clear" w:color="auto" w:fill="FFFFFF"/>
          <w:lang w:eastAsia="sk-SK"/>
        </w:rPr>
      </w:pPr>
      <w:r w:rsidRPr="001E47E5">
        <w:rPr>
          <w:rFonts w:ascii="Times New Roman" w:eastAsia="Times New Roman" w:hAnsi="Times New Roman" w:cs="Times New Roman"/>
          <w:bCs/>
          <w:sz w:val="24"/>
          <w:szCs w:val="24"/>
          <w:shd w:val="clear" w:color="auto" w:fill="FFFFFF"/>
          <w:lang w:eastAsia="sk-SK"/>
        </w:rPr>
        <w:t>poskytovateľ služby výmenného uzla internetu na prepájanie sietí, ktoré sú z technického a organizačného pohľadu oddelené,</w:t>
      </w:r>
    </w:p>
    <w:p w14:paraId="3D065627" w14:textId="77777777" w:rsidR="000E512F" w:rsidRPr="001E47E5" w:rsidRDefault="000E512F" w:rsidP="000E512F">
      <w:pPr>
        <w:pStyle w:val="Odsekzoznamu"/>
        <w:numPr>
          <w:ilvl w:val="0"/>
          <w:numId w:val="24"/>
        </w:numPr>
        <w:spacing w:after="0" w:line="240" w:lineRule="auto"/>
        <w:ind w:left="851" w:hanging="426"/>
        <w:jc w:val="both"/>
        <w:rPr>
          <w:rFonts w:ascii="Times New Roman" w:eastAsia="Times New Roman" w:hAnsi="Times New Roman" w:cs="Times New Roman"/>
          <w:bCs/>
          <w:sz w:val="24"/>
          <w:szCs w:val="24"/>
          <w:shd w:val="clear" w:color="auto" w:fill="FFFFFF"/>
          <w:lang w:eastAsia="sk-SK"/>
        </w:rPr>
      </w:pPr>
      <w:r w:rsidRPr="001E47E5">
        <w:rPr>
          <w:rFonts w:ascii="Times New Roman" w:eastAsia="Times New Roman" w:hAnsi="Times New Roman" w:cs="Times New Roman"/>
          <w:bCs/>
          <w:sz w:val="24"/>
          <w:szCs w:val="24"/>
          <w:shd w:val="clear" w:color="auto" w:fill="FFFFFF"/>
          <w:lang w:eastAsia="sk-SK"/>
        </w:rPr>
        <w:t>poskytovateľ služieb systému doménových mien na internete,</w:t>
      </w:r>
    </w:p>
    <w:p w14:paraId="3723F8D9" w14:textId="77777777" w:rsidR="000E512F" w:rsidRPr="001E47E5" w:rsidRDefault="000E512F" w:rsidP="000E512F">
      <w:pPr>
        <w:pStyle w:val="Odsekzoznamu"/>
        <w:numPr>
          <w:ilvl w:val="0"/>
          <w:numId w:val="24"/>
        </w:numPr>
        <w:spacing w:after="0" w:line="240" w:lineRule="auto"/>
        <w:ind w:left="851" w:hanging="426"/>
        <w:jc w:val="both"/>
        <w:rPr>
          <w:rFonts w:ascii="Times New Roman" w:eastAsia="Times New Roman" w:hAnsi="Times New Roman" w:cs="Times New Roman"/>
          <w:bCs/>
          <w:sz w:val="24"/>
          <w:szCs w:val="24"/>
          <w:shd w:val="clear" w:color="auto" w:fill="FFFFFF"/>
          <w:lang w:eastAsia="sk-SK"/>
        </w:rPr>
      </w:pPr>
      <w:r w:rsidRPr="001E47E5">
        <w:rPr>
          <w:rFonts w:ascii="Times New Roman" w:eastAsia="Times New Roman" w:hAnsi="Times New Roman" w:cs="Times New Roman"/>
          <w:bCs/>
          <w:sz w:val="24"/>
          <w:szCs w:val="24"/>
          <w:shd w:val="clear" w:color="auto" w:fill="FFFFFF"/>
          <w:lang w:eastAsia="sk-SK"/>
        </w:rPr>
        <w:t>subjekt spravujúci alebo prevádzkujúci register internetových domén najvyššej úrovne.</w:t>
      </w:r>
    </w:p>
    <w:p w14:paraId="7A0E7F22"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sidRPr="001E47E5">
        <w:rPr>
          <w:rFonts w:ascii="Times New Roman" w:eastAsia="Times New Roman" w:hAnsi="Times New Roman" w:cs="Times New Roman"/>
          <w:bCs/>
          <w:sz w:val="24"/>
          <w:szCs w:val="24"/>
          <w:lang w:eastAsia="sk-SK"/>
        </w:rPr>
        <w:t>legislatíva by mala byť zjednodušená na podstatné oblasti, viac klásť dôraz na zdieľanie zdrojov o najlepšej praxi, vzdelávanie/zvyšovanie povedomia aj organizované zo strany štátnych inštitúcií, ale aj zabezpečenie vzájomného informovania medzi prevádzkovateľmi</w:t>
      </w:r>
      <w:r>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lastRenderedPageBreak/>
        <w:t>základnej služby</w:t>
      </w:r>
      <w:r w:rsidRPr="001E47E5">
        <w:rPr>
          <w:rFonts w:ascii="Times New Roman" w:eastAsia="Times New Roman" w:hAnsi="Times New Roman" w:cs="Times New Roman"/>
          <w:bCs/>
          <w:sz w:val="24"/>
          <w:szCs w:val="24"/>
          <w:lang w:eastAsia="sk-SK"/>
        </w:rPr>
        <w:t>. Napríklad v súčasnosti prevádzkovatelia</w:t>
      </w:r>
      <w:r>
        <w:rPr>
          <w:rFonts w:ascii="Times New Roman" w:eastAsia="Times New Roman" w:hAnsi="Times New Roman" w:cs="Times New Roman"/>
          <w:bCs/>
          <w:sz w:val="24"/>
          <w:szCs w:val="24"/>
          <w:lang w:eastAsia="sk-SK"/>
        </w:rPr>
        <w:t xml:space="preserve"> základnej služby</w:t>
      </w:r>
      <w:r w:rsidRPr="001E47E5">
        <w:rPr>
          <w:rFonts w:ascii="Times New Roman" w:eastAsia="Times New Roman" w:hAnsi="Times New Roman" w:cs="Times New Roman"/>
          <w:bCs/>
          <w:sz w:val="24"/>
          <w:szCs w:val="24"/>
          <w:lang w:eastAsia="sk-SK"/>
        </w:rPr>
        <w:t xml:space="preserve"> nedisponujú kontaktnými údajmi iných prevádzkovateľov </w:t>
      </w:r>
      <w:r>
        <w:rPr>
          <w:rFonts w:ascii="Times New Roman" w:eastAsia="Times New Roman" w:hAnsi="Times New Roman" w:cs="Times New Roman"/>
          <w:bCs/>
          <w:sz w:val="24"/>
          <w:szCs w:val="24"/>
          <w:lang w:eastAsia="sk-SK"/>
        </w:rPr>
        <w:t xml:space="preserve">základnej služby </w:t>
      </w:r>
      <w:r w:rsidRPr="001E47E5">
        <w:rPr>
          <w:rFonts w:ascii="Times New Roman" w:eastAsia="Times New Roman" w:hAnsi="Times New Roman" w:cs="Times New Roman"/>
          <w:bCs/>
          <w:sz w:val="24"/>
          <w:szCs w:val="24"/>
          <w:lang w:eastAsia="sk-SK"/>
        </w:rPr>
        <w:t>v oblasti kybernetickej bezpečnosti, teda rýchla reakcia je oslabená, rovnako ani nie je deklarovaný rozsah a možnosti pomoci zo strany centier kybernetickej bezpečnosti štátu v prípade zistenia možnej udalosti/incidentu. Tiež je dôležité aby podobná sieť vzájomnej komunikácie a požiadaviek bola nastavená vo vzťahu k subdodávateľom, teda zvýšený dôraz na odolnosť/riadenie dodávateľského reťazca – vhodná inšpirácia Digital Operations Resilience Act, NIST Updates Cybersecurity Guidance for Supply Chain Risk Management a pod. Radi sa zúčastníme na procese prípravy novelizácie/zmien zákona o kybernetickej bezpečnosti a poskytneme ďalšie informácie a skúsenosti z doterajšej implementácie kybernetickej bezpečnosti, aj vzhľadom na to, že podniky poskytujúce elektronické komunikačné služby často slúžia aj na notifikáciu možných narušení v sieťach/zariadeniach svojich účastníkov a poskytujú základnú osvetu svojim zákazníkom,</w:t>
      </w:r>
    </w:p>
    <w:p w14:paraId="1930478C"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je nevyhnutné zadefinovať a jednoznačne rozdeliť</w:t>
      </w:r>
      <w:r w:rsidRPr="001E47E5">
        <w:rPr>
          <w:rFonts w:ascii="Times New Roman" w:eastAsia="Times New Roman" w:hAnsi="Times New Roman" w:cs="Times New Roman"/>
          <w:bCs/>
          <w:sz w:val="24"/>
          <w:szCs w:val="24"/>
          <w:lang w:eastAsia="sk-SK"/>
        </w:rPr>
        <w:t xml:space="preserve"> požiadavk</w:t>
      </w:r>
      <w:r>
        <w:rPr>
          <w:rFonts w:ascii="Times New Roman" w:eastAsia="Times New Roman" w:hAnsi="Times New Roman" w:cs="Times New Roman"/>
          <w:bCs/>
          <w:sz w:val="24"/>
          <w:szCs w:val="24"/>
          <w:lang w:eastAsia="sk-SK"/>
        </w:rPr>
        <w:t>y</w:t>
      </w:r>
      <w:r w:rsidRPr="001E47E5">
        <w:rPr>
          <w:rFonts w:ascii="Times New Roman" w:eastAsia="Times New Roman" w:hAnsi="Times New Roman" w:cs="Times New Roman"/>
          <w:bCs/>
          <w:sz w:val="24"/>
          <w:szCs w:val="24"/>
          <w:lang w:eastAsia="sk-SK"/>
        </w:rPr>
        <w:t xml:space="preserve"> na IT a priemyselné systémy je potrebné, keďže nie všetky sú aplikovateľné v oblasti OT,</w:t>
      </w:r>
    </w:p>
    <w:p w14:paraId="6C3573A3"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sidRPr="001E47E5">
        <w:rPr>
          <w:rFonts w:ascii="Times New Roman" w:eastAsia="Times New Roman" w:hAnsi="Times New Roman" w:cs="Times New Roman"/>
          <w:bCs/>
          <w:sz w:val="24"/>
          <w:szCs w:val="24"/>
          <w:lang w:eastAsia="sk-SK"/>
        </w:rPr>
        <w:t>základným stavebným prvkom pri plnení bezpečnostných opatrení podľa zákona č. 69/2018</w:t>
      </w:r>
      <w:r>
        <w:rPr>
          <w:rFonts w:ascii="Times New Roman" w:eastAsia="Times New Roman" w:hAnsi="Times New Roman" w:cs="Times New Roman"/>
          <w:bCs/>
          <w:sz w:val="24"/>
          <w:szCs w:val="24"/>
          <w:lang w:eastAsia="sk-SK"/>
        </w:rPr>
        <w:t xml:space="preserve"> Z. z.</w:t>
      </w:r>
      <w:r w:rsidRPr="001E47E5">
        <w:rPr>
          <w:rFonts w:ascii="Times New Roman" w:eastAsia="Times New Roman" w:hAnsi="Times New Roman" w:cs="Times New Roman"/>
          <w:bCs/>
          <w:sz w:val="24"/>
          <w:szCs w:val="24"/>
          <w:lang w:eastAsia="sk-SK"/>
        </w:rPr>
        <w:t xml:space="preserve"> je analýza rizík. Bolo by vhodné vykonávacím predpisom upraviť podrobnosti, najmä jednotnú a záväznú metodiku analýzy rizík. Hoci </w:t>
      </w:r>
      <w:r>
        <w:rPr>
          <w:rFonts w:ascii="Times New Roman" w:eastAsia="Times New Roman" w:hAnsi="Times New Roman" w:cs="Times New Roman"/>
          <w:bCs/>
          <w:sz w:val="24"/>
          <w:szCs w:val="24"/>
          <w:lang w:eastAsia="sk-SK"/>
        </w:rPr>
        <w:t>NBÚ</w:t>
      </w:r>
      <w:r w:rsidRPr="001E47E5">
        <w:rPr>
          <w:rFonts w:ascii="Times New Roman" w:eastAsia="Times New Roman" w:hAnsi="Times New Roman" w:cs="Times New Roman"/>
          <w:bCs/>
          <w:sz w:val="24"/>
          <w:szCs w:val="24"/>
          <w:lang w:eastAsia="sk-SK"/>
        </w:rPr>
        <w:t xml:space="preserve"> má na svojom portáli zverejnenú odporúčanú metodiku pre analýzu rizík, tá však nie je právne záväzná pre všetkých prevádzkovateľov základných služieb</w:t>
      </w:r>
      <w:r>
        <w:rPr>
          <w:rFonts w:ascii="Times New Roman" w:eastAsia="Times New Roman" w:hAnsi="Times New Roman" w:cs="Times New Roman"/>
          <w:bCs/>
          <w:sz w:val="24"/>
          <w:szCs w:val="24"/>
          <w:lang w:eastAsia="sk-SK"/>
        </w:rPr>
        <w:t>,</w:t>
      </w:r>
      <w:r w:rsidRPr="001E47E5">
        <w:rPr>
          <w:rFonts w:ascii="Times New Roman" w:eastAsia="Times New Roman" w:hAnsi="Times New Roman" w:cs="Times New Roman"/>
          <w:bCs/>
          <w:sz w:val="24"/>
          <w:szCs w:val="24"/>
          <w:lang w:eastAsia="sk-SK"/>
        </w:rPr>
        <w:t xml:space="preserve"> </w:t>
      </w:r>
    </w:p>
    <w:p w14:paraId="59A233BE"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w:t>
      </w:r>
      <w:r w:rsidRPr="001E47E5">
        <w:rPr>
          <w:rFonts w:ascii="Times New Roman" w:eastAsia="Times New Roman" w:hAnsi="Times New Roman" w:cs="Times New Roman"/>
          <w:bCs/>
          <w:sz w:val="24"/>
          <w:szCs w:val="24"/>
          <w:lang w:eastAsia="sk-SK"/>
        </w:rPr>
        <w:t xml:space="preserve"> nadväznosti na nadchádzajúcu transpozíciu </w:t>
      </w:r>
      <w:r>
        <w:rPr>
          <w:rFonts w:ascii="Times New Roman" w:eastAsia="Times New Roman" w:hAnsi="Times New Roman" w:cs="Times New Roman"/>
          <w:bCs/>
          <w:sz w:val="24"/>
          <w:szCs w:val="24"/>
          <w:lang w:eastAsia="sk-SK"/>
        </w:rPr>
        <w:t>s</w:t>
      </w:r>
      <w:r w:rsidRPr="001E47E5">
        <w:rPr>
          <w:rFonts w:ascii="Times New Roman" w:eastAsia="Times New Roman" w:hAnsi="Times New Roman" w:cs="Times New Roman"/>
          <w:bCs/>
          <w:sz w:val="24"/>
          <w:szCs w:val="24"/>
          <w:lang w:eastAsia="sk-SK"/>
        </w:rPr>
        <w:t xml:space="preserve">mernice NIS 2 do slovenského právneho poriadku zároveň budeme veľmi pozitívne vnímať, ak nedôjde k transpozícii nad rámec povinností v nej stanovených (tzv. goldplating). Vzhľadom na predmet úpravy </w:t>
      </w:r>
      <w:r>
        <w:rPr>
          <w:rFonts w:ascii="Times New Roman" w:eastAsia="Times New Roman" w:hAnsi="Times New Roman" w:cs="Times New Roman"/>
          <w:bCs/>
          <w:sz w:val="24"/>
          <w:szCs w:val="24"/>
          <w:lang w:eastAsia="sk-SK"/>
        </w:rPr>
        <w:t xml:space="preserve">smernice </w:t>
      </w:r>
      <w:r w:rsidRPr="001E47E5">
        <w:rPr>
          <w:rFonts w:ascii="Times New Roman" w:eastAsia="Times New Roman" w:hAnsi="Times New Roman" w:cs="Times New Roman"/>
          <w:bCs/>
          <w:sz w:val="24"/>
          <w:szCs w:val="24"/>
          <w:lang w:eastAsia="sk-SK"/>
        </w:rPr>
        <w:t>NIS 2 by povinnosti zavedené nad rámec smernice mali za následok významný finančný dopad pre prevádzkovateľov základných služieb pri implementácii nevyhnutných technických a organizačných nástrojov za účelom splnenia takýchto prípadne stan</w:t>
      </w:r>
      <w:r>
        <w:rPr>
          <w:rFonts w:ascii="Times New Roman" w:eastAsia="Times New Roman" w:hAnsi="Times New Roman" w:cs="Times New Roman"/>
          <w:bCs/>
          <w:sz w:val="24"/>
          <w:szCs w:val="24"/>
          <w:lang w:eastAsia="sk-SK"/>
        </w:rPr>
        <w:t>ovených extenzívnych povinností,</w:t>
      </w:r>
    </w:p>
    <w:p w14:paraId="3EA7DFDB"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w:t>
      </w:r>
      <w:r w:rsidRPr="001E47E5">
        <w:rPr>
          <w:rFonts w:ascii="Times New Roman" w:eastAsia="Times New Roman" w:hAnsi="Times New Roman" w:cs="Times New Roman"/>
          <w:bCs/>
          <w:sz w:val="24"/>
          <w:szCs w:val="24"/>
          <w:lang w:eastAsia="sk-SK"/>
        </w:rPr>
        <w:t xml:space="preserve">äčší dôraz </w:t>
      </w:r>
      <w:r>
        <w:rPr>
          <w:rFonts w:ascii="Times New Roman" w:eastAsia="Times New Roman" w:hAnsi="Times New Roman" w:cs="Times New Roman"/>
          <w:bCs/>
          <w:sz w:val="24"/>
          <w:szCs w:val="24"/>
          <w:lang w:eastAsia="sk-SK"/>
        </w:rPr>
        <w:t xml:space="preserve">klásť </w:t>
      </w:r>
      <w:r w:rsidRPr="001E47E5">
        <w:rPr>
          <w:rFonts w:ascii="Times New Roman" w:eastAsia="Times New Roman" w:hAnsi="Times New Roman" w:cs="Times New Roman"/>
          <w:bCs/>
          <w:sz w:val="24"/>
          <w:szCs w:val="24"/>
          <w:lang w:eastAsia="sk-SK"/>
        </w:rPr>
        <w:t xml:space="preserve">na realizáciu analýzy rizík a následná väčšia autonómia pri stanovení bezpečnostných opatrení, ktoré budú aplikované. Aktuálne sú bezpečnostné opatrenia taxatívne vymenované a ich splnenie nemusí vždy znamenať optimálnu (miera rizika / účinnosť opatrenia/ náklady) ochranu. Príkladom takéhoto zákonom vyžadovaného technického riešenia </w:t>
      </w:r>
      <w:r>
        <w:rPr>
          <w:rFonts w:ascii="Times New Roman" w:eastAsia="Times New Roman" w:hAnsi="Times New Roman" w:cs="Times New Roman"/>
          <w:bCs/>
          <w:sz w:val="24"/>
          <w:szCs w:val="24"/>
          <w:lang w:eastAsia="sk-SK"/>
        </w:rPr>
        <w:t>je napr. vulnerability scanner,</w:t>
      </w:r>
    </w:p>
    <w:p w14:paraId="4943BA9C"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k</w:t>
      </w:r>
      <w:r w:rsidRPr="001E47E5">
        <w:rPr>
          <w:rFonts w:ascii="Times New Roman" w:eastAsia="Times New Roman" w:hAnsi="Times New Roman" w:cs="Times New Roman"/>
          <w:bCs/>
          <w:sz w:val="24"/>
          <w:szCs w:val="24"/>
          <w:lang w:eastAsia="sk-SK"/>
        </w:rPr>
        <w:t>ybernetické hrozby sú na svete rovnaké, avšak subjekty a možné dopady v prípade útokov nie sú dostatočné diverzifikované. Klasifikácia a kategorizácia  samotných informačných systémov a zároveň samotná definícia dôvernosti, dostupnosti a integrity dát by mohla mať hlbší charakter a sprievodné vysvetlenie pre samotnú identifikáciu</w:t>
      </w:r>
      <w:r>
        <w:rPr>
          <w:rFonts w:ascii="Times New Roman" w:eastAsia="Times New Roman" w:hAnsi="Times New Roman" w:cs="Times New Roman"/>
          <w:bCs/>
          <w:sz w:val="24"/>
          <w:szCs w:val="24"/>
          <w:lang w:eastAsia="sk-SK"/>
        </w:rPr>
        <w:t>,</w:t>
      </w:r>
      <w:r w:rsidRPr="001E47E5">
        <w:rPr>
          <w:rFonts w:ascii="Times New Roman" w:eastAsia="Times New Roman" w:hAnsi="Times New Roman" w:cs="Times New Roman"/>
          <w:bCs/>
          <w:sz w:val="24"/>
          <w:szCs w:val="24"/>
          <w:lang w:eastAsia="sk-SK"/>
        </w:rPr>
        <w:t xml:space="preserve"> </w:t>
      </w:r>
    </w:p>
    <w:p w14:paraId="465ADBA5"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n</w:t>
      </w:r>
      <w:r w:rsidRPr="001E47E5">
        <w:rPr>
          <w:rFonts w:ascii="Times New Roman" w:eastAsia="Times New Roman" w:hAnsi="Times New Roman" w:cs="Times New Roman"/>
          <w:bCs/>
          <w:sz w:val="24"/>
          <w:szCs w:val="24"/>
          <w:lang w:eastAsia="sk-SK"/>
        </w:rPr>
        <w:t>ávrhy týkajúce sa dokument</w:t>
      </w:r>
      <w:r>
        <w:rPr>
          <w:rFonts w:ascii="Times New Roman" w:eastAsia="Times New Roman" w:hAnsi="Times New Roman" w:cs="Times New Roman"/>
          <w:bCs/>
          <w:sz w:val="24"/>
          <w:szCs w:val="24"/>
          <w:lang w:eastAsia="sk-SK"/>
        </w:rPr>
        <w:t>ov nadväzujúcich na legislatívu,</w:t>
      </w:r>
    </w:p>
    <w:p w14:paraId="26A93524"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b</w:t>
      </w:r>
      <w:r w:rsidRPr="001E47E5">
        <w:rPr>
          <w:rFonts w:ascii="Times New Roman" w:eastAsia="Times New Roman" w:hAnsi="Times New Roman" w:cs="Times New Roman"/>
          <w:bCs/>
          <w:sz w:val="24"/>
          <w:szCs w:val="24"/>
          <w:lang w:eastAsia="sk-SK"/>
        </w:rPr>
        <w:t>ližšia identifikácia, zároveň definícia manažéra kybernetickej bezpečnosti</w:t>
      </w:r>
      <w:r>
        <w:rPr>
          <w:rFonts w:ascii="Times New Roman" w:eastAsia="Times New Roman" w:hAnsi="Times New Roman" w:cs="Times New Roman"/>
          <w:bCs/>
          <w:sz w:val="24"/>
          <w:szCs w:val="24"/>
          <w:lang w:eastAsia="sk-SK"/>
        </w:rPr>
        <w:t>,</w:t>
      </w:r>
    </w:p>
    <w:p w14:paraId="446864A5"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c</w:t>
      </w:r>
      <w:r w:rsidRPr="001E47E5">
        <w:rPr>
          <w:rFonts w:ascii="Times New Roman" w:eastAsia="Times New Roman" w:hAnsi="Times New Roman" w:cs="Times New Roman"/>
          <w:bCs/>
          <w:sz w:val="24"/>
          <w:szCs w:val="24"/>
          <w:lang w:eastAsia="sk-SK"/>
        </w:rPr>
        <w:t>hýbajúce metodické usmernenia, bezplatné školenia a webináre – celkovo pre kybernetick</w:t>
      </w:r>
      <w:r>
        <w:rPr>
          <w:rFonts w:ascii="Times New Roman" w:eastAsia="Times New Roman" w:hAnsi="Times New Roman" w:cs="Times New Roman"/>
          <w:bCs/>
          <w:sz w:val="24"/>
          <w:szCs w:val="24"/>
          <w:lang w:eastAsia="sk-SK"/>
        </w:rPr>
        <w:t>ú bezpečnosť a zároveň rolu manažéra kybernetickej bezpečnosti,</w:t>
      </w:r>
    </w:p>
    <w:p w14:paraId="73E9DB1D"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u</w:t>
      </w:r>
      <w:r w:rsidRPr="001E47E5">
        <w:rPr>
          <w:rFonts w:ascii="Times New Roman" w:eastAsia="Times New Roman" w:hAnsi="Times New Roman" w:cs="Times New Roman"/>
          <w:bCs/>
          <w:sz w:val="24"/>
          <w:szCs w:val="24"/>
          <w:lang w:eastAsia="sk-SK"/>
        </w:rPr>
        <w:t xml:space="preserve">znávanie certifikácii aj iných krajín, nie len </w:t>
      </w:r>
      <w:r>
        <w:rPr>
          <w:rFonts w:ascii="Times New Roman" w:eastAsia="Times New Roman" w:hAnsi="Times New Roman" w:cs="Times New Roman"/>
          <w:bCs/>
          <w:sz w:val="24"/>
          <w:szCs w:val="24"/>
          <w:lang w:eastAsia="sk-SK"/>
        </w:rPr>
        <w:t>certifikát zo Slovenskej republiky,</w:t>
      </w:r>
    </w:p>
    <w:p w14:paraId="6D87EB2F"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p</w:t>
      </w:r>
      <w:r w:rsidRPr="001E47E5">
        <w:rPr>
          <w:rFonts w:ascii="Times New Roman" w:eastAsia="Times New Roman" w:hAnsi="Times New Roman" w:cs="Times New Roman"/>
          <w:bCs/>
          <w:sz w:val="24"/>
          <w:szCs w:val="24"/>
          <w:lang w:eastAsia="sk-SK"/>
        </w:rPr>
        <w:t>latforma/fórum na výmenu „best practise“, poznatkov, prístupov – mimo spoplatnené semináre, s možnosťou otvorene komunikovať obdobné problémy a prístupy, nové technológie, riešenia. Skrz finančnú náročnosť by sa tak podporila a hlavne zefektívnila samotná kybernetická bezpečnosť (vyšší záujem a reálny prístup k zákonu). Obdobne ako etick</w:t>
      </w:r>
      <w:r>
        <w:rPr>
          <w:rFonts w:ascii="Times New Roman" w:eastAsia="Times New Roman" w:hAnsi="Times New Roman" w:cs="Times New Roman"/>
          <w:bCs/>
          <w:sz w:val="24"/>
          <w:szCs w:val="24"/>
          <w:lang w:eastAsia="sk-SK"/>
        </w:rPr>
        <w:t>í</w:t>
      </w:r>
      <w:r w:rsidRPr="001E47E5">
        <w:rPr>
          <w:rFonts w:ascii="Times New Roman" w:eastAsia="Times New Roman" w:hAnsi="Times New Roman" w:cs="Times New Roman"/>
          <w:bCs/>
          <w:sz w:val="24"/>
          <w:szCs w:val="24"/>
          <w:lang w:eastAsia="sk-SK"/>
        </w:rPr>
        <w:t xml:space="preserve"> hackeri, aj v kybernetickej bezpečnosti máme excelentných ľudí, ktorých skúsenosti nie sú vždy predávané ako spoplatn</w:t>
      </w:r>
      <w:r>
        <w:rPr>
          <w:rFonts w:ascii="Times New Roman" w:eastAsia="Times New Roman" w:hAnsi="Times New Roman" w:cs="Times New Roman"/>
          <w:bCs/>
          <w:sz w:val="24"/>
          <w:szCs w:val="24"/>
          <w:lang w:eastAsia="sk-SK"/>
        </w:rPr>
        <w:t>ená služba na báze predplatného,</w:t>
      </w:r>
    </w:p>
    <w:p w14:paraId="12564976"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w:t>
      </w:r>
      <w:r w:rsidRPr="001E47E5">
        <w:rPr>
          <w:rFonts w:ascii="Times New Roman" w:eastAsia="Times New Roman" w:hAnsi="Times New Roman" w:cs="Times New Roman"/>
          <w:bCs/>
          <w:sz w:val="24"/>
          <w:szCs w:val="24"/>
          <w:lang w:eastAsia="sk-SK"/>
        </w:rPr>
        <w:t>zhľadom na rýchly vývoj technológií a kybernetických hrozieb je dôležité pravidelne aktualizovať definície v zákone tak, aby zodpovedali súčasným trendom a technologickým výzvam (napr. AI</w:t>
      </w:r>
      <w:r>
        <w:rPr>
          <w:rFonts w:ascii="Times New Roman" w:eastAsia="Times New Roman" w:hAnsi="Times New Roman" w:cs="Times New Roman"/>
          <w:bCs/>
          <w:sz w:val="24"/>
          <w:szCs w:val="24"/>
          <w:lang w:eastAsia="sk-SK"/>
        </w:rPr>
        <w:t xml:space="preserve"> – umelá inteligencia</w:t>
      </w:r>
      <w:r w:rsidRPr="001E47E5">
        <w:rPr>
          <w:rFonts w:ascii="Times New Roman" w:eastAsia="Times New Roman" w:hAnsi="Times New Roman" w:cs="Times New Roman"/>
          <w:bCs/>
          <w:sz w:val="24"/>
          <w:szCs w:val="24"/>
          <w:lang w:eastAsia="sk-SK"/>
        </w:rPr>
        <w:t xml:space="preserve">). Zabezpečenie, aby zákon bol navrhnutý tak, aby </w:t>
      </w:r>
      <w:r w:rsidRPr="001E47E5">
        <w:rPr>
          <w:rFonts w:ascii="Times New Roman" w:eastAsia="Times New Roman" w:hAnsi="Times New Roman" w:cs="Times New Roman"/>
          <w:bCs/>
          <w:sz w:val="24"/>
          <w:szCs w:val="24"/>
          <w:lang w:eastAsia="sk-SK"/>
        </w:rPr>
        <w:lastRenderedPageBreak/>
        <w:t>bol flexibilný a schopný sa prispôsobiť rýchlemu vývoju kybernetických hrozieb. Zabezpečenie, že zákon podporuje a uľahčuje spoluprácu medzi verejným a súkromným sektorom pri riešení kybernetických hrozie</w:t>
      </w:r>
      <w:r>
        <w:rPr>
          <w:rFonts w:ascii="Times New Roman" w:eastAsia="Times New Roman" w:hAnsi="Times New Roman" w:cs="Times New Roman"/>
          <w:bCs/>
          <w:sz w:val="24"/>
          <w:szCs w:val="24"/>
          <w:lang w:eastAsia="sk-SK"/>
        </w:rPr>
        <w:t>b,</w:t>
      </w:r>
    </w:p>
    <w:p w14:paraId="134CF030"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m</w:t>
      </w:r>
      <w:r w:rsidRPr="001E47E5">
        <w:rPr>
          <w:rFonts w:ascii="Times New Roman" w:eastAsia="Times New Roman" w:hAnsi="Times New Roman" w:cs="Times New Roman"/>
          <w:bCs/>
          <w:sz w:val="24"/>
          <w:szCs w:val="24"/>
          <w:lang w:eastAsia="sk-SK"/>
        </w:rPr>
        <w:t xml:space="preserve">ožnosť vykonať samohodnotenie aj v ďalších rokoch, ktorým sa nahradí povinnosť vykonať certifikovaný audit v zmysle zákona, </w:t>
      </w:r>
      <w:r>
        <w:rPr>
          <w:rFonts w:ascii="Times New Roman" w:eastAsia="Times New Roman" w:hAnsi="Times New Roman" w:cs="Times New Roman"/>
          <w:bCs/>
          <w:sz w:val="24"/>
          <w:szCs w:val="24"/>
          <w:lang w:eastAsia="sk-SK"/>
        </w:rPr>
        <w:t>keďže</w:t>
      </w:r>
      <w:r w:rsidRPr="001E47E5">
        <w:rPr>
          <w:rFonts w:ascii="Times New Roman" w:eastAsia="Times New Roman" w:hAnsi="Times New Roman" w:cs="Times New Roman"/>
          <w:bCs/>
          <w:sz w:val="24"/>
          <w:szCs w:val="24"/>
          <w:lang w:eastAsia="sk-SK"/>
        </w:rPr>
        <w:t xml:space="preserve"> samospráva nemá dostatok finančných prostriedkov na zabezpečenie certifikovaného auditu. Rovnako v zákone chýbajú jasné špecifikácie povinností jednotlivých subjektov, t.j. v zákone sú vymedzené široko, resp. všeobecne. Zároveň by sme uvítali možnosť získania nenávratných fin. prostriedkov, ktoré by boli určené na zvyšovanie úrovne kyberne</w:t>
      </w:r>
      <w:r>
        <w:rPr>
          <w:rFonts w:ascii="Times New Roman" w:eastAsia="Times New Roman" w:hAnsi="Times New Roman" w:cs="Times New Roman"/>
          <w:bCs/>
          <w:sz w:val="24"/>
          <w:szCs w:val="24"/>
          <w:lang w:eastAsia="sk-SK"/>
        </w:rPr>
        <w:t>tickej bezpečnosti v samospráve,</w:t>
      </w:r>
    </w:p>
    <w:p w14:paraId="09A71D62"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s</w:t>
      </w:r>
      <w:r w:rsidRPr="001E47E5">
        <w:rPr>
          <w:rFonts w:ascii="Times New Roman" w:eastAsia="Times New Roman" w:hAnsi="Times New Roman" w:cs="Times New Roman"/>
          <w:bCs/>
          <w:sz w:val="24"/>
          <w:szCs w:val="24"/>
          <w:lang w:eastAsia="sk-SK"/>
        </w:rPr>
        <w:t>amosprávy by privítali aktívnejšiu pomoc štátu, napríklad vybudovaním centier kybernetickej bezpečnosti, napr. v každom kraji, ktoré by pre mestá túto agendu za určitú úhradu realizovali, namiesto toho, aby sme prostriedky investovali do súkromných firiem. Vychádzajú z toho, že infraštruktúra na mestách je dosť podobná a používa sa obmedzená množina softvéru, tak správ</w:t>
      </w:r>
      <w:r>
        <w:rPr>
          <w:rFonts w:ascii="Times New Roman" w:eastAsia="Times New Roman" w:hAnsi="Times New Roman" w:cs="Times New Roman"/>
          <w:bCs/>
          <w:sz w:val="24"/>
          <w:szCs w:val="24"/>
          <w:lang w:eastAsia="sk-SK"/>
        </w:rPr>
        <w:t>a a dohľad by boli jednoduchšie,</w:t>
      </w:r>
    </w:p>
    <w:p w14:paraId="6B1EF810"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w:t>
      </w:r>
      <w:r w:rsidRPr="001E47E5">
        <w:rPr>
          <w:rFonts w:ascii="Times New Roman" w:eastAsia="Times New Roman" w:hAnsi="Times New Roman" w:cs="Times New Roman"/>
          <w:bCs/>
          <w:sz w:val="24"/>
          <w:szCs w:val="24"/>
          <w:lang w:eastAsia="sk-SK"/>
        </w:rPr>
        <w:t xml:space="preserve">apracovanie možnosti </w:t>
      </w:r>
      <w:r>
        <w:rPr>
          <w:rFonts w:ascii="Times New Roman" w:eastAsia="Times New Roman" w:hAnsi="Times New Roman" w:cs="Times New Roman"/>
          <w:bCs/>
          <w:sz w:val="24"/>
          <w:szCs w:val="24"/>
          <w:lang w:eastAsia="sk-SK"/>
        </w:rPr>
        <w:t>s</w:t>
      </w:r>
      <w:r w:rsidRPr="001E47E5">
        <w:rPr>
          <w:rFonts w:ascii="Times New Roman" w:eastAsia="Times New Roman" w:hAnsi="Times New Roman" w:cs="Times New Roman"/>
          <w:bCs/>
          <w:sz w:val="24"/>
          <w:szCs w:val="24"/>
          <w:lang w:eastAsia="sk-SK"/>
        </w:rPr>
        <w:t>amohodnotenia kontroly plnenia povinností v zmysle zákona o</w:t>
      </w:r>
      <w:r>
        <w:rPr>
          <w:rFonts w:ascii="Times New Roman" w:eastAsia="Times New Roman" w:hAnsi="Times New Roman" w:cs="Times New Roman"/>
          <w:bCs/>
          <w:sz w:val="24"/>
          <w:szCs w:val="24"/>
          <w:lang w:eastAsia="sk-SK"/>
        </w:rPr>
        <w:t> </w:t>
      </w:r>
      <w:r w:rsidRPr="001E47E5">
        <w:rPr>
          <w:rFonts w:ascii="Times New Roman" w:eastAsia="Times New Roman" w:hAnsi="Times New Roman" w:cs="Times New Roman"/>
          <w:bCs/>
          <w:sz w:val="24"/>
          <w:szCs w:val="24"/>
          <w:lang w:eastAsia="sk-SK"/>
        </w:rPr>
        <w:t>kybernetickej bezpečnosti vo frekvencii raz za 12 mesiacov a zároveň frekvenciu vykonávania auditu prostredníctvom certifikovaného audítora kybernetickej bezpečnosti v</w:t>
      </w:r>
      <w:r>
        <w:rPr>
          <w:rFonts w:ascii="Times New Roman" w:eastAsia="Times New Roman" w:hAnsi="Times New Roman" w:cs="Times New Roman"/>
          <w:bCs/>
          <w:sz w:val="24"/>
          <w:szCs w:val="24"/>
          <w:lang w:eastAsia="sk-SK"/>
        </w:rPr>
        <w:t> </w:t>
      </w:r>
      <w:r w:rsidRPr="001E47E5">
        <w:rPr>
          <w:rFonts w:ascii="Times New Roman" w:eastAsia="Times New Roman" w:hAnsi="Times New Roman" w:cs="Times New Roman"/>
          <w:bCs/>
          <w:sz w:val="24"/>
          <w:szCs w:val="24"/>
          <w:lang w:eastAsia="sk-SK"/>
        </w:rPr>
        <w:t>zmysle ustanovení §29 ods. 3 zákona o kybernetickej bezpečnosti predĺžiť na obdobie raz za 5 rokov. Vzhľadom na fakt, že v zmysle § 29 ods. 7 zákona o kybernetickej bezpečnosti si náklady na audit kybernetickej bezpečnosti audítorom kybernetickej bezpečnosti uhrádzajú prevádzkovatelia základnej služby, prišlo by tak k zníženiu finančnej záťaže subjektov, ktoré by výkon kontroly plnenia povinností v zmysle zákona o</w:t>
      </w:r>
      <w:r>
        <w:rPr>
          <w:rFonts w:ascii="Times New Roman" w:eastAsia="Times New Roman" w:hAnsi="Times New Roman" w:cs="Times New Roman"/>
          <w:bCs/>
          <w:sz w:val="24"/>
          <w:szCs w:val="24"/>
          <w:lang w:eastAsia="sk-SK"/>
        </w:rPr>
        <w:t> </w:t>
      </w:r>
      <w:r w:rsidRPr="001E47E5">
        <w:rPr>
          <w:rFonts w:ascii="Times New Roman" w:eastAsia="Times New Roman" w:hAnsi="Times New Roman" w:cs="Times New Roman"/>
          <w:bCs/>
          <w:sz w:val="24"/>
          <w:szCs w:val="24"/>
          <w:lang w:eastAsia="sk-SK"/>
        </w:rPr>
        <w:t>kybernetickej bezpečnosti realizovali formou Samohodnotenia v zmysle zákona o</w:t>
      </w:r>
      <w:r>
        <w:rPr>
          <w:rFonts w:ascii="Times New Roman" w:eastAsia="Times New Roman" w:hAnsi="Times New Roman" w:cs="Times New Roman"/>
          <w:bCs/>
          <w:sz w:val="24"/>
          <w:szCs w:val="24"/>
          <w:lang w:eastAsia="sk-SK"/>
        </w:rPr>
        <w:t> </w:t>
      </w:r>
      <w:r w:rsidRPr="001E47E5">
        <w:rPr>
          <w:rFonts w:ascii="Times New Roman" w:eastAsia="Times New Roman" w:hAnsi="Times New Roman" w:cs="Times New Roman"/>
          <w:bCs/>
          <w:sz w:val="24"/>
          <w:szCs w:val="24"/>
          <w:lang w:eastAsia="sk-SK"/>
        </w:rPr>
        <w:t>kybernetickej bezpečnosti raz za 12 mesiacov</w:t>
      </w:r>
      <w:r>
        <w:rPr>
          <w:rFonts w:ascii="Times New Roman" w:eastAsia="Times New Roman" w:hAnsi="Times New Roman" w:cs="Times New Roman"/>
          <w:bCs/>
          <w:sz w:val="24"/>
          <w:szCs w:val="24"/>
          <w:lang w:eastAsia="sk-SK"/>
        </w:rPr>
        <w:t>,</w:t>
      </w:r>
    </w:p>
    <w:p w14:paraId="1E1F783F"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j</w:t>
      </w:r>
      <w:r w:rsidRPr="001E47E5">
        <w:rPr>
          <w:rFonts w:ascii="Times New Roman" w:eastAsia="Times New Roman" w:hAnsi="Times New Roman" w:cs="Times New Roman"/>
          <w:bCs/>
          <w:sz w:val="24"/>
          <w:szCs w:val="24"/>
          <w:lang w:eastAsia="sk-SK"/>
        </w:rPr>
        <w:t xml:space="preserve">asnejšia definícia čo je to základná služba a ktoré informačné systémy </w:t>
      </w:r>
      <w:r>
        <w:rPr>
          <w:rFonts w:ascii="Times New Roman" w:eastAsia="Times New Roman" w:hAnsi="Times New Roman" w:cs="Times New Roman"/>
          <w:bCs/>
          <w:sz w:val="24"/>
          <w:szCs w:val="24"/>
          <w:lang w:eastAsia="sk-SK"/>
        </w:rPr>
        <w:t>prevádzkovateľa základnej služby</w:t>
      </w:r>
      <w:r w:rsidRPr="001E47E5">
        <w:rPr>
          <w:rFonts w:ascii="Times New Roman" w:eastAsia="Times New Roman" w:hAnsi="Times New Roman" w:cs="Times New Roman"/>
          <w:bCs/>
          <w:sz w:val="24"/>
          <w:szCs w:val="24"/>
          <w:lang w:eastAsia="sk-SK"/>
        </w:rPr>
        <w:t xml:space="preserve"> pod ňu spadajú a kt</w:t>
      </w:r>
      <w:r>
        <w:rPr>
          <w:rFonts w:ascii="Times New Roman" w:eastAsia="Times New Roman" w:hAnsi="Times New Roman" w:cs="Times New Roman"/>
          <w:bCs/>
          <w:sz w:val="24"/>
          <w:szCs w:val="24"/>
          <w:lang w:eastAsia="sk-SK"/>
        </w:rPr>
        <w:t>oré už nie (súčasná definícia „z</w:t>
      </w:r>
      <w:r w:rsidRPr="001E47E5">
        <w:rPr>
          <w:rFonts w:ascii="Times New Roman" w:eastAsia="Times New Roman" w:hAnsi="Times New Roman" w:cs="Times New Roman"/>
          <w:bCs/>
          <w:sz w:val="24"/>
          <w:szCs w:val="24"/>
          <w:lang w:eastAsia="sk-SK"/>
        </w:rPr>
        <w:t>ákladnou službou je služba, ktorá je zaradená v zozname základných služieb...</w:t>
      </w:r>
      <w:r>
        <w:rPr>
          <w:rFonts w:ascii="Times New Roman" w:eastAsia="Times New Roman" w:hAnsi="Times New Roman" w:cs="Times New Roman"/>
          <w:bCs/>
          <w:sz w:val="24"/>
          <w:szCs w:val="24"/>
          <w:lang w:eastAsia="sk-SK"/>
        </w:rPr>
        <w:t>.“ je niekedy mätúca a nejasná),</w:t>
      </w:r>
    </w:p>
    <w:p w14:paraId="3854DB3C"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zosúladenie zákonov: z</w:t>
      </w:r>
      <w:r w:rsidRPr="001E47E5">
        <w:rPr>
          <w:rFonts w:ascii="Times New Roman" w:eastAsia="Times New Roman" w:hAnsi="Times New Roman" w:cs="Times New Roman"/>
          <w:bCs/>
          <w:sz w:val="24"/>
          <w:szCs w:val="24"/>
          <w:lang w:eastAsia="sk-SK"/>
        </w:rPr>
        <w:t>ákona č. 69/2018 Z. z. o kybernetickej bezpečnosti a o zmene a</w:t>
      </w:r>
      <w:r>
        <w:rPr>
          <w:rFonts w:ascii="Times New Roman" w:eastAsia="Times New Roman" w:hAnsi="Times New Roman" w:cs="Times New Roman"/>
          <w:bCs/>
          <w:sz w:val="24"/>
          <w:szCs w:val="24"/>
          <w:lang w:eastAsia="sk-SK"/>
        </w:rPr>
        <w:t> </w:t>
      </w:r>
      <w:r w:rsidRPr="001E47E5">
        <w:rPr>
          <w:rFonts w:ascii="Times New Roman" w:eastAsia="Times New Roman" w:hAnsi="Times New Roman" w:cs="Times New Roman"/>
          <w:bCs/>
          <w:sz w:val="24"/>
          <w:szCs w:val="24"/>
          <w:lang w:eastAsia="sk-SK"/>
        </w:rPr>
        <w:t xml:space="preserve">doplnení niektorých zákonov v znení neskorších predpisov a </w:t>
      </w:r>
      <w:r>
        <w:rPr>
          <w:rFonts w:ascii="Times New Roman" w:eastAsia="Times New Roman" w:hAnsi="Times New Roman" w:cs="Times New Roman"/>
          <w:bCs/>
          <w:sz w:val="24"/>
          <w:szCs w:val="24"/>
          <w:lang w:eastAsia="sk-SK"/>
        </w:rPr>
        <w:t>z</w:t>
      </w:r>
      <w:r w:rsidRPr="001E47E5">
        <w:rPr>
          <w:rFonts w:ascii="Times New Roman" w:eastAsia="Times New Roman" w:hAnsi="Times New Roman" w:cs="Times New Roman"/>
          <w:bCs/>
          <w:sz w:val="24"/>
          <w:szCs w:val="24"/>
          <w:lang w:eastAsia="sk-SK"/>
        </w:rPr>
        <w:t>ákona č. 95/2019</w:t>
      </w:r>
      <w:r>
        <w:rPr>
          <w:rFonts w:ascii="Times New Roman" w:eastAsia="Times New Roman" w:hAnsi="Times New Roman" w:cs="Times New Roman"/>
          <w:bCs/>
          <w:sz w:val="24"/>
          <w:szCs w:val="24"/>
          <w:lang w:eastAsia="sk-SK"/>
        </w:rPr>
        <w:t xml:space="preserve"> Z. z.</w:t>
      </w:r>
      <w:r w:rsidRPr="001E47E5">
        <w:rPr>
          <w:rFonts w:ascii="Times New Roman" w:eastAsia="Times New Roman" w:hAnsi="Times New Roman" w:cs="Times New Roman"/>
          <w:bCs/>
          <w:sz w:val="24"/>
          <w:szCs w:val="24"/>
          <w:lang w:eastAsia="sk-SK"/>
        </w:rPr>
        <w:t xml:space="preserve"> o</w:t>
      </w:r>
      <w:r>
        <w:rPr>
          <w:rFonts w:ascii="Times New Roman" w:eastAsia="Times New Roman" w:hAnsi="Times New Roman" w:cs="Times New Roman"/>
          <w:bCs/>
          <w:sz w:val="24"/>
          <w:szCs w:val="24"/>
          <w:lang w:eastAsia="sk-SK"/>
        </w:rPr>
        <w:t> </w:t>
      </w:r>
      <w:r w:rsidRPr="001E47E5">
        <w:rPr>
          <w:rFonts w:ascii="Times New Roman" w:eastAsia="Times New Roman" w:hAnsi="Times New Roman" w:cs="Times New Roman"/>
          <w:bCs/>
          <w:sz w:val="24"/>
          <w:szCs w:val="24"/>
          <w:lang w:eastAsia="sk-SK"/>
        </w:rPr>
        <w:t>informačných technológiách vo verejnej správe a o zmene a doplnení niektorých zákon</w:t>
      </w:r>
      <w:r>
        <w:rPr>
          <w:rFonts w:ascii="Times New Roman" w:eastAsia="Times New Roman" w:hAnsi="Times New Roman" w:cs="Times New Roman"/>
          <w:bCs/>
          <w:sz w:val="24"/>
          <w:szCs w:val="24"/>
          <w:lang w:eastAsia="sk-SK"/>
        </w:rPr>
        <w:t>ov v znení neskorších predpisov,</w:t>
      </w:r>
    </w:p>
    <w:p w14:paraId="2A6B582D"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p</w:t>
      </w:r>
      <w:r w:rsidRPr="001E47E5">
        <w:rPr>
          <w:rFonts w:ascii="Times New Roman" w:eastAsia="Times New Roman" w:hAnsi="Times New Roman" w:cs="Times New Roman"/>
          <w:bCs/>
          <w:sz w:val="24"/>
          <w:szCs w:val="24"/>
          <w:lang w:eastAsia="sk-SK"/>
        </w:rPr>
        <w:t>re subjekt zaradený NBÚ (ako p</w:t>
      </w:r>
      <w:r>
        <w:rPr>
          <w:rFonts w:ascii="Times New Roman" w:eastAsia="Times New Roman" w:hAnsi="Times New Roman" w:cs="Times New Roman"/>
          <w:bCs/>
          <w:sz w:val="24"/>
          <w:szCs w:val="24"/>
          <w:lang w:eastAsia="sk-SK"/>
        </w:rPr>
        <w:t>revádzkovateľ</w:t>
      </w:r>
      <w:r w:rsidRPr="001E47E5">
        <w:rPr>
          <w:rFonts w:ascii="Times New Roman" w:eastAsia="Times New Roman" w:hAnsi="Times New Roman" w:cs="Times New Roman"/>
          <w:bCs/>
          <w:sz w:val="24"/>
          <w:szCs w:val="24"/>
          <w:lang w:eastAsia="sk-SK"/>
        </w:rPr>
        <w:t xml:space="preserve"> základnej služby) do povinnosti aplikovať zákon č. 69/2018</w:t>
      </w:r>
      <w:r>
        <w:rPr>
          <w:rFonts w:ascii="Times New Roman" w:eastAsia="Times New Roman" w:hAnsi="Times New Roman" w:cs="Times New Roman"/>
          <w:bCs/>
          <w:sz w:val="24"/>
          <w:szCs w:val="24"/>
          <w:lang w:eastAsia="sk-SK"/>
        </w:rPr>
        <w:t xml:space="preserve"> Z. z.</w:t>
      </w:r>
      <w:r w:rsidRPr="001E47E5">
        <w:rPr>
          <w:rFonts w:ascii="Times New Roman" w:eastAsia="Times New Roman" w:hAnsi="Times New Roman" w:cs="Times New Roman"/>
          <w:bCs/>
          <w:sz w:val="24"/>
          <w:szCs w:val="24"/>
          <w:lang w:eastAsia="sk-SK"/>
        </w:rPr>
        <w:t>, zabezpečiť nenávratné  finančné zdroje  na zabezpečenie potrebných školení, personálu a technického vybavenia</w:t>
      </w:r>
      <w:r>
        <w:rPr>
          <w:rFonts w:ascii="Times New Roman" w:eastAsia="Times New Roman" w:hAnsi="Times New Roman" w:cs="Times New Roman"/>
          <w:bCs/>
          <w:sz w:val="24"/>
          <w:szCs w:val="24"/>
          <w:lang w:eastAsia="sk-SK"/>
        </w:rPr>
        <w:t>,</w:t>
      </w:r>
    </w:p>
    <w:p w14:paraId="732285D8"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w:t>
      </w:r>
      <w:r w:rsidRPr="001E47E5">
        <w:rPr>
          <w:rFonts w:ascii="Times New Roman" w:eastAsia="Times New Roman" w:hAnsi="Times New Roman" w:cs="Times New Roman"/>
          <w:bCs/>
          <w:sz w:val="24"/>
          <w:szCs w:val="24"/>
          <w:lang w:eastAsia="sk-SK"/>
        </w:rPr>
        <w:t xml:space="preserve">edľa pozície </w:t>
      </w:r>
      <w:r>
        <w:rPr>
          <w:rFonts w:ascii="Times New Roman" w:eastAsia="Times New Roman" w:hAnsi="Times New Roman" w:cs="Times New Roman"/>
          <w:bCs/>
          <w:sz w:val="24"/>
          <w:szCs w:val="24"/>
          <w:lang w:eastAsia="sk-SK"/>
        </w:rPr>
        <w:t>manažéra kybernetickej bezpečnosti</w:t>
      </w:r>
      <w:r w:rsidRPr="001E47E5">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(MKB) </w:t>
      </w:r>
      <w:r w:rsidRPr="001E47E5">
        <w:rPr>
          <w:rFonts w:ascii="Times New Roman" w:eastAsia="Times New Roman" w:hAnsi="Times New Roman" w:cs="Times New Roman"/>
          <w:bCs/>
          <w:sz w:val="24"/>
          <w:szCs w:val="24"/>
          <w:lang w:eastAsia="sk-SK"/>
        </w:rPr>
        <w:t>by bolo vhodné doplniť v</w:t>
      </w:r>
      <w:r>
        <w:rPr>
          <w:rFonts w:ascii="Times New Roman" w:eastAsia="Times New Roman" w:hAnsi="Times New Roman" w:cs="Times New Roman"/>
          <w:bCs/>
          <w:sz w:val="24"/>
          <w:szCs w:val="24"/>
          <w:lang w:eastAsia="sk-SK"/>
        </w:rPr>
        <w:t> </w:t>
      </w:r>
      <w:r w:rsidRPr="001E47E5">
        <w:rPr>
          <w:rFonts w:ascii="Times New Roman" w:eastAsia="Times New Roman" w:hAnsi="Times New Roman" w:cs="Times New Roman"/>
          <w:bCs/>
          <w:sz w:val="24"/>
          <w:szCs w:val="24"/>
          <w:lang w:eastAsia="sk-SK"/>
        </w:rPr>
        <w:t xml:space="preserve">zákone napr. pozíciu asistenta </w:t>
      </w:r>
      <w:r>
        <w:rPr>
          <w:rFonts w:ascii="Times New Roman" w:eastAsia="Times New Roman" w:hAnsi="Times New Roman" w:cs="Times New Roman"/>
          <w:bCs/>
          <w:sz w:val="24"/>
          <w:szCs w:val="24"/>
          <w:lang w:eastAsia="sk-SK"/>
        </w:rPr>
        <w:t xml:space="preserve">manažéra kybernetickej bezpečnosti </w:t>
      </w:r>
      <w:r w:rsidRPr="001E47E5">
        <w:rPr>
          <w:rFonts w:ascii="Times New Roman" w:eastAsia="Times New Roman" w:hAnsi="Times New Roman" w:cs="Times New Roman"/>
          <w:bCs/>
          <w:sz w:val="24"/>
          <w:szCs w:val="24"/>
          <w:lang w:eastAsia="sk-SK"/>
        </w:rPr>
        <w:t>(AMKB). Pracovné zaťaženie MKB narastá a AMKB by bol súčinný pri riešení pracovných úloh pod vedením MKB. Počet AMKB by bol napr. závislý od veľkosti organizácie/počtu zamestnancov. Ďalej by bol priamo AMKB zastupujúcim v prípade neprít</w:t>
      </w:r>
      <w:r>
        <w:rPr>
          <w:rFonts w:ascii="Times New Roman" w:eastAsia="Times New Roman" w:hAnsi="Times New Roman" w:cs="Times New Roman"/>
          <w:bCs/>
          <w:sz w:val="24"/>
          <w:szCs w:val="24"/>
          <w:lang w:eastAsia="sk-SK"/>
        </w:rPr>
        <w:t>omnosti MKB (PN, dovolenka ap.),</w:t>
      </w:r>
    </w:p>
    <w:p w14:paraId="0E75A4F6"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w:t>
      </w:r>
      <w:r w:rsidRPr="001E47E5">
        <w:rPr>
          <w:rFonts w:ascii="Times New Roman" w:eastAsia="Times New Roman" w:hAnsi="Times New Roman" w:cs="Times New Roman"/>
          <w:bCs/>
          <w:sz w:val="24"/>
          <w:szCs w:val="24"/>
          <w:lang w:eastAsia="sk-SK"/>
        </w:rPr>
        <w:t xml:space="preserve">ákon </w:t>
      </w:r>
      <w:r>
        <w:rPr>
          <w:rFonts w:ascii="Times New Roman" w:eastAsia="Times New Roman" w:hAnsi="Times New Roman" w:cs="Times New Roman"/>
          <w:bCs/>
          <w:sz w:val="24"/>
          <w:szCs w:val="24"/>
          <w:lang w:eastAsia="sk-SK"/>
        </w:rPr>
        <w:t xml:space="preserve">č. 69/2018 Z. z. </w:t>
      </w:r>
      <w:r w:rsidRPr="001E47E5">
        <w:rPr>
          <w:rFonts w:ascii="Times New Roman" w:eastAsia="Times New Roman" w:hAnsi="Times New Roman" w:cs="Times New Roman"/>
          <w:bCs/>
          <w:sz w:val="24"/>
          <w:szCs w:val="24"/>
          <w:lang w:eastAsia="sk-SK"/>
        </w:rPr>
        <w:t xml:space="preserve">alebo jeho vyhláška o bezpečnostných opatreniach by mohla obsahovať exaktnejšie  požiadavky </w:t>
      </w:r>
      <w:r>
        <w:rPr>
          <w:rFonts w:ascii="Times New Roman" w:eastAsia="Times New Roman" w:hAnsi="Times New Roman" w:cs="Times New Roman"/>
          <w:bCs/>
          <w:sz w:val="24"/>
          <w:szCs w:val="24"/>
          <w:lang w:eastAsia="sk-SK"/>
        </w:rPr>
        <w:t>v oblasti bezpečnostných testov,</w:t>
      </w:r>
    </w:p>
    <w:p w14:paraId="52461DA6" w14:textId="77777777" w:rsidR="000E512F" w:rsidRPr="001E47E5" w:rsidRDefault="000E512F" w:rsidP="000E512F">
      <w:pPr>
        <w:pStyle w:val="Odsekzoznamu"/>
        <w:numPr>
          <w:ilvl w:val="0"/>
          <w:numId w:val="24"/>
        </w:numPr>
        <w:spacing w:line="240" w:lineRule="auto"/>
        <w:ind w:left="426" w:hanging="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w:t>
      </w:r>
      <w:r w:rsidRPr="001E47E5">
        <w:rPr>
          <w:rFonts w:ascii="Times New Roman" w:eastAsia="Times New Roman" w:hAnsi="Times New Roman" w:cs="Times New Roman"/>
          <w:bCs/>
          <w:sz w:val="24"/>
          <w:szCs w:val="24"/>
          <w:lang w:eastAsia="sk-SK"/>
        </w:rPr>
        <w:t xml:space="preserve"> zákone </w:t>
      </w:r>
      <w:r>
        <w:rPr>
          <w:rFonts w:ascii="Times New Roman" w:eastAsia="Times New Roman" w:hAnsi="Times New Roman" w:cs="Times New Roman"/>
          <w:bCs/>
          <w:sz w:val="24"/>
          <w:szCs w:val="24"/>
          <w:lang w:eastAsia="sk-SK"/>
        </w:rPr>
        <w:t xml:space="preserve">č. 69/2018 Z. z. </w:t>
      </w:r>
      <w:r w:rsidRPr="001E47E5">
        <w:rPr>
          <w:rFonts w:ascii="Times New Roman" w:eastAsia="Times New Roman" w:hAnsi="Times New Roman" w:cs="Times New Roman"/>
          <w:bCs/>
          <w:sz w:val="24"/>
          <w:szCs w:val="24"/>
          <w:lang w:eastAsia="sk-SK"/>
        </w:rPr>
        <w:t xml:space="preserve">lepšie definovať BCM a BIA a v novele zákona </w:t>
      </w:r>
      <w:r>
        <w:rPr>
          <w:rFonts w:ascii="Times New Roman" w:eastAsia="Times New Roman" w:hAnsi="Times New Roman" w:cs="Times New Roman"/>
          <w:bCs/>
          <w:sz w:val="24"/>
          <w:szCs w:val="24"/>
          <w:lang w:eastAsia="sk-SK"/>
        </w:rPr>
        <w:t xml:space="preserve">č. 69/2018 Z. z. </w:t>
      </w:r>
      <w:r w:rsidRPr="001E47E5">
        <w:rPr>
          <w:rFonts w:ascii="Times New Roman" w:eastAsia="Times New Roman" w:hAnsi="Times New Roman" w:cs="Times New Roman"/>
          <w:bCs/>
          <w:sz w:val="24"/>
          <w:szCs w:val="24"/>
          <w:lang w:eastAsia="sk-SK"/>
        </w:rPr>
        <w:t>sa zaoberať aj utajovanými skutočnosťami.</w:t>
      </w:r>
    </w:p>
    <w:p w14:paraId="66EC508E" w14:textId="77777777" w:rsidR="000E512F" w:rsidRPr="001E47E5" w:rsidRDefault="000E512F" w:rsidP="000E512F">
      <w:pPr>
        <w:jc w:val="both"/>
        <w:rPr>
          <w:rFonts w:ascii="Times New Roman" w:hAnsi="Times New Roman" w:cs="Times New Roman"/>
          <w:sz w:val="24"/>
          <w:szCs w:val="24"/>
        </w:rPr>
      </w:pPr>
      <w:r w:rsidRPr="001E47E5">
        <w:rPr>
          <w:rFonts w:ascii="Times New Roman" w:hAnsi="Times New Roman" w:cs="Times New Roman"/>
          <w:sz w:val="24"/>
          <w:szCs w:val="24"/>
        </w:rPr>
        <w:t>Tam</w:t>
      </w:r>
      <w:r>
        <w:rPr>
          <w:rFonts w:ascii="Times New Roman" w:hAnsi="Times New Roman" w:cs="Times New Roman"/>
          <w:sz w:val="24"/>
          <w:szCs w:val="24"/>
        </w:rPr>
        <w:t>,</w:t>
      </w:r>
      <w:r w:rsidRPr="001E47E5">
        <w:rPr>
          <w:rFonts w:ascii="Times New Roman" w:hAnsi="Times New Roman" w:cs="Times New Roman"/>
          <w:sz w:val="24"/>
          <w:szCs w:val="24"/>
        </w:rPr>
        <w:t xml:space="preserve"> kde to bolo vhodné</w:t>
      </w:r>
      <w:r>
        <w:rPr>
          <w:rFonts w:ascii="Times New Roman" w:hAnsi="Times New Roman" w:cs="Times New Roman"/>
          <w:sz w:val="24"/>
          <w:szCs w:val="24"/>
        </w:rPr>
        <w:t>,</w:t>
      </w:r>
      <w:r w:rsidRPr="001E47E5">
        <w:rPr>
          <w:rFonts w:ascii="Times New Roman" w:hAnsi="Times New Roman" w:cs="Times New Roman"/>
          <w:sz w:val="24"/>
          <w:szCs w:val="24"/>
        </w:rPr>
        <w:t xml:space="preserve"> bola legislatíva upravená na základe širokých konzultácií, množstvo podnetov sa dotýkalo samotného zavedenia legislatívy do praxe. NBÚ a KCCKB v tomto kontexte implementujú projekty, zamerané na zvýšenie povedomia o novej legislatíve a podpore nových poskytovateľov základnej služby pri zavádzaní legislatívy do praxe.</w:t>
      </w:r>
    </w:p>
    <w:p w14:paraId="12DB3CF8" w14:textId="77777777" w:rsidR="000E512F" w:rsidRPr="001E47E5" w:rsidRDefault="000E512F" w:rsidP="000E512F">
      <w:pPr>
        <w:jc w:val="both"/>
        <w:rPr>
          <w:rFonts w:ascii="Times New Roman" w:hAnsi="Times New Roman" w:cs="Times New Roman"/>
          <w:sz w:val="24"/>
          <w:szCs w:val="24"/>
        </w:rPr>
      </w:pPr>
      <w:r w:rsidRPr="001E47E5">
        <w:rPr>
          <w:rFonts w:ascii="Times New Roman" w:hAnsi="Times New Roman" w:cs="Times New Roman"/>
          <w:sz w:val="24"/>
          <w:szCs w:val="24"/>
        </w:rPr>
        <w:lastRenderedPageBreak/>
        <w:t>Po</w:t>
      </w:r>
      <w:r>
        <w:rPr>
          <w:rFonts w:ascii="Times New Roman" w:hAnsi="Times New Roman" w:cs="Times New Roman"/>
          <w:sz w:val="24"/>
          <w:szCs w:val="24"/>
        </w:rPr>
        <w:t>drobné informácie ku konzultáciá</w:t>
      </w:r>
      <w:r w:rsidRPr="001E47E5">
        <w:rPr>
          <w:rFonts w:ascii="Times New Roman" w:hAnsi="Times New Roman" w:cs="Times New Roman"/>
          <w:sz w:val="24"/>
          <w:szCs w:val="24"/>
        </w:rPr>
        <w:t xml:space="preserve">m s verejnosťou sú dostupné na </w:t>
      </w:r>
      <w:hyperlink r:id="rId25" w:history="1">
        <w:r w:rsidRPr="001E47E5">
          <w:rPr>
            <w:rStyle w:val="Hypertextovprepojenie"/>
            <w:rFonts w:ascii="Times New Roman" w:hAnsi="Times New Roman" w:cs="Times New Roman"/>
            <w:sz w:val="24"/>
            <w:szCs w:val="24"/>
          </w:rPr>
          <w:t>https://www.nbu.gov.sk/data/att/2546.pdf</w:t>
        </w:r>
      </w:hyperlink>
      <w:r w:rsidRPr="001E47E5">
        <w:rPr>
          <w:rFonts w:ascii="Times New Roman" w:hAnsi="Times New Roman" w:cs="Times New Roman"/>
          <w:sz w:val="24"/>
          <w:szCs w:val="24"/>
        </w:rPr>
        <w:t xml:space="preserve"> </w:t>
      </w:r>
    </w:p>
    <w:p w14:paraId="4F1A879E" w14:textId="77777777" w:rsidR="000E512F" w:rsidRPr="001E47E5" w:rsidRDefault="000E512F" w:rsidP="000E512F">
      <w:pPr>
        <w:spacing w:after="0"/>
        <w:jc w:val="both"/>
        <w:rPr>
          <w:rFonts w:ascii="Times New Roman" w:eastAsia="Calibri" w:hAnsi="Times New Roman" w:cs="Times New Roman"/>
          <w:i/>
          <w:sz w:val="24"/>
          <w:szCs w:val="24"/>
          <w:highlight w:val="yellow"/>
        </w:rPr>
      </w:pPr>
    </w:p>
    <w:p w14:paraId="47D19A08" w14:textId="77777777" w:rsidR="000E512F" w:rsidRPr="001E47E5" w:rsidRDefault="000E512F" w:rsidP="000E512F">
      <w:pPr>
        <w:jc w:val="both"/>
        <w:rPr>
          <w:rFonts w:ascii="Times New Roman" w:eastAsia="Calibri" w:hAnsi="Times New Roman" w:cs="Times New Roman"/>
          <w:b/>
          <w:sz w:val="24"/>
          <w:szCs w:val="24"/>
        </w:rPr>
      </w:pPr>
      <w:bookmarkStart w:id="3" w:name="_Hlk47698091"/>
      <w:r w:rsidRPr="001E47E5">
        <w:rPr>
          <w:rFonts w:ascii="Times New Roman" w:eastAsia="Calibri" w:hAnsi="Times New Roman" w:cs="Times New Roman"/>
          <w:b/>
          <w:sz w:val="24"/>
          <w:szCs w:val="24"/>
        </w:rPr>
        <w:t>3.3 Vplyvy na konkurencieschopnosť a produktivitu</w:t>
      </w:r>
    </w:p>
    <w:bookmarkEnd w:id="3"/>
    <w:p w14:paraId="4F0EF262" w14:textId="77777777" w:rsidR="000E512F" w:rsidRPr="00203FA7" w:rsidRDefault="000E512F" w:rsidP="000E512F">
      <w:pPr>
        <w:spacing w:after="0"/>
        <w:jc w:val="both"/>
        <w:rPr>
          <w:rFonts w:ascii="Times New Roman" w:eastAsia="Calibri" w:hAnsi="Times New Roman" w:cs="Times New Roman"/>
          <w:b/>
          <w:bCs/>
          <w:i/>
          <w:sz w:val="24"/>
          <w:szCs w:val="24"/>
        </w:rPr>
      </w:pPr>
      <w:r w:rsidRPr="00203FA7">
        <w:rPr>
          <w:rFonts w:ascii="Times New Roman" w:eastAsia="Calibri" w:hAnsi="Times New Roman" w:cs="Times New Roman"/>
          <w:b/>
          <w:bCs/>
          <w:i/>
          <w:sz w:val="24"/>
          <w:szCs w:val="24"/>
        </w:rPr>
        <w:t xml:space="preserve">Dochádza k vytvoreniu resp. k zmene bariér na trhu? </w:t>
      </w:r>
    </w:p>
    <w:p w14:paraId="0B756C67" w14:textId="77777777" w:rsidR="000E512F" w:rsidRPr="00203FA7" w:rsidRDefault="000E512F" w:rsidP="000E512F">
      <w:pPr>
        <w:spacing w:after="0"/>
        <w:jc w:val="both"/>
        <w:rPr>
          <w:rFonts w:ascii="Times New Roman" w:eastAsia="Calibri" w:hAnsi="Times New Roman" w:cs="Times New Roman"/>
          <w:sz w:val="24"/>
          <w:szCs w:val="24"/>
        </w:rPr>
      </w:pPr>
      <w:r w:rsidRPr="00203FA7">
        <w:rPr>
          <w:rFonts w:ascii="Times New Roman" w:eastAsia="Calibri" w:hAnsi="Times New Roman" w:cs="Times New Roman"/>
          <w:sz w:val="24"/>
          <w:szCs w:val="24"/>
        </w:rPr>
        <w:t>Nie</w:t>
      </w:r>
    </w:p>
    <w:p w14:paraId="32CC53E1" w14:textId="77777777" w:rsidR="000E512F" w:rsidRPr="001E47E5" w:rsidRDefault="000E512F" w:rsidP="000E512F">
      <w:pPr>
        <w:spacing w:after="0"/>
        <w:jc w:val="both"/>
        <w:rPr>
          <w:rFonts w:ascii="Times New Roman" w:eastAsia="Calibri" w:hAnsi="Times New Roman" w:cs="Times New Roman"/>
          <w:i/>
          <w:sz w:val="24"/>
          <w:szCs w:val="24"/>
        </w:rPr>
      </w:pPr>
    </w:p>
    <w:p w14:paraId="63BABBDF" w14:textId="77777777" w:rsidR="000E512F" w:rsidRPr="001E47E5" w:rsidRDefault="000E512F" w:rsidP="000E512F">
      <w:pPr>
        <w:spacing w:after="0"/>
        <w:jc w:val="both"/>
        <w:rPr>
          <w:rFonts w:ascii="Times New Roman" w:eastAsia="Calibri" w:hAnsi="Times New Roman" w:cs="Times New Roman"/>
          <w:b/>
          <w:bCs/>
          <w:i/>
          <w:sz w:val="24"/>
          <w:szCs w:val="24"/>
        </w:rPr>
      </w:pPr>
      <w:r w:rsidRPr="001E47E5">
        <w:rPr>
          <w:rFonts w:ascii="Times New Roman" w:eastAsia="Calibri" w:hAnsi="Times New Roman" w:cs="Times New Roman"/>
          <w:b/>
          <w:bCs/>
          <w:i/>
          <w:sz w:val="24"/>
          <w:szCs w:val="24"/>
        </w:rPr>
        <w:t xml:space="preserve">Bude sa s niektorými podnikmi alebo produktmi zaobchádzať v porovnateľnej situácii rôzne (napr. špeciálne režimy pre mikro, malé a stredné podniky tzv. MSP)? </w:t>
      </w:r>
    </w:p>
    <w:p w14:paraId="0DC651C0" w14:textId="77777777" w:rsidR="000E512F" w:rsidRPr="00203FA7" w:rsidRDefault="000E512F" w:rsidP="000E512F">
      <w:pPr>
        <w:spacing w:after="0"/>
        <w:jc w:val="both"/>
        <w:rPr>
          <w:rFonts w:ascii="Times New Roman" w:eastAsia="Calibri" w:hAnsi="Times New Roman" w:cs="Times New Roman"/>
          <w:sz w:val="24"/>
          <w:szCs w:val="24"/>
        </w:rPr>
      </w:pPr>
      <w:r w:rsidRPr="00203FA7">
        <w:rPr>
          <w:rFonts w:ascii="Times New Roman" w:eastAsia="Calibri" w:hAnsi="Times New Roman" w:cs="Times New Roman"/>
          <w:sz w:val="24"/>
          <w:szCs w:val="24"/>
        </w:rPr>
        <w:t>Mechanizmus identifikácie prevádzkovateľa základnej služby sa smernicou NIS 2 mení oproti právnej úprave vyplývajúcej zo smernice NIS1. Pôvodný mechanizmus identifikácie podľa prílohy č. 1 v spojení s prekročením identifikačných kritérií uvedených v § 18 zákona sa nahrádza taxatívnym vymenovaním subjektov v § 17 ods. 1 zákona, teda subjekty, ktoré možno zapísať do registra prevádzkovateľov základnej služby sú priamo identifikované v zákone.</w:t>
      </w:r>
    </w:p>
    <w:p w14:paraId="0C3AF045" w14:textId="77777777" w:rsidR="000E512F" w:rsidRPr="00203FA7" w:rsidRDefault="000E512F" w:rsidP="000E512F">
      <w:pPr>
        <w:spacing w:after="0"/>
        <w:jc w:val="both"/>
        <w:rPr>
          <w:rFonts w:ascii="Times New Roman" w:eastAsia="Calibri" w:hAnsi="Times New Roman" w:cs="Times New Roman"/>
          <w:sz w:val="24"/>
          <w:szCs w:val="24"/>
        </w:rPr>
      </w:pPr>
      <w:r w:rsidRPr="00203FA7">
        <w:rPr>
          <w:rFonts w:ascii="Times New Roman" w:eastAsia="Calibri" w:hAnsi="Times New Roman" w:cs="Times New Roman"/>
          <w:sz w:val="24"/>
          <w:szCs w:val="24"/>
        </w:rPr>
        <w:t>Návrhom zákona nedochádza k výraznému nárastu regulovaných odvetví, avšak zmenou prístupu k identifikácii povinných subjektov, tzv. prevádzkovateľov základnej služby, dochádza k rozšíreniu pôsobnosti na ďalšie subjekty. Návrh zákona zavádza tak podľa pravidiel smernice NIS 2 prahovú hodnotu veľkosti subjektu (stredné podniky podľa článku 2 prílohy k odporúčaniu 2003/361/ES alebo presahujúce limity pre stredné podniky), do regulácie ale spadajú aj subjekty kritického významu bez hodnotenia ich veľkosti.</w:t>
      </w:r>
    </w:p>
    <w:p w14:paraId="4C203F69" w14:textId="77777777" w:rsidR="000E512F" w:rsidRPr="001E47E5" w:rsidRDefault="000E512F" w:rsidP="000E512F">
      <w:pPr>
        <w:spacing w:after="0"/>
        <w:jc w:val="both"/>
        <w:rPr>
          <w:rFonts w:ascii="Times New Roman" w:eastAsia="Calibri" w:hAnsi="Times New Roman" w:cs="Times New Roman"/>
          <w:i/>
          <w:sz w:val="24"/>
          <w:szCs w:val="24"/>
        </w:rPr>
      </w:pPr>
    </w:p>
    <w:p w14:paraId="0C2D8FC4" w14:textId="77777777" w:rsidR="000E512F" w:rsidRPr="001E47E5" w:rsidRDefault="000E512F" w:rsidP="000E512F">
      <w:pPr>
        <w:spacing w:after="0"/>
        <w:jc w:val="both"/>
        <w:rPr>
          <w:rFonts w:ascii="Times New Roman" w:eastAsia="Calibri" w:hAnsi="Times New Roman" w:cs="Times New Roman"/>
          <w:b/>
          <w:bCs/>
          <w:i/>
          <w:sz w:val="24"/>
          <w:szCs w:val="24"/>
        </w:rPr>
      </w:pPr>
      <w:r w:rsidRPr="001E47E5">
        <w:rPr>
          <w:rFonts w:ascii="Times New Roman" w:eastAsia="Calibri" w:hAnsi="Times New Roman" w:cs="Times New Roman"/>
          <w:b/>
          <w:bCs/>
          <w:i/>
          <w:sz w:val="24"/>
          <w:szCs w:val="24"/>
        </w:rPr>
        <w:t xml:space="preserve">Ovplyvňuje zmena regulácie cezhraničné investície (príliv/odliv zahraničných investícií resp. uplatnenie slovenských podnikov na zahraničných trhoch)? </w:t>
      </w:r>
    </w:p>
    <w:p w14:paraId="4AF105E7" w14:textId="77777777" w:rsidR="000E512F" w:rsidRPr="00203FA7" w:rsidRDefault="000E512F" w:rsidP="000E512F">
      <w:pPr>
        <w:spacing w:after="0"/>
        <w:jc w:val="both"/>
        <w:rPr>
          <w:rFonts w:ascii="Times New Roman" w:eastAsia="Calibri" w:hAnsi="Times New Roman" w:cs="Times New Roman"/>
          <w:sz w:val="24"/>
          <w:szCs w:val="24"/>
        </w:rPr>
      </w:pPr>
      <w:r w:rsidRPr="00203FA7">
        <w:rPr>
          <w:rFonts w:ascii="Times New Roman" w:eastAsia="Calibri" w:hAnsi="Times New Roman" w:cs="Times New Roman"/>
          <w:sz w:val="24"/>
          <w:szCs w:val="24"/>
        </w:rPr>
        <w:t>Nie</w:t>
      </w:r>
    </w:p>
    <w:p w14:paraId="1B7C557F" w14:textId="77777777" w:rsidR="000E512F" w:rsidRPr="001E47E5" w:rsidRDefault="000E512F" w:rsidP="000E512F">
      <w:pPr>
        <w:spacing w:after="0"/>
        <w:jc w:val="both"/>
        <w:rPr>
          <w:rFonts w:ascii="Times New Roman" w:eastAsia="Calibri" w:hAnsi="Times New Roman" w:cs="Times New Roman"/>
          <w:i/>
          <w:sz w:val="24"/>
          <w:szCs w:val="24"/>
        </w:rPr>
      </w:pPr>
    </w:p>
    <w:p w14:paraId="0BE8B62B" w14:textId="77777777" w:rsidR="000E512F" w:rsidRPr="001E47E5" w:rsidRDefault="000E512F" w:rsidP="000E512F">
      <w:pPr>
        <w:spacing w:after="0"/>
        <w:jc w:val="both"/>
        <w:rPr>
          <w:rFonts w:ascii="Times New Roman" w:eastAsia="Calibri" w:hAnsi="Times New Roman" w:cs="Times New Roman"/>
          <w:b/>
          <w:bCs/>
          <w:i/>
          <w:sz w:val="24"/>
          <w:szCs w:val="24"/>
        </w:rPr>
      </w:pPr>
      <w:r w:rsidRPr="001E47E5">
        <w:rPr>
          <w:rFonts w:ascii="Times New Roman" w:eastAsia="Calibri" w:hAnsi="Times New Roman" w:cs="Times New Roman"/>
          <w:b/>
          <w:bCs/>
          <w:i/>
          <w:sz w:val="24"/>
          <w:szCs w:val="24"/>
        </w:rPr>
        <w:t xml:space="preserve">Ovplyvní dostupnosť základných zdrojov (financie, pracovná sila, suroviny, mechanizmy, energie atď.)? </w:t>
      </w:r>
    </w:p>
    <w:p w14:paraId="79A1389B" w14:textId="77777777" w:rsidR="000E512F" w:rsidRPr="00203FA7" w:rsidRDefault="000E512F" w:rsidP="000E512F">
      <w:pPr>
        <w:spacing w:after="0"/>
        <w:jc w:val="both"/>
        <w:rPr>
          <w:rFonts w:ascii="Times New Roman" w:eastAsia="Calibri" w:hAnsi="Times New Roman" w:cs="Times New Roman"/>
          <w:sz w:val="24"/>
          <w:szCs w:val="24"/>
        </w:rPr>
      </w:pPr>
      <w:r w:rsidRPr="00203FA7">
        <w:rPr>
          <w:rFonts w:ascii="Times New Roman" w:eastAsia="Calibri" w:hAnsi="Times New Roman" w:cs="Times New Roman"/>
          <w:sz w:val="24"/>
          <w:szCs w:val="24"/>
        </w:rPr>
        <w:t>Nie</w:t>
      </w:r>
    </w:p>
    <w:p w14:paraId="390579DC" w14:textId="77777777" w:rsidR="000E512F" w:rsidRPr="001E47E5" w:rsidRDefault="000E512F" w:rsidP="000E512F">
      <w:pPr>
        <w:spacing w:after="0"/>
        <w:jc w:val="both"/>
        <w:rPr>
          <w:rFonts w:ascii="Times New Roman" w:eastAsia="Calibri" w:hAnsi="Times New Roman" w:cs="Times New Roman"/>
          <w:i/>
          <w:sz w:val="24"/>
          <w:szCs w:val="24"/>
        </w:rPr>
      </w:pPr>
    </w:p>
    <w:p w14:paraId="2220C7F6" w14:textId="77777777" w:rsidR="000E512F" w:rsidRPr="001E47E5" w:rsidRDefault="000E512F" w:rsidP="000E512F">
      <w:pPr>
        <w:spacing w:after="0"/>
        <w:jc w:val="both"/>
        <w:rPr>
          <w:rFonts w:ascii="Times New Roman" w:eastAsia="Calibri" w:hAnsi="Times New Roman" w:cs="Times New Roman"/>
          <w:b/>
          <w:bCs/>
          <w:i/>
          <w:sz w:val="24"/>
          <w:szCs w:val="24"/>
        </w:rPr>
      </w:pPr>
      <w:r w:rsidRPr="001E47E5">
        <w:rPr>
          <w:rFonts w:ascii="Times New Roman" w:eastAsia="Calibri" w:hAnsi="Times New Roman" w:cs="Times New Roman"/>
          <w:b/>
          <w:bCs/>
          <w:i/>
          <w:sz w:val="24"/>
          <w:szCs w:val="24"/>
        </w:rPr>
        <w:t>Ovplyvňuje zmena regulácie inovácie, vedu a výskum?</w:t>
      </w:r>
    </w:p>
    <w:p w14:paraId="5EA3F671" w14:textId="77777777" w:rsidR="000E512F" w:rsidRPr="00203FA7" w:rsidRDefault="000E512F" w:rsidP="000E512F">
      <w:pPr>
        <w:spacing w:after="0"/>
        <w:jc w:val="both"/>
        <w:rPr>
          <w:rFonts w:ascii="Times New Roman" w:eastAsia="Calibri" w:hAnsi="Times New Roman" w:cs="Times New Roman"/>
          <w:sz w:val="24"/>
          <w:szCs w:val="24"/>
        </w:rPr>
      </w:pPr>
      <w:r w:rsidRPr="00203FA7">
        <w:rPr>
          <w:rFonts w:ascii="Times New Roman" w:eastAsia="Calibri" w:hAnsi="Times New Roman" w:cs="Times New Roman"/>
          <w:sz w:val="24"/>
          <w:szCs w:val="24"/>
        </w:rPr>
        <w:t>Nie</w:t>
      </w:r>
    </w:p>
    <w:p w14:paraId="5332313B" w14:textId="77777777" w:rsidR="000E512F" w:rsidRPr="001E47E5" w:rsidRDefault="000E512F" w:rsidP="000E512F">
      <w:pPr>
        <w:spacing w:after="0"/>
        <w:jc w:val="both"/>
        <w:rPr>
          <w:rFonts w:ascii="Times New Roman" w:eastAsia="Calibri" w:hAnsi="Times New Roman" w:cs="Times New Roman"/>
          <w:i/>
          <w:sz w:val="24"/>
          <w:szCs w:val="24"/>
        </w:rPr>
      </w:pPr>
    </w:p>
    <w:p w14:paraId="479778A7" w14:textId="77777777" w:rsidR="000E512F" w:rsidRPr="001E47E5" w:rsidRDefault="000E512F" w:rsidP="000E512F">
      <w:pPr>
        <w:spacing w:after="0"/>
        <w:jc w:val="both"/>
        <w:rPr>
          <w:rFonts w:ascii="Times New Roman" w:eastAsia="Calibri" w:hAnsi="Times New Roman" w:cs="Times New Roman"/>
          <w:b/>
          <w:bCs/>
          <w:i/>
          <w:sz w:val="24"/>
          <w:szCs w:val="24"/>
        </w:rPr>
      </w:pPr>
      <w:r w:rsidRPr="001E47E5">
        <w:rPr>
          <w:rFonts w:ascii="Times New Roman" w:eastAsia="Calibri" w:hAnsi="Times New Roman" w:cs="Times New Roman"/>
          <w:b/>
          <w:bCs/>
          <w:i/>
          <w:sz w:val="24"/>
          <w:szCs w:val="24"/>
        </w:rPr>
        <w:t xml:space="preserve">Ak bol identifikovaný goldplating, prispieva k zníženiu konkurencieschopnosti a produktivity? </w:t>
      </w:r>
    </w:p>
    <w:p w14:paraId="18FC7ECE" w14:textId="77777777" w:rsidR="000E512F" w:rsidRPr="00203FA7" w:rsidRDefault="000E512F" w:rsidP="000E512F">
      <w:pPr>
        <w:spacing w:after="0"/>
        <w:jc w:val="both"/>
        <w:rPr>
          <w:rFonts w:ascii="Times New Roman" w:eastAsia="Calibri" w:hAnsi="Times New Roman" w:cs="Times New Roman"/>
          <w:sz w:val="24"/>
          <w:szCs w:val="24"/>
        </w:rPr>
      </w:pPr>
      <w:r w:rsidRPr="00203FA7">
        <w:rPr>
          <w:rFonts w:ascii="Times New Roman" w:eastAsia="Calibri" w:hAnsi="Times New Roman" w:cs="Times New Roman"/>
          <w:sz w:val="24"/>
          <w:szCs w:val="24"/>
        </w:rPr>
        <w:t xml:space="preserve">Nie </w:t>
      </w:r>
    </w:p>
    <w:p w14:paraId="29995A09" w14:textId="77777777" w:rsidR="000E512F" w:rsidRPr="001E47E5" w:rsidRDefault="000E512F" w:rsidP="000E512F">
      <w:pPr>
        <w:spacing w:after="0"/>
        <w:jc w:val="both"/>
        <w:rPr>
          <w:rFonts w:ascii="Times New Roman" w:eastAsia="Calibri" w:hAnsi="Times New Roman" w:cs="Times New Roman"/>
          <w:i/>
          <w:sz w:val="24"/>
          <w:szCs w:val="24"/>
        </w:rPr>
      </w:pPr>
    </w:p>
    <w:p w14:paraId="7B1FE3C2" w14:textId="77777777" w:rsidR="000E512F" w:rsidRPr="001E47E5" w:rsidRDefault="000E512F" w:rsidP="000E512F">
      <w:pPr>
        <w:spacing w:after="0"/>
        <w:jc w:val="both"/>
        <w:rPr>
          <w:rFonts w:ascii="Times New Roman" w:eastAsia="Calibri" w:hAnsi="Times New Roman" w:cs="Times New Roman"/>
          <w:b/>
          <w:bCs/>
          <w:i/>
          <w:sz w:val="24"/>
          <w:szCs w:val="24"/>
        </w:rPr>
      </w:pPr>
      <w:r w:rsidRPr="001E47E5">
        <w:rPr>
          <w:rFonts w:ascii="Times New Roman" w:eastAsia="Calibri" w:hAnsi="Times New Roman" w:cs="Times New Roman"/>
          <w:b/>
          <w:bCs/>
          <w:i/>
          <w:sz w:val="24"/>
          <w:szCs w:val="24"/>
        </w:rPr>
        <w:t>Akým spôsobom?</w:t>
      </w:r>
    </w:p>
    <w:p w14:paraId="1171772D" w14:textId="77777777" w:rsidR="000E512F" w:rsidRPr="00203FA7" w:rsidRDefault="000E512F" w:rsidP="000E512F">
      <w:pPr>
        <w:spacing w:after="0"/>
        <w:jc w:val="both"/>
        <w:rPr>
          <w:rFonts w:ascii="Times New Roman" w:eastAsia="Calibri" w:hAnsi="Times New Roman" w:cs="Times New Roman"/>
          <w:sz w:val="24"/>
          <w:szCs w:val="24"/>
        </w:rPr>
      </w:pPr>
      <w:r w:rsidRPr="00203FA7">
        <w:rPr>
          <w:rFonts w:ascii="Times New Roman" w:eastAsia="Calibri" w:hAnsi="Times New Roman" w:cs="Times New Roman"/>
          <w:sz w:val="24"/>
          <w:szCs w:val="24"/>
        </w:rPr>
        <w:t>N/A</w:t>
      </w:r>
    </w:p>
    <w:p w14:paraId="48F5A9D3" w14:textId="77777777" w:rsidR="000E512F" w:rsidRDefault="000E512F" w:rsidP="000E512F">
      <w:pPr>
        <w:spacing w:after="0"/>
        <w:jc w:val="both"/>
        <w:rPr>
          <w:rFonts w:ascii="Times New Roman" w:eastAsia="Calibri" w:hAnsi="Times New Roman" w:cs="Times New Roman"/>
          <w:b/>
          <w:bCs/>
          <w:i/>
          <w:iCs/>
          <w:sz w:val="24"/>
          <w:szCs w:val="24"/>
        </w:rPr>
      </w:pPr>
      <w:r w:rsidRPr="001E47E5">
        <w:rPr>
          <w:rFonts w:ascii="Times New Roman" w:eastAsia="Calibri" w:hAnsi="Times New Roman" w:cs="Times New Roman"/>
          <w:b/>
          <w:bCs/>
          <w:i/>
          <w:iCs/>
          <w:sz w:val="24"/>
          <w:szCs w:val="24"/>
        </w:rPr>
        <w:t>Ako prispieva zmena regulácie k cieľu Slovenska mať najlepšie podnikateľské prostredie spomedzi susediacich krajín EÚ?</w:t>
      </w:r>
    </w:p>
    <w:p w14:paraId="1380F180" w14:textId="77777777" w:rsidR="000E512F" w:rsidRPr="00203FA7" w:rsidRDefault="000E512F" w:rsidP="000E512F">
      <w:pPr>
        <w:spacing w:after="0"/>
        <w:jc w:val="both"/>
        <w:rPr>
          <w:rFonts w:ascii="Times New Roman" w:eastAsia="Calibri" w:hAnsi="Times New Roman" w:cs="Times New Roman"/>
          <w:sz w:val="24"/>
          <w:szCs w:val="24"/>
        </w:rPr>
      </w:pPr>
      <w:r w:rsidRPr="00203FA7">
        <w:rPr>
          <w:rFonts w:ascii="Times New Roman" w:eastAsia="Calibri" w:hAnsi="Times New Roman" w:cs="Times New Roman"/>
          <w:sz w:val="24"/>
          <w:szCs w:val="24"/>
        </w:rPr>
        <w:t>N/A</w:t>
      </w:r>
    </w:p>
    <w:p w14:paraId="54BD79EA" w14:textId="77777777" w:rsidR="000E512F" w:rsidRPr="001E47E5" w:rsidRDefault="000E512F" w:rsidP="000E512F">
      <w:pPr>
        <w:spacing w:after="0"/>
        <w:jc w:val="both"/>
        <w:rPr>
          <w:rFonts w:ascii="Times New Roman" w:eastAsia="Calibri" w:hAnsi="Times New Roman" w:cs="Times New Roman"/>
          <w:i/>
          <w:sz w:val="24"/>
          <w:szCs w:val="24"/>
        </w:rPr>
      </w:pPr>
    </w:p>
    <w:p w14:paraId="03FAEB9D" w14:textId="77777777" w:rsidR="000E512F" w:rsidRPr="001E47E5" w:rsidRDefault="000E512F" w:rsidP="000E512F">
      <w:pPr>
        <w:spacing w:after="0"/>
        <w:jc w:val="both"/>
        <w:rPr>
          <w:rFonts w:ascii="Times New Roman" w:eastAsia="Calibri" w:hAnsi="Times New Roman" w:cs="Times New Roman"/>
          <w:b/>
          <w:i/>
          <w:sz w:val="24"/>
          <w:szCs w:val="24"/>
        </w:rPr>
      </w:pPr>
      <w:r w:rsidRPr="001E47E5">
        <w:rPr>
          <w:rFonts w:ascii="Times New Roman" w:eastAsia="Calibri" w:hAnsi="Times New Roman" w:cs="Times New Roman"/>
          <w:b/>
          <w:i/>
          <w:sz w:val="24"/>
          <w:szCs w:val="24"/>
        </w:rPr>
        <w:t>Konkurencieschopnosť:</w:t>
      </w:r>
    </w:p>
    <w:p w14:paraId="4C2DA533" w14:textId="77777777" w:rsidR="000E512F" w:rsidRPr="00203FA7" w:rsidRDefault="000E512F" w:rsidP="000E512F">
      <w:pPr>
        <w:spacing w:after="0"/>
        <w:jc w:val="both"/>
        <w:rPr>
          <w:rFonts w:ascii="Times New Roman" w:eastAsia="Calibri" w:hAnsi="Times New Roman" w:cs="Times New Roman"/>
          <w:sz w:val="24"/>
          <w:szCs w:val="24"/>
        </w:rPr>
      </w:pPr>
      <w:r w:rsidRPr="00203FA7">
        <w:rPr>
          <w:rFonts w:ascii="Times New Roman" w:eastAsia="Calibri" w:hAnsi="Times New Roman" w:cs="Times New Roman"/>
          <w:sz w:val="24"/>
          <w:szCs w:val="24"/>
        </w:rPr>
        <w:t>Na základe uvedených odpovedí zaškrtnite a popíšte, či materiál konkurencieschopnosť:</w:t>
      </w:r>
    </w:p>
    <w:p w14:paraId="0E277417" w14:textId="77777777" w:rsidR="000E512F" w:rsidRPr="00203FA7" w:rsidRDefault="00B540AB" w:rsidP="000E512F">
      <w:pPr>
        <w:spacing w:after="0"/>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798576880"/>
        </w:sdtPr>
        <w:sdtEndPr/>
        <w:sdtContent>
          <w:sdt>
            <w:sdtPr>
              <w:rPr>
                <w:rFonts w:ascii="Times New Roman" w:eastAsia="Calibri" w:hAnsi="Times New Roman" w:cs="Times New Roman"/>
                <w:sz w:val="24"/>
                <w:szCs w:val="24"/>
              </w:rPr>
              <w:id w:val="1729873660"/>
            </w:sdtPr>
            <w:sdtEndPr/>
            <w:sdtContent>
              <w:r w:rsidR="000E512F" w:rsidRPr="00203FA7">
                <w:rPr>
                  <w:rFonts w:ascii="Segoe UI Symbol" w:eastAsia="Calibri" w:hAnsi="Segoe UI Symbol" w:cs="Segoe UI Symbol"/>
                  <w:sz w:val="24"/>
                  <w:szCs w:val="24"/>
                </w:rPr>
                <w:t>☐</w:t>
              </w:r>
            </w:sdtContent>
          </w:sdt>
        </w:sdtContent>
      </w:sdt>
      <w:r w:rsidR="000E512F" w:rsidRPr="00203FA7">
        <w:rPr>
          <w:rFonts w:ascii="Times New Roman" w:eastAsia="Calibri" w:hAnsi="Times New Roman" w:cs="Times New Roman"/>
          <w:sz w:val="24"/>
          <w:szCs w:val="24"/>
        </w:rPr>
        <w:t xml:space="preserve"> zvyšuje  </w:t>
      </w:r>
      <w:r w:rsidR="000E512F" w:rsidRPr="00203FA7">
        <w:rPr>
          <w:rFonts w:ascii="Times New Roman" w:eastAsia="Calibri" w:hAnsi="Times New Roman" w:cs="Times New Roman"/>
          <w:sz w:val="24"/>
          <w:szCs w:val="24"/>
        </w:rPr>
        <w:tab/>
      </w:r>
      <w:sdt>
        <w:sdtPr>
          <w:rPr>
            <w:rFonts w:ascii="Times New Roman" w:eastAsia="Calibri" w:hAnsi="Times New Roman" w:cs="Times New Roman"/>
            <w:sz w:val="24"/>
            <w:szCs w:val="24"/>
          </w:rPr>
          <w:id w:val="410579887"/>
        </w:sdtPr>
        <w:sdtEndPr/>
        <w:sdtContent>
          <w:sdt>
            <w:sdtPr>
              <w:rPr>
                <w:rFonts w:ascii="Times New Roman" w:eastAsia="Calibri" w:hAnsi="Times New Roman" w:cs="Times New Roman"/>
                <w:sz w:val="24"/>
                <w:szCs w:val="24"/>
              </w:rPr>
              <w:id w:val="-80300261"/>
            </w:sdtPr>
            <w:sdtEndPr/>
            <w:sdtContent>
              <w:r w:rsidR="000E512F" w:rsidRPr="00203FA7">
                <w:rPr>
                  <w:rFonts w:ascii="Times New Roman" w:eastAsia="Calibri" w:hAnsi="Times New Roman" w:cs="Times New Roman"/>
                  <w:sz w:val="24"/>
                  <w:szCs w:val="24"/>
                </w:rPr>
                <w:t xml:space="preserve">X </w:t>
              </w:r>
            </w:sdtContent>
          </w:sdt>
        </w:sdtContent>
      </w:sdt>
      <w:r w:rsidR="000E512F" w:rsidRPr="00203FA7">
        <w:rPr>
          <w:rFonts w:ascii="Times New Roman" w:eastAsia="Calibri" w:hAnsi="Times New Roman" w:cs="Times New Roman"/>
          <w:sz w:val="24"/>
          <w:szCs w:val="24"/>
        </w:rPr>
        <w:t xml:space="preserve"> nemení</w:t>
      </w:r>
      <w:r w:rsidR="000E512F" w:rsidRPr="00203FA7">
        <w:rPr>
          <w:rFonts w:ascii="Times New Roman" w:eastAsia="Calibri" w:hAnsi="Times New Roman" w:cs="Times New Roman"/>
          <w:sz w:val="24"/>
          <w:szCs w:val="24"/>
        </w:rPr>
        <w:tab/>
      </w:r>
      <w:sdt>
        <w:sdtPr>
          <w:rPr>
            <w:rFonts w:ascii="Times New Roman" w:eastAsia="Calibri" w:hAnsi="Times New Roman" w:cs="Times New Roman"/>
            <w:sz w:val="24"/>
            <w:szCs w:val="24"/>
          </w:rPr>
          <w:id w:val="-474604883"/>
        </w:sdtPr>
        <w:sdtEndPr/>
        <w:sdtContent>
          <w:sdt>
            <w:sdtPr>
              <w:rPr>
                <w:rFonts w:ascii="Times New Roman" w:eastAsia="Calibri" w:hAnsi="Times New Roman" w:cs="Times New Roman"/>
                <w:sz w:val="24"/>
                <w:szCs w:val="24"/>
              </w:rPr>
              <w:id w:val="-1706551548"/>
            </w:sdtPr>
            <w:sdtEndPr/>
            <w:sdtContent>
              <w:r w:rsidR="000E512F" w:rsidRPr="00203FA7">
                <w:rPr>
                  <w:rFonts w:ascii="Segoe UI Symbol" w:eastAsia="Calibri" w:hAnsi="Segoe UI Symbol" w:cs="Segoe UI Symbol"/>
                  <w:sz w:val="24"/>
                  <w:szCs w:val="24"/>
                </w:rPr>
                <w:t>☐</w:t>
              </w:r>
            </w:sdtContent>
          </w:sdt>
        </w:sdtContent>
      </w:sdt>
      <w:r w:rsidR="000E512F" w:rsidRPr="00203FA7">
        <w:rPr>
          <w:rFonts w:ascii="Times New Roman" w:eastAsia="Calibri" w:hAnsi="Times New Roman" w:cs="Times New Roman"/>
          <w:sz w:val="24"/>
          <w:szCs w:val="24"/>
        </w:rPr>
        <w:t xml:space="preserve"> znižuje</w:t>
      </w:r>
    </w:p>
    <w:p w14:paraId="1A9D52AD" w14:textId="77777777" w:rsidR="000E512F" w:rsidRPr="001E47E5" w:rsidRDefault="000E512F" w:rsidP="000E512F">
      <w:pPr>
        <w:spacing w:after="0"/>
        <w:jc w:val="both"/>
        <w:rPr>
          <w:rFonts w:ascii="Times New Roman" w:eastAsia="Calibri" w:hAnsi="Times New Roman" w:cs="Times New Roman"/>
          <w:i/>
          <w:sz w:val="24"/>
          <w:szCs w:val="24"/>
        </w:rPr>
      </w:pPr>
    </w:p>
    <w:p w14:paraId="207972CB" w14:textId="77777777" w:rsidR="000E512F" w:rsidRPr="001E47E5" w:rsidRDefault="000E512F" w:rsidP="000E512F">
      <w:pPr>
        <w:spacing w:after="0"/>
        <w:jc w:val="both"/>
        <w:rPr>
          <w:rFonts w:ascii="Times New Roman" w:eastAsia="Calibri" w:hAnsi="Times New Roman" w:cs="Times New Roman"/>
          <w:b/>
          <w:i/>
          <w:sz w:val="24"/>
          <w:szCs w:val="24"/>
        </w:rPr>
      </w:pPr>
      <w:r w:rsidRPr="001E47E5">
        <w:rPr>
          <w:rFonts w:ascii="Times New Roman" w:eastAsia="Calibri" w:hAnsi="Times New Roman" w:cs="Times New Roman"/>
          <w:b/>
          <w:i/>
          <w:sz w:val="24"/>
          <w:szCs w:val="24"/>
        </w:rPr>
        <w:t>Produktivita:</w:t>
      </w:r>
    </w:p>
    <w:p w14:paraId="6E359535" w14:textId="77777777" w:rsidR="000E512F" w:rsidRPr="00203FA7" w:rsidRDefault="000E512F" w:rsidP="000E512F">
      <w:pPr>
        <w:spacing w:after="0"/>
        <w:jc w:val="both"/>
        <w:rPr>
          <w:rFonts w:ascii="Times New Roman" w:eastAsia="Calibri" w:hAnsi="Times New Roman" w:cs="Times New Roman"/>
          <w:sz w:val="24"/>
          <w:szCs w:val="24"/>
        </w:rPr>
      </w:pPr>
      <w:r w:rsidRPr="00203FA7">
        <w:rPr>
          <w:rFonts w:ascii="Times New Roman" w:eastAsia="Calibri" w:hAnsi="Times New Roman" w:cs="Times New Roman"/>
          <w:sz w:val="24"/>
          <w:szCs w:val="24"/>
        </w:rPr>
        <w:t xml:space="preserve">Aký má materiál vplyv na zmenu pomeru medzi produkciou podnikov a ich nákladmi? </w:t>
      </w:r>
    </w:p>
    <w:p w14:paraId="18AA0CB1" w14:textId="77777777" w:rsidR="000E512F" w:rsidRPr="00203FA7" w:rsidRDefault="000E512F" w:rsidP="000E512F">
      <w:pPr>
        <w:spacing w:after="0"/>
        <w:jc w:val="both"/>
        <w:rPr>
          <w:rFonts w:ascii="Times New Roman" w:eastAsia="Calibri" w:hAnsi="Times New Roman" w:cs="Times New Roman"/>
          <w:sz w:val="24"/>
          <w:szCs w:val="24"/>
        </w:rPr>
      </w:pPr>
      <w:r w:rsidRPr="00203FA7">
        <w:rPr>
          <w:rFonts w:ascii="Times New Roman" w:eastAsia="Calibri" w:hAnsi="Times New Roman" w:cs="Times New Roman"/>
          <w:sz w:val="24"/>
          <w:szCs w:val="24"/>
        </w:rPr>
        <w:t>Bez vplyvu</w:t>
      </w:r>
    </w:p>
    <w:p w14:paraId="4EB58E48" w14:textId="77777777" w:rsidR="000E512F" w:rsidRPr="00203FA7" w:rsidRDefault="000E512F" w:rsidP="000E512F">
      <w:pPr>
        <w:spacing w:after="0"/>
        <w:jc w:val="both"/>
        <w:rPr>
          <w:rFonts w:ascii="Times New Roman" w:eastAsia="Calibri" w:hAnsi="Times New Roman" w:cs="Times New Roman"/>
          <w:sz w:val="24"/>
          <w:szCs w:val="24"/>
        </w:rPr>
      </w:pPr>
    </w:p>
    <w:p w14:paraId="262051E6" w14:textId="77777777" w:rsidR="000E512F" w:rsidRPr="00203FA7" w:rsidRDefault="000E512F" w:rsidP="000E512F">
      <w:pPr>
        <w:spacing w:after="0"/>
        <w:jc w:val="both"/>
        <w:rPr>
          <w:rFonts w:ascii="Times New Roman" w:eastAsia="Calibri" w:hAnsi="Times New Roman" w:cs="Times New Roman"/>
          <w:sz w:val="24"/>
          <w:szCs w:val="24"/>
        </w:rPr>
      </w:pPr>
      <w:r w:rsidRPr="00203FA7">
        <w:rPr>
          <w:rFonts w:ascii="Times New Roman" w:eastAsia="Calibri" w:hAnsi="Times New Roman" w:cs="Times New Roman"/>
          <w:sz w:val="24"/>
          <w:szCs w:val="24"/>
        </w:rPr>
        <w:t>Na základe uvedenej odpovede zaškrtnite a popíšte, či materiál produktivitu:</w:t>
      </w:r>
    </w:p>
    <w:p w14:paraId="40F2B40E" w14:textId="77777777" w:rsidR="000E512F" w:rsidRPr="00203FA7" w:rsidRDefault="00B540AB" w:rsidP="000E512F">
      <w:pPr>
        <w:spacing w:after="0"/>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1545903528"/>
        </w:sdtPr>
        <w:sdtEndPr/>
        <w:sdtContent>
          <w:sdt>
            <w:sdtPr>
              <w:rPr>
                <w:rFonts w:ascii="Times New Roman" w:eastAsia="Calibri" w:hAnsi="Times New Roman" w:cs="Times New Roman"/>
                <w:sz w:val="24"/>
                <w:szCs w:val="24"/>
              </w:rPr>
              <w:id w:val="825715010"/>
            </w:sdtPr>
            <w:sdtEndPr/>
            <w:sdtContent>
              <w:r w:rsidR="000E512F" w:rsidRPr="00203FA7">
                <w:rPr>
                  <w:rFonts w:ascii="Segoe UI Symbol" w:eastAsia="Calibri" w:hAnsi="Segoe UI Symbol" w:cs="Segoe UI Symbol"/>
                  <w:sz w:val="24"/>
                  <w:szCs w:val="24"/>
                </w:rPr>
                <w:t>☐</w:t>
              </w:r>
            </w:sdtContent>
          </w:sdt>
        </w:sdtContent>
      </w:sdt>
      <w:r w:rsidR="000E512F" w:rsidRPr="00203FA7">
        <w:rPr>
          <w:rFonts w:ascii="Times New Roman" w:eastAsia="Calibri" w:hAnsi="Times New Roman" w:cs="Times New Roman"/>
          <w:sz w:val="24"/>
          <w:szCs w:val="24"/>
        </w:rPr>
        <w:t xml:space="preserve"> zvyšuje  </w:t>
      </w:r>
      <w:r w:rsidR="000E512F" w:rsidRPr="00203FA7">
        <w:rPr>
          <w:rFonts w:ascii="Times New Roman" w:eastAsia="Calibri" w:hAnsi="Times New Roman" w:cs="Times New Roman"/>
          <w:sz w:val="24"/>
          <w:szCs w:val="24"/>
        </w:rPr>
        <w:tab/>
      </w:r>
      <w:sdt>
        <w:sdtPr>
          <w:rPr>
            <w:rFonts w:ascii="Times New Roman" w:eastAsia="Calibri" w:hAnsi="Times New Roman" w:cs="Times New Roman"/>
            <w:sz w:val="24"/>
            <w:szCs w:val="24"/>
          </w:rPr>
          <w:id w:val="-353966921"/>
        </w:sdtPr>
        <w:sdtEndPr/>
        <w:sdtContent>
          <w:sdt>
            <w:sdtPr>
              <w:rPr>
                <w:rFonts w:ascii="Times New Roman" w:eastAsia="Calibri" w:hAnsi="Times New Roman" w:cs="Times New Roman"/>
                <w:sz w:val="24"/>
                <w:szCs w:val="24"/>
              </w:rPr>
              <w:id w:val="-1222205104"/>
            </w:sdtPr>
            <w:sdtEndPr/>
            <w:sdtContent>
              <w:r w:rsidR="000E512F" w:rsidRPr="00203FA7">
                <w:rPr>
                  <w:rFonts w:ascii="Times New Roman" w:eastAsia="Calibri" w:hAnsi="Times New Roman" w:cs="Times New Roman"/>
                  <w:sz w:val="24"/>
                  <w:szCs w:val="24"/>
                </w:rPr>
                <w:t>X</w:t>
              </w:r>
            </w:sdtContent>
          </w:sdt>
        </w:sdtContent>
      </w:sdt>
      <w:r w:rsidR="000E512F" w:rsidRPr="00203FA7">
        <w:rPr>
          <w:rFonts w:ascii="Times New Roman" w:eastAsia="Calibri" w:hAnsi="Times New Roman" w:cs="Times New Roman"/>
          <w:sz w:val="24"/>
          <w:szCs w:val="24"/>
        </w:rPr>
        <w:t xml:space="preserve"> nemení</w:t>
      </w:r>
      <w:r w:rsidR="000E512F" w:rsidRPr="00203FA7">
        <w:rPr>
          <w:rFonts w:ascii="Times New Roman" w:eastAsia="Calibri" w:hAnsi="Times New Roman" w:cs="Times New Roman"/>
          <w:sz w:val="24"/>
          <w:szCs w:val="24"/>
        </w:rPr>
        <w:tab/>
      </w:r>
      <w:sdt>
        <w:sdtPr>
          <w:rPr>
            <w:rFonts w:ascii="Times New Roman" w:eastAsia="Calibri" w:hAnsi="Times New Roman" w:cs="Times New Roman"/>
            <w:sz w:val="24"/>
            <w:szCs w:val="24"/>
          </w:rPr>
          <w:id w:val="-1457723544"/>
        </w:sdtPr>
        <w:sdtEndPr/>
        <w:sdtContent>
          <w:sdt>
            <w:sdtPr>
              <w:rPr>
                <w:rFonts w:ascii="Times New Roman" w:eastAsia="Calibri" w:hAnsi="Times New Roman" w:cs="Times New Roman"/>
                <w:sz w:val="24"/>
                <w:szCs w:val="24"/>
              </w:rPr>
              <w:id w:val="-623767955"/>
            </w:sdtPr>
            <w:sdtEndPr/>
            <w:sdtContent>
              <w:r w:rsidR="000E512F" w:rsidRPr="00203FA7">
                <w:rPr>
                  <w:rFonts w:ascii="Segoe UI Symbol" w:eastAsia="Calibri" w:hAnsi="Segoe UI Symbol" w:cs="Segoe UI Symbol"/>
                  <w:sz w:val="24"/>
                  <w:szCs w:val="24"/>
                </w:rPr>
                <w:t>☐</w:t>
              </w:r>
            </w:sdtContent>
          </w:sdt>
        </w:sdtContent>
      </w:sdt>
      <w:r w:rsidR="000E512F" w:rsidRPr="00203FA7">
        <w:rPr>
          <w:rFonts w:ascii="Times New Roman" w:eastAsia="Calibri" w:hAnsi="Times New Roman" w:cs="Times New Roman"/>
          <w:sz w:val="24"/>
          <w:szCs w:val="24"/>
        </w:rPr>
        <w:t xml:space="preserve"> znižuje</w:t>
      </w:r>
    </w:p>
    <w:p w14:paraId="39F24C36" w14:textId="77777777" w:rsidR="000E512F" w:rsidRPr="001E47E5" w:rsidRDefault="000E512F" w:rsidP="000E512F">
      <w:pPr>
        <w:spacing w:after="0"/>
        <w:jc w:val="both"/>
        <w:rPr>
          <w:rFonts w:ascii="Times New Roman" w:eastAsia="Calibri" w:hAnsi="Times New Roman" w:cs="Times New Roman"/>
          <w:i/>
          <w:sz w:val="24"/>
          <w:szCs w:val="24"/>
          <w:highlight w:val="yellow"/>
        </w:rPr>
      </w:pPr>
    </w:p>
    <w:p w14:paraId="1F628644" w14:textId="77777777" w:rsidR="000E512F" w:rsidRPr="001E47E5" w:rsidRDefault="000E512F" w:rsidP="000E512F">
      <w:pPr>
        <w:jc w:val="both"/>
        <w:rPr>
          <w:rFonts w:ascii="Times New Roman" w:eastAsia="Calibri" w:hAnsi="Times New Roman" w:cs="Times New Roman"/>
          <w:b/>
          <w:sz w:val="24"/>
          <w:szCs w:val="24"/>
        </w:rPr>
      </w:pPr>
      <w:r w:rsidRPr="001E47E5">
        <w:rPr>
          <w:rFonts w:ascii="Times New Roman" w:eastAsia="Calibri" w:hAnsi="Times New Roman" w:cs="Times New Roman"/>
          <w:b/>
          <w:sz w:val="24"/>
          <w:szCs w:val="24"/>
        </w:rPr>
        <w:t xml:space="preserve">3.4  Iné vplyvy na podnikateľské prostredie </w:t>
      </w:r>
    </w:p>
    <w:p w14:paraId="21C59F98" w14:textId="77777777" w:rsidR="000E512F" w:rsidRPr="00203FA7" w:rsidRDefault="000E512F" w:rsidP="000E512F">
      <w:pPr>
        <w:spacing w:after="0"/>
        <w:jc w:val="both"/>
        <w:rPr>
          <w:rFonts w:ascii="Times New Roman" w:eastAsia="Calibri" w:hAnsi="Times New Roman" w:cs="Times New Roman"/>
          <w:sz w:val="24"/>
          <w:szCs w:val="24"/>
        </w:rPr>
      </w:pPr>
      <w:r w:rsidRPr="00203FA7">
        <w:rPr>
          <w:rFonts w:ascii="Times New Roman" w:eastAsia="Calibri" w:hAnsi="Times New Roman" w:cs="Times New Roman"/>
          <w:sz w:val="24"/>
          <w:szCs w:val="24"/>
        </w:rPr>
        <w:t>N/A</w:t>
      </w:r>
    </w:p>
    <w:p w14:paraId="7A3C230E" w14:textId="77777777" w:rsidR="000E512F" w:rsidRPr="001E47E5" w:rsidRDefault="000E512F" w:rsidP="000E512F">
      <w:pPr>
        <w:jc w:val="both"/>
        <w:rPr>
          <w:rFonts w:ascii="Times New Roman" w:eastAsia="Calibri" w:hAnsi="Times New Roman" w:cs="Times New Roman"/>
          <w:sz w:val="24"/>
          <w:szCs w:val="24"/>
        </w:rPr>
      </w:pPr>
    </w:p>
    <w:p w14:paraId="09126FBF" w14:textId="77777777" w:rsidR="00782325" w:rsidRPr="00685281" w:rsidRDefault="00782325" w:rsidP="00782325">
      <w:pPr>
        <w:spacing w:after="0" w:line="240" w:lineRule="auto"/>
        <w:jc w:val="center"/>
        <w:rPr>
          <w:rFonts w:ascii="Times New Roman" w:eastAsia="Times New Roman" w:hAnsi="Times New Roman" w:cs="Times New Roman"/>
          <w:b/>
          <w:sz w:val="24"/>
          <w:szCs w:val="24"/>
          <w:lang w:eastAsia="sk-SK"/>
        </w:rPr>
      </w:pPr>
      <w:r w:rsidRPr="00685281">
        <w:rPr>
          <w:rFonts w:ascii="Times New Roman" w:eastAsia="Times New Roman" w:hAnsi="Times New Roman" w:cs="Times New Roman"/>
          <w:b/>
          <w:sz w:val="24"/>
          <w:szCs w:val="24"/>
          <w:lang w:eastAsia="sk-SK"/>
        </w:rPr>
        <w:t>Metodický postup pre analýzu vplyvov na podnikateľské prostredie</w:t>
      </w:r>
    </w:p>
    <w:p w14:paraId="2355B261" w14:textId="77777777" w:rsidR="00782325" w:rsidRPr="00685281" w:rsidRDefault="00782325" w:rsidP="00782325">
      <w:pPr>
        <w:spacing w:after="0" w:line="240" w:lineRule="auto"/>
        <w:ind w:firstLine="720"/>
        <w:jc w:val="center"/>
        <w:rPr>
          <w:rFonts w:ascii="Times New Roman" w:eastAsia="Times New Roman" w:hAnsi="Times New Roman" w:cs="Times New Roman"/>
          <w:sz w:val="24"/>
          <w:szCs w:val="24"/>
          <w:lang w:eastAsia="sk-SK"/>
        </w:rPr>
      </w:pPr>
    </w:p>
    <w:p w14:paraId="29A8EB5C" w14:textId="77777777" w:rsidR="00782325" w:rsidRPr="00685281" w:rsidRDefault="00782325" w:rsidP="00782325">
      <w:pPr>
        <w:spacing w:after="0" w:line="240" w:lineRule="auto"/>
        <w:rPr>
          <w:rFonts w:ascii="Times New Roman" w:eastAsia="Times New Roman" w:hAnsi="Times New Roman" w:cs="Times New Roman"/>
          <w:bCs/>
          <w:sz w:val="24"/>
          <w:szCs w:val="24"/>
          <w:lang w:eastAsia="sk-SK"/>
        </w:rPr>
      </w:pPr>
    </w:p>
    <w:p w14:paraId="505A0422" w14:textId="77777777" w:rsidR="00782325" w:rsidRPr="00685281" w:rsidRDefault="00782325" w:rsidP="0078232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Calibri" w:hAnsi="Times New Roman" w:cs="Times New Roman"/>
          <w:b/>
          <w:sz w:val="24"/>
          <w:szCs w:val="24"/>
        </w:rPr>
      </w:pPr>
      <w:r w:rsidRPr="00685281">
        <w:rPr>
          <w:rFonts w:ascii="Times New Roman" w:eastAsia="Calibri" w:hAnsi="Times New Roman" w:cs="Times New Roman"/>
          <w:b/>
          <w:sz w:val="24"/>
          <w:szCs w:val="24"/>
        </w:rPr>
        <w:t>3.1 Náklady regulácie</w:t>
      </w:r>
    </w:p>
    <w:p w14:paraId="285D72C8" w14:textId="77777777" w:rsidR="00782325" w:rsidRPr="00685281" w:rsidRDefault="00782325" w:rsidP="00782325">
      <w:pPr>
        <w:spacing w:after="0" w:line="240" w:lineRule="auto"/>
        <w:jc w:val="both"/>
        <w:rPr>
          <w:rFonts w:ascii="Times New Roman" w:eastAsia="Times New Roman" w:hAnsi="Times New Roman" w:cs="Times New Roman"/>
          <w:i/>
          <w:sz w:val="24"/>
          <w:szCs w:val="24"/>
          <w:lang w:eastAsia="sk-SK"/>
        </w:rPr>
      </w:pPr>
      <w:r w:rsidRPr="00685281">
        <w:rPr>
          <w:rFonts w:ascii="Times New Roman" w:eastAsia="Times New Roman" w:hAnsi="Times New Roman" w:cs="Times New Roman"/>
          <w:i/>
          <w:sz w:val="24"/>
          <w:szCs w:val="24"/>
          <w:lang w:eastAsia="sk-SK"/>
        </w:rPr>
        <w:t xml:space="preserve">Náklady regulácie predkladateľ vypočíta pomocou Kalkulačky nákladov, vyplnením ktorej automaticky vyplní 2 tabuľky, a to: </w:t>
      </w:r>
    </w:p>
    <w:p w14:paraId="240921BF" w14:textId="77777777" w:rsidR="00782325" w:rsidRPr="00685281" w:rsidRDefault="00782325" w:rsidP="00782325">
      <w:pPr>
        <w:spacing w:after="0" w:line="240" w:lineRule="auto"/>
        <w:jc w:val="both"/>
        <w:rPr>
          <w:rFonts w:ascii="Times New Roman" w:eastAsia="Calibri" w:hAnsi="Times New Roman" w:cs="Times New Roman"/>
          <w:b/>
          <w:sz w:val="24"/>
          <w:szCs w:val="24"/>
        </w:rPr>
      </w:pPr>
    </w:p>
    <w:p w14:paraId="0D6073FB" w14:textId="77777777" w:rsidR="00782325" w:rsidRPr="00685281" w:rsidRDefault="00782325" w:rsidP="00782325">
      <w:pPr>
        <w:pStyle w:val="Odsekzoznamu"/>
        <w:numPr>
          <w:ilvl w:val="0"/>
          <w:numId w:val="20"/>
        </w:numPr>
        <w:spacing w:after="0" w:line="240" w:lineRule="auto"/>
        <w:jc w:val="both"/>
        <w:rPr>
          <w:rFonts w:ascii="Times New Roman" w:eastAsia="Calibri" w:hAnsi="Times New Roman" w:cs="Times New Roman"/>
          <w:sz w:val="24"/>
          <w:szCs w:val="24"/>
        </w:rPr>
      </w:pPr>
      <w:r w:rsidRPr="00685281">
        <w:rPr>
          <w:rFonts w:ascii="Times New Roman" w:eastAsia="Calibri" w:hAnsi="Times New Roman" w:cs="Times New Roman"/>
          <w:sz w:val="24"/>
          <w:szCs w:val="24"/>
        </w:rPr>
        <w:t>Tabuľka č. 1: Zmeny ročných nákladov v prepočte na podnikateľské prostredie, vyhodnotenie mechanizmu znižovania byrokracie a nákladov, výpočet goldplatingu.</w:t>
      </w:r>
    </w:p>
    <w:p w14:paraId="484E249F" w14:textId="77777777" w:rsidR="00782325" w:rsidRPr="00685281" w:rsidRDefault="00782325" w:rsidP="00782325">
      <w:pPr>
        <w:pStyle w:val="Odsekzoznamu"/>
        <w:numPr>
          <w:ilvl w:val="0"/>
          <w:numId w:val="20"/>
        </w:numPr>
        <w:spacing w:after="0" w:line="240" w:lineRule="auto"/>
        <w:jc w:val="both"/>
        <w:rPr>
          <w:rFonts w:ascii="Times New Roman" w:eastAsia="Calibri" w:hAnsi="Times New Roman" w:cs="Times New Roman"/>
          <w:sz w:val="24"/>
          <w:szCs w:val="24"/>
        </w:rPr>
      </w:pPr>
      <w:r w:rsidRPr="00685281">
        <w:rPr>
          <w:rFonts w:ascii="Times New Roman" w:eastAsia="Calibri" w:hAnsi="Times New Roman" w:cs="Times New Roman"/>
          <w:sz w:val="24"/>
          <w:szCs w:val="24"/>
        </w:rPr>
        <w:t>Tabuľka č. 2: Výpočet vplyvov jednotlivých regulácií</w:t>
      </w:r>
    </w:p>
    <w:p w14:paraId="78DFC9B1" w14:textId="77777777" w:rsidR="00782325" w:rsidRPr="00685281" w:rsidRDefault="00782325" w:rsidP="00782325">
      <w:pPr>
        <w:spacing w:after="0" w:line="240" w:lineRule="auto"/>
        <w:jc w:val="both"/>
        <w:rPr>
          <w:rFonts w:ascii="Times New Roman" w:eastAsia="Times New Roman" w:hAnsi="Times New Roman" w:cs="Times New Roman"/>
          <w:i/>
          <w:sz w:val="24"/>
          <w:szCs w:val="24"/>
          <w:lang w:eastAsia="sk-SK"/>
        </w:rPr>
      </w:pPr>
    </w:p>
    <w:p w14:paraId="3C4974A7" w14:textId="77777777" w:rsidR="00782325" w:rsidRPr="00685281" w:rsidRDefault="00782325" w:rsidP="00782325">
      <w:pPr>
        <w:spacing w:after="0" w:line="240" w:lineRule="auto"/>
        <w:jc w:val="both"/>
        <w:rPr>
          <w:rFonts w:ascii="Times New Roman" w:eastAsia="Times New Roman" w:hAnsi="Times New Roman" w:cs="Times New Roman"/>
          <w:i/>
          <w:sz w:val="24"/>
          <w:szCs w:val="24"/>
          <w:lang w:eastAsia="sk-SK"/>
        </w:rPr>
      </w:pPr>
      <w:r w:rsidRPr="00685281">
        <w:rPr>
          <w:rFonts w:ascii="Times New Roman" w:eastAsia="Times New Roman" w:hAnsi="Times New Roman" w:cs="Times New Roman"/>
          <w:i/>
          <w:sz w:val="24"/>
          <w:szCs w:val="24"/>
          <w:lang w:eastAsia="sk-SK"/>
        </w:rPr>
        <w:t xml:space="preserve">Predkladateľ následne tabuľky odkopíruje a vloží do analýzy vplyvov na podnikateľské prostredie. </w:t>
      </w:r>
    </w:p>
    <w:p w14:paraId="690CED21" w14:textId="77777777" w:rsidR="00782325" w:rsidRPr="00685281" w:rsidRDefault="00782325" w:rsidP="00782325">
      <w:pPr>
        <w:spacing w:after="0" w:line="240" w:lineRule="auto"/>
        <w:jc w:val="both"/>
        <w:rPr>
          <w:rFonts w:ascii="Times New Roman" w:eastAsia="Calibri" w:hAnsi="Times New Roman" w:cs="Times New Roman"/>
          <w:b/>
          <w:i/>
          <w:iCs/>
          <w:sz w:val="24"/>
          <w:szCs w:val="24"/>
        </w:rPr>
      </w:pPr>
    </w:p>
    <w:p w14:paraId="2FF1E940" w14:textId="77777777" w:rsidR="00782325" w:rsidRPr="00685281" w:rsidRDefault="00782325" w:rsidP="00782325">
      <w:pPr>
        <w:spacing w:after="0" w:line="240" w:lineRule="auto"/>
        <w:jc w:val="both"/>
        <w:rPr>
          <w:rFonts w:ascii="Times New Roman" w:eastAsia="Times New Roman" w:hAnsi="Times New Roman" w:cs="Times New Roman"/>
          <w:b/>
          <w:i/>
          <w:sz w:val="24"/>
          <w:szCs w:val="24"/>
          <w:lang w:eastAsia="sk-SK"/>
        </w:rPr>
      </w:pPr>
      <w:r w:rsidRPr="00685281">
        <w:rPr>
          <w:rFonts w:ascii="Times New Roman" w:eastAsia="Times New Roman" w:hAnsi="Times New Roman" w:cs="Times New Roman"/>
          <w:b/>
          <w:i/>
          <w:sz w:val="24"/>
          <w:szCs w:val="24"/>
          <w:lang w:eastAsia="sk-SK"/>
        </w:rPr>
        <w:t>Pokyny k vypĺňaniu jednotlivých stĺpcov Kalkulačky nákladov (Krok č. 1):</w:t>
      </w:r>
    </w:p>
    <w:p w14:paraId="6E8E030E" w14:textId="77777777" w:rsidR="00782325" w:rsidRPr="00685281" w:rsidRDefault="00782325" w:rsidP="00782325">
      <w:pPr>
        <w:spacing w:after="0" w:line="240" w:lineRule="auto"/>
        <w:jc w:val="both"/>
        <w:rPr>
          <w:rFonts w:ascii="Times New Roman" w:eastAsia="Times New Roman" w:hAnsi="Times New Roman" w:cs="Times New Roman"/>
          <w:b/>
          <w:sz w:val="24"/>
          <w:szCs w:val="24"/>
          <w:lang w:eastAsia="sk-SK"/>
        </w:rPr>
      </w:pPr>
    </w:p>
    <w:p w14:paraId="591822E0"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r w:rsidRPr="00685281">
        <w:rPr>
          <w:rFonts w:ascii="Times New Roman" w:eastAsia="Times New Roman" w:hAnsi="Times New Roman" w:cs="Times New Roman"/>
          <w:b/>
          <w:sz w:val="24"/>
          <w:szCs w:val="24"/>
          <w:lang w:eastAsia="sk-SK"/>
        </w:rPr>
        <w:t xml:space="preserve">Zrozumiteľný a stručný opis regulácie vyjadrujúci dôvod zvýšenia/zníženia nákladov na PP a dôvod ponechania nákladov na PP, ktoré sú goldplatingom: </w:t>
      </w:r>
      <w:r w:rsidRPr="00685281">
        <w:rPr>
          <w:rFonts w:ascii="Times New Roman" w:eastAsia="Times New Roman" w:hAnsi="Times New Roman" w:cs="Times New Roman"/>
          <w:sz w:val="24"/>
          <w:szCs w:val="24"/>
          <w:lang w:eastAsia="sk-SK"/>
        </w:rPr>
        <w:t xml:space="preserve">v tomto stĺpci predkladateľ uvedie stručne a výstižne aj dôvod zvýšenia/zníženia nákladov na PP. Predkladateľ nekopíruje paragrafové znenie regulácie! </w:t>
      </w:r>
      <w:r w:rsidRPr="00685281">
        <w:rPr>
          <w:rFonts w:ascii="Times New Roman" w:eastAsia="Times New Roman" w:hAnsi="Times New Roman" w:cs="Times New Roman"/>
          <w:i/>
          <w:iCs/>
          <w:sz w:val="24"/>
          <w:szCs w:val="24"/>
          <w:lang w:eastAsia="sk-SK"/>
        </w:rPr>
        <w:t>Napríklad: zníženie frekvencie povinných kontrol strojov z ročnej na dvojročnú.</w:t>
      </w:r>
      <w:r w:rsidRPr="00685281">
        <w:rPr>
          <w:rFonts w:ascii="Times New Roman" w:eastAsia="Times New Roman" w:hAnsi="Times New Roman" w:cs="Times New Roman"/>
          <w:b/>
          <w:bCs/>
          <w:color w:val="000000"/>
          <w:sz w:val="24"/>
          <w:szCs w:val="24"/>
          <w:lang w:eastAsia="sk-SK"/>
        </w:rPr>
        <w:t xml:space="preserve"> </w:t>
      </w:r>
      <w:r w:rsidRPr="00685281">
        <w:rPr>
          <w:rFonts w:ascii="Times New Roman" w:eastAsia="Times New Roman" w:hAnsi="Times New Roman" w:cs="Times New Roman"/>
          <w:b/>
          <w:sz w:val="24"/>
          <w:szCs w:val="24"/>
          <w:lang w:eastAsia="sk-SK"/>
        </w:rPr>
        <w:t xml:space="preserve">V prípade dôvodu ponechania nákladov na PP, ktoré sú goldplatingom, </w:t>
      </w:r>
      <w:r w:rsidRPr="00685281">
        <w:rPr>
          <w:rFonts w:ascii="Times New Roman" w:eastAsia="Times New Roman" w:hAnsi="Times New Roman" w:cs="Times New Roman"/>
          <w:sz w:val="24"/>
          <w:szCs w:val="24"/>
          <w:lang w:eastAsia="sk-SK"/>
        </w:rPr>
        <w:t xml:space="preserve">sa uvedie dôvod neodstránenia/zachovania </w:t>
      </w:r>
      <w:r w:rsidRPr="00685281">
        <w:rPr>
          <w:rFonts w:ascii="Times New Roman" w:eastAsia="Times New Roman" w:hAnsi="Times New Roman" w:cs="Times New Roman"/>
          <w:sz w:val="24"/>
          <w:szCs w:val="24"/>
        </w:rPr>
        <w:t>existujúcej právnej úpravy</w:t>
      </w:r>
      <w:r w:rsidRPr="00685281">
        <w:rPr>
          <w:rFonts w:ascii="Times New Roman" w:eastAsia="Times New Roman" w:hAnsi="Times New Roman" w:cs="Times New Roman"/>
          <w:i/>
          <w:sz w:val="24"/>
          <w:szCs w:val="24"/>
        </w:rPr>
        <w:t>,</w:t>
      </w:r>
      <w:r w:rsidRPr="00685281">
        <w:rPr>
          <w:rFonts w:ascii="Times New Roman" w:eastAsia="Times New Roman" w:hAnsi="Times New Roman" w:cs="Times New Roman"/>
          <w:sz w:val="24"/>
          <w:szCs w:val="24"/>
        </w:rPr>
        <w:t xml:space="preserve"> ktorá spolu </w:t>
      </w:r>
      <w:r w:rsidRPr="00685281">
        <w:rPr>
          <w:rFonts w:ascii="Times New Roman" w:eastAsia="Times New Roman" w:hAnsi="Times New Roman" w:cs="Times New Roman"/>
          <w:sz w:val="24"/>
          <w:szCs w:val="24"/>
          <w:lang w:eastAsia="sk-SK"/>
        </w:rPr>
        <w:t>s  predloženým návrhom právneho predpisu spôsobuje, že transpozícia nebude vykonaná v minimálnej a nevyhnutnej miere (zároveň sa zaznačí  možnosť „nemení sa“ pri označení druhu vplyvu).</w:t>
      </w:r>
      <w:r w:rsidRPr="00685281" w:rsidDel="00F74D3C">
        <w:rPr>
          <w:rFonts w:ascii="Times New Roman" w:eastAsia="Times New Roman" w:hAnsi="Times New Roman" w:cs="Times New Roman"/>
          <w:sz w:val="24"/>
          <w:szCs w:val="24"/>
          <w:lang w:eastAsia="sk-SK"/>
        </w:rPr>
        <w:t xml:space="preserve"> </w:t>
      </w:r>
    </w:p>
    <w:p w14:paraId="0DFECFB5" w14:textId="77777777" w:rsidR="00782325" w:rsidRPr="00685281" w:rsidRDefault="00782325" w:rsidP="00782325">
      <w:pPr>
        <w:spacing w:after="0" w:line="240" w:lineRule="auto"/>
        <w:jc w:val="both"/>
        <w:rPr>
          <w:rFonts w:ascii="Times New Roman" w:eastAsia="Times New Roman" w:hAnsi="Times New Roman" w:cs="Times New Roman"/>
          <w:b/>
          <w:sz w:val="24"/>
          <w:szCs w:val="24"/>
          <w:lang w:eastAsia="sk-SK"/>
        </w:rPr>
      </w:pPr>
    </w:p>
    <w:p w14:paraId="03730E8D"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r w:rsidRPr="00685281">
        <w:rPr>
          <w:rFonts w:ascii="Times New Roman" w:eastAsia="Times New Roman" w:hAnsi="Times New Roman" w:cs="Times New Roman"/>
          <w:b/>
          <w:sz w:val="24"/>
          <w:szCs w:val="24"/>
          <w:lang w:eastAsia="sk-SK"/>
        </w:rPr>
        <w:t>Číslo normy (zákona, vyhlášky a pod.):</w:t>
      </w:r>
      <w:r w:rsidRPr="00685281">
        <w:rPr>
          <w:rFonts w:ascii="Times New Roman" w:eastAsia="Times New Roman" w:hAnsi="Times New Roman" w:cs="Times New Roman"/>
          <w:sz w:val="24"/>
          <w:szCs w:val="24"/>
          <w:lang w:eastAsia="sk-SK"/>
        </w:rPr>
        <w:t xml:space="preserve"> predkladateľ uvedie číslo právneho predpisu, v ktorom je upravená predmetná regulácia, čo slúži pre exaktnú identifikáciu zdroja právnej úpravy, zvlášť v prípadoch, kedy materiál upravuje dva a viac právnych predpisov. </w:t>
      </w:r>
      <w:r w:rsidRPr="00685281">
        <w:rPr>
          <w:rFonts w:ascii="Times New Roman" w:eastAsia="Times New Roman" w:hAnsi="Times New Roman" w:cs="Times New Roman"/>
          <w:i/>
          <w:sz w:val="24"/>
          <w:szCs w:val="24"/>
          <w:lang w:eastAsia="sk-SK"/>
        </w:rPr>
        <w:t>Napríklad: zákon č. 311/2001 Z. z.</w:t>
      </w:r>
      <w:r w:rsidRPr="00685281">
        <w:rPr>
          <w:rFonts w:ascii="Times New Roman" w:eastAsia="Times New Roman" w:hAnsi="Times New Roman" w:cs="Times New Roman"/>
          <w:sz w:val="24"/>
          <w:szCs w:val="24"/>
          <w:lang w:eastAsia="sk-SK"/>
        </w:rPr>
        <w:t xml:space="preserve"> </w:t>
      </w:r>
    </w:p>
    <w:p w14:paraId="7001E8BF" w14:textId="77777777" w:rsidR="00782325" w:rsidRPr="00685281" w:rsidRDefault="00782325" w:rsidP="00782325">
      <w:pPr>
        <w:spacing w:after="0" w:line="240" w:lineRule="auto"/>
        <w:jc w:val="both"/>
        <w:rPr>
          <w:rFonts w:ascii="Times New Roman" w:eastAsia="Times New Roman" w:hAnsi="Times New Roman" w:cs="Times New Roman"/>
          <w:b/>
          <w:sz w:val="24"/>
          <w:szCs w:val="24"/>
          <w:lang w:eastAsia="sk-SK"/>
        </w:rPr>
      </w:pPr>
    </w:p>
    <w:p w14:paraId="144AEA11"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r w:rsidRPr="00685281">
        <w:rPr>
          <w:rFonts w:ascii="Times New Roman" w:eastAsia="Times New Roman" w:hAnsi="Times New Roman" w:cs="Times New Roman"/>
          <w:b/>
          <w:sz w:val="24"/>
          <w:szCs w:val="24"/>
          <w:lang w:eastAsia="sk-SK"/>
        </w:rPr>
        <w:t>Lokalizácia (</w:t>
      </w:r>
      <w:r w:rsidRPr="00685281">
        <w:rPr>
          <w:rFonts w:ascii="Times New Roman" w:eastAsia="Times New Roman" w:hAnsi="Times New Roman" w:cs="Times New Roman"/>
          <w:b/>
          <w:bCs/>
          <w:color w:val="000000"/>
          <w:sz w:val="24"/>
          <w:szCs w:val="24"/>
          <w:lang w:eastAsia="sk-SK"/>
        </w:rPr>
        <w:t>§, ods.</w:t>
      </w:r>
      <w:r w:rsidRPr="00685281">
        <w:rPr>
          <w:rFonts w:ascii="Times New Roman" w:hAnsi="Times New Roman" w:cs="Times New Roman"/>
          <w:sz w:val="24"/>
          <w:szCs w:val="24"/>
        </w:rPr>
        <w:t xml:space="preserve"> </w:t>
      </w:r>
      <w:r w:rsidRPr="00685281">
        <w:rPr>
          <w:rFonts w:ascii="Times New Roman" w:eastAsia="Times New Roman" w:hAnsi="Times New Roman" w:cs="Times New Roman"/>
          <w:b/>
          <w:bCs/>
          <w:color w:val="000000"/>
          <w:sz w:val="24"/>
          <w:szCs w:val="24"/>
          <w:lang w:eastAsia="sk-SK"/>
        </w:rPr>
        <w:t>čl.,...):</w:t>
      </w:r>
      <w:r w:rsidRPr="00685281">
        <w:rPr>
          <w:rFonts w:ascii="Times New Roman" w:eastAsia="Times New Roman" w:hAnsi="Times New Roman" w:cs="Times New Roman"/>
          <w:bCs/>
          <w:color w:val="000000"/>
          <w:sz w:val="24"/>
          <w:szCs w:val="24"/>
          <w:lang w:eastAsia="sk-SK"/>
        </w:rPr>
        <w:t xml:space="preserve"> </w:t>
      </w:r>
      <w:r w:rsidRPr="00685281">
        <w:rPr>
          <w:rFonts w:ascii="Times New Roman" w:eastAsia="Times New Roman" w:hAnsi="Times New Roman" w:cs="Times New Roman"/>
          <w:sz w:val="24"/>
          <w:szCs w:val="24"/>
          <w:lang w:eastAsia="sk-SK"/>
        </w:rPr>
        <w:t xml:space="preserve">predkladateľ uvedie, ktorý paragraf, odsek, písmeno a bod, článok upravuje zmenu predmetnej regulácie. </w:t>
      </w:r>
      <w:r w:rsidRPr="00685281">
        <w:rPr>
          <w:rFonts w:ascii="Times New Roman" w:eastAsia="Times New Roman" w:hAnsi="Times New Roman" w:cs="Times New Roman"/>
          <w:i/>
          <w:iCs/>
          <w:sz w:val="24"/>
          <w:szCs w:val="24"/>
          <w:lang w:eastAsia="sk-SK"/>
        </w:rPr>
        <w:t>Napríklad: § 15 ods. 2 písm. b).; článok 8, odsek 2.</w:t>
      </w:r>
    </w:p>
    <w:p w14:paraId="19023943" w14:textId="77777777" w:rsidR="00782325" w:rsidRPr="00685281" w:rsidRDefault="00782325" w:rsidP="00782325">
      <w:pPr>
        <w:spacing w:after="0" w:line="240" w:lineRule="auto"/>
        <w:jc w:val="both"/>
        <w:rPr>
          <w:rFonts w:ascii="Times New Roman" w:eastAsia="Times New Roman" w:hAnsi="Times New Roman" w:cs="Times New Roman"/>
          <w:bCs/>
          <w:color w:val="000000"/>
          <w:sz w:val="24"/>
          <w:szCs w:val="24"/>
          <w:lang w:eastAsia="sk-SK"/>
        </w:rPr>
      </w:pPr>
    </w:p>
    <w:p w14:paraId="055B83D4" w14:textId="77777777" w:rsidR="00782325" w:rsidRPr="00685281" w:rsidRDefault="00782325" w:rsidP="00782325">
      <w:pPr>
        <w:pStyle w:val="gmail-m-1648484718305530482msolistparagraph"/>
        <w:spacing w:beforeAutospacing="0" w:after="200" w:afterAutospacing="0"/>
        <w:jc w:val="both"/>
        <w:rPr>
          <w:rFonts w:ascii="Times New Roman" w:eastAsia="Times New Roman" w:hAnsi="Times New Roman" w:cs="Times New Roman"/>
          <w:color w:val="00B050"/>
          <w:sz w:val="24"/>
          <w:szCs w:val="24"/>
        </w:rPr>
      </w:pPr>
      <w:r w:rsidRPr="00685281">
        <w:rPr>
          <w:rFonts w:ascii="Times New Roman" w:eastAsia="Times New Roman" w:hAnsi="Times New Roman" w:cs="Times New Roman"/>
          <w:b/>
          <w:sz w:val="24"/>
          <w:szCs w:val="24"/>
        </w:rPr>
        <w:t>Pôvod regulácie</w:t>
      </w:r>
      <w:r w:rsidRPr="00685281">
        <w:rPr>
          <w:rFonts w:ascii="Times New Roman" w:eastAsia="Times New Roman" w:hAnsi="Times New Roman" w:cs="Times New Roman"/>
          <w:sz w:val="24"/>
          <w:szCs w:val="24"/>
        </w:rPr>
        <w:t xml:space="preserve">: predkladateľ vyberie jednu z možností pôvodu regulácie: </w:t>
      </w:r>
      <w:r w:rsidRPr="00685281">
        <w:rPr>
          <w:rFonts w:ascii="Times New Roman" w:eastAsia="Times New Roman" w:hAnsi="Times New Roman" w:cs="Times New Roman"/>
          <w:color w:val="000000"/>
          <w:sz w:val="24"/>
          <w:szCs w:val="24"/>
        </w:rPr>
        <w:t>SK; EÚ úplná harm.; goldplating -GP – a) – g)</w:t>
      </w:r>
      <w:r w:rsidRPr="00685281">
        <w:rPr>
          <w:rFonts w:ascii="Times New Roman" w:eastAsia="Times New Roman" w:hAnsi="Times New Roman" w:cs="Times New Roman"/>
          <w:sz w:val="24"/>
          <w:szCs w:val="24"/>
        </w:rPr>
        <w:t xml:space="preserve">. Regulácie s pôvodom „SK“ sú domáce iniciatívne regulácie, </w:t>
      </w:r>
      <w:r w:rsidRPr="00685281">
        <w:rPr>
          <w:rFonts w:ascii="Times New Roman" w:eastAsia="Times New Roman" w:hAnsi="Times New Roman" w:cs="Times New Roman"/>
          <w:sz w:val="24"/>
          <w:szCs w:val="24"/>
        </w:rPr>
        <w:lastRenderedPageBreak/>
        <w:t xml:space="preserve">ktoré nijako nesúvisia s transpozíciou práva EÚ. Pôvod „EÚ úplná harmonizácia“ majú tie ustanovenia, ktoré sú transpozíciou práva EÚ, pri ktorých nie je možná voľba ani odklon od znenia práva EÚ. A ak je možná voľba alebo odklon od znenia práva EÚ, tak len v prípade, že ide o odklon/voľbu, ktorý udržuje minimálne požiadavky práva EÚ (tieto nijako nenavyšuje). </w:t>
      </w:r>
      <w:r w:rsidRPr="00685281">
        <w:rPr>
          <w:rFonts w:ascii="Times New Roman" w:eastAsia="Times New Roman" w:hAnsi="Times New Roman" w:cs="Times New Roman"/>
          <w:i/>
          <w:iCs/>
          <w:sz w:val="24"/>
          <w:szCs w:val="24"/>
        </w:rPr>
        <w:t>Napríklad: presné znenie predzmluvnej informácie, ktorú musia obsahovať všeobecné obchodné podmienky.</w:t>
      </w:r>
      <w:r w:rsidRPr="00685281">
        <w:rPr>
          <w:rFonts w:ascii="Times New Roman" w:eastAsia="Times New Roman" w:hAnsi="Times New Roman" w:cs="Times New Roman"/>
          <w:sz w:val="24"/>
          <w:szCs w:val="24"/>
        </w:rPr>
        <w:t xml:space="preserve"> </w:t>
      </w:r>
      <w:r w:rsidRPr="00685281">
        <w:rPr>
          <w:rFonts w:ascii="Times New Roman" w:eastAsia="Times New Roman" w:hAnsi="Times New Roman" w:cs="Times New Roman"/>
          <w:iCs/>
          <w:sz w:val="24"/>
          <w:szCs w:val="24"/>
        </w:rPr>
        <w:t xml:space="preserve">V prípade identifikácie goldplatingu sa zaznačí jedna z možností goldplatingu GP a) až g) podľa </w:t>
      </w:r>
      <w:r w:rsidRPr="00685281">
        <w:rPr>
          <w:rFonts w:ascii="Times New Roman" w:eastAsia="Times New Roman" w:hAnsi="Times New Roman" w:cs="Times New Roman"/>
          <w:sz w:val="24"/>
          <w:szCs w:val="24"/>
        </w:rPr>
        <w:t>kategórie goldplatingu (upravenom v jednotnej metodike), ku ktorému dochádza:</w:t>
      </w:r>
    </w:p>
    <w:p w14:paraId="22DD103E" w14:textId="77777777" w:rsidR="00782325" w:rsidRPr="00685281" w:rsidRDefault="00782325" w:rsidP="00782325">
      <w:pPr>
        <w:pStyle w:val="gmail-m-1648484718305530482msolistparagraph"/>
        <w:numPr>
          <w:ilvl w:val="0"/>
          <w:numId w:val="19"/>
        </w:numPr>
        <w:spacing w:before="0" w:beforeAutospacing="0" w:after="0" w:afterAutospacing="0"/>
        <w:jc w:val="both"/>
        <w:rPr>
          <w:rFonts w:ascii="Times New Roman" w:eastAsia="Times New Roman" w:hAnsi="Times New Roman" w:cs="Times New Roman"/>
          <w:sz w:val="24"/>
          <w:szCs w:val="24"/>
        </w:rPr>
      </w:pPr>
      <w:r w:rsidRPr="00685281">
        <w:rPr>
          <w:rFonts w:ascii="Times New Roman" w:eastAsia="Times New Roman" w:hAnsi="Times New Roman" w:cs="Times New Roman"/>
          <w:sz w:val="24"/>
          <w:szCs w:val="24"/>
        </w:rPr>
        <w:t>rozšírením rozsahu pôsobnosti smernice na subjekty nad rámec minimálnych požiadaviek smernice,</w:t>
      </w:r>
    </w:p>
    <w:p w14:paraId="15C4E528" w14:textId="77777777" w:rsidR="00782325" w:rsidRPr="00685281" w:rsidRDefault="00782325" w:rsidP="00782325">
      <w:pPr>
        <w:pStyle w:val="gmail-m-1648484718305530482msolistparagraph"/>
        <w:numPr>
          <w:ilvl w:val="0"/>
          <w:numId w:val="19"/>
        </w:numPr>
        <w:spacing w:before="0" w:beforeAutospacing="0" w:after="0" w:afterAutospacing="0"/>
        <w:jc w:val="both"/>
        <w:rPr>
          <w:rFonts w:ascii="Times New Roman" w:eastAsia="Times New Roman" w:hAnsi="Times New Roman" w:cs="Times New Roman"/>
          <w:sz w:val="24"/>
          <w:szCs w:val="24"/>
        </w:rPr>
      </w:pPr>
      <w:r w:rsidRPr="00685281">
        <w:rPr>
          <w:rFonts w:ascii="Times New Roman" w:eastAsia="Times New Roman" w:hAnsi="Times New Roman" w:cs="Times New Roman"/>
          <w:sz w:val="24"/>
          <w:szCs w:val="24"/>
        </w:rPr>
        <w:t xml:space="preserve">navýšením  požiadaviek nad rámec minimálnych požiadaviek smernice, </w:t>
      </w:r>
    </w:p>
    <w:p w14:paraId="3D97DFB6" w14:textId="77777777" w:rsidR="00782325" w:rsidRPr="00685281" w:rsidRDefault="00782325" w:rsidP="00782325">
      <w:pPr>
        <w:pStyle w:val="gmail-m-1648484718305530482msolistparagraph"/>
        <w:numPr>
          <w:ilvl w:val="0"/>
          <w:numId w:val="19"/>
        </w:numPr>
        <w:spacing w:before="0" w:beforeAutospacing="0" w:after="0" w:afterAutospacing="0"/>
        <w:jc w:val="both"/>
        <w:rPr>
          <w:rFonts w:ascii="Times New Roman" w:eastAsia="Times New Roman" w:hAnsi="Times New Roman" w:cs="Times New Roman"/>
          <w:sz w:val="24"/>
          <w:szCs w:val="24"/>
        </w:rPr>
      </w:pPr>
      <w:r w:rsidRPr="00685281">
        <w:rPr>
          <w:rFonts w:ascii="Times New Roman" w:eastAsia="Times New Roman" w:hAnsi="Times New Roman" w:cs="Times New Roman"/>
          <w:sz w:val="24"/>
          <w:szCs w:val="24"/>
        </w:rPr>
        <w:t xml:space="preserve">nevyužitím možnosti alebo výnimky, ktorá by udržala požiadavky smernice v minimálnej miere, </w:t>
      </w:r>
    </w:p>
    <w:p w14:paraId="066E1B18" w14:textId="77777777" w:rsidR="00782325" w:rsidRPr="00685281" w:rsidRDefault="00782325" w:rsidP="00782325">
      <w:pPr>
        <w:pStyle w:val="gmail-m-1648484718305530482msolistparagraph"/>
        <w:numPr>
          <w:ilvl w:val="0"/>
          <w:numId w:val="19"/>
        </w:numPr>
        <w:spacing w:before="0" w:beforeAutospacing="0" w:after="0" w:afterAutospacing="0"/>
        <w:jc w:val="both"/>
        <w:rPr>
          <w:rFonts w:ascii="Times New Roman" w:eastAsia="Times New Roman" w:hAnsi="Times New Roman" w:cs="Times New Roman"/>
          <w:sz w:val="24"/>
          <w:szCs w:val="24"/>
        </w:rPr>
      </w:pPr>
      <w:r w:rsidRPr="00685281">
        <w:rPr>
          <w:rFonts w:ascii="Times New Roman" w:eastAsia="Times New Roman" w:hAnsi="Times New Roman" w:cs="Times New Roman"/>
          <w:sz w:val="24"/>
          <w:szCs w:val="24"/>
        </w:rPr>
        <w:t>uplatňovaním prísnejších sankcií a iných vymáhacích mechanizmov nad rámec minimálnych požiadaviek smernice,</w:t>
      </w:r>
    </w:p>
    <w:p w14:paraId="49121041" w14:textId="77777777" w:rsidR="00782325" w:rsidRPr="00685281" w:rsidRDefault="00782325" w:rsidP="00782325">
      <w:pPr>
        <w:pStyle w:val="gmail-m-1648484718305530482msolistparagraph"/>
        <w:numPr>
          <w:ilvl w:val="0"/>
          <w:numId w:val="19"/>
        </w:numPr>
        <w:spacing w:before="0" w:beforeAutospacing="0" w:after="0" w:afterAutospacing="0"/>
        <w:jc w:val="both"/>
        <w:rPr>
          <w:rFonts w:ascii="Times New Roman" w:eastAsia="Times New Roman" w:hAnsi="Times New Roman" w:cs="Times New Roman"/>
          <w:sz w:val="24"/>
          <w:szCs w:val="24"/>
        </w:rPr>
      </w:pPr>
      <w:r w:rsidRPr="00685281">
        <w:rPr>
          <w:rFonts w:ascii="Times New Roman" w:eastAsia="Times New Roman" w:hAnsi="Times New Roman" w:cs="Times New Roman"/>
          <w:sz w:val="24"/>
          <w:szCs w:val="24"/>
        </w:rPr>
        <w:t>skoršou transpozíciou (pred termínom, ktorý stanovuje smernica),</w:t>
      </w:r>
    </w:p>
    <w:p w14:paraId="550671B7" w14:textId="77777777" w:rsidR="00782325" w:rsidRPr="00685281" w:rsidRDefault="00782325" w:rsidP="00782325">
      <w:pPr>
        <w:pStyle w:val="gmail-m-1648484718305530482msolistparagraph"/>
        <w:numPr>
          <w:ilvl w:val="0"/>
          <w:numId w:val="19"/>
        </w:numPr>
        <w:spacing w:before="0" w:beforeAutospacing="0" w:after="0" w:afterAutospacing="0"/>
        <w:jc w:val="both"/>
        <w:rPr>
          <w:rFonts w:ascii="Times New Roman" w:eastAsia="Times New Roman" w:hAnsi="Times New Roman" w:cs="Times New Roman"/>
          <w:sz w:val="24"/>
          <w:szCs w:val="24"/>
        </w:rPr>
      </w:pPr>
      <w:r w:rsidRPr="00685281">
        <w:rPr>
          <w:rFonts w:ascii="Times New Roman" w:hAnsi="Times New Roman" w:cs="Times New Roman"/>
          <w:bCs/>
          <w:sz w:val="24"/>
          <w:szCs w:val="24"/>
        </w:rPr>
        <w:t xml:space="preserve">zachovaním existujúcej právnej úpravy, ktorá spolu s predloženým návrhom právneho predpisu spôsobuje, že transpozícia nebude vykonaná v minimálnej miere podľa písmen a) až e) („zachovanie existujúcej právnej úpravy“); o goldplating sa nejedná, ak smernica obsahuje doložku zákazu zníženia úrovne ochrany, </w:t>
      </w:r>
    </w:p>
    <w:p w14:paraId="73456D18" w14:textId="77777777" w:rsidR="00782325" w:rsidRPr="00685281" w:rsidRDefault="00782325" w:rsidP="00782325">
      <w:pPr>
        <w:pStyle w:val="gmail-m-1648484718305530482msolistparagraph"/>
        <w:numPr>
          <w:ilvl w:val="0"/>
          <w:numId w:val="19"/>
        </w:numPr>
        <w:spacing w:before="0" w:beforeAutospacing="0" w:after="0" w:afterAutospacing="0"/>
        <w:jc w:val="both"/>
        <w:rPr>
          <w:rFonts w:ascii="Times New Roman" w:eastAsia="Times New Roman" w:hAnsi="Times New Roman" w:cs="Times New Roman"/>
          <w:sz w:val="24"/>
          <w:szCs w:val="24"/>
        </w:rPr>
      </w:pPr>
      <w:r w:rsidRPr="00685281">
        <w:rPr>
          <w:rFonts w:ascii="Times New Roman" w:eastAsia="Times New Roman" w:hAnsi="Times New Roman" w:cs="Times New Roman"/>
          <w:sz w:val="24"/>
          <w:szCs w:val="24"/>
        </w:rPr>
        <w:t>iným spôsobom.</w:t>
      </w:r>
    </w:p>
    <w:p w14:paraId="47D4CC71" w14:textId="77777777" w:rsidR="00C364B0" w:rsidRDefault="00C364B0" w:rsidP="00782325">
      <w:pPr>
        <w:spacing w:after="0" w:line="240" w:lineRule="auto"/>
        <w:jc w:val="both"/>
        <w:rPr>
          <w:rFonts w:ascii="Times New Roman" w:eastAsia="Times New Roman" w:hAnsi="Times New Roman" w:cs="Times New Roman"/>
          <w:b/>
          <w:sz w:val="24"/>
          <w:szCs w:val="24"/>
          <w:lang w:eastAsia="sk-SK"/>
        </w:rPr>
      </w:pPr>
    </w:p>
    <w:p w14:paraId="32C771B2" w14:textId="0B40965B" w:rsidR="00782325" w:rsidRPr="00685281" w:rsidRDefault="00782325" w:rsidP="00782325">
      <w:pPr>
        <w:spacing w:after="0" w:line="240" w:lineRule="auto"/>
        <w:jc w:val="both"/>
        <w:rPr>
          <w:rFonts w:ascii="Times New Roman" w:eastAsia="Times New Roman" w:hAnsi="Times New Roman" w:cs="Times New Roman"/>
          <w:i/>
          <w:sz w:val="24"/>
          <w:szCs w:val="24"/>
          <w:lang w:eastAsia="sk-SK"/>
        </w:rPr>
      </w:pPr>
      <w:r w:rsidRPr="00685281">
        <w:rPr>
          <w:rFonts w:ascii="Times New Roman" w:eastAsia="Times New Roman" w:hAnsi="Times New Roman" w:cs="Times New Roman"/>
          <w:b/>
          <w:sz w:val="24"/>
          <w:szCs w:val="24"/>
          <w:lang w:eastAsia="sk-SK"/>
        </w:rPr>
        <w:t xml:space="preserve">Účinnosť regulácie: </w:t>
      </w:r>
      <w:r w:rsidRPr="00685281">
        <w:rPr>
          <w:rFonts w:ascii="Times New Roman" w:eastAsia="Times New Roman" w:hAnsi="Times New Roman" w:cs="Times New Roman"/>
          <w:sz w:val="24"/>
          <w:szCs w:val="24"/>
          <w:lang w:eastAsia="sk-SK"/>
        </w:rPr>
        <w:t xml:space="preserve">predkladateľ uvedie dátum/dátumy účinnosti, resp. navrhovanej účinnosti regulácie (obzvlášť dôležité v prípade, ak právny predpis obsahuje ustanovenia s rôznymi dátumami účinnosti). </w:t>
      </w:r>
      <w:r w:rsidRPr="00685281">
        <w:rPr>
          <w:rFonts w:ascii="Times New Roman" w:eastAsia="Times New Roman" w:hAnsi="Times New Roman" w:cs="Times New Roman"/>
          <w:i/>
          <w:sz w:val="24"/>
          <w:szCs w:val="24"/>
          <w:lang w:eastAsia="sk-SK"/>
        </w:rPr>
        <w:t>Napríklad: 01. 07. 2022.</w:t>
      </w:r>
    </w:p>
    <w:p w14:paraId="28618D83" w14:textId="77777777" w:rsidR="00782325" w:rsidRPr="00685281" w:rsidRDefault="00782325" w:rsidP="00782325">
      <w:pPr>
        <w:spacing w:after="0" w:line="240" w:lineRule="auto"/>
        <w:jc w:val="both"/>
        <w:rPr>
          <w:rFonts w:ascii="Times New Roman" w:eastAsia="Times New Roman" w:hAnsi="Times New Roman" w:cs="Times New Roman"/>
          <w:i/>
          <w:sz w:val="24"/>
          <w:szCs w:val="24"/>
          <w:lang w:eastAsia="sk-SK"/>
        </w:rPr>
      </w:pPr>
    </w:p>
    <w:p w14:paraId="417E97E2"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r w:rsidRPr="00685281">
        <w:rPr>
          <w:rFonts w:ascii="Times New Roman" w:eastAsia="Times New Roman" w:hAnsi="Times New Roman" w:cs="Times New Roman"/>
          <w:b/>
          <w:sz w:val="24"/>
          <w:szCs w:val="24"/>
          <w:lang w:eastAsia="sk-SK"/>
        </w:rPr>
        <w:t xml:space="preserve">Termín skoršej transpozície: </w:t>
      </w:r>
      <w:r w:rsidRPr="00685281">
        <w:rPr>
          <w:rFonts w:ascii="Times New Roman" w:eastAsia="Times New Roman" w:hAnsi="Times New Roman" w:cs="Times New Roman"/>
          <w:sz w:val="24"/>
          <w:szCs w:val="24"/>
          <w:lang w:eastAsia="sk-SK"/>
        </w:rPr>
        <w:t xml:space="preserve">predkladateľ uvedie počet mesiacov, o ktoré bude regulácia zavedená skôr ako požaduje EÚ. Napríklad ak EÚ požaduje zavedenie regulácie k 01. 01. 2024 a predkladateľ navrhuje účinnosť od 01. 07. 2023, uvedie číslo „6“, čo predstavuje 6 mesiacov. </w:t>
      </w:r>
    </w:p>
    <w:p w14:paraId="309582E8"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p>
    <w:p w14:paraId="72CBD4E5" w14:textId="77777777" w:rsidR="00782325" w:rsidRPr="00685281" w:rsidRDefault="00782325" w:rsidP="00782325">
      <w:pPr>
        <w:jc w:val="both"/>
        <w:rPr>
          <w:rFonts w:ascii="Times New Roman" w:eastAsia="Times New Roman" w:hAnsi="Times New Roman" w:cs="Times New Roman"/>
          <w:i/>
          <w:iCs/>
          <w:sz w:val="24"/>
          <w:szCs w:val="24"/>
          <w:lang w:eastAsia="sk-SK"/>
        </w:rPr>
      </w:pPr>
      <w:r w:rsidRPr="00685281">
        <w:rPr>
          <w:rFonts w:ascii="Times New Roman" w:eastAsia="Times New Roman" w:hAnsi="Times New Roman" w:cs="Times New Roman"/>
          <w:b/>
          <w:sz w:val="24"/>
          <w:szCs w:val="24"/>
          <w:lang w:eastAsia="sk-SK"/>
        </w:rPr>
        <w:t>Kategória dotknutých subjektov:</w:t>
      </w:r>
      <w:r w:rsidRPr="00685281">
        <w:rPr>
          <w:rFonts w:ascii="Times New Roman" w:eastAsia="Times New Roman" w:hAnsi="Times New Roman" w:cs="Times New Roman"/>
          <w:sz w:val="24"/>
          <w:szCs w:val="24"/>
          <w:lang w:eastAsia="sk-SK"/>
        </w:rPr>
        <w:t xml:space="preserve"> predkladateľ definuje kategóriu dotknutých subjektov, ktoré budú ovplyvnené predkladanou reguláciou. </w:t>
      </w:r>
      <w:r w:rsidRPr="00685281">
        <w:rPr>
          <w:rFonts w:ascii="Times New Roman" w:eastAsia="Times New Roman" w:hAnsi="Times New Roman" w:cs="Times New Roman"/>
          <w:i/>
          <w:iCs/>
          <w:sz w:val="24"/>
          <w:szCs w:val="24"/>
          <w:lang w:eastAsia="sk-SK"/>
        </w:rPr>
        <w:t xml:space="preserve">Napríklad: ubytovacie zariadenia, autoškoly a pod. alebo všetky podniky. </w:t>
      </w:r>
      <w:r w:rsidRPr="00685281">
        <w:rPr>
          <w:rFonts w:ascii="Times New Roman" w:eastAsia="Calibri" w:hAnsi="Times New Roman" w:cs="Times New Roman"/>
          <w:sz w:val="24"/>
          <w:szCs w:val="24"/>
        </w:rPr>
        <w:t>V prípade, ak sa návrh týka celého podnikateľského prostredia, predkladateľ uvedie „všetky kategórie“.</w:t>
      </w:r>
      <w:r w:rsidRPr="00685281" w:rsidDel="007809B3">
        <w:rPr>
          <w:rFonts w:ascii="Times New Roman" w:eastAsia="Times New Roman" w:hAnsi="Times New Roman" w:cs="Times New Roman"/>
          <w:i/>
          <w:iCs/>
          <w:sz w:val="24"/>
          <w:szCs w:val="24"/>
          <w:lang w:eastAsia="sk-SK"/>
        </w:rPr>
        <w:t xml:space="preserve"> </w:t>
      </w:r>
    </w:p>
    <w:p w14:paraId="10B3547F" w14:textId="77777777" w:rsidR="00782325" w:rsidRPr="00685281" w:rsidRDefault="00782325" w:rsidP="00782325">
      <w:pPr>
        <w:spacing w:after="120" w:line="276" w:lineRule="auto"/>
        <w:jc w:val="both"/>
        <w:rPr>
          <w:rFonts w:ascii="Times New Roman" w:eastAsia="Calibri" w:hAnsi="Times New Roman" w:cs="Times New Roman"/>
          <w:sz w:val="24"/>
          <w:szCs w:val="24"/>
        </w:rPr>
      </w:pPr>
      <w:r w:rsidRPr="00685281">
        <w:rPr>
          <w:rFonts w:ascii="Times New Roman" w:eastAsia="Times New Roman" w:hAnsi="Times New Roman" w:cs="Times New Roman"/>
          <w:b/>
          <w:iCs/>
          <w:color w:val="000000"/>
          <w:sz w:val="24"/>
          <w:szCs w:val="24"/>
          <w:lang w:eastAsia="sk-SK"/>
        </w:rPr>
        <w:t>Počet subjektov v dotknutej kategórii:</w:t>
      </w:r>
      <w:r w:rsidRPr="00685281">
        <w:rPr>
          <w:rFonts w:ascii="Times New Roman" w:eastAsia="Times New Roman" w:hAnsi="Times New Roman" w:cs="Times New Roman"/>
          <w:iCs/>
          <w:color w:val="000000"/>
          <w:sz w:val="24"/>
          <w:szCs w:val="24"/>
          <w:lang w:eastAsia="sk-SK"/>
        </w:rPr>
        <w:t xml:space="preserve"> predkladateľ uvedie počet dotknutých subjektov v posudzova</w:t>
      </w:r>
      <w:r w:rsidRPr="00685281">
        <w:rPr>
          <w:rFonts w:ascii="Times New Roman" w:eastAsia="Times New Roman" w:hAnsi="Times New Roman" w:cs="Times New Roman"/>
          <w:color w:val="000000"/>
          <w:sz w:val="24"/>
          <w:szCs w:val="24"/>
          <w:lang w:eastAsia="sk-SK"/>
        </w:rPr>
        <w:t xml:space="preserve">nej kategórii. Ak má jedna regulácia rôzny vplyv na zmenu nákladov viacerých kategórií podnikov, tak pre každú takúto kategóriu je potrebné uviesť samostatný riadok. </w:t>
      </w:r>
      <w:r w:rsidRPr="00685281">
        <w:rPr>
          <w:rFonts w:ascii="Times New Roman" w:eastAsia="Calibri" w:hAnsi="Times New Roman" w:cs="Times New Roman"/>
          <w:sz w:val="24"/>
          <w:szCs w:val="24"/>
        </w:rPr>
        <w:t>Tento údaj môže byť určený presne na základe evidencie zodpovedných útvarov za predchádzajúce obdobie, odhadom prostredníctvom údajov za predchádzajúce obdobie, prostredníctvom štatistík podľa SK NACE klasifikácie, iných štatistík alebo expertným odhadom.</w:t>
      </w:r>
      <w:r w:rsidRPr="00685281">
        <w:rPr>
          <w:rFonts w:ascii="Times New Roman" w:eastAsia="Times New Roman" w:hAnsi="Times New Roman" w:cs="Times New Roman"/>
          <w:color w:val="000000"/>
          <w:sz w:val="24"/>
          <w:szCs w:val="24"/>
          <w:lang w:eastAsia="sk-SK"/>
        </w:rPr>
        <w:t xml:space="preserve"> Ak sa týka všetkých kategórií, tak uvedie celkový počet dotknutých subjektov. Táto hodnota nemusí nutne predstavovať počet dotknutých subjektov v pravom slova zmysle. Predkladateľ môže uviesť napr. priemerný počet podaných žiadostí, oznámení, resp. môže uviesť počet realizovaných úkonov podnikateľskými subjektami počas sledovaného obdobia.</w:t>
      </w:r>
    </w:p>
    <w:p w14:paraId="4ABD56FD"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p>
    <w:p w14:paraId="5CBF135B" w14:textId="77777777" w:rsidR="00782325" w:rsidRPr="00685281" w:rsidRDefault="00782325" w:rsidP="00782325">
      <w:pPr>
        <w:spacing w:after="0" w:line="240" w:lineRule="auto"/>
        <w:jc w:val="both"/>
        <w:rPr>
          <w:rFonts w:ascii="Times New Roman" w:eastAsia="Calibri" w:hAnsi="Times New Roman" w:cs="Times New Roman"/>
          <w:i/>
          <w:iCs/>
          <w:sz w:val="24"/>
          <w:szCs w:val="24"/>
          <w:lang w:eastAsia="sk-SK"/>
        </w:rPr>
      </w:pPr>
      <w:r w:rsidRPr="00685281">
        <w:rPr>
          <w:rFonts w:ascii="Times New Roman" w:eastAsia="Times New Roman" w:hAnsi="Times New Roman" w:cs="Times New Roman"/>
          <w:b/>
          <w:bCs/>
          <w:color w:val="000000"/>
          <w:sz w:val="24"/>
          <w:szCs w:val="24"/>
          <w:lang w:eastAsia="sk-SK"/>
        </w:rPr>
        <w:lastRenderedPageBreak/>
        <w:t xml:space="preserve">Vplyv na 1 podnikateľa v eurách: </w:t>
      </w:r>
      <w:r w:rsidRPr="00685281">
        <w:rPr>
          <w:rFonts w:ascii="Times New Roman" w:eastAsia="Calibri" w:hAnsi="Times New Roman" w:cs="Times New Roman"/>
          <w:sz w:val="24"/>
          <w:szCs w:val="24"/>
        </w:rPr>
        <w:t xml:space="preserve">vypočíta </w:t>
      </w:r>
      <w:r w:rsidRPr="00685281">
        <w:rPr>
          <w:rFonts w:ascii="Times New Roman" w:eastAsia="Calibri" w:hAnsi="Times New Roman" w:cs="Times New Roman"/>
          <w:i/>
          <w:sz w:val="24"/>
          <w:szCs w:val="24"/>
          <w:lang w:eastAsia="sk-SK"/>
        </w:rPr>
        <w:t>Kalkulačka nákladov</w:t>
      </w:r>
      <w:r w:rsidRPr="00685281">
        <w:rPr>
          <w:rFonts w:ascii="Times New Roman" w:eastAsia="Calibri" w:hAnsi="Times New Roman" w:cs="Times New Roman"/>
          <w:sz w:val="24"/>
          <w:szCs w:val="24"/>
          <w:lang w:eastAsia="sk-SK"/>
        </w:rPr>
        <w:t xml:space="preserve"> na základe údajov v predchádzajúcich stĺpcoch. Podrobnosti výpočtu sú uvedené v ďalšej časti Metodického postupu</w:t>
      </w:r>
      <w:r w:rsidRPr="00685281">
        <w:rPr>
          <w:rFonts w:ascii="Times New Roman" w:eastAsia="Calibri" w:hAnsi="Times New Roman" w:cs="Times New Roman"/>
          <w:i/>
          <w:iCs/>
          <w:sz w:val="24"/>
          <w:szCs w:val="24"/>
          <w:lang w:eastAsia="sk-SK"/>
        </w:rPr>
        <w:t>.</w:t>
      </w:r>
    </w:p>
    <w:p w14:paraId="29567608"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r w:rsidRPr="00685281">
        <w:rPr>
          <w:rFonts w:ascii="Times New Roman" w:eastAsia="Calibri" w:hAnsi="Times New Roman" w:cs="Times New Roman"/>
          <w:i/>
          <w:iCs/>
          <w:sz w:val="24"/>
          <w:szCs w:val="24"/>
          <w:lang w:eastAsia="sk-SK"/>
        </w:rPr>
        <w:t xml:space="preserve"> </w:t>
      </w:r>
    </w:p>
    <w:p w14:paraId="74FAE0ED" w14:textId="77777777" w:rsidR="00782325" w:rsidRPr="00685281" w:rsidRDefault="00782325" w:rsidP="00782325">
      <w:pPr>
        <w:spacing w:after="120" w:line="276" w:lineRule="auto"/>
        <w:jc w:val="both"/>
        <w:rPr>
          <w:rFonts w:ascii="Times New Roman" w:eastAsia="Calibri" w:hAnsi="Times New Roman" w:cs="Times New Roman"/>
          <w:sz w:val="24"/>
          <w:szCs w:val="24"/>
        </w:rPr>
      </w:pPr>
      <w:r w:rsidRPr="00685281">
        <w:rPr>
          <w:rFonts w:ascii="Times New Roman" w:eastAsia="Times New Roman" w:hAnsi="Times New Roman" w:cs="Times New Roman"/>
          <w:b/>
          <w:color w:val="000000"/>
          <w:sz w:val="24"/>
          <w:szCs w:val="24"/>
        </w:rPr>
        <w:t>Vplyv na kategóriu subjektov v eurách:</w:t>
      </w:r>
      <w:r w:rsidRPr="00685281">
        <w:rPr>
          <w:rFonts w:ascii="Times New Roman" w:eastAsia="Times New Roman" w:hAnsi="Times New Roman" w:cs="Times New Roman"/>
          <w:color w:val="000000"/>
          <w:sz w:val="24"/>
          <w:szCs w:val="24"/>
        </w:rPr>
        <w:t xml:space="preserve"> vypočíta </w:t>
      </w:r>
      <w:r w:rsidRPr="00685281">
        <w:rPr>
          <w:rFonts w:ascii="Times New Roman" w:eastAsia="Times New Roman" w:hAnsi="Times New Roman" w:cs="Times New Roman"/>
          <w:i/>
          <w:color w:val="000000"/>
          <w:sz w:val="24"/>
          <w:szCs w:val="24"/>
          <w:lang w:eastAsia="sk-SK"/>
        </w:rPr>
        <w:t>Kalkulačka nákladov</w:t>
      </w:r>
      <w:r w:rsidRPr="00685281">
        <w:rPr>
          <w:rFonts w:ascii="Times New Roman" w:eastAsia="Times New Roman" w:hAnsi="Times New Roman" w:cs="Times New Roman"/>
          <w:color w:val="000000"/>
          <w:sz w:val="24"/>
          <w:szCs w:val="24"/>
        </w:rPr>
        <w:t xml:space="preserve"> </w:t>
      </w:r>
      <w:r w:rsidRPr="00685281">
        <w:rPr>
          <w:rFonts w:ascii="Times New Roman" w:eastAsia="Times New Roman" w:hAnsi="Times New Roman" w:cs="Times New Roman"/>
          <w:color w:val="000000"/>
          <w:sz w:val="24"/>
          <w:szCs w:val="24"/>
          <w:lang w:eastAsia="sk-SK"/>
        </w:rPr>
        <w:t>na základe údajov v predchádzajúcich stĺpcoch. Podrobnosti sú uvedené v ďalšej časti tohto Metodického postupu</w:t>
      </w:r>
      <w:r w:rsidRPr="00685281">
        <w:rPr>
          <w:rFonts w:ascii="Times New Roman" w:eastAsia="Times New Roman" w:hAnsi="Times New Roman" w:cs="Times New Roman"/>
          <w:i/>
          <w:iCs/>
          <w:color w:val="000000"/>
          <w:sz w:val="24"/>
          <w:szCs w:val="24"/>
          <w:lang w:eastAsia="sk-SK"/>
        </w:rPr>
        <w:t xml:space="preserve">. </w:t>
      </w:r>
    </w:p>
    <w:p w14:paraId="5793E400"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r w:rsidRPr="00685281">
        <w:rPr>
          <w:rFonts w:ascii="Times New Roman" w:eastAsia="Times New Roman" w:hAnsi="Times New Roman" w:cs="Times New Roman"/>
          <w:b/>
          <w:bCs/>
          <w:color w:val="000000"/>
          <w:sz w:val="24"/>
          <w:szCs w:val="24"/>
          <w:lang w:eastAsia="sk-SK"/>
        </w:rPr>
        <w:t xml:space="preserve">Druh vplyvu IN </w:t>
      </w:r>
      <w:r w:rsidRPr="00685281">
        <w:rPr>
          <w:rFonts w:ascii="Times New Roman" w:eastAsia="Times New Roman" w:hAnsi="Times New Roman" w:cs="Times New Roman"/>
          <w:color w:val="000000"/>
          <w:sz w:val="24"/>
          <w:szCs w:val="24"/>
          <w:lang w:eastAsia="sk-SK"/>
        </w:rPr>
        <w:t xml:space="preserve">(zvyšuje náklady) / </w:t>
      </w:r>
      <w:r w:rsidRPr="00685281">
        <w:rPr>
          <w:rFonts w:ascii="Times New Roman" w:eastAsia="Times New Roman" w:hAnsi="Times New Roman" w:cs="Times New Roman"/>
          <w:b/>
          <w:bCs/>
          <w:color w:val="000000"/>
          <w:sz w:val="24"/>
          <w:szCs w:val="24"/>
          <w:lang w:eastAsia="sk-SK"/>
        </w:rPr>
        <w:t xml:space="preserve">OUT </w:t>
      </w:r>
      <w:r w:rsidRPr="00685281">
        <w:rPr>
          <w:rFonts w:ascii="Times New Roman" w:eastAsia="Times New Roman" w:hAnsi="Times New Roman" w:cs="Times New Roman"/>
          <w:color w:val="000000"/>
          <w:sz w:val="24"/>
          <w:szCs w:val="24"/>
          <w:lang w:eastAsia="sk-SK"/>
        </w:rPr>
        <w:t xml:space="preserve">(znižuje náklady) / </w:t>
      </w:r>
      <w:r w:rsidRPr="00685281">
        <w:rPr>
          <w:rFonts w:ascii="Times New Roman" w:eastAsia="Times New Roman" w:hAnsi="Times New Roman" w:cs="Times New Roman"/>
          <w:b/>
          <w:color w:val="000000"/>
          <w:sz w:val="24"/>
          <w:szCs w:val="24"/>
          <w:lang w:eastAsia="sk-SK"/>
        </w:rPr>
        <w:t>nemení sa</w:t>
      </w:r>
      <w:r w:rsidRPr="00685281">
        <w:rPr>
          <w:rFonts w:ascii="Times New Roman" w:eastAsia="Times New Roman" w:hAnsi="Times New Roman" w:cs="Times New Roman"/>
          <w:color w:val="000000"/>
          <w:sz w:val="24"/>
          <w:szCs w:val="24"/>
          <w:lang w:eastAsia="sk-SK"/>
        </w:rPr>
        <w:t>:</w:t>
      </w:r>
      <w:r w:rsidRPr="00685281">
        <w:rPr>
          <w:rFonts w:ascii="Times New Roman" w:eastAsia="Times New Roman" w:hAnsi="Times New Roman" w:cs="Times New Roman"/>
          <w:b/>
          <w:bCs/>
          <w:color w:val="000000"/>
          <w:sz w:val="24"/>
          <w:szCs w:val="24"/>
          <w:lang w:eastAsia="sk-SK"/>
        </w:rPr>
        <w:t xml:space="preserve"> </w:t>
      </w:r>
      <w:r w:rsidRPr="00685281">
        <w:rPr>
          <w:rFonts w:ascii="Times New Roman" w:eastAsia="Times New Roman" w:hAnsi="Times New Roman" w:cs="Times New Roman"/>
          <w:sz w:val="24"/>
          <w:szCs w:val="24"/>
          <w:lang w:eastAsia="sk-SK"/>
        </w:rPr>
        <w:t xml:space="preserve">vyberie sa druh vplyvu. </w:t>
      </w:r>
      <w:r w:rsidRPr="00685281">
        <w:rPr>
          <w:rFonts w:ascii="Times New Roman" w:eastAsia="Times New Roman" w:hAnsi="Times New Roman" w:cs="Times New Roman"/>
          <w:i/>
          <w:sz w:val="24"/>
          <w:szCs w:val="24"/>
          <w:lang w:eastAsia="sk-SK"/>
        </w:rPr>
        <w:t>Napríklad: Zníženie príplatkov za prácu v sobotu bude mať druh vplyvu OUT, pretože znižuje náklady podnikateľom. Zavedenie nových povinností BOZP bude mať druh vplyvu IN, pretože zvyšuje náklady podnikateľom.</w:t>
      </w:r>
      <w:r w:rsidRPr="00685281">
        <w:rPr>
          <w:rFonts w:ascii="Times New Roman" w:eastAsia="Times New Roman" w:hAnsi="Times New Roman" w:cs="Times New Roman"/>
          <w:sz w:val="24"/>
          <w:szCs w:val="24"/>
          <w:lang w:eastAsia="sk-SK"/>
        </w:rPr>
        <w:t xml:space="preserve"> Možnosť „nemení sa“ sa vyberie v prípade, ak ide o náklady goldplatingu, ktoré patria do súhrnných nákladov goldplatingu (v tabuľke 1), ale nepatria do súhrnných nákladov predkladaného návrhu (podrobnejšie vo vysvetlivkách ku Kalkulačke nákladov). Ide spravidla o goldplating - </w:t>
      </w:r>
      <w:r w:rsidRPr="00685281">
        <w:rPr>
          <w:rFonts w:ascii="Times New Roman" w:eastAsia="Times New Roman" w:hAnsi="Times New Roman" w:cs="Times New Roman"/>
          <w:iCs/>
          <w:sz w:val="24"/>
          <w:szCs w:val="24"/>
        </w:rPr>
        <w:t>GP f)</w:t>
      </w:r>
      <w:r w:rsidRPr="00685281">
        <w:rPr>
          <w:rFonts w:ascii="Times New Roman" w:eastAsia="Times New Roman" w:hAnsi="Times New Roman" w:cs="Times New Roman"/>
          <w:sz w:val="24"/>
          <w:szCs w:val="24"/>
          <w:lang w:eastAsia="sk-SK"/>
        </w:rPr>
        <w:t xml:space="preserve"> – zachovanie existujúcej právnej úpravy/existujúcich vnútroštátnych požiadaviek.</w:t>
      </w:r>
    </w:p>
    <w:p w14:paraId="65DBDEA3" w14:textId="77777777" w:rsidR="00782325" w:rsidRPr="00685281" w:rsidRDefault="00782325" w:rsidP="00782325">
      <w:pPr>
        <w:jc w:val="both"/>
        <w:rPr>
          <w:rFonts w:ascii="Times New Roman" w:eastAsia="Calibri" w:hAnsi="Times New Roman" w:cs="Times New Roman"/>
          <w:bCs/>
          <w:sz w:val="24"/>
          <w:szCs w:val="24"/>
        </w:rPr>
      </w:pPr>
    </w:p>
    <w:p w14:paraId="3EF9022F" w14:textId="77777777" w:rsidR="00782325" w:rsidRPr="00685281" w:rsidRDefault="00782325" w:rsidP="00782325">
      <w:pPr>
        <w:jc w:val="both"/>
        <w:rPr>
          <w:rFonts w:ascii="Times New Roman" w:eastAsia="Calibri" w:hAnsi="Times New Roman" w:cs="Times New Roman"/>
          <w:b/>
          <w:sz w:val="24"/>
          <w:szCs w:val="24"/>
        </w:rPr>
      </w:pPr>
      <w:r w:rsidRPr="00685281">
        <w:rPr>
          <w:rFonts w:ascii="Times New Roman" w:eastAsia="Calibri" w:hAnsi="Times New Roman" w:cs="Times New Roman"/>
          <w:b/>
          <w:sz w:val="24"/>
          <w:szCs w:val="24"/>
        </w:rPr>
        <w:t>Metodika kvantifikácie vplyvov jednotlivých regulácií:</w:t>
      </w:r>
    </w:p>
    <w:p w14:paraId="71D59F49" w14:textId="77777777" w:rsidR="00782325" w:rsidRPr="00685281" w:rsidRDefault="00782325" w:rsidP="00782325">
      <w:pPr>
        <w:numPr>
          <w:ilvl w:val="0"/>
          <w:numId w:val="14"/>
        </w:numPr>
        <w:contextualSpacing/>
        <w:jc w:val="both"/>
        <w:rPr>
          <w:rFonts w:ascii="Times New Roman" w:eastAsia="Calibri" w:hAnsi="Times New Roman" w:cs="Times New Roman"/>
          <w:b/>
          <w:sz w:val="24"/>
          <w:szCs w:val="24"/>
        </w:rPr>
      </w:pPr>
      <w:r w:rsidRPr="00685281">
        <w:rPr>
          <w:rFonts w:ascii="Times New Roman" w:eastAsia="Calibri" w:hAnsi="Times New Roman" w:cs="Times New Roman"/>
          <w:b/>
          <w:sz w:val="24"/>
          <w:szCs w:val="24"/>
        </w:rPr>
        <w:t>Rozdelenie materiálu na jednotlivé regulácie, ktoré menia náklady jednotlivých kategórií podnikateľských subjektov</w:t>
      </w:r>
    </w:p>
    <w:p w14:paraId="2B4CA809" w14:textId="77777777" w:rsidR="00782325" w:rsidRPr="00685281" w:rsidRDefault="00782325" w:rsidP="00782325">
      <w:pPr>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 xml:space="preserve">Niektoré materiály obsahujú zmenu (resp. zavedenie či zrušenie) iba jednej regulácie, väčšina  materiálov však mení viacero regulácií, ktoré majú vplyv na zmenu nákladov PP. V prvom kroku je preto potrebné materiál rozdeliť na jednotlivé regulácie. </w:t>
      </w:r>
    </w:p>
    <w:p w14:paraId="36D72621" w14:textId="77777777" w:rsidR="00782325" w:rsidRPr="00685281" w:rsidRDefault="00782325" w:rsidP="00782325">
      <w:pPr>
        <w:jc w:val="both"/>
        <w:rPr>
          <w:rFonts w:ascii="Times New Roman" w:eastAsia="Calibri" w:hAnsi="Times New Roman" w:cs="Times New Roman"/>
          <w:bCs/>
          <w:i/>
          <w:iCs/>
          <w:sz w:val="24"/>
          <w:szCs w:val="24"/>
        </w:rPr>
      </w:pPr>
      <w:r w:rsidRPr="00685281">
        <w:rPr>
          <w:rFonts w:ascii="Times New Roman" w:eastAsia="Calibri" w:hAnsi="Times New Roman" w:cs="Times New Roman"/>
          <w:bCs/>
          <w:i/>
          <w:iCs/>
          <w:sz w:val="24"/>
          <w:szCs w:val="24"/>
        </w:rPr>
        <w:t xml:space="preserve">Napríklad: Zmena Zákonníka práce môže obsahovať zmenu povinností zamestnávateľa v súvislosti so zabezpečením stravovania zamestnancov a tiež zmenu vo výške odstupného a zmenu v mzdovom zvýhodnení za prácu v sobotu. </w:t>
      </w:r>
    </w:p>
    <w:p w14:paraId="76DE970D" w14:textId="77777777" w:rsidR="00782325" w:rsidRPr="00685281" w:rsidRDefault="00782325" w:rsidP="00782325">
      <w:pPr>
        <w:jc w:val="both"/>
        <w:rPr>
          <w:rFonts w:ascii="Times New Roman" w:eastAsia="Calibri" w:hAnsi="Times New Roman" w:cs="Times New Roman"/>
          <w:bCs/>
          <w:iCs/>
          <w:sz w:val="24"/>
          <w:szCs w:val="24"/>
        </w:rPr>
      </w:pPr>
      <w:r w:rsidRPr="00685281">
        <w:rPr>
          <w:rFonts w:ascii="Times New Roman" w:eastAsia="Calibri" w:hAnsi="Times New Roman" w:cs="Times New Roman"/>
          <w:bCs/>
          <w:iCs/>
          <w:sz w:val="24"/>
          <w:szCs w:val="24"/>
        </w:rPr>
        <w:t>Následne je potrebné určiť, na ktoré kategórie dotknutých podnikateľských subjektov sa jednotlivé regulácie vzťahujú.</w:t>
      </w:r>
    </w:p>
    <w:p w14:paraId="5455D079" w14:textId="77777777" w:rsidR="00782325" w:rsidRPr="00685281" w:rsidRDefault="00782325" w:rsidP="00782325">
      <w:pPr>
        <w:jc w:val="both"/>
        <w:rPr>
          <w:rFonts w:ascii="Times New Roman" w:eastAsia="Calibri" w:hAnsi="Times New Roman" w:cs="Times New Roman"/>
          <w:bCs/>
          <w:i/>
          <w:iCs/>
          <w:sz w:val="24"/>
          <w:szCs w:val="24"/>
        </w:rPr>
      </w:pPr>
      <w:r w:rsidRPr="00685281">
        <w:rPr>
          <w:rFonts w:ascii="Times New Roman" w:eastAsia="Calibri" w:hAnsi="Times New Roman" w:cs="Times New Roman"/>
          <w:bCs/>
          <w:i/>
          <w:iCs/>
          <w:sz w:val="24"/>
          <w:szCs w:val="24"/>
        </w:rPr>
        <w:t>Napríklad: Zmena zákona o sociálnych službách zavádza povinnú bezbariérovosť budov, v ktorých sídlia zariadenia poskytujúce iba konkrétne sociálne služby, nie všetky, napr. zariadenie starostlivosti o deti do troch rokov veku dieťaťa.</w:t>
      </w:r>
    </w:p>
    <w:p w14:paraId="7B2B8A72" w14:textId="77777777" w:rsidR="00782325" w:rsidRPr="00685281" w:rsidRDefault="00782325" w:rsidP="00782325">
      <w:pPr>
        <w:jc w:val="both"/>
        <w:rPr>
          <w:rFonts w:ascii="Times New Roman" w:eastAsia="Calibri" w:hAnsi="Times New Roman" w:cs="Times New Roman"/>
          <w:bCs/>
          <w:iCs/>
          <w:sz w:val="24"/>
          <w:szCs w:val="24"/>
        </w:rPr>
      </w:pPr>
      <w:r w:rsidRPr="00685281">
        <w:rPr>
          <w:rFonts w:ascii="Times New Roman" w:eastAsia="Calibri" w:hAnsi="Times New Roman" w:cs="Times New Roman"/>
          <w:bCs/>
          <w:iCs/>
          <w:sz w:val="24"/>
          <w:szCs w:val="24"/>
        </w:rPr>
        <w:t xml:space="preserve">Ku každej regulácií je potrebné osobitne vypísať spôsob výpočtu, zdroj z ktorých bolo čerpané, prípadne iné informácie, ktoré by mali doplňujúce informácie obsahovať. </w:t>
      </w:r>
    </w:p>
    <w:p w14:paraId="506B251C" w14:textId="77777777" w:rsidR="00782325" w:rsidRPr="00685281" w:rsidRDefault="00782325" w:rsidP="00782325">
      <w:pPr>
        <w:numPr>
          <w:ilvl w:val="0"/>
          <w:numId w:val="14"/>
        </w:numPr>
        <w:contextualSpacing/>
        <w:jc w:val="both"/>
        <w:rPr>
          <w:rFonts w:ascii="Times New Roman" w:eastAsia="Calibri" w:hAnsi="Times New Roman" w:cs="Times New Roman"/>
          <w:b/>
          <w:sz w:val="24"/>
          <w:szCs w:val="24"/>
        </w:rPr>
      </w:pPr>
      <w:r w:rsidRPr="00685281">
        <w:rPr>
          <w:rFonts w:ascii="Times New Roman" w:eastAsia="Calibri" w:hAnsi="Times New Roman" w:cs="Times New Roman"/>
          <w:b/>
          <w:sz w:val="24"/>
          <w:szCs w:val="24"/>
        </w:rPr>
        <w:t>Identifikovanie typov nákladov, ktoré mení regulácia</w:t>
      </w:r>
    </w:p>
    <w:p w14:paraId="397B7A04" w14:textId="77777777" w:rsidR="00782325" w:rsidRPr="00685281" w:rsidRDefault="00782325" w:rsidP="00782325">
      <w:pPr>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Niektoré regulácie menia len jeden typ nákladov, iné viacero. Dôležité je preto zmenu regulácie rozložiť na menšie nákladové položky podľa typov nákladov (Priame finančné náklady – osobitne dane, odvody, clá, poplatky, ktorých cieľom je znižovať negatívne externality</w:t>
      </w:r>
      <w:r w:rsidRPr="00685281" w:rsidDel="00A1736E">
        <w:rPr>
          <w:rFonts w:ascii="Times New Roman" w:eastAsia="Calibri" w:hAnsi="Times New Roman" w:cs="Times New Roman"/>
          <w:bCs/>
          <w:sz w:val="24"/>
          <w:szCs w:val="24"/>
        </w:rPr>
        <w:t xml:space="preserve"> </w:t>
      </w:r>
      <w:r w:rsidRPr="00685281">
        <w:rPr>
          <w:rFonts w:ascii="Times New Roman" w:eastAsia="Calibri" w:hAnsi="Times New Roman" w:cs="Times New Roman"/>
          <w:bCs/>
          <w:sz w:val="24"/>
          <w:szCs w:val="24"/>
        </w:rPr>
        <w:t>(A) a osobitne Iné poplatky (B), Sankcie a pokuty (C), Nepriame finančné náklady (D), Administratívne náklady (E).</w:t>
      </w:r>
    </w:p>
    <w:p w14:paraId="5104B2EF" w14:textId="77777777" w:rsidR="00782325" w:rsidRPr="00685281" w:rsidRDefault="00782325" w:rsidP="00782325">
      <w:pPr>
        <w:jc w:val="both"/>
        <w:rPr>
          <w:rFonts w:ascii="Times New Roman" w:eastAsia="Calibri" w:hAnsi="Times New Roman" w:cs="Times New Roman"/>
          <w:bCs/>
          <w:i/>
          <w:iCs/>
          <w:sz w:val="24"/>
          <w:szCs w:val="24"/>
        </w:rPr>
      </w:pPr>
      <w:r w:rsidRPr="00685281">
        <w:rPr>
          <w:rFonts w:ascii="Times New Roman" w:eastAsia="Calibri" w:hAnsi="Times New Roman" w:cs="Times New Roman"/>
          <w:bCs/>
          <w:i/>
          <w:iCs/>
          <w:sz w:val="24"/>
          <w:szCs w:val="24"/>
        </w:rPr>
        <w:t xml:space="preserve">Napríklad: Rozšírenie povinností pri protipožiarnej ochrane stavby môže obsahovať kúpu hasiacich prístrojov (nepriame finančné náklady), čas (a tým aj náklady na mzdy) vlastných zamestnancov potrebný na ich obstaranie a montáž (administratívne náklady). </w:t>
      </w:r>
    </w:p>
    <w:p w14:paraId="3C515F9A" w14:textId="77777777" w:rsidR="00782325" w:rsidRPr="00685281" w:rsidRDefault="00782325" w:rsidP="00782325">
      <w:pPr>
        <w:spacing w:after="0" w:line="240" w:lineRule="auto"/>
        <w:jc w:val="both"/>
        <w:rPr>
          <w:rFonts w:ascii="Times New Roman" w:eastAsia="Times New Roman" w:hAnsi="Times New Roman" w:cs="Times New Roman"/>
          <w:iCs/>
          <w:sz w:val="24"/>
          <w:szCs w:val="24"/>
          <w:lang w:eastAsia="sk-SK"/>
        </w:rPr>
      </w:pPr>
      <w:r w:rsidRPr="00685281">
        <w:rPr>
          <w:rFonts w:ascii="Times New Roman" w:eastAsia="Times New Roman" w:hAnsi="Times New Roman" w:cs="Times New Roman"/>
          <w:b/>
          <w:iCs/>
          <w:sz w:val="24"/>
          <w:szCs w:val="24"/>
          <w:lang w:eastAsia="sk-SK"/>
        </w:rPr>
        <w:lastRenderedPageBreak/>
        <w:t>Priame finančné náklady</w:t>
      </w:r>
      <w:r w:rsidRPr="00685281">
        <w:rPr>
          <w:rFonts w:ascii="Times New Roman" w:eastAsia="Times New Roman" w:hAnsi="Times New Roman" w:cs="Times New Roman"/>
          <w:iCs/>
          <w:sz w:val="24"/>
          <w:szCs w:val="24"/>
          <w:lang w:eastAsia="sk-SK"/>
        </w:rPr>
        <w:t xml:space="preserve"> sa rozdeľujú na A a B z dôvodu, že na zmeny v regulácii výšky daní, odvodov, ciel a poplatkov, ktorých cieľom je znižovať negatívne externality sa neuplatňuje mechanizmus znižovania byrokracie a nákladov. Na iné poplatky sa pravidlo uplatňuje, preto sú uvedené osobitne. </w:t>
      </w:r>
    </w:p>
    <w:p w14:paraId="18CD7C8D"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p>
    <w:p w14:paraId="1E2FEC64"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r w:rsidRPr="00685281">
        <w:rPr>
          <w:rFonts w:ascii="Times New Roman" w:eastAsia="Times New Roman" w:hAnsi="Times New Roman" w:cs="Times New Roman"/>
          <w:b/>
          <w:sz w:val="24"/>
          <w:szCs w:val="24"/>
          <w:lang w:eastAsia="sk-SK"/>
        </w:rPr>
        <w:t>A</w:t>
      </w:r>
      <w:r w:rsidRPr="00685281">
        <w:rPr>
          <w:rFonts w:ascii="Times New Roman" w:eastAsia="Times New Roman" w:hAnsi="Times New Roman" w:cs="Times New Roman"/>
          <w:sz w:val="24"/>
          <w:szCs w:val="24"/>
          <w:lang w:eastAsia="sk-SK"/>
        </w:rPr>
        <w:t xml:space="preserve">: </w:t>
      </w:r>
      <w:r w:rsidRPr="00685281">
        <w:rPr>
          <w:rFonts w:ascii="Times New Roman" w:eastAsia="Times New Roman" w:hAnsi="Times New Roman" w:cs="Times New Roman"/>
          <w:b/>
          <w:sz w:val="24"/>
          <w:szCs w:val="24"/>
          <w:lang w:eastAsia="sk-SK"/>
        </w:rPr>
        <w:t>Dane, odvody, clá a poplatky, ktorých cieľom je znižovať negatívne externality</w:t>
      </w:r>
      <w:r w:rsidRPr="00685281">
        <w:rPr>
          <w:rFonts w:ascii="Times New Roman" w:eastAsia="Calibri" w:hAnsi="Times New Roman" w:cs="Times New Roman"/>
          <w:color w:val="000000"/>
          <w:sz w:val="24"/>
          <w:szCs w:val="24"/>
        </w:rPr>
        <w:t xml:space="preserve"> (patria medzi priame finančné náklady)</w:t>
      </w:r>
      <w:r w:rsidRPr="00685281">
        <w:rPr>
          <w:rFonts w:ascii="Times New Roman" w:eastAsia="Times New Roman" w:hAnsi="Times New Roman" w:cs="Times New Roman"/>
          <w:sz w:val="24"/>
          <w:szCs w:val="24"/>
          <w:lang w:eastAsia="sk-SK"/>
        </w:rPr>
        <w:t>: vypĺňa sa, ak ustanovenia právneho predpisu zakladajú, rušia či menia ich výšku. Pod negatívnymi externalitami sa myslí prenos nákladov produkcie či spotreby na iné subjekty, napríklad poškodenia, zníženia hodnoty, znehodnotenia či znečistenia. Medzi takéto poplatky patria napríklad tie, ktorých cieľom je znižovať emisie skleníkových plynov, emisie iných znečisťujúcich látok alebo chrániť obmedzené prírodné zdroje.</w:t>
      </w:r>
    </w:p>
    <w:p w14:paraId="2F8C7087"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p>
    <w:p w14:paraId="39C5A75C"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r w:rsidRPr="00685281">
        <w:rPr>
          <w:rFonts w:ascii="Times New Roman" w:eastAsia="Times New Roman" w:hAnsi="Times New Roman" w:cs="Times New Roman"/>
          <w:sz w:val="24"/>
          <w:szCs w:val="24"/>
          <w:lang w:eastAsia="sk-SK"/>
        </w:rPr>
        <w:t xml:space="preserve">Použite najmä údaje z analýzy vplyvov na rozpočet verejnej správy (príloha č. 2, jednotnej metodiky). Zmeny v administratívnej náročnosti plnenia povinností spojené s daňami, odvodmi, clami a poplatkami sa kvantifikujú v rámci „E. Administratívne náklady“. Ide o </w:t>
      </w:r>
      <w:r w:rsidRPr="00685281">
        <w:rPr>
          <w:rFonts w:ascii="Times New Roman" w:eastAsia="Times New Roman" w:hAnsi="Times New Roman" w:cs="Times New Roman"/>
          <w:b/>
          <w:sz w:val="24"/>
          <w:szCs w:val="24"/>
          <w:lang w:eastAsia="sk-SK"/>
        </w:rPr>
        <w:t>ročný vplyv</w:t>
      </w:r>
      <w:r w:rsidRPr="00685281">
        <w:rPr>
          <w:rFonts w:ascii="Times New Roman" w:eastAsia="Times New Roman" w:hAnsi="Times New Roman" w:cs="Times New Roman"/>
          <w:sz w:val="24"/>
          <w:szCs w:val="24"/>
          <w:lang w:eastAsia="sk-SK"/>
        </w:rPr>
        <w:t xml:space="preserve"> na PP v eurách. Kvantifikované vplyvy (v eurách na PP) sa rozdelia na tie, ktoré podnikateľom zvyšujú náklady a na tie, ktoré znižujú náklady.  </w:t>
      </w:r>
    </w:p>
    <w:p w14:paraId="6EB256BA" w14:textId="77777777" w:rsidR="00782325" w:rsidRPr="00685281" w:rsidRDefault="00782325" w:rsidP="00782325">
      <w:pPr>
        <w:spacing w:after="0" w:line="240" w:lineRule="auto"/>
        <w:jc w:val="both"/>
        <w:rPr>
          <w:rFonts w:ascii="Times New Roman" w:eastAsia="Times New Roman" w:hAnsi="Times New Roman" w:cs="Times New Roman"/>
          <w:i/>
          <w:sz w:val="24"/>
          <w:szCs w:val="24"/>
          <w:lang w:eastAsia="sk-SK"/>
        </w:rPr>
      </w:pPr>
    </w:p>
    <w:p w14:paraId="4AB60366"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r w:rsidRPr="00685281">
        <w:rPr>
          <w:rFonts w:ascii="Times New Roman" w:eastAsia="Times New Roman" w:hAnsi="Times New Roman" w:cs="Times New Roman"/>
          <w:b/>
          <w:sz w:val="24"/>
          <w:szCs w:val="24"/>
          <w:lang w:eastAsia="sk-SK"/>
        </w:rPr>
        <w:t>B:</w:t>
      </w:r>
      <w:r w:rsidRPr="00685281">
        <w:rPr>
          <w:rFonts w:ascii="Times New Roman" w:eastAsia="Times New Roman" w:hAnsi="Times New Roman" w:cs="Times New Roman"/>
          <w:sz w:val="24"/>
          <w:szCs w:val="24"/>
          <w:lang w:eastAsia="sk-SK"/>
        </w:rPr>
        <w:t xml:space="preserve"> </w:t>
      </w:r>
      <w:r w:rsidRPr="00685281">
        <w:rPr>
          <w:rFonts w:ascii="Times New Roman" w:eastAsia="Times New Roman" w:hAnsi="Times New Roman" w:cs="Times New Roman"/>
          <w:b/>
          <w:sz w:val="24"/>
          <w:szCs w:val="24"/>
          <w:lang w:eastAsia="sk-SK"/>
        </w:rPr>
        <w:t xml:space="preserve">Iné poplatky </w:t>
      </w:r>
      <w:r w:rsidRPr="00685281">
        <w:rPr>
          <w:rFonts w:ascii="Times New Roman" w:eastAsia="Calibri" w:hAnsi="Times New Roman" w:cs="Times New Roman"/>
          <w:color w:val="000000"/>
          <w:sz w:val="24"/>
          <w:szCs w:val="24"/>
        </w:rPr>
        <w:t>(patria medzi priame finančné náklady)</w:t>
      </w:r>
      <w:r w:rsidRPr="00685281">
        <w:rPr>
          <w:rFonts w:ascii="Times New Roman" w:eastAsia="Times New Roman" w:hAnsi="Times New Roman" w:cs="Times New Roman"/>
          <w:sz w:val="24"/>
          <w:szCs w:val="24"/>
          <w:lang w:eastAsia="sk-SK"/>
        </w:rPr>
        <w:t xml:space="preserve">: vypĺňa sa, ak ustanovenia právneho predpisu zakladajú/rušia či menia výšku iných poplatkov. Nápomocné môžu byť údaje z analýzy vplyvov na rozpočet verejnej správy. Dôležité je kvantifikovať aj poplatky, ktoré do rozpočtu verejnej správy nevstupujú. Kvantifikované vplyvy (v eurách na PP) sa rozdelia na tie, ktoré podnikateľom zvyšujú náklady a na tie, ktoré znižujú náklady.  </w:t>
      </w:r>
    </w:p>
    <w:p w14:paraId="66B861B1"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p>
    <w:p w14:paraId="4A88A2FC" w14:textId="77777777" w:rsidR="00782325" w:rsidRPr="00685281" w:rsidRDefault="00782325" w:rsidP="00782325">
      <w:pPr>
        <w:spacing w:after="0" w:line="240" w:lineRule="auto"/>
        <w:jc w:val="both"/>
        <w:rPr>
          <w:rFonts w:ascii="Times New Roman" w:eastAsia="Times New Roman" w:hAnsi="Times New Roman" w:cs="Times New Roman"/>
          <w:i/>
          <w:iCs/>
          <w:sz w:val="24"/>
          <w:szCs w:val="24"/>
          <w:lang w:eastAsia="sk-SK"/>
        </w:rPr>
      </w:pPr>
      <w:r w:rsidRPr="00685281">
        <w:rPr>
          <w:rFonts w:ascii="Times New Roman" w:eastAsia="Times New Roman" w:hAnsi="Times New Roman" w:cs="Times New Roman"/>
          <w:i/>
          <w:iCs/>
          <w:sz w:val="24"/>
          <w:szCs w:val="24"/>
          <w:lang w:eastAsia="sk-SK"/>
        </w:rPr>
        <w:t xml:space="preserve">Medzi poplatky patria napríklad: poplatok za vydanie osvedčenia o živnostenskom oprávnení, poplatok za žiadosť o predĺženie platnosti stavebného povolenia, úhrady za služby verejnosti poskytované RTVS v oblasti rozhlasového vysielania a televízneho vysielania, poplatky organizáciám kolektívnej správy, napríklad SOZA alebo iné správne/súdne poplatky. Medzi poplatky </w:t>
      </w:r>
      <w:r w:rsidRPr="00685281">
        <w:rPr>
          <w:rFonts w:ascii="Times New Roman" w:eastAsia="Times New Roman" w:hAnsi="Times New Roman" w:cs="Times New Roman"/>
          <w:b/>
          <w:i/>
          <w:iCs/>
          <w:sz w:val="24"/>
          <w:szCs w:val="24"/>
          <w:lang w:eastAsia="sk-SK"/>
        </w:rPr>
        <w:t>nepatria pokuty</w:t>
      </w:r>
      <w:r w:rsidRPr="00685281">
        <w:rPr>
          <w:rFonts w:ascii="Times New Roman" w:eastAsia="Times New Roman" w:hAnsi="Times New Roman" w:cs="Times New Roman"/>
          <w:i/>
          <w:iCs/>
          <w:sz w:val="24"/>
          <w:szCs w:val="24"/>
          <w:lang w:eastAsia="sk-SK"/>
        </w:rPr>
        <w:t xml:space="preserve">. </w:t>
      </w:r>
    </w:p>
    <w:p w14:paraId="76E175A9" w14:textId="77777777" w:rsidR="00782325" w:rsidRPr="00685281" w:rsidRDefault="00782325" w:rsidP="00782325">
      <w:pPr>
        <w:spacing w:after="0" w:line="240" w:lineRule="auto"/>
        <w:jc w:val="both"/>
        <w:rPr>
          <w:rFonts w:ascii="Times New Roman" w:eastAsia="Times New Roman" w:hAnsi="Times New Roman" w:cs="Times New Roman"/>
          <w:i/>
          <w:sz w:val="24"/>
          <w:szCs w:val="24"/>
          <w:lang w:eastAsia="sk-SK"/>
        </w:rPr>
      </w:pPr>
    </w:p>
    <w:p w14:paraId="426BC59D" w14:textId="77777777" w:rsidR="00782325" w:rsidRPr="00685281" w:rsidRDefault="00782325" w:rsidP="00782325">
      <w:pPr>
        <w:spacing w:after="0" w:line="240" w:lineRule="auto"/>
        <w:jc w:val="both"/>
        <w:rPr>
          <w:rFonts w:ascii="Times New Roman" w:eastAsia="Times New Roman" w:hAnsi="Times New Roman" w:cs="Times New Roman"/>
          <w:iCs/>
          <w:sz w:val="24"/>
          <w:szCs w:val="24"/>
          <w:lang w:eastAsia="sk-SK"/>
        </w:rPr>
      </w:pPr>
      <w:r w:rsidRPr="00685281">
        <w:rPr>
          <w:rFonts w:ascii="Times New Roman" w:eastAsia="Times New Roman" w:hAnsi="Times New Roman" w:cs="Times New Roman"/>
          <w:b/>
          <w:iCs/>
          <w:sz w:val="24"/>
          <w:szCs w:val="24"/>
          <w:lang w:eastAsia="sk-SK"/>
        </w:rPr>
        <w:t>Nepriame finančné náklady</w:t>
      </w:r>
      <w:r w:rsidRPr="00685281">
        <w:rPr>
          <w:rFonts w:ascii="Times New Roman" w:eastAsia="Times New Roman" w:hAnsi="Times New Roman" w:cs="Times New Roman"/>
          <w:iCs/>
          <w:sz w:val="24"/>
          <w:szCs w:val="24"/>
          <w:lang w:eastAsia="sk-SK"/>
        </w:rPr>
        <w:t xml:space="preserve"> sa rozdeľujú na C (Sankcie a pokuty) a D (Nepriame finančné náklady). Nakoľko sankcie a pokuty zaraďujeme rovnako pod nepriame finančné náklady, ale neuplatňuje sa mechanizmus znižovania byrokracie a nákladov, sú v tejto časti zaradené do samostatnej kategórie. </w:t>
      </w:r>
    </w:p>
    <w:p w14:paraId="0C9A93BF" w14:textId="77777777" w:rsidR="00782325" w:rsidRPr="00685281" w:rsidRDefault="00782325" w:rsidP="00782325">
      <w:pPr>
        <w:spacing w:after="0" w:line="240" w:lineRule="auto"/>
        <w:jc w:val="both"/>
        <w:rPr>
          <w:rFonts w:ascii="Times New Roman" w:eastAsia="Times New Roman" w:hAnsi="Times New Roman" w:cs="Times New Roman"/>
          <w:b/>
          <w:sz w:val="24"/>
          <w:szCs w:val="24"/>
          <w:lang w:eastAsia="sk-SK"/>
        </w:rPr>
      </w:pPr>
    </w:p>
    <w:p w14:paraId="2122ABEE"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r w:rsidRPr="00685281">
        <w:rPr>
          <w:rFonts w:ascii="Times New Roman" w:eastAsia="Times New Roman" w:hAnsi="Times New Roman" w:cs="Times New Roman"/>
          <w:b/>
          <w:sz w:val="24"/>
          <w:szCs w:val="24"/>
          <w:lang w:eastAsia="sk-SK"/>
        </w:rPr>
        <w:t>C:</w:t>
      </w:r>
      <w:r w:rsidRPr="00685281">
        <w:rPr>
          <w:rFonts w:ascii="Times New Roman" w:eastAsia="Times New Roman" w:hAnsi="Times New Roman" w:cs="Times New Roman"/>
          <w:sz w:val="24"/>
          <w:szCs w:val="24"/>
          <w:lang w:eastAsia="sk-SK"/>
        </w:rPr>
        <w:t xml:space="preserve"> </w:t>
      </w:r>
      <w:r w:rsidRPr="00685281">
        <w:rPr>
          <w:rFonts w:ascii="Times New Roman" w:eastAsia="Times New Roman" w:hAnsi="Times New Roman" w:cs="Times New Roman"/>
          <w:b/>
          <w:sz w:val="24"/>
          <w:szCs w:val="24"/>
          <w:lang w:eastAsia="sk-SK"/>
        </w:rPr>
        <w:t>Sankcie a pokuty</w:t>
      </w:r>
      <w:r w:rsidRPr="00685281">
        <w:rPr>
          <w:rFonts w:ascii="Times New Roman" w:eastAsia="Times New Roman" w:hAnsi="Times New Roman" w:cs="Times New Roman"/>
          <w:sz w:val="24"/>
          <w:szCs w:val="24"/>
          <w:lang w:eastAsia="sk-SK"/>
        </w:rPr>
        <w:t>: vypĺňa sa, ak ustanovenia právneho predpisu zakladajú, rušia či menia výšku sankcií a pokút. Kvantifikované vplyvy (v eurách na PP) sa rozdelia na tie, ktoré podnikateľom zvyšujú náklady a na tie, ktoré znižujú náklady. V prípade objektívnej nedostupnosti požadovaného údaja použite expertný odhad. Ide o ročný vplyv na PP v eurách. Bližší metodický postup ku kvantifikáciám sankcií a pokút je uvedený v Kalkulačke nákladov v hárku s názvom „</w:t>
      </w:r>
      <w:r w:rsidRPr="00685281">
        <w:rPr>
          <w:rFonts w:ascii="Times New Roman" w:eastAsia="Times New Roman" w:hAnsi="Times New Roman" w:cs="Times New Roman"/>
          <w:i/>
          <w:sz w:val="24"/>
          <w:szCs w:val="24"/>
          <w:lang w:eastAsia="sk-SK"/>
        </w:rPr>
        <w:t>Vysvetlivky ku kroku 1</w:t>
      </w:r>
      <w:r w:rsidRPr="00685281">
        <w:rPr>
          <w:rFonts w:ascii="Times New Roman" w:eastAsia="Times New Roman" w:hAnsi="Times New Roman" w:cs="Times New Roman"/>
          <w:sz w:val="24"/>
          <w:szCs w:val="24"/>
          <w:lang w:eastAsia="sk-SK"/>
        </w:rPr>
        <w:t xml:space="preserve">“. </w:t>
      </w:r>
    </w:p>
    <w:p w14:paraId="4A2A7D03"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p>
    <w:p w14:paraId="5B0AB4BB"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r w:rsidRPr="00685281">
        <w:rPr>
          <w:rFonts w:ascii="Times New Roman" w:eastAsia="Times New Roman" w:hAnsi="Times New Roman" w:cs="Times New Roman"/>
          <w:b/>
          <w:sz w:val="24"/>
          <w:szCs w:val="24"/>
          <w:lang w:eastAsia="sk-SK"/>
        </w:rPr>
        <w:t>D:</w:t>
      </w:r>
      <w:r w:rsidRPr="00685281">
        <w:rPr>
          <w:rFonts w:ascii="Times New Roman" w:eastAsia="Times New Roman" w:hAnsi="Times New Roman" w:cs="Times New Roman"/>
          <w:sz w:val="24"/>
          <w:szCs w:val="24"/>
          <w:lang w:eastAsia="sk-SK"/>
        </w:rPr>
        <w:t xml:space="preserve"> </w:t>
      </w:r>
      <w:r w:rsidRPr="00685281">
        <w:rPr>
          <w:rFonts w:ascii="Times New Roman" w:eastAsia="Times New Roman" w:hAnsi="Times New Roman" w:cs="Times New Roman"/>
          <w:b/>
          <w:sz w:val="24"/>
          <w:szCs w:val="24"/>
          <w:lang w:eastAsia="sk-SK"/>
        </w:rPr>
        <w:t>Nepriame finančné náklady</w:t>
      </w:r>
      <w:r w:rsidRPr="00685281">
        <w:rPr>
          <w:rFonts w:ascii="Times New Roman" w:eastAsia="Times New Roman" w:hAnsi="Times New Roman" w:cs="Times New Roman"/>
          <w:sz w:val="24"/>
          <w:szCs w:val="24"/>
          <w:lang w:eastAsia="sk-SK"/>
        </w:rPr>
        <w:t xml:space="preserve">: vypĺňa sa, ak ustanovenia právneho predpisu zakladajú rušia či menia výšku nepriamych nákladov. Kvantifikované vplyvy (v eurách na PP) sa rozdelia na tie, ktoré podnikateľom zvyšujú náklady a na tie, ktoré znižujú náklady. V prípade objektívnej nedostupnosti požadovaného údaja použite expertný odhad. </w:t>
      </w:r>
    </w:p>
    <w:p w14:paraId="44C43F34"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p>
    <w:p w14:paraId="37B97C7E" w14:textId="77777777" w:rsidR="00782325" w:rsidRPr="00685281" w:rsidRDefault="00782325" w:rsidP="00782325">
      <w:pPr>
        <w:spacing w:after="120" w:line="240" w:lineRule="auto"/>
        <w:jc w:val="both"/>
        <w:rPr>
          <w:rFonts w:ascii="Times New Roman" w:eastAsia="Times New Roman" w:hAnsi="Times New Roman" w:cs="Times New Roman"/>
          <w:sz w:val="24"/>
          <w:szCs w:val="24"/>
          <w:lang w:eastAsia="sk-SK"/>
        </w:rPr>
      </w:pPr>
      <w:r w:rsidRPr="00685281">
        <w:rPr>
          <w:rFonts w:ascii="Times New Roman" w:eastAsia="Times New Roman" w:hAnsi="Times New Roman" w:cs="Times New Roman"/>
          <w:i/>
          <w:sz w:val="24"/>
          <w:szCs w:val="24"/>
          <w:lang w:eastAsia="sk-SK"/>
        </w:rPr>
        <w:t xml:space="preserve">Nepriame finančné náklady – sú náklady, ktoré musí podnikateľ vynaložiť na účely zabezpečenia súladu výrobku, služieb, interných procesov, vybavenia prevádzky </w:t>
      </w:r>
      <w:r w:rsidRPr="00685281">
        <w:rPr>
          <w:rFonts w:ascii="Times New Roman" w:eastAsia="Times New Roman" w:hAnsi="Times New Roman" w:cs="Times New Roman"/>
          <w:i/>
          <w:sz w:val="24"/>
          <w:szCs w:val="24"/>
          <w:lang w:eastAsia="sk-SK"/>
        </w:rPr>
        <w:lastRenderedPageBreak/>
        <w:t xml:space="preserve">s požiadavkami regulácie (napr. 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 Patria sem aj, príplatky k mzde, príspevky zamestnancom, cestovné náhrady, stravné a pod. </w:t>
      </w:r>
    </w:p>
    <w:p w14:paraId="5DF82219" w14:textId="77777777" w:rsidR="00782325" w:rsidRPr="00685281" w:rsidRDefault="00782325" w:rsidP="00782325">
      <w:pPr>
        <w:spacing w:after="0" w:line="240" w:lineRule="auto"/>
        <w:jc w:val="both"/>
        <w:rPr>
          <w:rFonts w:ascii="Times New Roman" w:eastAsia="Calibri" w:hAnsi="Times New Roman" w:cs="Times New Roman"/>
          <w:b/>
          <w:sz w:val="24"/>
          <w:szCs w:val="24"/>
        </w:rPr>
      </w:pPr>
    </w:p>
    <w:p w14:paraId="1340FBD7"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r w:rsidRPr="00685281">
        <w:rPr>
          <w:rFonts w:ascii="Times New Roman" w:eastAsia="Calibri" w:hAnsi="Times New Roman" w:cs="Times New Roman"/>
          <w:b/>
          <w:sz w:val="24"/>
          <w:szCs w:val="24"/>
        </w:rPr>
        <w:t>E</w:t>
      </w:r>
      <w:r w:rsidRPr="00685281">
        <w:rPr>
          <w:rFonts w:ascii="Times New Roman" w:eastAsia="Calibri" w:hAnsi="Times New Roman" w:cs="Times New Roman"/>
          <w:b/>
          <w:i/>
          <w:sz w:val="24"/>
          <w:szCs w:val="24"/>
        </w:rPr>
        <w:t>.</w:t>
      </w:r>
      <w:r w:rsidRPr="00685281">
        <w:rPr>
          <w:rFonts w:ascii="Times New Roman" w:eastAsia="Calibri" w:hAnsi="Times New Roman" w:cs="Times New Roman"/>
          <w:i/>
          <w:sz w:val="24"/>
          <w:szCs w:val="24"/>
        </w:rPr>
        <w:t xml:space="preserve"> </w:t>
      </w:r>
      <w:r w:rsidRPr="00685281">
        <w:rPr>
          <w:rFonts w:ascii="Times New Roman" w:eastAsia="Times New Roman" w:hAnsi="Times New Roman" w:cs="Times New Roman"/>
          <w:b/>
          <w:sz w:val="24"/>
          <w:szCs w:val="24"/>
          <w:lang w:eastAsia="sk-SK"/>
        </w:rPr>
        <w:t>Administratívne náklady</w:t>
      </w:r>
      <w:r w:rsidRPr="00685281">
        <w:rPr>
          <w:rFonts w:ascii="Times New Roman" w:eastAsia="Times New Roman" w:hAnsi="Times New Roman" w:cs="Times New Roman"/>
          <w:sz w:val="24"/>
          <w:szCs w:val="24"/>
          <w:lang w:eastAsia="sk-SK"/>
        </w:rPr>
        <w:t xml:space="preserve">: vypĺňa sa, ak ustanovenia právneho predpisu zakladajú,  rušia či menia výšku administratívnych nákladov. Kvantifikované vplyvy (v eurách na PP) sa rozdelia na tie, ktoré podnikateľom zvyšujú náklady a na tie, ktoré znižujú náklady. Pri kvantifikácii administratívnych nákladov je možné použiť štandardizovanú časovú náročnosť pre typické administratívne povinnosti alebo je možné použiť expertný odhad. </w:t>
      </w:r>
    </w:p>
    <w:p w14:paraId="3F0A2A04"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p>
    <w:p w14:paraId="03FABD2A" w14:textId="77777777" w:rsidR="00782325" w:rsidRPr="00685281" w:rsidRDefault="00782325" w:rsidP="00782325">
      <w:pPr>
        <w:spacing w:after="120" w:line="240" w:lineRule="auto"/>
        <w:jc w:val="both"/>
        <w:rPr>
          <w:rFonts w:ascii="Times New Roman" w:eastAsia="Times New Roman" w:hAnsi="Times New Roman" w:cs="Times New Roman"/>
          <w:i/>
          <w:sz w:val="24"/>
          <w:szCs w:val="24"/>
          <w:lang w:eastAsia="sk-SK"/>
        </w:rPr>
      </w:pPr>
      <w:r w:rsidRPr="00685281">
        <w:rPr>
          <w:rFonts w:ascii="Times New Roman" w:eastAsia="Times New Roman" w:hAnsi="Times New Roman" w:cs="Times New Roman"/>
          <w:i/>
          <w:sz w:val="24"/>
          <w:szCs w:val="24"/>
          <w:lang w:eastAsia="sk-SK"/>
        </w:rPr>
        <w:t xml:space="preserve">Administratívne náklady – 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reguláciou a jej implementáciou. </w:t>
      </w:r>
    </w:p>
    <w:p w14:paraId="4537A257" w14:textId="77777777" w:rsidR="00782325" w:rsidRPr="00685281" w:rsidRDefault="00782325" w:rsidP="00782325">
      <w:pPr>
        <w:spacing w:after="120" w:line="240" w:lineRule="auto"/>
        <w:jc w:val="both"/>
        <w:rPr>
          <w:rFonts w:ascii="Times New Roman" w:eastAsia="Times New Roman" w:hAnsi="Times New Roman" w:cs="Times New Roman"/>
          <w:i/>
          <w:sz w:val="24"/>
          <w:szCs w:val="24"/>
          <w:lang w:eastAsia="sk-SK"/>
        </w:rPr>
      </w:pPr>
    </w:p>
    <w:p w14:paraId="025BB249" w14:textId="77777777" w:rsidR="00782325" w:rsidRPr="00685281" w:rsidRDefault="00782325" w:rsidP="00782325">
      <w:pPr>
        <w:numPr>
          <w:ilvl w:val="0"/>
          <w:numId w:val="14"/>
        </w:numPr>
        <w:contextualSpacing/>
        <w:jc w:val="both"/>
        <w:rPr>
          <w:rFonts w:ascii="Times New Roman" w:eastAsia="Calibri" w:hAnsi="Times New Roman" w:cs="Times New Roman"/>
          <w:b/>
          <w:sz w:val="24"/>
          <w:szCs w:val="24"/>
        </w:rPr>
      </w:pPr>
      <w:r w:rsidRPr="00685281">
        <w:rPr>
          <w:rFonts w:ascii="Times New Roman" w:eastAsia="Calibri" w:hAnsi="Times New Roman" w:cs="Times New Roman"/>
          <w:b/>
          <w:sz w:val="24"/>
          <w:szCs w:val="24"/>
        </w:rPr>
        <w:t>Výpočet jednotlivých typov nákladov regulácie</w:t>
      </w:r>
    </w:p>
    <w:p w14:paraId="12D3435C" w14:textId="77777777" w:rsidR="00782325" w:rsidRPr="00685281" w:rsidRDefault="00782325" w:rsidP="00782325">
      <w:pPr>
        <w:spacing w:after="120" w:line="240" w:lineRule="auto"/>
        <w:rPr>
          <w:rFonts w:ascii="Times New Roman" w:eastAsia="Calibri" w:hAnsi="Times New Roman" w:cs="Times New Roman"/>
          <w:b/>
          <w:i/>
          <w:sz w:val="24"/>
          <w:szCs w:val="24"/>
        </w:rPr>
      </w:pPr>
    </w:p>
    <w:p w14:paraId="4DCBD3AD" w14:textId="77777777" w:rsidR="00782325" w:rsidRPr="00685281" w:rsidRDefault="00782325" w:rsidP="00782325">
      <w:pPr>
        <w:spacing w:after="120" w:line="240" w:lineRule="auto"/>
        <w:rPr>
          <w:rFonts w:ascii="Times New Roman" w:eastAsia="Calibri" w:hAnsi="Times New Roman" w:cs="Times New Roman"/>
          <w:b/>
          <w:i/>
          <w:sz w:val="24"/>
          <w:szCs w:val="24"/>
        </w:rPr>
      </w:pPr>
      <w:r w:rsidRPr="00685281">
        <w:rPr>
          <w:rFonts w:ascii="Times New Roman" w:eastAsia="Calibri" w:hAnsi="Times New Roman" w:cs="Times New Roman"/>
          <w:b/>
          <w:i/>
          <w:sz w:val="24"/>
          <w:szCs w:val="24"/>
        </w:rPr>
        <w:t>Náklady na 1 podnikateľa</w:t>
      </w:r>
    </w:p>
    <w:p w14:paraId="1F84679F" w14:textId="77777777" w:rsidR="00782325" w:rsidRPr="00685281" w:rsidRDefault="00782325" w:rsidP="00782325">
      <w:pPr>
        <w:spacing w:after="120" w:line="240" w:lineRule="auto"/>
        <w:jc w:val="both"/>
        <w:rPr>
          <w:rFonts w:ascii="Times New Roman" w:eastAsia="Calibri" w:hAnsi="Times New Roman" w:cs="Times New Roman"/>
          <w:sz w:val="24"/>
          <w:szCs w:val="24"/>
        </w:rPr>
      </w:pPr>
      <w:r w:rsidRPr="00685281">
        <w:rPr>
          <w:rFonts w:ascii="Times New Roman" w:eastAsia="Calibri" w:hAnsi="Times New Roman" w:cs="Times New Roman"/>
          <w:sz w:val="24"/>
          <w:szCs w:val="24"/>
        </w:rPr>
        <w:t xml:space="preserve">V prípade </w:t>
      </w:r>
      <w:r w:rsidRPr="00685281">
        <w:rPr>
          <w:rFonts w:ascii="Times New Roman" w:eastAsia="Calibri" w:hAnsi="Times New Roman" w:cs="Times New Roman"/>
          <w:i/>
          <w:sz w:val="24"/>
          <w:szCs w:val="24"/>
        </w:rPr>
        <w:t>priamych finančných nákladov (dane, odvody, clá a poplatky, ktorých cieľom je znižovať negatívne externality )</w:t>
      </w:r>
      <w:r w:rsidRPr="00685281">
        <w:rPr>
          <w:rFonts w:ascii="Times New Roman" w:eastAsia="Calibri" w:hAnsi="Times New Roman" w:cs="Times New Roman"/>
          <w:sz w:val="24"/>
          <w:szCs w:val="24"/>
        </w:rPr>
        <w:t xml:space="preserve"> ide o </w:t>
      </w:r>
      <w:r w:rsidRPr="00685281">
        <w:rPr>
          <w:rFonts w:ascii="Times New Roman" w:eastAsia="Calibri" w:hAnsi="Times New Roman" w:cs="Times New Roman"/>
          <w:b/>
          <w:sz w:val="24"/>
          <w:szCs w:val="24"/>
        </w:rPr>
        <w:t>ročný vplyv</w:t>
      </w:r>
      <w:r w:rsidRPr="00685281">
        <w:rPr>
          <w:rFonts w:ascii="Times New Roman" w:eastAsia="Calibri" w:hAnsi="Times New Roman" w:cs="Times New Roman"/>
          <w:sz w:val="24"/>
          <w:szCs w:val="24"/>
        </w:rPr>
        <w:t>, z tohto dôvodu sa výška nákladov nenásobí frekvenciou. Na stanovenie výšky týchto nákladov je potrebné použiť údaje z analýzy vplyvov na rozpočet verejnej správy (prílohy č. 2 jednotnej metodiky), kde je povinnosť ich kvantifikovať ak prichádza k ich zmene. V prípade poplatkov je navyše potrebné doplniť aj kvantifikáciu tých, ktoré sa menia a zároveň nie sú príjmom rozpočtu verejnej správy (napr. zo zákona povinné poplatky komorám, asociáciám a pod.).</w:t>
      </w:r>
    </w:p>
    <w:p w14:paraId="3587F516" w14:textId="77777777" w:rsidR="00782325" w:rsidRPr="00685281" w:rsidRDefault="00782325" w:rsidP="00782325">
      <w:pPr>
        <w:spacing w:after="0" w:line="240" w:lineRule="auto"/>
        <w:rPr>
          <w:rFonts w:ascii="Times New Roman" w:eastAsia="Calibri" w:hAnsi="Times New Roman" w:cs="Times New Roman"/>
          <w:i/>
          <w:sz w:val="24"/>
          <w:szCs w:val="24"/>
        </w:rPr>
      </w:pPr>
      <w:r w:rsidRPr="00685281">
        <w:rPr>
          <w:rFonts w:ascii="Times New Roman" w:eastAsia="Calibri" w:hAnsi="Times New Roman" w:cs="Times New Roman"/>
          <w:i/>
          <w:sz w:val="24"/>
          <w:szCs w:val="24"/>
        </w:rPr>
        <w:t>Priame finančné náklady (dane, odvody, clá a poplatky, ktorých cieľom je znižovať negatívne externality) na 1 podnikateľa sú vyčíslené podľa vzorca:</w:t>
      </w:r>
    </w:p>
    <w:p w14:paraId="3BD21AEB" w14:textId="77777777" w:rsidR="00782325" w:rsidRPr="00685281" w:rsidRDefault="00782325" w:rsidP="00782325">
      <w:pPr>
        <w:spacing w:after="120" w:line="240" w:lineRule="auto"/>
        <w:rPr>
          <w:rFonts w:ascii="Times New Roman" w:eastAsia="Times New Roman" w:hAnsi="Times New Roman" w:cs="Times New Roman"/>
          <w:color w:val="000000"/>
          <w:sz w:val="24"/>
          <w:szCs w:val="24"/>
        </w:rPr>
      </w:pPr>
      <w:r w:rsidRPr="00685281">
        <w:rPr>
          <w:rFonts w:ascii="Times New Roman" w:hAnsi="Times New Roman" w:cs="Times New Roman"/>
          <w:noProof/>
          <w:sz w:val="24"/>
          <w:szCs w:val="24"/>
          <w:lang w:eastAsia="sk-SK"/>
        </w:rPr>
        <mc:AlternateContent>
          <mc:Choice Requires="wpg">
            <w:drawing>
              <wp:anchor distT="0" distB="0" distL="114300" distR="114300" simplePos="0" relativeHeight="251661312" behindDoc="0" locked="0" layoutInCell="1" allowOverlap="1" wp14:anchorId="18427BEB" wp14:editId="4998A77C">
                <wp:simplePos x="0" y="0"/>
                <wp:positionH relativeFrom="column">
                  <wp:posOffset>43180</wp:posOffset>
                </wp:positionH>
                <wp:positionV relativeFrom="paragraph">
                  <wp:posOffset>138430</wp:posOffset>
                </wp:positionV>
                <wp:extent cx="5310505" cy="563886"/>
                <wp:effectExtent l="0" t="0" r="4445" b="0"/>
                <wp:wrapNone/>
                <wp:docPr id="9" name="Skupina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0505" cy="563886"/>
                          <a:chOff x="4234" y="0"/>
                          <a:chExt cx="5310735" cy="563859"/>
                        </a:xfrm>
                      </wpg:grpSpPr>
                      <wps:wsp>
                        <wps:cNvPr id="10" name="Rectangle 3">
                          <a:extLst>
                            <a:ext uri="{FF2B5EF4-FFF2-40B4-BE49-F238E27FC236}">
                              <a16:creationId xmlns:a16="http://schemas.microsoft.com/office/drawing/2014/main" id="{00000000-0008-0000-0300-000069000000}"/>
                            </a:ext>
                          </a:extLst>
                        </wps:cNvPr>
                        <wps:cNvSpPr>
                          <a:spLocks noChangeArrowheads="1"/>
                        </wps:cNvSpPr>
                        <wps:spPr bwMode="auto">
                          <a:xfrm>
                            <a:off x="4234" y="8446"/>
                            <a:ext cx="3786277" cy="496355"/>
                          </a:xfrm>
                          <a:prstGeom prst="rect">
                            <a:avLst/>
                          </a:prstGeom>
                          <a:solidFill>
                            <a:srgbClr val="0070C0"/>
                          </a:solidFill>
                          <a:ln w="9525">
                            <a:noFill/>
                            <a:miter lim="800000"/>
                            <a:headEnd/>
                            <a:tailEnd/>
                          </a:ln>
                        </wps:spPr>
                        <wps:txbx>
                          <w:txbxContent>
                            <w:p w14:paraId="0A0A98F6" w14:textId="77777777" w:rsidR="005978AA" w:rsidRDefault="005978AA" w:rsidP="00782325">
                              <w:pPr>
                                <w:pStyle w:val="Normlnywebov"/>
                                <w:jc w:val="center"/>
                                <w:textAlignment w:val="baseline"/>
                              </w:pPr>
                              <w:r>
                                <w:rPr>
                                  <w:rFonts w:ascii="Arial" w:hAnsi="Arial" w:cstheme="minorBidi"/>
                                  <w:color w:val="FFFFFF"/>
                                  <w:kern w:val="24"/>
                                  <w:sz w:val="16"/>
                                  <w:szCs w:val="16"/>
                                </w:rPr>
                                <w:t>Priame  finančné náklady (dane, odvody, clá) - ročný vplyv</w:t>
                              </w:r>
                            </w:p>
                          </w:txbxContent>
                        </wps:txbx>
                        <wps:bodyPr wrap="square" lIns="36000" tIns="36000" rIns="36000" bIns="36000" anchor="ctr"/>
                      </wps:wsp>
                      <wps:wsp>
                        <wps:cNvPr id="11" name="Rectangle 3">
                          <a:extLst>
                            <a:ext uri="{FF2B5EF4-FFF2-40B4-BE49-F238E27FC236}">
                              <a16:creationId xmlns:a16="http://schemas.microsoft.com/office/drawing/2014/main" id="{00000000-0008-0000-0300-00006E000000}"/>
                            </a:ext>
                          </a:extLst>
                        </wps:cNvPr>
                        <wps:cNvSpPr>
                          <a:spLocks noChangeArrowheads="1"/>
                        </wps:cNvSpPr>
                        <wps:spPr bwMode="auto">
                          <a:xfrm>
                            <a:off x="4057663" y="0"/>
                            <a:ext cx="1257306" cy="484544"/>
                          </a:xfrm>
                          <a:prstGeom prst="rect">
                            <a:avLst/>
                          </a:prstGeom>
                          <a:solidFill>
                            <a:srgbClr val="0070C0"/>
                          </a:solidFill>
                          <a:ln w="9525">
                            <a:noFill/>
                            <a:miter lim="800000"/>
                            <a:headEnd/>
                            <a:tailEnd/>
                          </a:ln>
                        </wps:spPr>
                        <wps:txbx>
                          <w:txbxContent>
                            <w:p w14:paraId="71D33243" w14:textId="77777777" w:rsidR="005978AA" w:rsidRDefault="005978AA" w:rsidP="00782325">
                              <w:pPr>
                                <w:pStyle w:val="Normlnywebov"/>
                                <w:jc w:val="center"/>
                                <w:textAlignment w:val="baseline"/>
                              </w:pPr>
                              <w:r>
                                <w:rPr>
                                  <w:rFonts w:ascii="Arial" w:hAnsi="Arial" w:cstheme="minorBidi"/>
                                  <w:color w:val="FFFFFF"/>
                                  <w:kern w:val="24"/>
                                  <w:sz w:val="16"/>
                                  <w:szCs w:val="16"/>
                                </w:rPr>
                                <w:t>Počet dotknutých subjektov</w:t>
                              </w:r>
                            </w:p>
                          </w:txbxContent>
                        </wps:txbx>
                        <wps:bodyPr wrap="square" lIns="36000" tIns="36000" rIns="36000" bIns="36000" anchor="ctr"/>
                      </wps:wsp>
                      <wps:wsp>
                        <wps:cNvPr id="12" name="BlokTextu 148">
                          <a:extLst>
                            <a:ext uri="{FF2B5EF4-FFF2-40B4-BE49-F238E27FC236}">
                              <a16:creationId xmlns:a16="http://schemas.microsoft.com/office/drawing/2014/main" id="{00000000-0008-0000-0300-000071000000}"/>
                            </a:ext>
                          </a:extLst>
                        </wps:cNvPr>
                        <wps:cNvSpPr txBox="1"/>
                        <wps:spPr>
                          <a:xfrm>
                            <a:off x="3790963" y="123825"/>
                            <a:ext cx="236865" cy="44003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4EC9EEF" w14:textId="77777777" w:rsidR="005978AA" w:rsidRDefault="005978AA" w:rsidP="00782325">
                              <w:pPr>
                                <w:pStyle w:val="Normlnywebov"/>
                              </w:pPr>
                              <w:r>
                                <w:rPr>
                                  <w:rFonts w:asciiTheme="minorHAnsi" w:hAnsi="Calibri" w:cstheme="minorBidi"/>
                                  <w:color w:val="000000" w:themeColor="text1"/>
                                  <w:sz w:val="22"/>
                                  <w:szCs w:val="22"/>
                                </w:rPr>
                                <w:t>/</w:t>
                              </w:r>
                            </w:p>
                          </w:txbxContent>
                        </wps:txbx>
                        <wps:bodyPr wrap="none" rtlCol="0" anchor="t">
                          <a:sp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18427BEB" id="Skupina 34" o:spid="_x0000_s1026" style="position:absolute;margin-left:3.4pt;margin-top:10.9pt;width:418.15pt;height:44.4pt;z-index:251661312;mso-width-relative:margin;mso-height-relative:margin" coordorigin="42" coordsize="53107,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">
                <v:rect id="_x0000_s1027" style="position:absolute;left:42;top:84;width:37863;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" fillcolor="#0070c0" stroked="f">
                  <v:textbox inset="1mm,1mm,1mm,1mm">
                    <w:txbxContent>
                      <w:p w14:paraId="0A0A98F6" w14:textId="77777777" w:rsidR="005978AA" w:rsidRDefault="005978AA" w:rsidP="00782325">
                        <w:pPr>
                          <w:pStyle w:val="Normlnywebov"/>
                          <w:jc w:val="center"/>
                          <w:textAlignment w:val="baseline"/>
                        </w:pPr>
                        <w:r>
                          <w:rPr>
                            <w:rFonts w:ascii="Arial" w:hAnsi="Arial" w:cstheme="minorBidi"/>
                            <w:color w:val="FFFFFF"/>
                            <w:kern w:val="24"/>
                            <w:sz w:val="16"/>
                            <w:szCs w:val="16"/>
                          </w:rPr>
                          <w:t>Priame  finančné náklady (dane, odvody, clá) - ročný vplyv</w:t>
                        </w:r>
                      </w:p>
                    </w:txbxContent>
                  </v:textbox>
                </v:rect>
                <v:rect id="_x0000_s1028" style="position:absolute;left:40576;width:12573;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" fillcolor="#0070c0" stroked="f">
                  <v:textbox inset="1mm,1mm,1mm,1mm">
                    <w:txbxContent>
                      <w:p w14:paraId="71D33243" w14:textId="77777777" w:rsidR="005978AA" w:rsidRDefault="005978AA" w:rsidP="00782325">
                        <w:pPr>
                          <w:pStyle w:val="Normlnywebov"/>
                          <w:jc w:val="center"/>
                          <w:textAlignment w:val="baseline"/>
                        </w:pPr>
                        <w:r>
                          <w:rPr>
                            <w:rFonts w:ascii="Arial" w:hAnsi="Arial" w:cstheme="minorBidi"/>
                            <w:color w:val="FFFFFF"/>
                            <w:kern w:val="24"/>
                            <w:sz w:val="16"/>
                            <w:szCs w:val="16"/>
                          </w:rPr>
                          <w:t>Počet dotknutých subjektov</w:t>
                        </w:r>
                      </w:p>
                    </w:txbxContent>
                  </v:textbox>
                </v:rect>
                <v:shapetype id="_x0000_t202" coordsize="21600,21600" o:spt="202" path="m,l,21600r21600,l21600,xe">
                  <v:stroke joinstyle="miter"/>
                  <v:path gradientshapeok="t" o:connecttype="rect"/>
                </v:shapetype>
                <v:shape id="_x0000_s1029" type="#_x0000_t202" style="position:absolute;left:37909;top:1238;width:2369;height:4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" filled="f" stroked="f">
                  <v:textbox style="mso-fit-shape-to-text:t">
                    <w:txbxContent>
                      <w:p w14:paraId="74EC9EEF" w14:textId="77777777" w:rsidR="005978AA" w:rsidRDefault="005978AA" w:rsidP="00782325">
                        <w:pPr>
                          <w:pStyle w:val="Normlnywebov"/>
                        </w:pPr>
                        <w:r>
                          <w:rPr>
                            <w:rFonts w:asciiTheme="minorHAnsi" w:hAnsi="Calibri" w:cstheme="minorBidi"/>
                            <w:color w:val="000000" w:themeColor="text1"/>
                            <w:sz w:val="22"/>
                            <w:szCs w:val="22"/>
                          </w:rPr>
                          <w:t>/</w:t>
                        </w:r>
                      </w:p>
                    </w:txbxContent>
                  </v:textbox>
                </v:shape>
              </v:group>
            </w:pict>
          </mc:Fallback>
        </mc:AlternateContent>
      </w:r>
    </w:p>
    <w:p w14:paraId="065F7F9E" w14:textId="77777777" w:rsidR="00782325" w:rsidRPr="00685281" w:rsidRDefault="00782325" w:rsidP="00782325">
      <w:pPr>
        <w:spacing w:after="120" w:line="240" w:lineRule="auto"/>
        <w:rPr>
          <w:rFonts w:ascii="Times New Roman" w:eastAsia="Times New Roman" w:hAnsi="Times New Roman" w:cs="Times New Roman"/>
          <w:color w:val="000000"/>
          <w:sz w:val="24"/>
          <w:szCs w:val="24"/>
        </w:rPr>
      </w:pPr>
    </w:p>
    <w:p w14:paraId="18AF8680" w14:textId="77777777" w:rsidR="00782325" w:rsidRPr="00685281" w:rsidRDefault="00782325" w:rsidP="00782325">
      <w:pPr>
        <w:spacing w:after="120" w:line="240" w:lineRule="auto"/>
        <w:rPr>
          <w:rFonts w:ascii="Times New Roman" w:eastAsia="Calibri" w:hAnsi="Times New Roman" w:cs="Times New Roman"/>
          <w:i/>
          <w:sz w:val="24"/>
          <w:szCs w:val="24"/>
        </w:rPr>
      </w:pPr>
    </w:p>
    <w:p w14:paraId="20C79586" w14:textId="77777777" w:rsidR="00782325" w:rsidRPr="00685281" w:rsidRDefault="00782325" w:rsidP="00782325">
      <w:pPr>
        <w:spacing w:after="0" w:line="240" w:lineRule="auto"/>
        <w:rPr>
          <w:rFonts w:ascii="Times New Roman" w:eastAsia="Calibri" w:hAnsi="Times New Roman" w:cs="Times New Roman"/>
          <w:i/>
          <w:sz w:val="24"/>
          <w:szCs w:val="24"/>
        </w:rPr>
      </w:pPr>
    </w:p>
    <w:p w14:paraId="23BFF1ED" w14:textId="77777777" w:rsidR="00782325" w:rsidRPr="00685281" w:rsidRDefault="00782325" w:rsidP="00782325">
      <w:pPr>
        <w:spacing w:after="0" w:line="240" w:lineRule="auto"/>
        <w:rPr>
          <w:rFonts w:ascii="Times New Roman" w:eastAsia="Calibri" w:hAnsi="Times New Roman" w:cs="Times New Roman"/>
          <w:i/>
          <w:sz w:val="24"/>
          <w:szCs w:val="24"/>
        </w:rPr>
      </w:pPr>
      <w:r w:rsidRPr="00685281">
        <w:rPr>
          <w:rFonts w:ascii="Times New Roman" w:eastAsia="Calibri" w:hAnsi="Times New Roman" w:cs="Times New Roman"/>
          <w:i/>
          <w:sz w:val="24"/>
          <w:szCs w:val="24"/>
        </w:rPr>
        <w:t>Priame finančné náklady (iné poplatky) na 1 podnikateľa sú vyčíslené podľa vzorca:</w:t>
      </w:r>
    </w:p>
    <w:p w14:paraId="15B0C613" w14:textId="77777777" w:rsidR="00782325" w:rsidRPr="00685281" w:rsidRDefault="00782325" w:rsidP="00782325">
      <w:pPr>
        <w:spacing w:after="0" w:line="240" w:lineRule="auto"/>
        <w:rPr>
          <w:rFonts w:ascii="Times New Roman" w:eastAsia="Calibri" w:hAnsi="Times New Roman" w:cs="Times New Roman"/>
          <w:i/>
          <w:sz w:val="24"/>
          <w:szCs w:val="24"/>
        </w:rPr>
      </w:pP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62336" behindDoc="0" locked="0" layoutInCell="1" allowOverlap="1" wp14:anchorId="005E13F9" wp14:editId="3430D55B">
                <wp:simplePos x="0" y="0"/>
                <wp:positionH relativeFrom="margin">
                  <wp:align>left</wp:align>
                </wp:positionH>
                <wp:positionV relativeFrom="paragraph">
                  <wp:posOffset>160655</wp:posOffset>
                </wp:positionV>
                <wp:extent cx="3848100" cy="486410"/>
                <wp:effectExtent l="0" t="0" r="0" b="8890"/>
                <wp:wrapSquare wrapText="bothSides"/>
                <wp:docPr id="33" name="Rectangle 3">
                  <a:extLst xmlns:a="http://schemas.openxmlformats.org/drawingml/2006/main">
                    <a:ext uri="{FF2B5EF4-FFF2-40B4-BE49-F238E27FC236}">
                      <a16:creationId xmlns:a16="http://schemas.microsoft.com/office/drawing/2014/main" id="{00000000-0008-0000-0300-00002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86410"/>
                        </a:xfrm>
                        <a:prstGeom prst="rect">
                          <a:avLst/>
                        </a:prstGeom>
                        <a:solidFill>
                          <a:srgbClr val="0070C0"/>
                        </a:solidFill>
                        <a:ln w="9525">
                          <a:noFill/>
                          <a:miter lim="800000"/>
                          <a:headEnd/>
                          <a:tailEnd/>
                        </a:ln>
                      </wps:spPr>
                      <wps:txbx>
                        <w:txbxContent>
                          <w:p w14:paraId="178C23EA" w14:textId="77777777" w:rsidR="005978AA" w:rsidRDefault="005978AA" w:rsidP="00782325">
                            <w:pPr>
                              <w:pStyle w:val="Normlnywebov"/>
                              <w:jc w:val="center"/>
                              <w:textAlignment w:val="baseline"/>
                            </w:pPr>
                            <w:r>
                              <w:rPr>
                                <w:rFonts w:ascii="Arial" w:hAnsi="Arial" w:cstheme="minorBidi"/>
                                <w:b/>
                                <w:bCs/>
                                <w:color w:val="FFFFFF"/>
                                <w:kern w:val="24"/>
                                <w:sz w:val="16"/>
                                <w:szCs w:val="16"/>
                              </w:rPr>
                              <w:t xml:space="preserve">Priame náklady </w:t>
                            </w:r>
                            <w:r>
                              <w:rPr>
                                <w:rFonts w:ascii="Arial" w:hAnsi="Arial" w:cstheme="minorBidi"/>
                                <w:b/>
                                <w:bCs/>
                                <w:color w:val="FFFFFF"/>
                                <w:kern w:val="24"/>
                                <w:sz w:val="16"/>
                                <w:szCs w:val="16"/>
                                <w:lang w:val="en-US"/>
                              </w:rPr>
                              <w:t>- in</w:t>
                            </w:r>
                            <w:r>
                              <w:rPr>
                                <w:rFonts w:ascii="Arial" w:hAnsi="Arial" w:cstheme="minorBidi"/>
                                <w:b/>
                                <w:bCs/>
                                <w:color w:val="FFFFFF"/>
                                <w:kern w:val="24"/>
                                <w:sz w:val="16"/>
                                <w:szCs w:val="16"/>
                              </w:rPr>
                              <w:t>é</w:t>
                            </w:r>
                            <w:r>
                              <w:rPr>
                                <w:rFonts w:ascii="Arial" w:hAnsi="Arial" w:cstheme="minorBidi"/>
                                <w:b/>
                                <w:bCs/>
                                <w:color w:val="FFFFFF"/>
                                <w:kern w:val="24"/>
                                <w:sz w:val="16"/>
                                <w:szCs w:val="16"/>
                                <w:lang w:val="en-US"/>
                              </w:rPr>
                              <w:t xml:space="preserve"> poplatk</w:t>
                            </w:r>
                            <w:r>
                              <w:rPr>
                                <w:rFonts w:ascii="Arial" w:hAnsi="Arial" w:cstheme="minorBidi"/>
                                <w:b/>
                                <w:bCs/>
                                <w:color w:val="FFFFFF"/>
                                <w:kern w:val="24"/>
                                <w:sz w:val="16"/>
                                <w:szCs w:val="16"/>
                              </w:rPr>
                              <w:t>y</w:t>
                            </w:r>
                          </w:p>
                          <w:p w14:paraId="764A9615" w14:textId="77777777" w:rsidR="005978AA" w:rsidRDefault="005978AA" w:rsidP="00782325">
                            <w:pPr>
                              <w:pStyle w:val="Normlnywebov"/>
                              <w:jc w:val="center"/>
                              <w:textAlignment w:val="baseline"/>
                            </w:pPr>
                            <w:r>
                              <w:rPr>
                                <w:rFonts w:ascii="Arial" w:hAnsi="Arial" w:cstheme="minorBidi"/>
                                <w:b/>
                                <w:bCs/>
                                <w:color w:val="FFFFFF"/>
                                <w:kern w:val="24"/>
                                <w:sz w:val="16"/>
                                <w:szCs w:val="16"/>
                                <w:lang w:val="en-US"/>
                              </w:rPr>
                              <w:t xml:space="preserve"> </w:t>
                            </w:r>
                          </w:p>
                          <w:p w14:paraId="266C87CF" w14:textId="77777777" w:rsidR="005978AA" w:rsidRDefault="005978AA" w:rsidP="00782325">
                            <w:pPr>
                              <w:pStyle w:val="Normlnywebov"/>
                              <w:jc w:val="center"/>
                              <w:textAlignment w:val="baseline"/>
                            </w:pPr>
                            <w:r>
                              <w:rPr>
                                <w:rFonts w:ascii="Arial" w:hAnsi="Arial" w:cstheme="minorBidi"/>
                                <w:i/>
                                <w:iCs/>
                                <w:color w:val="FFFFFF"/>
                                <w:kern w:val="24"/>
                                <w:sz w:val="16"/>
                                <w:szCs w:val="16"/>
                              </w:rPr>
                              <w:t xml:space="preserve">na jedného podnikateľa </w:t>
                            </w:r>
                          </w:p>
                        </w:txbxContent>
                      </wps:txbx>
                      <wps:bodyPr wrap="square" lIns="36000" tIns="36000" rIns="36000" bIns="36000" anchor="ctr">
                        <a:noAutofit/>
                      </wps:bodyPr>
                    </wps:wsp>
                  </a:graphicData>
                </a:graphic>
                <wp14:sizeRelH relativeFrom="margin">
                  <wp14:pctWidth>0</wp14:pctWidth>
                </wp14:sizeRelH>
              </wp:anchor>
            </w:drawing>
          </mc:Choice>
          <mc:Fallback xmlns:cx1="http://schemas.microsoft.com/office/drawing/2015/9/8/chartex">
            <w:pict>
              <v:rect w14:anchorId="005E13F9" id="Rectangle 3" o:spid="_x0000_s1030" style="position:absolute;margin-left:0;margin-top:12.65pt;width:303pt;height:38.3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" fillcolor="#0070c0" stroked="f">
                <v:textbox inset="1mm,1mm,1mm,1mm">
                  <w:txbxContent>
                    <w:p w14:paraId="178C23EA" w14:textId="77777777" w:rsidR="005978AA" w:rsidRDefault="005978AA" w:rsidP="00782325">
                      <w:pPr>
                        <w:pStyle w:val="Normlnywebov"/>
                        <w:jc w:val="center"/>
                        <w:textAlignment w:val="baseline"/>
                      </w:pPr>
                      <w:r>
                        <w:rPr>
                          <w:rFonts w:ascii="Arial" w:hAnsi="Arial" w:cstheme="minorBidi"/>
                          <w:b/>
                          <w:bCs/>
                          <w:color w:val="FFFFFF"/>
                          <w:kern w:val="24"/>
                          <w:sz w:val="16"/>
                          <w:szCs w:val="16"/>
                        </w:rPr>
                        <w:t xml:space="preserve">Priame náklady </w:t>
                      </w:r>
                      <w:r>
                        <w:rPr>
                          <w:rFonts w:ascii="Arial" w:hAnsi="Arial" w:cstheme="minorBidi"/>
                          <w:b/>
                          <w:bCs/>
                          <w:color w:val="FFFFFF"/>
                          <w:kern w:val="24"/>
                          <w:sz w:val="16"/>
                          <w:szCs w:val="16"/>
                          <w:lang w:val="en-US"/>
                        </w:rPr>
                        <w:t>- in</w:t>
                      </w:r>
                      <w:r>
                        <w:rPr>
                          <w:rFonts w:ascii="Arial" w:hAnsi="Arial" w:cstheme="minorBidi"/>
                          <w:b/>
                          <w:bCs/>
                          <w:color w:val="FFFFFF"/>
                          <w:kern w:val="24"/>
                          <w:sz w:val="16"/>
                          <w:szCs w:val="16"/>
                        </w:rPr>
                        <w:t>é</w:t>
                      </w:r>
                      <w:r>
                        <w:rPr>
                          <w:rFonts w:ascii="Arial" w:hAnsi="Arial" w:cstheme="minorBidi"/>
                          <w:b/>
                          <w:bCs/>
                          <w:color w:val="FFFFFF"/>
                          <w:kern w:val="24"/>
                          <w:sz w:val="16"/>
                          <w:szCs w:val="16"/>
                          <w:lang w:val="en-US"/>
                        </w:rPr>
                        <w:t xml:space="preserve"> poplatk</w:t>
                      </w:r>
                      <w:r>
                        <w:rPr>
                          <w:rFonts w:ascii="Arial" w:hAnsi="Arial" w:cstheme="minorBidi"/>
                          <w:b/>
                          <w:bCs/>
                          <w:color w:val="FFFFFF"/>
                          <w:kern w:val="24"/>
                          <w:sz w:val="16"/>
                          <w:szCs w:val="16"/>
                        </w:rPr>
                        <w:t>y</w:t>
                      </w:r>
                    </w:p>
                    <w:p w14:paraId="764A9615" w14:textId="77777777" w:rsidR="005978AA" w:rsidRDefault="005978AA" w:rsidP="00782325">
                      <w:pPr>
                        <w:pStyle w:val="Normlnywebov"/>
                        <w:jc w:val="center"/>
                        <w:textAlignment w:val="baseline"/>
                      </w:pPr>
                      <w:r>
                        <w:rPr>
                          <w:rFonts w:ascii="Arial" w:hAnsi="Arial" w:cstheme="minorBidi"/>
                          <w:b/>
                          <w:bCs/>
                          <w:color w:val="FFFFFF"/>
                          <w:kern w:val="24"/>
                          <w:sz w:val="16"/>
                          <w:szCs w:val="16"/>
                          <w:lang w:val="en-US"/>
                        </w:rPr>
                        <w:t xml:space="preserve"> </w:t>
                      </w:r>
                    </w:p>
                    <w:p w14:paraId="266C87CF" w14:textId="77777777" w:rsidR="005978AA" w:rsidRDefault="005978AA" w:rsidP="00782325">
                      <w:pPr>
                        <w:pStyle w:val="Normlnywebov"/>
                        <w:jc w:val="center"/>
                        <w:textAlignment w:val="baseline"/>
                      </w:pPr>
                      <w:r>
                        <w:rPr>
                          <w:rFonts w:ascii="Arial" w:hAnsi="Arial" w:cstheme="minorBidi"/>
                          <w:i/>
                          <w:iCs/>
                          <w:color w:val="FFFFFF"/>
                          <w:kern w:val="24"/>
                          <w:sz w:val="16"/>
                          <w:szCs w:val="16"/>
                        </w:rPr>
                        <w:t xml:space="preserve">na jedného podnikateľa </w:t>
                      </w:r>
                    </w:p>
                  </w:txbxContent>
                </v:textbox>
                <w10:wrap type="square" anchorx="margin"/>
              </v:rect>
            </w:pict>
          </mc:Fallback>
        </mc:AlternateContent>
      </w:r>
    </w:p>
    <w:p w14:paraId="39AB8A7D" w14:textId="77777777" w:rsidR="00782325" w:rsidRPr="00685281" w:rsidRDefault="00782325" w:rsidP="00782325">
      <w:pPr>
        <w:spacing w:after="0" w:line="240" w:lineRule="auto"/>
        <w:rPr>
          <w:rFonts w:ascii="Times New Roman" w:eastAsia="Calibri" w:hAnsi="Times New Roman" w:cs="Times New Roman"/>
          <w:i/>
          <w:sz w:val="24"/>
          <w:szCs w:val="24"/>
        </w:rPr>
      </w:pP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63360" behindDoc="0" locked="0" layoutInCell="1" allowOverlap="1" wp14:anchorId="5075C9BE" wp14:editId="51C96367">
                <wp:simplePos x="0" y="0"/>
                <wp:positionH relativeFrom="column">
                  <wp:posOffset>3848100</wp:posOffset>
                </wp:positionH>
                <wp:positionV relativeFrom="paragraph">
                  <wp:posOffset>127000</wp:posOffset>
                </wp:positionV>
                <wp:extent cx="248851" cy="224998"/>
                <wp:effectExtent l="0" t="0" r="0" b="0"/>
                <wp:wrapNone/>
                <wp:docPr id="188" name="BlokTextu 187">
                  <a:extLst xmlns:a="http://schemas.openxmlformats.org/drawingml/2006/main">
                    <a:ext uri="{FF2B5EF4-FFF2-40B4-BE49-F238E27FC236}">
                      <a16:creationId xmlns:a16="http://schemas.microsoft.com/office/drawing/2014/main" id="{00000000-0008-0000-0300-000071000000}"/>
                    </a:ext>
                  </a:extLst>
                </wp:docPr>
                <wp:cNvGraphicFramePr/>
                <a:graphic xmlns:a="http://schemas.openxmlformats.org/drawingml/2006/main">
                  <a:graphicData uri="http://schemas.microsoft.com/office/word/2010/wordprocessingShape">
                    <wps:wsp>
                      <wps:cNvSpPr txBox="1"/>
                      <wps:spPr>
                        <a:xfrm>
                          <a:off x="0" y="0"/>
                          <a:ext cx="248851" cy="22499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0249CE1" w14:textId="77777777" w:rsidR="005978AA" w:rsidRDefault="005978AA" w:rsidP="00782325">
                            <w:pPr>
                              <w:pStyle w:val="Normlnywebov"/>
                            </w:pPr>
                            <w:r>
                              <w:rPr>
                                <w:rFonts w:ascii="Arial" w:hAnsi="Arial" w:cs="Arial"/>
                                <w:b/>
                                <w:bCs/>
                                <w:color w:val="000000" w:themeColor="text1"/>
                                <w:sz w:val="18"/>
                                <w:szCs w:val="18"/>
                              </w:rPr>
                              <w:t>x</w:t>
                            </w:r>
                          </w:p>
                        </w:txbxContent>
                      </wps:txbx>
                      <wps:bodyPr vertOverflow="clip" horzOverflow="clip" wrap="none" rtlCol="0" anchor="t">
                        <a:spAutoFit/>
                      </wps:bodyPr>
                    </wps:wsp>
                  </a:graphicData>
                </a:graphic>
              </wp:anchor>
            </w:drawing>
          </mc:Choice>
          <mc:Fallback xmlns:cx1="http://schemas.microsoft.com/office/drawing/2015/9/8/chartex">
            <w:pict>
              <v:shape w14:anchorId="5075C9BE" id="BlokTextu 187" o:spid="_x0000_s1031" type="#_x0000_t202" style="position:absolute;margin-left:303pt;margin-top:10pt;width:19.6pt;height:17.7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" filled="f" stroked="f">
                <v:textbox style="mso-fit-shape-to-text:t">
                  <w:txbxContent>
                    <w:p w14:paraId="00249CE1" w14:textId="77777777" w:rsidR="005978AA" w:rsidRDefault="005978AA" w:rsidP="00782325">
                      <w:pPr>
                        <w:pStyle w:val="Normlnywebov"/>
                      </w:pPr>
                      <w:r>
                        <w:rPr>
                          <w:rFonts w:ascii="Arial" w:hAnsi="Arial" w:cs="Arial"/>
                          <w:b/>
                          <w:bCs/>
                          <w:color w:val="000000" w:themeColor="text1"/>
                          <w:sz w:val="18"/>
                          <w:szCs w:val="18"/>
                        </w:rPr>
                        <w:t>x</w:t>
                      </w:r>
                    </w:p>
                  </w:txbxContent>
                </v:textbox>
              </v:shape>
            </w:pict>
          </mc:Fallback>
        </mc:AlternateContent>
      </w: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64384" behindDoc="0" locked="0" layoutInCell="1" allowOverlap="1" wp14:anchorId="35F7370B" wp14:editId="6807658E">
                <wp:simplePos x="0" y="0"/>
                <wp:positionH relativeFrom="column">
                  <wp:posOffset>4096385</wp:posOffset>
                </wp:positionH>
                <wp:positionV relativeFrom="paragraph">
                  <wp:posOffset>6350</wp:posOffset>
                </wp:positionV>
                <wp:extent cx="1261110" cy="474980"/>
                <wp:effectExtent l="0" t="0" r="0" b="1270"/>
                <wp:wrapSquare wrapText="bothSides"/>
                <wp:docPr id="187"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474980"/>
                        </a:xfrm>
                        <a:prstGeom prst="rect">
                          <a:avLst/>
                        </a:prstGeom>
                        <a:solidFill>
                          <a:srgbClr val="0070C0"/>
                        </a:solidFill>
                        <a:ln w="9525">
                          <a:noFill/>
                          <a:miter lim="800000"/>
                          <a:headEnd/>
                          <a:tailEnd/>
                        </a:ln>
                      </wps:spPr>
                      <wps:txbx>
                        <w:txbxContent>
                          <w:p w14:paraId="66626ECA" w14:textId="77777777" w:rsidR="005978AA" w:rsidRDefault="005978AA" w:rsidP="00782325">
                            <w:pPr>
                              <w:pStyle w:val="Normlnywebov"/>
                              <w:jc w:val="center"/>
                              <w:textAlignment w:val="baseline"/>
                            </w:pPr>
                            <w:r>
                              <w:rPr>
                                <w:rFonts w:ascii="Arial" w:hAnsi="Arial" w:cstheme="minorBidi"/>
                                <w:b/>
                                <w:bCs/>
                                <w:color w:val="FFFFFF"/>
                                <w:kern w:val="24"/>
                                <w:sz w:val="16"/>
                                <w:szCs w:val="16"/>
                              </w:rPr>
                              <w:t>Frekvencia</w:t>
                            </w:r>
                          </w:p>
                        </w:txbxContent>
                      </wps:txbx>
                      <wps:bodyPr wrap="square" lIns="36000" tIns="36000" rIns="36000" bIns="36000" anchor="ctr"/>
                    </wps:wsp>
                  </a:graphicData>
                </a:graphic>
              </wp:anchor>
            </w:drawing>
          </mc:Choice>
          <mc:Fallback xmlns:cx1="http://schemas.microsoft.com/office/drawing/2015/9/8/chartex">
            <w:pict>
              <v:rect w14:anchorId="35F7370B" id="_x0000_s1032" style="position:absolute;margin-left:322.55pt;margin-top:.5pt;width:99.3pt;height:37.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" fillcolor="#0070c0" stroked="f">
                <v:textbox inset="1mm,1mm,1mm,1mm">
                  <w:txbxContent>
                    <w:p w14:paraId="66626ECA" w14:textId="77777777" w:rsidR="005978AA" w:rsidRDefault="005978AA" w:rsidP="00782325">
                      <w:pPr>
                        <w:pStyle w:val="Normlnywebov"/>
                        <w:jc w:val="center"/>
                        <w:textAlignment w:val="baseline"/>
                      </w:pPr>
                      <w:r>
                        <w:rPr>
                          <w:rFonts w:ascii="Arial" w:hAnsi="Arial" w:cstheme="minorBidi"/>
                          <w:b/>
                          <w:bCs/>
                          <w:color w:val="FFFFFF"/>
                          <w:kern w:val="24"/>
                          <w:sz w:val="16"/>
                          <w:szCs w:val="16"/>
                        </w:rPr>
                        <w:t>Frekvencia</w:t>
                      </w:r>
                    </w:p>
                  </w:txbxContent>
                </v:textbox>
                <w10:wrap type="square"/>
              </v:rect>
            </w:pict>
          </mc:Fallback>
        </mc:AlternateContent>
      </w:r>
    </w:p>
    <w:p w14:paraId="04ECB11C" w14:textId="77777777" w:rsidR="00782325" w:rsidRPr="00685281" w:rsidRDefault="00782325" w:rsidP="00782325">
      <w:pPr>
        <w:spacing w:after="0" w:line="240" w:lineRule="auto"/>
        <w:rPr>
          <w:rFonts w:ascii="Times New Roman" w:eastAsia="Calibri" w:hAnsi="Times New Roman" w:cs="Times New Roman"/>
          <w:i/>
          <w:sz w:val="24"/>
          <w:szCs w:val="24"/>
        </w:rPr>
      </w:pPr>
    </w:p>
    <w:p w14:paraId="07532E88" w14:textId="77777777" w:rsidR="00782325" w:rsidRPr="00685281" w:rsidRDefault="00782325" w:rsidP="00782325">
      <w:pPr>
        <w:spacing w:after="0" w:line="240" w:lineRule="auto"/>
        <w:rPr>
          <w:rFonts w:ascii="Times New Roman" w:eastAsia="Calibri" w:hAnsi="Times New Roman" w:cs="Times New Roman"/>
          <w:i/>
          <w:sz w:val="24"/>
          <w:szCs w:val="24"/>
        </w:rPr>
      </w:pPr>
      <w:r w:rsidRPr="00685281">
        <w:rPr>
          <w:rFonts w:ascii="Times New Roman" w:eastAsia="Calibri" w:hAnsi="Times New Roman" w:cs="Times New Roman"/>
          <w:i/>
          <w:sz w:val="24"/>
          <w:szCs w:val="24"/>
        </w:rPr>
        <w:t xml:space="preserve"> </w:t>
      </w:r>
    </w:p>
    <w:p w14:paraId="1D2CC318" w14:textId="77777777" w:rsidR="00782325" w:rsidRPr="00685281" w:rsidRDefault="00782325" w:rsidP="00782325">
      <w:pPr>
        <w:spacing w:after="0" w:line="240" w:lineRule="auto"/>
        <w:rPr>
          <w:rFonts w:ascii="Times New Roman" w:eastAsia="Calibri" w:hAnsi="Times New Roman" w:cs="Times New Roman"/>
          <w:i/>
          <w:sz w:val="24"/>
          <w:szCs w:val="24"/>
        </w:rPr>
      </w:pPr>
    </w:p>
    <w:p w14:paraId="59451F39" w14:textId="77777777" w:rsidR="00782325" w:rsidRPr="00685281" w:rsidRDefault="00782325" w:rsidP="00782325">
      <w:pPr>
        <w:spacing w:after="0" w:line="240" w:lineRule="auto"/>
        <w:rPr>
          <w:rFonts w:ascii="Times New Roman" w:eastAsia="Calibri" w:hAnsi="Times New Roman" w:cs="Times New Roman"/>
          <w:sz w:val="24"/>
          <w:szCs w:val="24"/>
        </w:rPr>
      </w:pPr>
      <w:r w:rsidRPr="00685281">
        <w:rPr>
          <w:rFonts w:ascii="Times New Roman" w:eastAsia="Calibri" w:hAnsi="Times New Roman" w:cs="Times New Roman"/>
          <w:i/>
          <w:sz w:val="24"/>
          <w:szCs w:val="24"/>
        </w:rPr>
        <w:t xml:space="preserve">Nepriame finančné náklady (sankcie a pokuty) na 1 podnikateľa </w:t>
      </w:r>
      <w:r w:rsidRPr="00685281">
        <w:rPr>
          <w:rFonts w:ascii="Times New Roman" w:eastAsia="Calibri" w:hAnsi="Times New Roman" w:cs="Times New Roman"/>
          <w:sz w:val="24"/>
          <w:szCs w:val="24"/>
        </w:rPr>
        <w:t>sú vyčíslené na základe vzorca:</w:t>
      </w:r>
    </w:p>
    <w:p w14:paraId="4BCBADB1" w14:textId="77777777" w:rsidR="00782325" w:rsidRPr="00685281" w:rsidRDefault="00782325" w:rsidP="00782325">
      <w:pPr>
        <w:spacing w:after="0" w:line="240" w:lineRule="auto"/>
        <w:rPr>
          <w:rFonts w:ascii="Times New Roman" w:eastAsia="Calibri" w:hAnsi="Times New Roman" w:cs="Times New Roman"/>
          <w:i/>
          <w:sz w:val="24"/>
          <w:szCs w:val="24"/>
        </w:rPr>
      </w:pPr>
    </w:p>
    <w:p w14:paraId="5FD32CED" w14:textId="77777777" w:rsidR="00782325" w:rsidRPr="00685281" w:rsidRDefault="00782325" w:rsidP="00782325">
      <w:pPr>
        <w:spacing w:after="0" w:line="240" w:lineRule="auto"/>
        <w:rPr>
          <w:rFonts w:ascii="Times New Roman" w:eastAsia="Calibri" w:hAnsi="Times New Roman" w:cs="Times New Roman"/>
          <w:i/>
          <w:sz w:val="24"/>
          <w:szCs w:val="24"/>
        </w:rPr>
      </w:pP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67456" behindDoc="0" locked="0" layoutInCell="1" allowOverlap="1" wp14:anchorId="7ECFDA24" wp14:editId="06F083F4">
                <wp:simplePos x="0" y="0"/>
                <wp:positionH relativeFrom="column">
                  <wp:posOffset>4090670</wp:posOffset>
                </wp:positionH>
                <wp:positionV relativeFrom="paragraph">
                  <wp:posOffset>50165</wp:posOffset>
                </wp:positionV>
                <wp:extent cx="1248850" cy="475551"/>
                <wp:effectExtent l="0" t="0" r="8890" b="1270"/>
                <wp:wrapSquare wrapText="bothSides"/>
                <wp:docPr id="148" name="Rectangle 3">
                  <a:extLst xmlns:a="http://schemas.openxmlformats.org/drawingml/2006/main">
                    <a:ext uri="{FF2B5EF4-FFF2-40B4-BE49-F238E27FC236}">
                      <a16:creationId xmlns:a16="http://schemas.microsoft.com/office/drawing/2014/main" id="{00000000-0008-0000-0300-00009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8850" cy="475551"/>
                        </a:xfrm>
                        <a:prstGeom prst="rect">
                          <a:avLst/>
                        </a:prstGeom>
                        <a:solidFill>
                          <a:srgbClr val="00A1DE"/>
                        </a:solidFill>
                        <a:ln w="9525">
                          <a:noFill/>
                          <a:miter lim="800000"/>
                          <a:headEnd/>
                          <a:tailEnd/>
                        </a:ln>
                      </wps:spPr>
                      <wps:txbx>
                        <w:txbxContent>
                          <w:p w14:paraId="0571D069" w14:textId="77777777" w:rsidR="005978AA" w:rsidRDefault="005978AA" w:rsidP="00782325">
                            <w:pPr>
                              <w:pStyle w:val="Normlnywebov"/>
                              <w:jc w:val="center"/>
                              <w:textAlignment w:val="baseline"/>
                            </w:pPr>
                            <w:r>
                              <w:rPr>
                                <w:rFonts w:ascii="Arial" w:hAnsi="Arial" w:cstheme="minorBidi"/>
                                <w:b/>
                                <w:bCs/>
                                <w:color w:val="FFFFFF"/>
                                <w:kern w:val="24"/>
                                <w:sz w:val="16"/>
                                <w:szCs w:val="16"/>
                              </w:rPr>
                              <w:t>Počet dotknutých subjektov</w:t>
                            </w:r>
                          </w:p>
                        </w:txbxContent>
                      </wps:txbx>
                      <wps:bodyPr wrap="square" lIns="36000" tIns="36000" rIns="36000" bIns="36000" anchor="ctr"/>
                    </wps:wsp>
                  </a:graphicData>
                </a:graphic>
              </wp:anchor>
            </w:drawing>
          </mc:Choice>
          <mc:Fallback xmlns:cx1="http://schemas.microsoft.com/office/drawing/2015/9/8/chartex">
            <w:pict>
              <v:rect w14:anchorId="7ECFDA24" id="_x0000_s1033" style="position:absolute;margin-left:322.1pt;margin-top:3.95pt;width:98.35pt;height:37.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" fillcolor="#00a1de" stroked="f">
                <v:textbox inset="1mm,1mm,1mm,1mm">
                  <w:txbxContent>
                    <w:p w14:paraId="0571D069" w14:textId="77777777" w:rsidR="005978AA" w:rsidRDefault="005978AA" w:rsidP="00782325">
                      <w:pPr>
                        <w:pStyle w:val="Normlnywebov"/>
                        <w:jc w:val="center"/>
                        <w:textAlignment w:val="baseline"/>
                      </w:pPr>
                      <w:r>
                        <w:rPr>
                          <w:rFonts w:ascii="Arial" w:hAnsi="Arial" w:cstheme="minorBidi"/>
                          <w:b/>
                          <w:bCs/>
                          <w:color w:val="FFFFFF"/>
                          <w:kern w:val="24"/>
                          <w:sz w:val="16"/>
                          <w:szCs w:val="16"/>
                        </w:rPr>
                        <w:t>Počet dotknutých subjektov</w:t>
                      </w:r>
                    </w:p>
                  </w:txbxContent>
                </v:textbox>
                <w10:wrap type="square"/>
              </v:rect>
            </w:pict>
          </mc:Fallback>
        </mc:AlternateContent>
      </w: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66432" behindDoc="0" locked="0" layoutInCell="1" allowOverlap="1" wp14:anchorId="5402D845" wp14:editId="0C2FA47D">
                <wp:simplePos x="0" y="0"/>
                <wp:positionH relativeFrom="column">
                  <wp:posOffset>3853638</wp:posOffset>
                </wp:positionH>
                <wp:positionV relativeFrom="paragraph">
                  <wp:posOffset>150495</wp:posOffset>
                </wp:positionV>
                <wp:extent cx="216726" cy="224998"/>
                <wp:effectExtent l="0" t="0" r="0" b="0"/>
                <wp:wrapNone/>
                <wp:docPr id="149" name="BlokTextu 148">
                  <a:extLst xmlns:a="http://schemas.openxmlformats.org/drawingml/2006/main">
                    <a:ext uri="{FF2B5EF4-FFF2-40B4-BE49-F238E27FC236}">
                      <a16:creationId xmlns:a16="http://schemas.microsoft.com/office/drawing/2014/main" id="{00000000-0008-0000-0300-000095000000}"/>
                    </a:ext>
                  </a:extLst>
                </wp:docPr>
                <wp:cNvGraphicFramePr/>
                <a:graphic xmlns:a="http://schemas.openxmlformats.org/drawingml/2006/main">
                  <a:graphicData uri="http://schemas.microsoft.com/office/word/2010/wordprocessingShape">
                    <wps:wsp>
                      <wps:cNvSpPr txBox="1"/>
                      <wps:spPr>
                        <a:xfrm>
                          <a:off x="0" y="0"/>
                          <a:ext cx="216726" cy="22499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9F92745" w14:textId="77777777" w:rsidR="005978AA" w:rsidRDefault="005978AA" w:rsidP="00782325">
                            <w:pPr>
                              <w:pStyle w:val="Normlnywebov"/>
                            </w:pPr>
                            <w:r>
                              <w:rPr>
                                <w:rFonts w:ascii="Arial" w:hAnsi="Arial" w:cs="Arial"/>
                                <w:b/>
                                <w:bCs/>
                                <w:color w:val="000000" w:themeColor="text1"/>
                                <w:sz w:val="18"/>
                                <w:szCs w:val="18"/>
                              </w:rPr>
                              <w:t>/</w:t>
                            </w:r>
                          </w:p>
                        </w:txbxContent>
                      </wps:txbx>
                      <wps:bodyPr vertOverflow="clip" horzOverflow="clip" wrap="none" rtlCol="0" anchor="t">
                        <a:spAutoFit/>
                      </wps:bodyPr>
                    </wps:wsp>
                  </a:graphicData>
                </a:graphic>
              </wp:anchor>
            </w:drawing>
          </mc:Choice>
          <mc:Fallback xmlns:cx1="http://schemas.microsoft.com/office/drawing/2015/9/8/chartex">
            <w:pict>
              <v:shape w14:anchorId="5402D845" id="BlokTextu 148" o:spid="_x0000_s1034" type="#_x0000_t202" style="position:absolute;margin-left:303.45pt;margin-top:11.85pt;width:17.05pt;height:17.7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" filled="f" stroked="f">
                <v:textbox style="mso-fit-shape-to-text:t">
                  <w:txbxContent>
                    <w:p w14:paraId="29F92745" w14:textId="77777777" w:rsidR="005978AA" w:rsidRDefault="005978AA" w:rsidP="00782325">
                      <w:pPr>
                        <w:pStyle w:val="Normlnywebov"/>
                      </w:pPr>
                      <w:r>
                        <w:rPr>
                          <w:rFonts w:ascii="Arial" w:hAnsi="Arial" w:cs="Arial"/>
                          <w:b/>
                          <w:bCs/>
                          <w:color w:val="000000" w:themeColor="text1"/>
                          <w:sz w:val="18"/>
                          <w:szCs w:val="18"/>
                        </w:rPr>
                        <w:t>/</w:t>
                      </w:r>
                    </w:p>
                  </w:txbxContent>
                </v:textbox>
              </v:shape>
            </w:pict>
          </mc:Fallback>
        </mc:AlternateContent>
      </w: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65408" behindDoc="0" locked="0" layoutInCell="1" allowOverlap="1" wp14:anchorId="1AC60596" wp14:editId="39D10B7B">
                <wp:simplePos x="0" y="0"/>
                <wp:positionH relativeFrom="margin">
                  <wp:align>left</wp:align>
                </wp:positionH>
                <wp:positionV relativeFrom="paragraph">
                  <wp:posOffset>36195</wp:posOffset>
                </wp:positionV>
                <wp:extent cx="3819525" cy="486410"/>
                <wp:effectExtent l="0" t="0" r="9525" b="8890"/>
                <wp:wrapSquare wrapText="bothSides"/>
                <wp:docPr id="106" name="Rectangle 3">
                  <a:extLst xmlns:a="http://schemas.openxmlformats.org/drawingml/2006/main">
                    <a:ext uri="{FF2B5EF4-FFF2-40B4-BE49-F238E27FC236}">
                      <a16:creationId xmlns:a16="http://schemas.microsoft.com/office/drawing/2014/main" id="{00000000-0008-0000-0300-00006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486410"/>
                        </a:xfrm>
                        <a:prstGeom prst="rect">
                          <a:avLst/>
                        </a:prstGeom>
                        <a:solidFill>
                          <a:srgbClr val="00A1DE"/>
                        </a:solidFill>
                        <a:ln w="9525">
                          <a:noFill/>
                          <a:miter lim="800000"/>
                          <a:headEnd/>
                          <a:tailEnd/>
                        </a:ln>
                      </wps:spPr>
                      <wps:txbx>
                        <w:txbxContent>
                          <w:p w14:paraId="63492366" w14:textId="77777777" w:rsidR="005978AA" w:rsidRDefault="005978AA" w:rsidP="00782325">
                            <w:pPr>
                              <w:pStyle w:val="Normlnywebov"/>
                              <w:jc w:val="center"/>
                              <w:textAlignment w:val="baseline"/>
                            </w:pPr>
                            <w:r>
                              <w:rPr>
                                <w:rFonts w:ascii="Arial" w:hAnsi="Arial" w:cstheme="minorBidi"/>
                                <w:b/>
                                <w:bCs/>
                                <w:color w:val="FFFFFF"/>
                                <w:kern w:val="24"/>
                                <w:sz w:val="16"/>
                                <w:szCs w:val="16"/>
                              </w:rPr>
                              <w:t>Nepriame náklady - Sankcie a pokuty</w:t>
                            </w:r>
                          </w:p>
                          <w:p w14:paraId="07DFF4B9" w14:textId="77777777" w:rsidR="005978AA" w:rsidRDefault="005978AA" w:rsidP="00782325">
                            <w:pPr>
                              <w:pStyle w:val="Normlnywebov"/>
                              <w:jc w:val="center"/>
                              <w:textAlignment w:val="baseline"/>
                            </w:pPr>
                            <w:r>
                              <w:rPr>
                                <w:rFonts w:ascii="Arial" w:hAnsi="Arial" w:cstheme="minorBidi"/>
                                <w:b/>
                                <w:bCs/>
                                <w:color w:val="FFFFFF"/>
                                <w:kern w:val="24"/>
                                <w:sz w:val="16"/>
                                <w:szCs w:val="16"/>
                              </w:rPr>
                              <w:t xml:space="preserve">  </w:t>
                            </w:r>
                          </w:p>
                          <w:p w14:paraId="35BC0991" w14:textId="77777777" w:rsidR="005978AA" w:rsidRDefault="005978AA" w:rsidP="00782325">
                            <w:pPr>
                              <w:pStyle w:val="Normlnywebov"/>
                              <w:jc w:val="center"/>
                              <w:textAlignment w:val="baseline"/>
                            </w:pPr>
                            <w:r>
                              <w:rPr>
                                <w:rFonts w:ascii="Arial" w:hAnsi="Arial" w:cstheme="minorBidi"/>
                                <w:i/>
                                <w:iCs/>
                                <w:color w:val="FFFFFF"/>
                                <w:kern w:val="24"/>
                                <w:sz w:val="16"/>
                                <w:szCs w:val="16"/>
                              </w:rPr>
                              <w:t>ročný vplyv na kategóriu dotknutých subjektov</w:t>
                            </w:r>
                          </w:p>
                        </w:txbxContent>
                      </wps:txbx>
                      <wps:bodyPr wrap="square" lIns="36000" tIns="36000" rIns="36000" bIns="36000" anchor="ctr">
                        <a:noAutofit/>
                      </wps:bodyPr>
                    </wps:wsp>
                  </a:graphicData>
                </a:graphic>
                <wp14:sizeRelH relativeFrom="margin">
                  <wp14:pctWidth>0</wp14:pctWidth>
                </wp14:sizeRelH>
              </wp:anchor>
            </w:drawing>
          </mc:Choice>
          <mc:Fallback xmlns:cx1="http://schemas.microsoft.com/office/drawing/2015/9/8/chartex">
            <w:pict>
              <v:rect w14:anchorId="1AC60596" id="_x0000_s1035" style="position:absolute;margin-left:0;margin-top:2.85pt;width:300.75pt;height:38.3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" fillcolor="#00a1de" stroked="f">
                <v:textbox inset="1mm,1mm,1mm,1mm">
                  <w:txbxContent>
                    <w:p w14:paraId="63492366" w14:textId="77777777" w:rsidR="005978AA" w:rsidRDefault="005978AA" w:rsidP="00782325">
                      <w:pPr>
                        <w:pStyle w:val="Normlnywebov"/>
                        <w:jc w:val="center"/>
                        <w:textAlignment w:val="baseline"/>
                      </w:pPr>
                      <w:r>
                        <w:rPr>
                          <w:rFonts w:ascii="Arial" w:hAnsi="Arial" w:cstheme="minorBidi"/>
                          <w:b/>
                          <w:bCs/>
                          <w:color w:val="FFFFFF"/>
                          <w:kern w:val="24"/>
                          <w:sz w:val="16"/>
                          <w:szCs w:val="16"/>
                        </w:rPr>
                        <w:t>Nepriame náklady - Sankcie a pokuty</w:t>
                      </w:r>
                    </w:p>
                    <w:p w14:paraId="07DFF4B9" w14:textId="77777777" w:rsidR="005978AA" w:rsidRDefault="005978AA" w:rsidP="00782325">
                      <w:pPr>
                        <w:pStyle w:val="Normlnywebov"/>
                        <w:jc w:val="center"/>
                        <w:textAlignment w:val="baseline"/>
                      </w:pPr>
                      <w:r>
                        <w:rPr>
                          <w:rFonts w:ascii="Arial" w:hAnsi="Arial" w:cstheme="minorBidi"/>
                          <w:b/>
                          <w:bCs/>
                          <w:color w:val="FFFFFF"/>
                          <w:kern w:val="24"/>
                          <w:sz w:val="16"/>
                          <w:szCs w:val="16"/>
                        </w:rPr>
                        <w:t xml:space="preserve">  </w:t>
                      </w:r>
                    </w:p>
                    <w:p w14:paraId="35BC0991" w14:textId="77777777" w:rsidR="005978AA" w:rsidRDefault="005978AA" w:rsidP="00782325">
                      <w:pPr>
                        <w:pStyle w:val="Normlnywebov"/>
                        <w:jc w:val="center"/>
                        <w:textAlignment w:val="baseline"/>
                      </w:pPr>
                      <w:r>
                        <w:rPr>
                          <w:rFonts w:ascii="Arial" w:hAnsi="Arial" w:cstheme="minorBidi"/>
                          <w:i/>
                          <w:iCs/>
                          <w:color w:val="FFFFFF"/>
                          <w:kern w:val="24"/>
                          <w:sz w:val="16"/>
                          <w:szCs w:val="16"/>
                        </w:rPr>
                        <w:t>ročný vplyv na kategóriu dotknutých subjektov</w:t>
                      </w:r>
                    </w:p>
                  </w:txbxContent>
                </v:textbox>
                <w10:wrap type="square" anchorx="margin"/>
              </v:rect>
            </w:pict>
          </mc:Fallback>
        </mc:AlternateContent>
      </w:r>
    </w:p>
    <w:p w14:paraId="436F60D5" w14:textId="77777777" w:rsidR="00782325" w:rsidRPr="00685281" w:rsidRDefault="00782325" w:rsidP="00782325">
      <w:pPr>
        <w:spacing w:after="0" w:line="240" w:lineRule="auto"/>
        <w:rPr>
          <w:rFonts w:ascii="Times New Roman" w:eastAsia="Calibri" w:hAnsi="Times New Roman" w:cs="Times New Roman"/>
          <w:i/>
          <w:sz w:val="24"/>
          <w:szCs w:val="24"/>
        </w:rPr>
      </w:pPr>
    </w:p>
    <w:p w14:paraId="22E291F7" w14:textId="77777777" w:rsidR="00782325" w:rsidRPr="00685281" w:rsidRDefault="00782325" w:rsidP="00782325">
      <w:pPr>
        <w:spacing w:after="0" w:line="240" w:lineRule="auto"/>
        <w:rPr>
          <w:rFonts w:ascii="Times New Roman" w:eastAsia="Calibri" w:hAnsi="Times New Roman" w:cs="Times New Roman"/>
          <w:i/>
          <w:sz w:val="24"/>
          <w:szCs w:val="24"/>
        </w:rPr>
      </w:pPr>
    </w:p>
    <w:p w14:paraId="69066840" w14:textId="77777777" w:rsidR="00782325" w:rsidRPr="00685281" w:rsidRDefault="00782325" w:rsidP="00782325">
      <w:pPr>
        <w:spacing w:after="0" w:line="240" w:lineRule="auto"/>
        <w:rPr>
          <w:rFonts w:ascii="Times New Roman" w:eastAsia="Calibri" w:hAnsi="Times New Roman" w:cs="Times New Roman"/>
          <w:i/>
          <w:sz w:val="24"/>
          <w:szCs w:val="24"/>
        </w:rPr>
      </w:pPr>
    </w:p>
    <w:p w14:paraId="35DA4FF1" w14:textId="77777777" w:rsidR="00782325" w:rsidRPr="00685281" w:rsidRDefault="00782325" w:rsidP="00782325">
      <w:pPr>
        <w:spacing w:after="0" w:line="240" w:lineRule="auto"/>
        <w:rPr>
          <w:rFonts w:ascii="Times New Roman" w:eastAsia="Calibri" w:hAnsi="Times New Roman" w:cs="Times New Roman"/>
          <w:i/>
          <w:sz w:val="24"/>
          <w:szCs w:val="24"/>
        </w:rPr>
      </w:pPr>
    </w:p>
    <w:p w14:paraId="1339B196" w14:textId="77777777" w:rsidR="00782325" w:rsidRPr="00685281" w:rsidRDefault="00782325" w:rsidP="00782325">
      <w:pPr>
        <w:spacing w:after="0" w:line="240" w:lineRule="auto"/>
        <w:rPr>
          <w:rFonts w:ascii="Times New Roman" w:eastAsia="Calibri" w:hAnsi="Times New Roman" w:cs="Times New Roman"/>
          <w:sz w:val="24"/>
          <w:szCs w:val="24"/>
        </w:rPr>
      </w:pPr>
      <w:r w:rsidRPr="00685281">
        <w:rPr>
          <w:rFonts w:ascii="Times New Roman" w:eastAsia="Calibri" w:hAnsi="Times New Roman" w:cs="Times New Roman"/>
          <w:i/>
          <w:sz w:val="24"/>
          <w:szCs w:val="24"/>
        </w:rPr>
        <w:t xml:space="preserve">Nepriame finančné náklady na 1 podnikateľa </w:t>
      </w:r>
      <w:r w:rsidRPr="00685281">
        <w:rPr>
          <w:rFonts w:ascii="Times New Roman" w:eastAsia="Calibri" w:hAnsi="Times New Roman" w:cs="Times New Roman"/>
          <w:sz w:val="24"/>
          <w:szCs w:val="24"/>
        </w:rPr>
        <w:t>sú vyčíslené na základe vzorca:</w:t>
      </w:r>
    </w:p>
    <w:p w14:paraId="275E8396" w14:textId="77777777" w:rsidR="00782325" w:rsidRPr="00685281" w:rsidRDefault="00782325" w:rsidP="00782325">
      <w:pPr>
        <w:spacing w:after="120" w:line="240" w:lineRule="auto"/>
        <w:rPr>
          <w:rFonts w:ascii="Times New Roman" w:eastAsia="Calibri" w:hAnsi="Times New Roman" w:cs="Times New Roman"/>
          <w:sz w:val="24"/>
          <w:szCs w:val="24"/>
        </w:rPr>
      </w:pP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70528" behindDoc="0" locked="0" layoutInCell="1" allowOverlap="1" wp14:anchorId="23B24C2C" wp14:editId="0A20E956">
                <wp:simplePos x="0" y="0"/>
                <wp:positionH relativeFrom="column">
                  <wp:posOffset>4081780</wp:posOffset>
                </wp:positionH>
                <wp:positionV relativeFrom="paragraph">
                  <wp:posOffset>162560</wp:posOffset>
                </wp:positionV>
                <wp:extent cx="1261540" cy="475019"/>
                <wp:effectExtent l="0" t="0" r="0" b="1270"/>
                <wp:wrapSquare wrapText="bothSides"/>
                <wp:docPr id="37"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540" cy="475019"/>
                        </a:xfrm>
                        <a:prstGeom prst="rect">
                          <a:avLst/>
                        </a:prstGeom>
                        <a:solidFill>
                          <a:srgbClr val="00A1DE"/>
                        </a:solidFill>
                        <a:ln w="9525">
                          <a:noFill/>
                          <a:miter lim="800000"/>
                          <a:headEnd/>
                          <a:tailEnd/>
                        </a:ln>
                      </wps:spPr>
                      <wps:txbx>
                        <w:txbxContent>
                          <w:p w14:paraId="503E8DAA" w14:textId="77777777" w:rsidR="005978AA" w:rsidRDefault="005978AA" w:rsidP="00782325">
                            <w:pPr>
                              <w:pStyle w:val="Normlnywebov"/>
                              <w:jc w:val="center"/>
                              <w:textAlignment w:val="baseline"/>
                            </w:pPr>
                            <w:r>
                              <w:rPr>
                                <w:rFonts w:ascii="Arial" w:hAnsi="Arial" w:cstheme="minorBidi"/>
                                <w:b/>
                                <w:bCs/>
                                <w:color w:val="FFFFFF"/>
                                <w:kern w:val="24"/>
                                <w:sz w:val="16"/>
                                <w:szCs w:val="16"/>
                              </w:rPr>
                              <w:t>Frekvencia</w:t>
                            </w:r>
                          </w:p>
                        </w:txbxContent>
                      </wps:txbx>
                      <wps:bodyPr wrap="square" lIns="36000" tIns="36000" rIns="36000" bIns="36000" anchor="ctr"/>
                    </wps:wsp>
                  </a:graphicData>
                </a:graphic>
              </wp:anchor>
            </w:drawing>
          </mc:Choice>
          <mc:Fallback xmlns:cx1="http://schemas.microsoft.com/office/drawing/2015/9/8/chartex">
            <w:pict>
              <v:rect w14:anchorId="23B24C2C" id="_x0000_s1036" style="position:absolute;margin-left:321.4pt;margin-top:12.8pt;width:99.35pt;height:37.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" fillcolor="#00a1de" stroked="f">
                <v:textbox inset="1mm,1mm,1mm,1mm">
                  <w:txbxContent>
                    <w:p w14:paraId="503E8DAA" w14:textId="77777777" w:rsidR="005978AA" w:rsidRDefault="005978AA" w:rsidP="00782325">
                      <w:pPr>
                        <w:pStyle w:val="Normlnywebov"/>
                        <w:jc w:val="center"/>
                        <w:textAlignment w:val="baseline"/>
                      </w:pPr>
                      <w:r>
                        <w:rPr>
                          <w:rFonts w:ascii="Arial" w:hAnsi="Arial" w:cstheme="minorBidi"/>
                          <w:b/>
                          <w:bCs/>
                          <w:color w:val="FFFFFF"/>
                          <w:kern w:val="24"/>
                          <w:sz w:val="16"/>
                          <w:szCs w:val="16"/>
                        </w:rPr>
                        <w:t>Frekvencia</w:t>
                      </w:r>
                    </w:p>
                  </w:txbxContent>
                </v:textbox>
                <w10:wrap type="square"/>
              </v:rect>
            </w:pict>
          </mc:Fallback>
        </mc:AlternateContent>
      </w: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68480" behindDoc="0" locked="0" layoutInCell="1" allowOverlap="1" wp14:anchorId="2BA4484F" wp14:editId="5876BDCA">
                <wp:simplePos x="0" y="0"/>
                <wp:positionH relativeFrom="margin">
                  <wp:align>left</wp:align>
                </wp:positionH>
                <wp:positionV relativeFrom="paragraph">
                  <wp:posOffset>158115</wp:posOffset>
                </wp:positionV>
                <wp:extent cx="3800475" cy="474980"/>
                <wp:effectExtent l="0" t="0" r="9525" b="1270"/>
                <wp:wrapSquare wrapText="bothSides"/>
                <wp:docPr id="34" name="Rectangle 3">
                  <a:extLst xmlns:a="http://schemas.openxmlformats.org/drawingml/2006/main">
                    <a:ext uri="{FF2B5EF4-FFF2-40B4-BE49-F238E27FC236}">
                      <a16:creationId xmlns:a16="http://schemas.microsoft.com/office/drawing/2014/main" id="{00000000-0008-0000-0300-00002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74980"/>
                        </a:xfrm>
                        <a:prstGeom prst="rect">
                          <a:avLst/>
                        </a:prstGeom>
                        <a:solidFill>
                          <a:srgbClr val="00A1DE"/>
                        </a:solidFill>
                        <a:ln w="9525">
                          <a:noFill/>
                          <a:miter lim="800000"/>
                          <a:headEnd/>
                          <a:tailEnd/>
                        </a:ln>
                      </wps:spPr>
                      <wps:txbx>
                        <w:txbxContent>
                          <w:p w14:paraId="09446A85" w14:textId="77777777" w:rsidR="005978AA" w:rsidRDefault="005978AA" w:rsidP="00782325">
                            <w:pPr>
                              <w:pStyle w:val="Normlnywebov"/>
                              <w:jc w:val="center"/>
                              <w:textAlignment w:val="baseline"/>
                            </w:pPr>
                            <w:r>
                              <w:rPr>
                                <w:rFonts w:ascii="Arial" w:hAnsi="Arial" w:cstheme="minorBidi"/>
                                <w:b/>
                                <w:bCs/>
                                <w:color w:val="FFFFFF"/>
                                <w:kern w:val="24"/>
                                <w:sz w:val="16"/>
                                <w:szCs w:val="16"/>
                              </w:rPr>
                              <w:t>Iné nepriame náklady</w:t>
                            </w:r>
                          </w:p>
                          <w:p w14:paraId="20B716E8" w14:textId="77777777" w:rsidR="005978AA" w:rsidRDefault="005978AA" w:rsidP="00782325">
                            <w:pPr>
                              <w:pStyle w:val="Normlnywebov"/>
                              <w:jc w:val="center"/>
                              <w:textAlignment w:val="baseline"/>
                            </w:pPr>
                            <w:r>
                              <w:rPr>
                                <w:rFonts w:ascii="Arial" w:hAnsi="Arial" w:cstheme="minorBidi"/>
                                <w:b/>
                                <w:bCs/>
                                <w:color w:val="FFFFFF"/>
                                <w:kern w:val="24"/>
                                <w:sz w:val="16"/>
                                <w:szCs w:val="16"/>
                              </w:rPr>
                              <w:t xml:space="preserve">  </w:t>
                            </w:r>
                          </w:p>
                          <w:p w14:paraId="2AF68AAA" w14:textId="77777777" w:rsidR="005978AA" w:rsidRDefault="005978AA" w:rsidP="00782325">
                            <w:pPr>
                              <w:pStyle w:val="Normlnywebov"/>
                              <w:jc w:val="center"/>
                              <w:textAlignment w:val="baseline"/>
                            </w:pPr>
                            <w:r>
                              <w:rPr>
                                <w:rFonts w:ascii="Arial" w:hAnsi="Arial" w:cstheme="minorBidi"/>
                                <w:i/>
                                <w:iCs/>
                                <w:color w:val="FFFFFF"/>
                                <w:kern w:val="24"/>
                                <w:sz w:val="16"/>
                                <w:szCs w:val="16"/>
                              </w:rPr>
                              <w:t>na jedného podnikateľa</w:t>
                            </w:r>
                          </w:p>
                          <w:p w14:paraId="4F326111" w14:textId="77777777" w:rsidR="005978AA" w:rsidRDefault="005978AA" w:rsidP="00782325">
                            <w:pPr>
                              <w:pStyle w:val="Normlnywebov"/>
                              <w:jc w:val="center"/>
                              <w:textAlignment w:val="baseline"/>
                            </w:pPr>
                          </w:p>
                        </w:txbxContent>
                      </wps:txbx>
                      <wps:bodyPr wrap="square" lIns="36000" tIns="36000" rIns="36000" bIns="36000" anchor="ctr">
                        <a:noAutofit/>
                      </wps:bodyPr>
                    </wps:wsp>
                  </a:graphicData>
                </a:graphic>
                <wp14:sizeRelH relativeFrom="margin">
                  <wp14:pctWidth>0</wp14:pctWidth>
                </wp14:sizeRelH>
              </wp:anchor>
            </w:drawing>
          </mc:Choice>
          <mc:Fallback xmlns:cx1="http://schemas.microsoft.com/office/drawing/2015/9/8/chartex">
            <w:pict>
              <v:rect w14:anchorId="2BA4484F" id="_x0000_s1037" style="position:absolute;margin-left:0;margin-top:12.45pt;width:299.25pt;height:37.4pt;z-index:251668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" fillcolor="#00a1de" stroked="f">
                <v:textbox inset="1mm,1mm,1mm,1mm">
                  <w:txbxContent>
                    <w:p w14:paraId="09446A85" w14:textId="77777777" w:rsidR="005978AA" w:rsidRDefault="005978AA" w:rsidP="00782325">
                      <w:pPr>
                        <w:pStyle w:val="Normlnywebov"/>
                        <w:jc w:val="center"/>
                        <w:textAlignment w:val="baseline"/>
                      </w:pPr>
                      <w:r>
                        <w:rPr>
                          <w:rFonts w:ascii="Arial" w:hAnsi="Arial" w:cstheme="minorBidi"/>
                          <w:b/>
                          <w:bCs/>
                          <w:color w:val="FFFFFF"/>
                          <w:kern w:val="24"/>
                          <w:sz w:val="16"/>
                          <w:szCs w:val="16"/>
                        </w:rPr>
                        <w:t>Iné nepriame náklady</w:t>
                      </w:r>
                    </w:p>
                    <w:p w14:paraId="20B716E8" w14:textId="77777777" w:rsidR="005978AA" w:rsidRDefault="005978AA" w:rsidP="00782325">
                      <w:pPr>
                        <w:pStyle w:val="Normlnywebov"/>
                        <w:jc w:val="center"/>
                        <w:textAlignment w:val="baseline"/>
                      </w:pPr>
                      <w:r>
                        <w:rPr>
                          <w:rFonts w:ascii="Arial" w:hAnsi="Arial" w:cstheme="minorBidi"/>
                          <w:b/>
                          <w:bCs/>
                          <w:color w:val="FFFFFF"/>
                          <w:kern w:val="24"/>
                          <w:sz w:val="16"/>
                          <w:szCs w:val="16"/>
                        </w:rPr>
                        <w:t xml:space="preserve">  </w:t>
                      </w:r>
                    </w:p>
                    <w:p w14:paraId="2AF68AAA" w14:textId="77777777" w:rsidR="005978AA" w:rsidRDefault="005978AA" w:rsidP="00782325">
                      <w:pPr>
                        <w:pStyle w:val="Normlnywebov"/>
                        <w:jc w:val="center"/>
                        <w:textAlignment w:val="baseline"/>
                      </w:pPr>
                      <w:r>
                        <w:rPr>
                          <w:rFonts w:ascii="Arial" w:hAnsi="Arial" w:cstheme="minorBidi"/>
                          <w:i/>
                          <w:iCs/>
                          <w:color w:val="FFFFFF"/>
                          <w:kern w:val="24"/>
                          <w:sz w:val="16"/>
                          <w:szCs w:val="16"/>
                        </w:rPr>
                        <w:t>na jedného podnikateľa</w:t>
                      </w:r>
                    </w:p>
                    <w:p w14:paraId="4F326111" w14:textId="77777777" w:rsidR="005978AA" w:rsidRDefault="005978AA" w:rsidP="00782325">
                      <w:pPr>
                        <w:pStyle w:val="Normlnywebov"/>
                        <w:jc w:val="center"/>
                        <w:textAlignment w:val="baseline"/>
                      </w:pPr>
                    </w:p>
                  </w:txbxContent>
                </v:textbox>
                <w10:wrap type="square" anchorx="margin"/>
              </v:rect>
            </w:pict>
          </mc:Fallback>
        </mc:AlternateContent>
      </w:r>
    </w:p>
    <w:p w14:paraId="6FEADEE4" w14:textId="77777777" w:rsidR="00782325" w:rsidRPr="00685281" w:rsidRDefault="00782325" w:rsidP="00782325">
      <w:pPr>
        <w:spacing w:after="120" w:line="240" w:lineRule="auto"/>
        <w:rPr>
          <w:rFonts w:ascii="Times New Roman" w:eastAsia="Calibri" w:hAnsi="Times New Roman" w:cs="Times New Roman"/>
          <w:sz w:val="24"/>
          <w:szCs w:val="24"/>
        </w:rPr>
      </w:pP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69504" behindDoc="0" locked="0" layoutInCell="1" allowOverlap="1" wp14:anchorId="5E5BC5F9" wp14:editId="01C6C843">
                <wp:simplePos x="0" y="0"/>
                <wp:positionH relativeFrom="column">
                  <wp:posOffset>3853180</wp:posOffset>
                </wp:positionH>
                <wp:positionV relativeFrom="paragraph">
                  <wp:posOffset>6985</wp:posOffset>
                </wp:positionV>
                <wp:extent cx="248851" cy="224998"/>
                <wp:effectExtent l="0" t="0" r="0" b="0"/>
                <wp:wrapNone/>
                <wp:docPr id="113" name="BlokTextu 112">
                  <a:extLst xmlns:a="http://schemas.openxmlformats.org/drawingml/2006/main">
                    <a:ext uri="{FF2B5EF4-FFF2-40B4-BE49-F238E27FC236}">
                      <a16:creationId xmlns:a16="http://schemas.microsoft.com/office/drawing/2014/main" id="{00000000-0008-0000-0300-000071000000}"/>
                    </a:ext>
                  </a:extLst>
                </wp:docPr>
                <wp:cNvGraphicFramePr/>
                <a:graphic xmlns:a="http://schemas.openxmlformats.org/drawingml/2006/main">
                  <a:graphicData uri="http://schemas.microsoft.com/office/word/2010/wordprocessingShape">
                    <wps:wsp>
                      <wps:cNvSpPr txBox="1"/>
                      <wps:spPr>
                        <a:xfrm>
                          <a:off x="0" y="0"/>
                          <a:ext cx="248851" cy="22499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80E80F5" w14:textId="77777777" w:rsidR="005978AA" w:rsidRDefault="005978AA" w:rsidP="00782325">
                            <w:pPr>
                              <w:pStyle w:val="Normlnywebov"/>
                            </w:pPr>
                            <w:r>
                              <w:rPr>
                                <w:rFonts w:ascii="Arial" w:hAnsi="Arial" w:cs="Arial"/>
                                <w:b/>
                                <w:bCs/>
                                <w:color w:val="000000" w:themeColor="text1"/>
                                <w:sz w:val="18"/>
                                <w:szCs w:val="18"/>
                              </w:rPr>
                              <w:t>x</w:t>
                            </w:r>
                          </w:p>
                        </w:txbxContent>
                      </wps:txbx>
                      <wps:bodyPr vertOverflow="clip" horzOverflow="clip" wrap="none" rtlCol="0" anchor="t">
                        <a:spAutoFit/>
                      </wps:bodyPr>
                    </wps:wsp>
                  </a:graphicData>
                </a:graphic>
              </wp:anchor>
            </w:drawing>
          </mc:Choice>
          <mc:Fallback xmlns:cx1="http://schemas.microsoft.com/office/drawing/2015/9/8/chartex">
            <w:pict>
              <v:shape w14:anchorId="5E5BC5F9" id="BlokTextu 112" o:spid="_x0000_s1038" type="#_x0000_t202" style="position:absolute;margin-left:303.4pt;margin-top:.55pt;width:19.6pt;height:17.7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" filled="f" stroked="f">
                <v:textbox style="mso-fit-shape-to-text:t">
                  <w:txbxContent>
                    <w:p w14:paraId="780E80F5" w14:textId="77777777" w:rsidR="005978AA" w:rsidRDefault="005978AA" w:rsidP="00782325">
                      <w:pPr>
                        <w:pStyle w:val="Normlnywebov"/>
                      </w:pPr>
                      <w:r>
                        <w:rPr>
                          <w:rFonts w:ascii="Arial" w:hAnsi="Arial" w:cs="Arial"/>
                          <w:b/>
                          <w:bCs/>
                          <w:color w:val="000000" w:themeColor="text1"/>
                          <w:sz w:val="18"/>
                          <w:szCs w:val="18"/>
                        </w:rPr>
                        <w:t>x</w:t>
                      </w:r>
                    </w:p>
                  </w:txbxContent>
                </v:textbox>
              </v:shape>
            </w:pict>
          </mc:Fallback>
        </mc:AlternateContent>
      </w:r>
    </w:p>
    <w:p w14:paraId="2075C305" w14:textId="77777777" w:rsidR="00782325" w:rsidRPr="00685281" w:rsidRDefault="00782325" w:rsidP="00782325">
      <w:pPr>
        <w:spacing w:after="120" w:line="240" w:lineRule="auto"/>
        <w:rPr>
          <w:rFonts w:ascii="Times New Roman" w:eastAsia="Times New Roman" w:hAnsi="Times New Roman" w:cs="Times New Roman"/>
          <w:color w:val="000000"/>
          <w:sz w:val="24"/>
          <w:szCs w:val="24"/>
        </w:rPr>
      </w:pPr>
    </w:p>
    <w:p w14:paraId="60C769C3" w14:textId="77777777" w:rsidR="00782325" w:rsidRPr="00685281" w:rsidRDefault="00782325" w:rsidP="00782325">
      <w:pPr>
        <w:spacing w:after="120" w:line="240" w:lineRule="auto"/>
        <w:rPr>
          <w:rFonts w:ascii="Times New Roman" w:eastAsia="Calibri" w:hAnsi="Times New Roman" w:cs="Times New Roman"/>
          <w:sz w:val="24"/>
          <w:szCs w:val="24"/>
        </w:rPr>
      </w:pPr>
      <w:r w:rsidRPr="00685281">
        <w:rPr>
          <w:rFonts w:ascii="Times New Roman" w:eastAsia="Calibri" w:hAnsi="Times New Roman" w:cs="Times New Roman"/>
          <w:i/>
          <w:sz w:val="24"/>
          <w:szCs w:val="24"/>
        </w:rPr>
        <w:t xml:space="preserve">Administratívne náklady na 1 podnikateľa </w:t>
      </w:r>
      <w:r w:rsidRPr="00685281">
        <w:rPr>
          <w:rFonts w:ascii="Times New Roman" w:eastAsia="Calibri" w:hAnsi="Times New Roman" w:cs="Times New Roman"/>
          <w:sz w:val="24"/>
          <w:szCs w:val="24"/>
        </w:rPr>
        <w:t>sú vyčíslené na základe vzorca:</w:t>
      </w:r>
      <w:r w:rsidRPr="00685281">
        <w:rPr>
          <w:rFonts w:ascii="Times New Roman" w:eastAsia="Times New Roman" w:hAnsi="Times New Roman" w:cs="Times New Roman"/>
          <w:noProof/>
          <w:color w:val="000000"/>
          <w:sz w:val="24"/>
          <w:szCs w:val="24"/>
          <w:lang w:eastAsia="sk-SK"/>
        </w:rPr>
        <mc:AlternateContent>
          <mc:Choice Requires="wpg">
            <w:drawing>
              <wp:anchor distT="0" distB="0" distL="114300" distR="114300" simplePos="0" relativeHeight="251659264" behindDoc="0" locked="0" layoutInCell="1" allowOverlap="1" wp14:anchorId="41FD6DE8" wp14:editId="326E46A2">
                <wp:simplePos x="0" y="0"/>
                <wp:positionH relativeFrom="column">
                  <wp:posOffset>-4445</wp:posOffset>
                </wp:positionH>
                <wp:positionV relativeFrom="paragraph">
                  <wp:posOffset>240665</wp:posOffset>
                </wp:positionV>
                <wp:extent cx="3181350" cy="445770"/>
                <wp:effectExtent l="0" t="0" r="0" b="0"/>
                <wp:wrapSquare wrapText="bothSides"/>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0" cy="445770"/>
                          <a:chOff x="0" y="0"/>
                          <a:chExt cx="2838450" cy="445770"/>
                        </a:xfrm>
                      </wpg:grpSpPr>
                      <wps:wsp>
                        <wps:cNvPr id="20"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14:paraId="55505CA7" w14:textId="77777777" w:rsidR="005978AA" w:rsidRPr="00895898" w:rsidRDefault="005978AA" w:rsidP="0078232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r w:rsidRPr="00895898">
                                <w:rPr>
                                  <w:rFonts w:ascii="Arial" w:hAnsi="Arial"/>
                                  <w:color w:val="FFFFFF"/>
                                  <w:kern w:val="24"/>
                                  <w:sz w:val="16"/>
                                  <w:szCs w:val="16"/>
                                </w:rPr>
                                <w:t>**</w:t>
                              </w:r>
                            </w:p>
                          </w:txbxContent>
                        </wps:txbx>
                        <wps:bodyPr rot="0" vert="horz" wrap="square" lIns="91440" tIns="45720" rIns="91440" bIns="45720" anchor="ctr" anchorCtr="0">
                          <a:noAutofit/>
                        </wps:bodyPr>
                      </wps:wsp>
                      <wps:wsp>
                        <wps:cNvPr id="22" name="Textové pole 2"/>
                        <wps:cNvSpPr txBox="1">
                          <a:spLocks noChangeArrowheads="1"/>
                        </wps:cNvSpPr>
                        <wps:spPr bwMode="auto">
                          <a:xfrm>
                            <a:off x="781050" y="57150"/>
                            <a:ext cx="100965" cy="304800"/>
                          </a:xfrm>
                          <a:prstGeom prst="rect">
                            <a:avLst/>
                          </a:prstGeom>
                          <a:noFill/>
                          <a:ln w="9525">
                            <a:noFill/>
                            <a:miter lim="800000"/>
                            <a:headEnd/>
                            <a:tailEnd/>
                          </a:ln>
                        </wps:spPr>
                        <wps:txbx>
                          <w:txbxContent>
                            <w:p w14:paraId="0C20FDA7" w14:textId="77777777" w:rsidR="005978AA" w:rsidRDefault="005978AA" w:rsidP="00782325">
                              <w:r>
                                <w:t>x</w:t>
                              </w:r>
                            </w:p>
                          </w:txbxContent>
                        </wps:txbx>
                        <wps:bodyPr rot="0" vert="horz" wrap="square" lIns="91440" tIns="45720" rIns="91440" bIns="45720" anchor="t" anchorCtr="0">
                          <a:noAutofit/>
                        </wps:bodyPr>
                      </wps:wsp>
                      <wps:wsp>
                        <wps:cNvPr id="23" name="Textové pole 2"/>
                        <wps:cNvSpPr txBox="1">
                          <a:spLocks noChangeArrowheads="1"/>
                        </wps:cNvSpPr>
                        <wps:spPr bwMode="auto">
                          <a:xfrm>
                            <a:off x="1057275" y="0"/>
                            <a:ext cx="733425" cy="445770"/>
                          </a:xfrm>
                          <a:prstGeom prst="rect">
                            <a:avLst/>
                          </a:prstGeom>
                          <a:solidFill>
                            <a:srgbClr val="92D050"/>
                          </a:solidFill>
                          <a:ln w="9525">
                            <a:noFill/>
                            <a:miter lim="800000"/>
                            <a:headEnd/>
                            <a:tailEnd/>
                          </a:ln>
                        </wps:spPr>
                        <wps:txbx>
                          <w:txbxContent>
                            <w:p w14:paraId="33048BC8" w14:textId="77777777" w:rsidR="005978AA" w:rsidRPr="00895898" w:rsidRDefault="005978AA" w:rsidP="0078232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wps:txbx>
                        <wps:bodyPr rot="0" vert="horz" wrap="square" lIns="91440" tIns="45720" rIns="91440" bIns="45720" anchor="ctr" anchorCtr="0">
                          <a:noAutofit/>
                        </wps:bodyPr>
                      </wps:wsp>
                      <wps:wsp>
                        <wps:cNvPr id="24" name="Textové pole 2"/>
                        <wps:cNvSpPr txBox="1">
                          <a:spLocks noChangeArrowheads="1"/>
                        </wps:cNvSpPr>
                        <wps:spPr bwMode="auto">
                          <a:xfrm>
                            <a:off x="1838325" y="57150"/>
                            <a:ext cx="85090" cy="342900"/>
                          </a:xfrm>
                          <a:prstGeom prst="rect">
                            <a:avLst/>
                          </a:prstGeom>
                          <a:noFill/>
                          <a:ln w="9525">
                            <a:noFill/>
                            <a:miter lim="800000"/>
                            <a:headEnd/>
                            <a:tailEnd/>
                          </a:ln>
                        </wps:spPr>
                        <wps:txbx>
                          <w:txbxContent>
                            <w:p w14:paraId="7101FE37" w14:textId="77777777" w:rsidR="005978AA" w:rsidRDefault="005978AA" w:rsidP="00782325">
                              <w:r>
                                <w:t>x</w:t>
                              </w:r>
                            </w:p>
                          </w:txbxContent>
                        </wps:txbx>
                        <wps:bodyPr rot="0" vert="horz" wrap="square" lIns="91440" tIns="45720" rIns="91440" bIns="45720" anchor="t" anchorCtr="0">
                          <a:noAutofit/>
                        </wps:bodyPr>
                      </wps:wsp>
                      <wps:wsp>
                        <wps:cNvPr id="25" name="Textové pole 2"/>
                        <wps:cNvSpPr txBox="1">
                          <a:spLocks noChangeArrowheads="1"/>
                        </wps:cNvSpPr>
                        <wps:spPr bwMode="auto">
                          <a:xfrm>
                            <a:off x="2105025" y="0"/>
                            <a:ext cx="733425" cy="445770"/>
                          </a:xfrm>
                          <a:prstGeom prst="rect">
                            <a:avLst/>
                          </a:prstGeom>
                          <a:solidFill>
                            <a:srgbClr val="92D050"/>
                          </a:solidFill>
                          <a:ln w="9525">
                            <a:noFill/>
                            <a:miter lim="800000"/>
                            <a:headEnd/>
                            <a:tailEnd/>
                          </a:ln>
                        </wps:spPr>
                        <wps:txbx>
                          <w:txbxContent>
                            <w:p w14:paraId="4AD15661" w14:textId="77777777" w:rsidR="005978AA" w:rsidRPr="00895898" w:rsidRDefault="005978AA" w:rsidP="0078232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wps:txbx>
                        <wps:bodyPr rot="0" vert="horz" wrap="square" lIns="91440" tIns="45720" rIns="91440" bIns="45720" anchor="ctr" anchorCtr="0">
                          <a:noAutofit/>
                        </wps:bodyPr>
                      </wps:wsp>
                    </wpg:wgp>
                  </a:graphicData>
                </a:graphic>
                <wp14:sizeRelH relativeFrom="margin">
                  <wp14:pctWidth>0</wp14:pctWidth>
                </wp14:sizeRelH>
                <wp14:sizeRelV relativeFrom="page">
                  <wp14:pctHeight>0</wp14:pctHeight>
                </wp14:sizeRelV>
              </wp:anchor>
            </w:drawing>
          </mc:Choice>
          <mc:Fallback xmlns:cx1="http://schemas.microsoft.com/office/drawing/2015/9/8/chartex">
            <w:pict>
              <v:group w14:anchorId="41FD6DE8" id="Skupina 19" o:spid="_x0000_s1039" style="position:absolute;margin-left:-.35pt;margin-top:18.95pt;width:250.5pt;height:35.1pt;z-index:251659264;mso-width-relative:margin" coordsize="2838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">
                <v:shape id="Textové pole 2" o:spid="_x0000_s1040"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" fillcolor="#92d050" stroked="f">
                  <v:textbox>
                    <w:txbxContent>
                      <w:p w14:paraId="55505CA7" w14:textId="77777777" w:rsidR="005978AA" w:rsidRPr="00895898" w:rsidRDefault="005978AA" w:rsidP="0078232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r w:rsidRPr="00895898">
                          <w:rPr>
                            <w:rFonts w:ascii="Arial" w:hAnsi="Arial"/>
                            <w:color w:val="FFFFFF"/>
                            <w:kern w:val="24"/>
                            <w:sz w:val="16"/>
                            <w:szCs w:val="16"/>
                          </w:rPr>
                          <w:t>**</w:t>
                        </w:r>
                      </w:p>
                    </w:txbxContent>
                  </v:textbox>
                </v:shape>
                <v:shape id="Textové pole 2" o:spid="_x0000_s1041" type="#_x0000_t202" style="position:absolute;left:7810;top:571;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0C20FDA7" w14:textId="77777777" w:rsidR="005978AA" w:rsidRDefault="005978AA" w:rsidP="00782325">
                        <w:r>
                          <w:t>x</w:t>
                        </w:r>
                      </w:p>
                    </w:txbxContent>
                  </v:textbox>
                </v:shape>
                <v:shape id="Textové pole 2" o:spid="_x0000_s1042" type="#_x0000_t202" style="position:absolute;left:10572;width:7335;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" fillcolor="#92d050" stroked="f">
                  <v:textbox>
                    <w:txbxContent>
                      <w:p w14:paraId="33048BC8" w14:textId="77777777" w:rsidR="005978AA" w:rsidRPr="00895898" w:rsidRDefault="005978AA" w:rsidP="0078232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v:textbox>
                </v:shape>
                <v:shape id="Textové pole 2" o:spid="_x0000_s1043" type="#_x0000_t202" style="position:absolute;left:18383;top:571;width:85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7101FE37" w14:textId="77777777" w:rsidR="005978AA" w:rsidRDefault="005978AA" w:rsidP="00782325">
                        <w:r>
                          <w:t>x</w:t>
                        </w:r>
                      </w:p>
                    </w:txbxContent>
                  </v:textbox>
                </v:shape>
                <v:shape id="Textové pole 2" o:spid="_x0000_s1044" type="#_x0000_t202" style="position:absolute;left:21050;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" fillcolor="#92d050" stroked="f">
                  <v:textbox>
                    <w:txbxContent>
                      <w:p w14:paraId="4AD15661" w14:textId="77777777" w:rsidR="005978AA" w:rsidRPr="00895898" w:rsidRDefault="005978AA" w:rsidP="0078232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v:textbox>
                </v:shape>
                <w10:wrap type="square"/>
              </v:group>
            </w:pict>
          </mc:Fallback>
        </mc:AlternateContent>
      </w:r>
    </w:p>
    <w:p w14:paraId="5D313A9A" w14:textId="77777777" w:rsidR="00782325" w:rsidRPr="00685281" w:rsidRDefault="00782325" w:rsidP="00782325">
      <w:pPr>
        <w:spacing w:after="120" w:line="240" w:lineRule="auto"/>
        <w:rPr>
          <w:rFonts w:ascii="Times New Roman" w:eastAsia="Times New Roman" w:hAnsi="Times New Roman" w:cs="Times New Roman"/>
          <w:noProof/>
          <w:color w:val="000000"/>
          <w:sz w:val="24"/>
          <w:szCs w:val="24"/>
          <w:lang w:eastAsia="sk-SK"/>
        </w:rPr>
      </w:pPr>
    </w:p>
    <w:p w14:paraId="44A1FAD7" w14:textId="77777777" w:rsidR="00782325" w:rsidRPr="00685281" w:rsidRDefault="00782325" w:rsidP="00782325">
      <w:pPr>
        <w:spacing w:after="120" w:line="240" w:lineRule="auto"/>
        <w:rPr>
          <w:rFonts w:ascii="Times New Roman" w:eastAsia="Times New Roman" w:hAnsi="Times New Roman" w:cs="Times New Roman"/>
          <w:color w:val="000000"/>
          <w:sz w:val="24"/>
          <w:szCs w:val="24"/>
        </w:rPr>
      </w:pPr>
    </w:p>
    <w:p w14:paraId="1520DC3B" w14:textId="77777777" w:rsidR="00782325" w:rsidRPr="00685281" w:rsidRDefault="00782325" w:rsidP="00782325">
      <w:pPr>
        <w:spacing w:after="120" w:line="240" w:lineRule="auto"/>
        <w:rPr>
          <w:rFonts w:ascii="Times New Roman" w:eastAsia="Times New Roman" w:hAnsi="Times New Roman" w:cs="Times New Roman"/>
          <w:i/>
          <w:color w:val="000000"/>
          <w:sz w:val="24"/>
          <w:szCs w:val="24"/>
        </w:rPr>
      </w:pPr>
    </w:p>
    <w:p w14:paraId="28AD79E9" w14:textId="77777777" w:rsidR="00782325" w:rsidRPr="00685281" w:rsidRDefault="00782325" w:rsidP="00782325">
      <w:pPr>
        <w:spacing w:after="120" w:line="240" w:lineRule="auto"/>
        <w:rPr>
          <w:rFonts w:ascii="Times New Roman" w:eastAsia="Times New Roman" w:hAnsi="Times New Roman" w:cs="Times New Roman"/>
          <w:i/>
          <w:sz w:val="24"/>
          <w:szCs w:val="24"/>
        </w:rPr>
      </w:pPr>
      <w:r w:rsidRPr="00685281">
        <w:rPr>
          <w:rFonts w:ascii="Times New Roman" w:eastAsia="Times New Roman" w:hAnsi="Times New Roman" w:cs="Times New Roman"/>
          <w:i/>
          <w:sz w:val="24"/>
          <w:szCs w:val="24"/>
        </w:rPr>
        <w:t>* Pokyny k vyplneniu frekvencie plnenia povinnosti sú uvedené na str. 11</w:t>
      </w:r>
    </w:p>
    <w:p w14:paraId="222A9525" w14:textId="77777777" w:rsidR="00782325" w:rsidRPr="00685281" w:rsidRDefault="00782325" w:rsidP="00782325">
      <w:pPr>
        <w:spacing w:after="120" w:line="240" w:lineRule="auto"/>
        <w:rPr>
          <w:rFonts w:ascii="Times New Roman" w:eastAsia="Times New Roman" w:hAnsi="Times New Roman" w:cs="Times New Roman"/>
          <w:i/>
          <w:sz w:val="24"/>
          <w:szCs w:val="24"/>
        </w:rPr>
      </w:pPr>
      <w:r w:rsidRPr="00685281">
        <w:rPr>
          <w:rFonts w:ascii="Times New Roman" w:eastAsia="Times New Roman" w:hAnsi="Times New Roman" w:cs="Times New Roman"/>
          <w:i/>
          <w:sz w:val="24"/>
          <w:szCs w:val="24"/>
        </w:rPr>
        <w:t>** Pokyny k vyplneniu časovej náročnosti sú uvedené na str. 11 a 12</w:t>
      </w:r>
    </w:p>
    <w:p w14:paraId="56A87A71" w14:textId="77777777" w:rsidR="00782325" w:rsidRPr="00685281" w:rsidRDefault="00782325" w:rsidP="00782325">
      <w:pPr>
        <w:spacing w:after="120" w:line="240" w:lineRule="auto"/>
        <w:jc w:val="both"/>
        <w:rPr>
          <w:rFonts w:ascii="Times New Roman" w:eastAsia="Times New Roman" w:hAnsi="Times New Roman" w:cs="Times New Roman"/>
          <w:i/>
          <w:color w:val="000000"/>
          <w:sz w:val="24"/>
          <w:szCs w:val="24"/>
        </w:rPr>
      </w:pPr>
      <w:r w:rsidRPr="00685281">
        <w:rPr>
          <w:rFonts w:ascii="Times New Roman" w:eastAsia="Times New Roman" w:hAnsi="Times New Roman" w:cs="Times New Roman"/>
          <w:i/>
          <w:sz w:val="24"/>
          <w:szCs w:val="24"/>
        </w:rPr>
        <w:t xml:space="preserve">*** Tarifa – pre zjednodušenie výpočtov vychádza z priemernej ceny práce, ktorá je uvedená v Kalkulačke nákladov (priemerná mzda + odvody zamestnávateľa). </w:t>
      </w:r>
    </w:p>
    <w:p w14:paraId="186E1E44" w14:textId="77777777" w:rsidR="00782325" w:rsidRPr="00685281" w:rsidRDefault="00782325" w:rsidP="00782325">
      <w:pPr>
        <w:spacing w:after="120" w:line="240" w:lineRule="auto"/>
        <w:rPr>
          <w:rFonts w:ascii="Times New Roman" w:eastAsia="Calibri" w:hAnsi="Times New Roman" w:cs="Times New Roman"/>
          <w:i/>
          <w:sz w:val="24"/>
          <w:szCs w:val="24"/>
        </w:rPr>
      </w:pPr>
    </w:p>
    <w:p w14:paraId="538BC8AE" w14:textId="77777777" w:rsidR="00782325" w:rsidRPr="00685281" w:rsidRDefault="00782325" w:rsidP="00782325">
      <w:pPr>
        <w:spacing w:after="120" w:line="240" w:lineRule="auto"/>
        <w:rPr>
          <w:rFonts w:ascii="Times New Roman" w:eastAsia="Calibri" w:hAnsi="Times New Roman" w:cs="Times New Roman"/>
          <w:sz w:val="24"/>
          <w:szCs w:val="24"/>
        </w:rPr>
      </w:pPr>
      <w:r w:rsidRPr="00685281">
        <w:rPr>
          <w:rFonts w:ascii="Times New Roman" w:eastAsia="Calibri" w:hAnsi="Times New Roman" w:cs="Times New Roman"/>
          <w:i/>
          <w:sz w:val="24"/>
          <w:szCs w:val="24"/>
        </w:rPr>
        <w:t xml:space="preserve">Celkové náklady na 1 podnikateľa </w:t>
      </w:r>
      <w:r w:rsidRPr="00685281">
        <w:rPr>
          <w:rFonts w:ascii="Times New Roman" w:eastAsia="Calibri" w:hAnsi="Times New Roman" w:cs="Times New Roman"/>
          <w:sz w:val="24"/>
          <w:szCs w:val="24"/>
        </w:rPr>
        <w:t>sú vyčíslené na základe vzorca:</w:t>
      </w:r>
    </w:p>
    <w:p w14:paraId="349E9AF8" w14:textId="77777777" w:rsidR="00782325" w:rsidRPr="00685281" w:rsidRDefault="00782325" w:rsidP="00782325">
      <w:pPr>
        <w:spacing w:after="120" w:line="240" w:lineRule="auto"/>
        <w:rPr>
          <w:rFonts w:ascii="Times New Roman" w:eastAsia="Times New Roman" w:hAnsi="Times New Roman" w:cs="Times New Roman"/>
          <w:color w:val="000000"/>
          <w:sz w:val="24"/>
          <w:szCs w:val="24"/>
        </w:rPr>
      </w:pPr>
    </w:p>
    <w:p w14:paraId="43ABFB2E" w14:textId="77777777" w:rsidR="00782325" w:rsidRPr="00685281" w:rsidRDefault="00782325" w:rsidP="00782325">
      <w:pPr>
        <w:spacing w:after="120" w:line="240" w:lineRule="auto"/>
        <w:rPr>
          <w:rFonts w:ascii="Times New Roman" w:eastAsia="Times New Roman" w:hAnsi="Times New Roman" w:cs="Times New Roman"/>
          <w:color w:val="000000"/>
          <w:sz w:val="24"/>
          <w:szCs w:val="24"/>
        </w:rPr>
      </w:pP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75648" behindDoc="0" locked="0" layoutInCell="1" allowOverlap="1" wp14:anchorId="4B988E2A" wp14:editId="3692CEE1">
                <wp:simplePos x="0" y="0"/>
                <wp:positionH relativeFrom="column">
                  <wp:posOffset>4803140</wp:posOffset>
                </wp:positionH>
                <wp:positionV relativeFrom="paragraph">
                  <wp:posOffset>509270</wp:posOffset>
                </wp:positionV>
                <wp:extent cx="248285" cy="258445"/>
                <wp:effectExtent l="0" t="0" r="0" b="0"/>
                <wp:wrapSquare wrapText="bothSides"/>
                <wp:docPr id="13"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285" cy="2584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AFF3D61" w14:textId="77777777" w:rsidR="005978AA" w:rsidRDefault="005978AA" w:rsidP="00782325">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xmlns:cx1="http://schemas.microsoft.com/office/drawing/2015/9/8/chartex">
            <w:pict>
              <v:shape w14:anchorId="4B988E2A" id="BlokTextu 200" o:spid="_x0000_s1045" type="#_x0000_t202" style="position:absolute;margin-left:378.2pt;margin-top:40.1pt;width:19.55pt;height:20.3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" filled="f" stroked="f">
                <v:textbox>
                  <w:txbxContent>
                    <w:p w14:paraId="7AFF3D61" w14:textId="77777777" w:rsidR="005978AA" w:rsidRDefault="005978AA" w:rsidP="00782325">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74624" behindDoc="0" locked="0" layoutInCell="1" allowOverlap="1" wp14:anchorId="39175D9D" wp14:editId="506F1BA3">
                <wp:simplePos x="0" y="0"/>
                <wp:positionH relativeFrom="column">
                  <wp:posOffset>3643630</wp:posOffset>
                </wp:positionH>
                <wp:positionV relativeFrom="paragraph">
                  <wp:posOffset>528319</wp:posOffset>
                </wp:positionV>
                <wp:extent cx="248612" cy="258884"/>
                <wp:effectExtent l="0" t="0" r="0" b="0"/>
                <wp:wrapSquare wrapText="bothSides"/>
                <wp:docPr id="8"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612" cy="25888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1431B06" w14:textId="77777777" w:rsidR="005978AA" w:rsidRDefault="005978AA" w:rsidP="00782325">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xmlns:cx1="http://schemas.microsoft.com/office/drawing/2015/9/8/chartex">
            <w:pict>
              <v:shape w14:anchorId="39175D9D" id="_x0000_s1046" type="#_x0000_t202" style="position:absolute;margin-left:286.9pt;margin-top:41.6pt;width:19.6pt;height:20.4pt;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" filled="f" stroked="f">
                <v:textbox>
                  <w:txbxContent>
                    <w:p w14:paraId="11431B06" w14:textId="77777777" w:rsidR="005978AA" w:rsidRDefault="005978AA" w:rsidP="00782325">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73600" behindDoc="0" locked="0" layoutInCell="1" allowOverlap="1" wp14:anchorId="5184209E" wp14:editId="54E43686">
                <wp:simplePos x="0" y="0"/>
                <wp:positionH relativeFrom="column">
                  <wp:posOffset>2491105</wp:posOffset>
                </wp:positionH>
                <wp:positionV relativeFrom="paragraph">
                  <wp:posOffset>504825</wp:posOffset>
                </wp:positionV>
                <wp:extent cx="248612" cy="258884"/>
                <wp:effectExtent l="0" t="0" r="0" b="0"/>
                <wp:wrapNone/>
                <wp:docPr id="201"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612" cy="25888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1CAA270" w14:textId="77777777" w:rsidR="005978AA" w:rsidRDefault="005978AA" w:rsidP="00782325">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xmlns:cx1="http://schemas.microsoft.com/office/drawing/2015/9/8/chartex">
            <w:pict>
              <v:shape w14:anchorId="5184209E" id="_x0000_s1047" type="#_x0000_t202" style="position:absolute;margin-left:196.15pt;margin-top:39.75pt;width:19.6pt;height:20.4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" filled="f" stroked="f">
                <v:textbox>
                  <w:txbxContent>
                    <w:p w14:paraId="31CAA270" w14:textId="77777777" w:rsidR="005978AA" w:rsidRDefault="005978AA" w:rsidP="00782325">
                      <w:pPr>
                        <w:pStyle w:val="Normlnywebov"/>
                      </w:pPr>
                      <w:r>
                        <w:rPr>
                          <w:rFonts w:asciiTheme="minorHAnsi" w:hAnsi="Calibri" w:cstheme="minorBidi"/>
                          <w:b/>
                          <w:bCs/>
                          <w:color w:val="000000" w:themeColor="text1"/>
                          <w:sz w:val="22"/>
                          <w:szCs w:val="22"/>
                        </w:rPr>
                        <w:t>+</w:t>
                      </w:r>
                    </w:p>
                  </w:txbxContent>
                </v:textbox>
              </v:shape>
            </w:pict>
          </mc:Fallback>
        </mc:AlternateContent>
      </w:r>
      <w:r w:rsidRPr="00685281">
        <w:rPr>
          <w:rFonts w:ascii="Times New Roman" w:hAnsi="Times New Roman" w:cs="Times New Roman"/>
          <w:noProof/>
          <w:sz w:val="24"/>
          <w:szCs w:val="24"/>
          <w:lang w:eastAsia="sk-SK"/>
        </w:rPr>
        <mc:AlternateContent>
          <mc:Choice Requires="wpg">
            <w:drawing>
              <wp:anchor distT="0" distB="0" distL="114300" distR="114300" simplePos="0" relativeHeight="251671552" behindDoc="0" locked="0" layoutInCell="1" allowOverlap="1" wp14:anchorId="520C8673" wp14:editId="458EC677">
                <wp:simplePos x="0" y="0"/>
                <wp:positionH relativeFrom="margin">
                  <wp:align>left</wp:align>
                </wp:positionH>
                <wp:positionV relativeFrom="paragraph">
                  <wp:posOffset>180975</wp:posOffset>
                </wp:positionV>
                <wp:extent cx="5972175" cy="902970"/>
                <wp:effectExtent l="0" t="0" r="9525" b="0"/>
                <wp:wrapSquare wrapText="bothSides"/>
                <wp:docPr id="89" name="Skupina 88">
                  <a:extLst xmlns:a="http://schemas.openxmlformats.org/drawingml/2006/main">
                    <a:ext uri="{FF2B5EF4-FFF2-40B4-BE49-F238E27FC236}">
                      <a16:creationId xmlns:a16="http://schemas.microsoft.com/office/drawing/2014/main" id="{00000000-0008-0000-0300-000059000000}"/>
                    </a:ext>
                  </a:extLst>
                </wp:docPr>
                <wp:cNvGraphicFramePr/>
                <a:graphic xmlns:a="http://schemas.openxmlformats.org/drawingml/2006/main">
                  <a:graphicData uri="http://schemas.microsoft.com/office/word/2010/wordprocessingGroup">
                    <wpg:wgp>
                      <wpg:cNvGrpSpPr/>
                      <wpg:grpSpPr>
                        <a:xfrm>
                          <a:off x="0" y="0"/>
                          <a:ext cx="5972175" cy="902970"/>
                          <a:chOff x="0" y="0"/>
                          <a:chExt cx="6809417" cy="862629"/>
                        </a:xfrm>
                      </wpg:grpSpPr>
                      <wps:wsp>
                        <wps:cNvPr id="2" name="Rectangle 3">
                          <a:extLst>
                            <a:ext uri="{FF2B5EF4-FFF2-40B4-BE49-F238E27FC236}">
                              <a16:creationId xmlns:a16="http://schemas.microsoft.com/office/drawing/2014/main" id="{00000000-0008-0000-0300-00005A000000}"/>
                            </a:ext>
                          </a:extLst>
                        </wps:cNvPr>
                        <wps:cNvSpPr>
                          <a:spLocks noChangeArrowheads="1"/>
                        </wps:cNvSpPr>
                        <wps:spPr bwMode="auto">
                          <a:xfrm>
                            <a:off x="5732926" y="0"/>
                            <a:ext cx="1076491" cy="853641"/>
                          </a:xfrm>
                          <a:prstGeom prst="rect">
                            <a:avLst/>
                          </a:prstGeom>
                          <a:solidFill>
                            <a:srgbClr val="81BC00"/>
                          </a:solidFill>
                          <a:ln w="9525">
                            <a:noFill/>
                            <a:miter lim="800000"/>
                            <a:headEnd/>
                            <a:tailEnd/>
                          </a:ln>
                        </wps:spPr>
                        <wps:txbx>
                          <w:txbxContent>
                            <w:p w14:paraId="6770DD92" w14:textId="77777777" w:rsidR="005978AA" w:rsidRDefault="005978AA" w:rsidP="00782325">
                              <w:pPr>
                                <w:pStyle w:val="Normlnywebov"/>
                                <w:jc w:val="center"/>
                                <w:textAlignment w:val="baseline"/>
                              </w:pPr>
                              <w:r>
                                <w:rPr>
                                  <w:rFonts w:ascii="Arial" w:hAnsi="Arial" w:cstheme="minorBidi"/>
                                  <w:b/>
                                  <w:bCs/>
                                  <w:color w:val="FFFFFF"/>
                                  <w:kern w:val="24"/>
                                  <w:sz w:val="20"/>
                                  <w:szCs w:val="20"/>
                                </w:rPr>
                                <w:t xml:space="preserve">Administratívne náklady </w:t>
                              </w:r>
                            </w:p>
                            <w:p w14:paraId="6FF11B07" w14:textId="77777777" w:rsidR="005978AA" w:rsidRDefault="005978AA" w:rsidP="00782325">
                              <w:pPr>
                                <w:pStyle w:val="Normlnywebov"/>
                                <w:jc w:val="center"/>
                                <w:textAlignment w:val="baseline"/>
                              </w:pPr>
                              <w:r>
                                <w:rPr>
                                  <w:rFonts w:ascii="Arial" w:hAnsi="Arial" w:cstheme="minorBidi"/>
                                  <w:i/>
                                  <w:iCs/>
                                  <w:color w:val="FFFFFF"/>
                                  <w:kern w:val="24"/>
                                  <w:sz w:val="16"/>
                                  <w:szCs w:val="16"/>
                                </w:rPr>
                                <w:t>na jedného podnikateľa</w:t>
                              </w:r>
                            </w:p>
                          </w:txbxContent>
                        </wps:txbx>
                        <wps:bodyPr wrap="square" lIns="36000" tIns="36000" rIns="36000" bIns="36000" anchor="ctr"/>
                      </wps:wsp>
                      <wps:wsp>
                        <wps:cNvPr id="3" name="Rectangle 3">
                          <a:extLst>
                            <a:ext uri="{FF2B5EF4-FFF2-40B4-BE49-F238E27FC236}">
                              <a16:creationId xmlns:a16="http://schemas.microsoft.com/office/drawing/2014/main" id="{00000000-0008-0000-0300-00005B000000}"/>
                            </a:ext>
                          </a:extLst>
                        </wps:cNvPr>
                        <wps:cNvSpPr>
                          <a:spLocks noChangeArrowheads="1"/>
                        </wps:cNvSpPr>
                        <wps:spPr bwMode="auto">
                          <a:xfrm>
                            <a:off x="0" y="514"/>
                            <a:ext cx="1568601" cy="853641"/>
                          </a:xfrm>
                          <a:prstGeom prst="rect">
                            <a:avLst/>
                          </a:prstGeom>
                          <a:solidFill>
                            <a:srgbClr val="0070C0"/>
                          </a:solidFill>
                          <a:ln w="9525">
                            <a:noFill/>
                            <a:miter lim="800000"/>
                            <a:headEnd/>
                            <a:tailEnd/>
                          </a:ln>
                        </wps:spPr>
                        <wps:txbx>
                          <w:txbxContent>
                            <w:p w14:paraId="0ECA85D4" w14:textId="77777777" w:rsidR="005978AA" w:rsidRDefault="005978AA" w:rsidP="00782325">
                              <w:pPr>
                                <w:pStyle w:val="Normlnywebov"/>
                                <w:jc w:val="center"/>
                                <w:textAlignment w:val="baseline"/>
                              </w:pPr>
                              <w:r>
                                <w:rPr>
                                  <w:rFonts w:ascii="Arial" w:hAnsi="Arial" w:cstheme="minorBidi"/>
                                  <w:b/>
                                  <w:bCs/>
                                  <w:color w:val="FFFFFF"/>
                                  <w:kern w:val="24"/>
                                  <w:sz w:val="20"/>
                                  <w:szCs w:val="20"/>
                                </w:rPr>
                                <w:t xml:space="preserve">Priame náklady </w:t>
                              </w:r>
                            </w:p>
                            <w:p w14:paraId="0A7CC586" w14:textId="77777777" w:rsidR="005978AA" w:rsidRDefault="005978AA" w:rsidP="00782325">
                              <w:pPr>
                                <w:pStyle w:val="Normlnywebov"/>
                                <w:jc w:val="center"/>
                                <w:textAlignment w:val="baseline"/>
                              </w:pPr>
                              <w:r>
                                <w:rPr>
                                  <w:rFonts w:ascii="Arial" w:hAnsi="Arial" w:cstheme="minorBidi"/>
                                  <w:color w:val="FFFFFF"/>
                                  <w:kern w:val="24"/>
                                  <w:sz w:val="16"/>
                                  <w:szCs w:val="16"/>
                                </w:rPr>
                                <w:t>Dane, odvody, clá a poplatky, ktorých cieľom je znižovať negatívne externality)</w:t>
                              </w:r>
                            </w:p>
                            <w:p w14:paraId="6FB25F4C" w14:textId="77777777" w:rsidR="005978AA" w:rsidRDefault="005978AA" w:rsidP="00782325">
                              <w:pPr>
                                <w:pStyle w:val="Normlnywebov"/>
                                <w:jc w:val="center"/>
                                <w:textAlignment w:val="baseline"/>
                              </w:pPr>
                              <w:r>
                                <w:rPr>
                                  <w:rFonts w:ascii="Arial" w:hAnsi="Arial" w:cstheme="minorBidi"/>
                                  <w:color w:val="FFFFFF"/>
                                  <w:kern w:val="24"/>
                                  <w:sz w:val="16"/>
                                  <w:szCs w:val="16"/>
                                </w:rPr>
                                <w:t xml:space="preserve"> </w:t>
                              </w:r>
                              <w:r>
                                <w:rPr>
                                  <w:rFonts w:ascii="Arial" w:hAnsi="Arial" w:cstheme="minorBidi"/>
                                  <w:i/>
                                  <w:iCs/>
                                  <w:color w:val="FFFFFF"/>
                                  <w:kern w:val="24"/>
                                  <w:sz w:val="16"/>
                                  <w:szCs w:val="16"/>
                                </w:rPr>
                                <w:t>na jedného podnikateľa</w:t>
                              </w:r>
                            </w:p>
                          </w:txbxContent>
                        </wps:txbx>
                        <wps:bodyPr wrap="square" lIns="36000" tIns="36000" rIns="36000" bIns="36000" anchor="ctr" anchorCtr="0"/>
                      </wps:wsp>
                      <wps:wsp>
                        <wps:cNvPr id="4" name="Rectangle 3">
                          <a:extLst>
                            <a:ext uri="{FF2B5EF4-FFF2-40B4-BE49-F238E27FC236}">
                              <a16:creationId xmlns:a16="http://schemas.microsoft.com/office/drawing/2014/main" id="{00000000-0008-0000-0300-00005C000000}"/>
                            </a:ext>
                          </a:extLst>
                        </wps:cNvPr>
                        <wps:cNvSpPr>
                          <a:spLocks noChangeArrowheads="1"/>
                        </wps:cNvSpPr>
                        <wps:spPr bwMode="auto">
                          <a:xfrm>
                            <a:off x="1807368" y="4752"/>
                            <a:ext cx="1076491" cy="853641"/>
                          </a:xfrm>
                          <a:prstGeom prst="rect">
                            <a:avLst/>
                          </a:prstGeom>
                          <a:solidFill>
                            <a:srgbClr val="0070C0"/>
                          </a:solidFill>
                          <a:ln w="9525">
                            <a:noFill/>
                            <a:miter lim="800000"/>
                            <a:headEnd/>
                            <a:tailEnd/>
                          </a:ln>
                        </wps:spPr>
                        <wps:txbx>
                          <w:txbxContent>
                            <w:p w14:paraId="54150050" w14:textId="77777777" w:rsidR="005978AA" w:rsidRDefault="005978AA" w:rsidP="00782325">
                              <w:pPr>
                                <w:pStyle w:val="Normlnywebov"/>
                                <w:jc w:val="center"/>
                                <w:textAlignment w:val="baseline"/>
                              </w:pPr>
                              <w:r>
                                <w:rPr>
                                  <w:rFonts w:ascii="Arial" w:hAnsi="Arial" w:cstheme="minorBidi"/>
                                  <w:b/>
                                  <w:bCs/>
                                  <w:color w:val="FFFFFF"/>
                                  <w:kern w:val="24"/>
                                  <w:sz w:val="20"/>
                                  <w:szCs w:val="20"/>
                                </w:rPr>
                                <w:t>Priame náklady</w:t>
                              </w:r>
                            </w:p>
                            <w:p w14:paraId="44B9EA02" w14:textId="77777777" w:rsidR="005978AA" w:rsidRDefault="005978AA" w:rsidP="00782325">
                              <w:pPr>
                                <w:pStyle w:val="Normlnywebov"/>
                                <w:jc w:val="center"/>
                                <w:textAlignment w:val="baseline"/>
                              </w:pPr>
                              <w:r>
                                <w:rPr>
                                  <w:rFonts w:ascii="Arial" w:hAnsi="Arial" w:cstheme="minorBidi"/>
                                  <w:color w:val="FFFFFF"/>
                                  <w:kern w:val="24"/>
                                  <w:sz w:val="16"/>
                                  <w:szCs w:val="16"/>
                                </w:rPr>
                                <w:t xml:space="preserve">  Iné poplatky</w:t>
                              </w:r>
                            </w:p>
                            <w:p w14:paraId="2B532C9D" w14:textId="77777777" w:rsidR="005978AA" w:rsidRDefault="005978AA" w:rsidP="00782325">
                              <w:pPr>
                                <w:pStyle w:val="Normlnywebov"/>
                                <w:jc w:val="center"/>
                                <w:textAlignment w:val="baseline"/>
                              </w:pPr>
                              <w:r>
                                <w:rPr>
                                  <w:rFonts w:ascii="Arial" w:hAnsi="Arial" w:cstheme="minorBidi"/>
                                  <w:i/>
                                  <w:iCs/>
                                  <w:color w:val="FFFFFF"/>
                                  <w:kern w:val="24"/>
                                  <w:sz w:val="16"/>
                                  <w:szCs w:val="16"/>
                                </w:rPr>
                                <w:t>na jedného podnikateľa</w:t>
                              </w:r>
                            </w:p>
                          </w:txbxContent>
                        </wps:txbx>
                        <wps:bodyPr wrap="square" lIns="36000" tIns="36000" rIns="36000" bIns="36000" anchor="ctr"/>
                      </wps:wsp>
                      <wps:wsp>
                        <wps:cNvPr id="5" name="Rectangle 3">
                          <a:extLst>
                            <a:ext uri="{FF2B5EF4-FFF2-40B4-BE49-F238E27FC236}">
                              <a16:creationId xmlns:a16="http://schemas.microsoft.com/office/drawing/2014/main" id="{00000000-0008-0000-0300-00005D000000}"/>
                            </a:ext>
                          </a:extLst>
                        </wps:cNvPr>
                        <wps:cNvSpPr>
                          <a:spLocks noChangeArrowheads="1"/>
                        </wps:cNvSpPr>
                        <wps:spPr bwMode="auto">
                          <a:xfrm>
                            <a:off x="3113122" y="8988"/>
                            <a:ext cx="1076491" cy="853641"/>
                          </a:xfrm>
                          <a:prstGeom prst="rect">
                            <a:avLst/>
                          </a:prstGeom>
                          <a:solidFill>
                            <a:srgbClr val="00A1DE"/>
                          </a:solidFill>
                          <a:ln w="9525">
                            <a:noFill/>
                            <a:miter lim="800000"/>
                            <a:headEnd/>
                            <a:tailEnd/>
                          </a:ln>
                        </wps:spPr>
                        <wps:txbx>
                          <w:txbxContent>
                            <w:p w14:paraId="1B1BC9D2" w14:textId="77777777" w:rsidR="005978AA" w:rsidRDefault="005978AA" w:rsidP="00782325">
                              <w:pPr>
                                <w:pStyle w:val="Normlnywebov"/>
                                <w:jc w:val="center"/>
                                <w:textAlignment w:val="baseline"/>
                              </w:pPr>
                              <w:r>
                                <w:rPr>
                                  <w:rFonts w:ascii="Arial" w:hAnsi="Arial" w:cstheme="minorBidi"/>
                                  <w:b/>
                                  <w:bCs/>
                                  <w:color w:val="FFFFFF"/>
                                  <w:kern w:val="24"/>
                                  <w:sz w:val="20"/>
                                  <w:szCs w:val="20"/>
                                </w:rPr>
                                <w:t>Nepriame náklady</w:t>
                              </w:r>
                            </w:p>
                            <w:p w14:paraId="141A3962" w14:textId="77777777" w:rsidR="005978AA" w:rsidRDefault="005978AA" w:rsidP="00782325">
                              <w:pPr>
                                <w:pStyle w:val="Normlnywebov"/>
                                <w:jc w:val="center"/>
                                <w:textAlignment w:val="baseline"/>
                              </w:pPr>
                              <w:r>
                                <w:rPr>
                                  <w:rFonts w:ascii="Arial" w:hAnsi="Arial" w:cstheme="minorBidi"/>
                                  <w:color w:val="FFFFFF"/>
                                  <w:kern w:val="24"/>
                                  <w:sz w:val="16"/>
                                  <w:szCs w:val="16"/>
                                </w:rPr>
                                <w:t>Sankcie a pokuty</w:t>
                              </w:r>
                            </w:p>
                            <w:p w14:paraId="4D183201" w14:textId="77777777" w:rsidR="005978AA" w:rsidRDefault="005978AA" w:rsidP="00782325">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txbxContent>
                        </wps:txbx>
                        <wps:bodyPr wrap="square" lIns="36000" tIns="36000" rIns="36000" bIns="36000" anchor="ctr"/>
                      </wps:wsp>
                      <wps:wsp>
                        <wps:cNvPr id="6" name="BlokTextu 93">
                          <a:extLst>
                            <a:ext uri="{FF2B5EF4-FFF2-40B4-BE49-F238E27FC236}">
                              <a16:creationId xmlns:a16="http://schemas.microsoft.com/office/drawing/2014/main" id="{00000000-0008-0000-0300-00005E000000}"/>
                            </a:ext>
                          </a:extLst>
                        </wps:cNvPr>
                        <wps:cNvSpPr txBox="1"/>
                        <wps:spPr>
                          <a:xfrm>
                            <a:off x="1570243" y="327580"/>
                            <a:ext cx="291885" cy="35487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D9D56C0" w14:textId="77777777" w:rsidR="005978AA" w:rsidRDefault="005978AA" w:rsidP="00782325">
                              <w:pPr>
                                <w:pStyle w:val="Normlnywebov"/>
                              </w:pPr>
                              <w:r>
                                <w:rPr>
                                  <w:rFonts w:asciiTheme="minorHAnsi" w:hAnsi="Calibri" w:cstheme="minorBidi"/>
                                  <w:b/>
                                  <w:bCs/>
                                  <w:color w:val="000000" w:themeColor="text1"/>
                                  <w:sz w:val="22"/>
                                  <w:szCs w:val="22"/>
                                </w:rPr>
                                <w:t>+</w:t>
                              </w:r>
                            </w:p>
                          </w:txbxContent>
                        </wps:txbx>
                        <wps:bodyPr wrap="none" rtlCol="0" anchor="t">
                          <a:noAutofit/>
                        </wps:bodyPr>
                      </wps:wsp>
                      <wps:wsp>
                        <wps:cNvPr id="7" name="BlokTextu 95">
                          <a:extLst>
                            <a:ext uri="{FF2B5EF4-FFF2-40B4-BE49-F238E27FC236}">
                              <a16:creationId xmlns:a16="http://schemas.microsoft.com/office/drawing/2014/main" id="{00000000-0008-0000-0300-000060000000}"/>
                            </a:ext>
                          </a:extLst>
                        </wps:cNvPr>
                        <wps:cNvSpPr txBox="1"/>
                        <wps:spPr>
                          <a:xfrm>
                            <a:off x="4935343" y="110222"/>
                            <a:ext cx="211667"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49318B3" w14:textId="77777777" w:rsidR="005978AA" w:rsidRDefault="005978AA" w:rsidP="00782325">
                              <w:pPr>
                                <w:pStyle w:val="Normlnywebov"/>
                              </w:pPr>
                              <w:r>
                                <w:rPr>
                                  <w:rFonts w:asciiTheme="minorHAnsi" w:hAnsi="Calibri" w:cstheme="minorBidi"/>
                                  <w:color w:val="000000" w:themeColor="text1"/>
                                  <w:sz w:val="22"/>
                                  <w:szCs w:val="22"/>
                                </w:rPr>
                                <w:t>+</w:t>
                              </w:r>
                            </w:p>
                          </w:txbxContent>
                        </wps:txbx>
                        <wps:bodyPr wrap="square" rtlCol="0" anchor="t">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520C8673" id="Skupina 88" o:spid="_x0000_s1048" style="position:absolute;margin-left:0;margin-top:14.25pt;width:470.25pt;height:71.1pt;z-index:251671552;mso-position-horizontal:left;mso-position-horizontal-relative:margin;mso-width-relative:margin;mso-height-relative:margin" coordsize="68094,8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">
                <v:rect id="_x0000_s1049" style="position:absolute;left:57329;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" fillcolor="#81bc00" stroked="f">
                  <v:textbox inset="1mm,1mm,1mm,1mm">
                    <w:txbxContent>
                      <w:p w14:paraId="6770DD92" w14:textId="77777777" w:rsidR="005978AA" w:rsidRDefault="005978AA" w:rsidP="00782325">
                        <w:pPr>
                          <w:pStyle w:val="Normlnywebov"/>
                          <w:jc w:val="center"/>
                          <w:textAlignment w:val="baseline"/>
                        </w:pPr>
                        <w:r>
                          <w:rPr>
                            <w:rFonts w:ascii="Arial" w:hAnsi="Arial" w:cstheme="minorBidi"/>
                            <w:b/>
                            <w:bCs/>
                            <w:color w:val="FFFFFF"/>
                            <w:kern w:val="24"/>
                            <w:sz w:val="20"/>
                            <w:szCs w:val="20"/>
                          </w:rPr>
                          <w:t xml:space="preserve">Administratívne náklady </w:t>
                        </w:r>
                      </w:p>
                      <w:p w14:paraId="6FF11B07" w14:textId="77777777" w:rsidR="005978AA" w:rsidRDefault="005978AA" w:rsidP="00782325">
                        <w:pPr>
                          <w:pStyle w:val="Normlnywebov"/>
                          <w:jc w:val="center"/>
                          <w:textAlignment w:val="baseline"/>
                        </w:pPr>
                        <w:r>
                          <w:rPr>
                            <w:rFonts w:ascii="Arial" w:hAnsi="Arial" w:cstheme="minorBidi"/>
                            <w:i/>
                            <w:iCs/>
                            <w:color w:val="FFFFFF"/>
                            <w:kern w:val="24"/>
                            <w:sz w:val="16"/>
                            <w:szCs w:val="16"/>
                          </w:rPr>
                          <w:t>na jedného podnikateľa</w:t>
                        </w:r>
                      </w:p>
                    </w:txbxContent>
                  </v:textbox>
                </v:rect>
                <v:rect id="_x0000_s1050" style="position:absolute;top:5;width:15686;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" fillcolor="#0070c0" stroked="f">
                  <v:textbox inset="1mm,1mm,1mm,1mm">
                    <w:txbxContent>
                      <w:p w14:paraId="0ECA85D4" w14:textId="77777777" w:rsidR="005978AA" w:rsidRDefault="005978AA" w:rsidP="00782325">
                        <w:pPr>
                          <w:pStyle w:val="Normlnywebov"/>
                          <w:jc w:val="center"/>
                          <w:textAlignment w:val="baseline"/>
                        </w:pPr>
                        <w:r>
                          <w:rPr>
                            <w:rFonts w:ascii="Arial" w:hAnsi="Arial" w:cstheme="minorBidi"/>
                            <w:b/>
                            <w:bCs/>
                            <w:color w:val="FFFFFF"/>
                            <w:kern w:val="24"/>
                            <w:sz w:val="20"/>
                            <w:szCs w:val="20"/>
                          </w:rPr>
                          <w:t xml:space="preserve">Priame náklady </w:t>
                        </w:r>
                      </w:p>
                      <w:p w14:paraId="0A7CC586" w14:textId="77777777" w:rsidR="005978AA" w:rsidRDefault="005978AA" w:rsidP="00782325">
                        <w:pPr>
                          <w:pStyle w:val="Normlnywebov"/>
                          <w:jc w:val="center"/>
                          <w:textAlignment w:val="baseline"/>
                        </w:pPr>
                        <w:r>
                          <w:rPr>
                            <w:rFonts w:ascii="Arial" w:hAnsi="Arial" w:cstheme="minorBidi"/>
                            <w:color w:val="FFFFFF"/>
                            <w:kern w:val="24"/>
                            <w:sz w:val="16"/>
                            <w:szCs w:val="16"/>
                          </w:rPr>
                          <w:t>Dane, odvody, clá a poplatky, ktorých cieľom je znižovať negatívne externality)</w:t>
                        </w:r>
                      </w:p>
                      <w:p w14:paraId="6FB25F4C" w14:textId="77777777" w:rsidR="005978AA" w:rsidRDefault="005978AA" w:rsidP="00782325">
                        <w:pPr>
                          <w:pStyle w:val="Normlnywebov"/>
                          <w:jc w:val="center"/>
                          <w:textAlignment w:val="baseline"/>
                        </w:pPr>
                        <w:r>
                          <w:rPr>
                            <w:rFonts w:ascii="Arial" w:hAnsi="Arial" w:cstheme="minorBidi"/>
                            <w:color w:val="FFFFFF"/>
                            <w:kern w:val="24"/>
                            <w:sz w:val="16"/>
                            <w:szCs w:val="16"/>
                          </w:rPr>
                          <w:t xml:space="preserve"> </w:t>
                        </w:r>
                        <w:r>
                          <w:rPr>
                            <w:rFonts w:ascii="Arial" w:hAnsi="Arial" w:cstheme="minorBidi"/>
                            <w:i/>
                            <w:iCs/>
                            <w:color w:val="FFFFFF"/>
                            <w:kern w:val="24"/>
                            <w:sz w:val="16"/>
                            <w:szCs w:val="16"/>
                          </w:rPr>
                          <w:t>na jedného podnikateľa</w:t>
                        </w:r>
                      </w:p>
                    </w:txbxContent>
                  </v:textbox>
                </v:rect>
                <v:rect id="_x0000_s1051" style="position:absolute;left:18073;top:47;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" fillcolor="#0070c0" stroked="f">
                  <v:textbox inset="1mm,1mm,1mm,1mm">
                    <w:txbxContent>
                      <w:p w14:paraId="54150050" w14:textId="77777777" w:rsidR="005978AA" w:rsidRDefault="005978AA" w:rsidP="00782325">
                        <w:pPr>
                          <w:pStyle w:val="Normlnywebov"/>
                          <w:jc w:val="center"/>
                          <w:textAlignment w:val="baseline"/>
                        </w:pPr>
                        <w:r>
                          <w:rPr>
                            <w:rFonts w:ascii="Arial" w:hAnsi="Arial" w:cstheme="minorBidi"/>
                            <w:b/>
                            <w:bCs/>
                            <w:color w:val="FFFFFF"/>
                            <w:kern w:val="24"/>
                            <w:sz w:val="20"/>
                            <w:szCs w:val="20"/>
                          </w:rPr>
                          <w:t>Priame náklady</w:t>
                        </w:r>
                      </w:p>
                      <w:p w14:paraId="44B9EA02" w14:textId="77777777" w:rsidR="005978AA" w:rsidRDefault="005978AA" w:rsidP="00782325">
                        <w:pPr>
                          <w:pStyle w:val="Normlnywebov"/>
                          <w:jc w:val="center"/>
                          <w:textAlignment w:val="baseline"/>
                        </w:pPr>
                        <w:r>
                          <w:rPr>
                            <w:rFonts w:ascii="Arial" w:hAnsi="Arial" w:cstheme="minorBidi"/>
                            <w:color w:val="FFFFFF"/>
                            <w:kern w:val="24"/>
                            <w:sz w:val="16"/>
                            <w:szCs w:val="16"/>
                          </w:rPr>
                          <w:t xml:space="preserve">  Iné poplatky</w:t>
                        </w:r>
                      </w:p>
                      <w:p w14:paraId="2B532C9D" w14:textId="77777777" w:rsidR="005978AA" w:rsidRDefault="005978AA" w:rsidP="00782325">
                        <w:pPr>
                          <w:pStyle w:val="Normlnywebov"/>
                          <w:jc w:val="center"/>
                          <w:textAlignment w:val="baseline"/>
                        </w:pPr>
                        <w:r>
                          <w:rPr>
                            <w:rFonts w:ascii="Arial" w:hAnsi="Arial" w:cstheme="minorBidi"/>
                            <w:i/>
                            <w:iCs/>
                            <w:color w:val="FFFFFF"/>
                            <w:kern w:val="24"/>
                            <w:sz w:val="16"/>
                            <w:szCs w:val="16"/>
                          </w:rPr>
                          <w:t>na jedného podnikateľa</w:t>
                        </w:r>
                      </w:p>
                    </w:txbxContent>
                  </v:textbox>
                </v:rect>
                <v:rect id="_x0000_s1052" style="position:absolute;left:31131;top:89;width:10765;height:8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" fillcolor="#00a1de" stroked="f">
                  <v:textbox inset="1mm,1mm,1mm,1mm">
                    <w:txbxContent>
                      <w:p w14:paraId="1B1BC9D2" w14:textId="77777777" w:rsidR="005978AA" w:rsidRDefault="005978AA" w:rsidP="00782325">
                        <w:pPr>
                          <w:pStyle w:val="Normlnywebov"/>
                          <w:jc w:val="center"/>
                          <w:textAlignment w:val="baseline"/>
                        </w:pPr>
                        <w:r>
                          <w:rPr>
                            <w:rFonts w:ascii="Arial" w:hAnsi="Arial" w:cstheme="minorBidi"/>
                            <w:b/>
                            <w:bCs/>
                            <w:color w:val="FFFFFF"/>
                            <w:kern w:val="24"/>
                            <w:sz w:val="20"/>
                            <w:szCs w:val="20"/>
                          </w:rPr>
                          <w:t>Nepriame náklady</w:t>
                        </w:r>
                      </w:p>
                      <w:p w14:paraId="141A3962" w14:textId="77777777" w:rsidR="005978AA" w:rsidRDefault="005978AA" w:rsidP="00782325">
                        <w:pPr>
                          <w:pStyle w:val="Normlnywebov"/>
                          <w:jc w:val="center"/>
                          <w:textAlignment w:val="baseline"/>
                        </w:pPr>
                        <w:r>
                          <w:rPr>
                            <w:rFonts w:ascii="Arial" w:hAnsi="Arial" w:cstheme="minorBidi"/>
                            <w:color w:val="FFFFFF"/>
                            <w:kern w:val="24"/>
                            <w:sz w:val="16"/>
                            <w:szCs w:val="16"/>
                          </w:rPr>
                          <w:t>Sankcie a pokuty</w:t>
                        </w:r>
                      </w:p>
                      <w:p w14:paraId="4D183201" w14:textId="77777777" w:rsidR="005978AA" w:rsidRDefault="005978AA" w:rsidP="00782325">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txbxContent>
                  </v:textbox>
                </v:rect>
                <v:shape id="BlokTextu 93" o:spid="_x0000_s1053" type="#_x0000_t202" style="position:absolute;left:15702;top:3275;width:2919;height:3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" filled="f" stroked="f">
                  <v:textbox>
                    <w:txbxContent>
                      <w:p w14:paraId="0D9D56C0" w14:textId="77777777" w:rsidR="005978AA" w:rsidRDefault="005978AA" w:rsidP="00782325">
                        <w:pPr>
                          <w:pStyle w:val="Normlnywebov"/>
                        </w:pPr>
                        <w:r>
                          <w:rPr>
                            <w:rFonts w:asciiTheme="minorHAnsi" w:hAnsi="Calibri" w:cstheme="minorBidi"/>
                            <w:b/>
                            <w:bCs/>
                            <w:color w:val="000000" w:themeColor="text1"/>
                            <w:sz w:val="22"/>
                            <w:szCs w:val="22"/>
                          </w:rPr>
                          <w:t>+</w:t>
                        </w:r>
                      </w:p>
                    </w:txbxContent>
                  </v:textbox>
                </v:shape>
                <v:shape id="BlokTextu 95" o:spid="_x0000_s1054" type="#_x0000_t202" style="position:absolute;left:49353;top:1102;width:2117;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49318B3" w14:textId="77777777" w:rsidR="005978AA" w:rsidRDefault="005978AA" w:rsidP="00782325">
                        <w:pPr>
                          <w:pStyle w:val="Normlnywebov"/>
                        </w:pPr>
                        <w:r>
                          <w:rPr>
                            <w:rFonts w:asciiTheme="minorHAnsi" w:hAnsi="Calibri" w:cstheme="minorBidi"/>
                            <w:color w:val="000000" w:themeColor="text1"/>
                            <w:sz w:val="22"/>
                            <w:szCs w:val="22"/>
                          </w:rPr>
                          <w:t>+</w:t>
                        </w:r>
                      </w:p>
                    </w:txbxContent>
                  </v:textbox>
                </v:shape>
                <w10:wrap type="square" anchorx="margin"/>
              </v:group>
            </w:pict>
          </mc:Fallback>
        </mc:AlternateContent>
      </w: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72576" behindDoc="0" locked="0" layoutInCell="1" allowOverlap="1" wp14:anchorId="11609129" wp14:editId="40AD81C6">
                <wp:simplePos x="0" y="0"/>
                <wp:positionH relativeFrom="column">
                  <wp:posOffset>3862705</wp:posOffset>
                </wp:positionH>
                <wp:positionV relativeFrom="paragraph">
                  <wp:posOffset>189230</wp:posOffset>
                </wp:positionV>
                <wp:extent cx="940435" cy="884555"/>
                <wp:effectExtent l="0" t="0" r="0" b="0"/>
                <wp:wrapSquare wrapText="bothSides"/>
                <wp:docPr id="203" name="Rectangle 3">
                  <a:extLst xmlns:a="http://schemas.openxmlformats.org/drawingml/2006/main">
                    <a:ext uri="{FF2B5EF4-FFF2-40B4-BE49-F238E27FC236}">
                      <a16:creationId xmlns:a16="http://schemas.microsoft.com/office/drawing/2014/main" id="{00000000-0008-0000-0300-00005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884555"/>
                        </a:xfrm>
                        <a:prstGeom prst="rect">
                          <a:avLst/>
                        </a:prstGeom>
                        <a:solidFill>
                          <a:srgbClr val="00A1DE"/>
                        </a:solidFill>
                        <a:ln w="9525">
                          <a:noFill/>
                          <a:miter lim="800000"/>
                          <a:headEnd/>
                          <a:tailEnd/>
                        </a:ln>
                      </wps:spPr>
                      <wps:txbx>
                        <w:txbxContent>
                          <w:p w14:paraId="132D57A5" w14:textId="77777777" w:rsidR="005978AA" w:rsidRDefault="005978AA" w:rsidP="00782325">
                            <w:pPr>
                              <w:pStyle w:val="Normlnywebov"/>
                              <w:jc w:val="center"/>
                              <w:textAlignment w:val="baseline"/>
                            </w:pPr>
                            <w:r>
                              <w:rPr>
                                <w:rFonts w:ascii="Arial" w:hAnsi="Arial" w:cstheme="minorBidi"/>
                                <w:b/>
                                <w:bCs/>
                                <w:color w:val="FFFFFF"/>
                                <w:kern w:val="24"/>
                                <w:sz w:val="20"/>
                                <w:szCs w:val="20"/>
                              </w:rPr>
                              <w:t>Nepriame náklady</w:t>
                            </w:r>
                          </w:p>
                          <w:p w14:paraId="4D880A71" w14:textId="77777777" w:rsidR="005978AA" w:rsidRDefault="005978AA" w:rsidP="00782325">
                            <w:pPr>
                              <w:pStyle w:val="Normlnywebov"/>
                              <w:jc w:val="center"/>
                              <w:textAlignment w:val="baseline"/>
                            </w:pPr>
                            <w:r>
                              <w:rPr>
                                <w:rFonts w:ascii="Arial" w:hAnsi="Arial" w:cstheme="minorBidi"/>
                                <w:color w:val="FFFFFF"/>
                                <w:kern w:val="24"/>
                                <w:sz w:val="16"/>
                                <w:szCs w:val="16"/>
                              </w:rPr>
                              <w:t>Iné nepriame náklady</w:t>
                            </w:r>
                          </w:p>
                          <w:p w14:paraId="77055F0C" w14:textId="77777777" w:rsidR="005978AA" w:rsidRDefault="005978AA" w:rsidP="00782325">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txbxContent>
                      </wps:txbx>
                      <wps:bodyPr wrap="square" lIns="36000" tIns="36000" rIns="36000" bIns="36000" anchor="ctr">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1609129" id="_x0000_s1055" style="position:absolute;margin-left:304.15pt;margin-top:14.9pt;width:74.05pt;height:6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" fillcolor="#00a1de" stroked="f">
                <v:textbox inset="1mm,1mm,1mm,1mm">
                  <w:txbxContent>
                    <w:p w14:paraId="132D57A5" w14:textId="77777777" w:rsidR="005978AA" w:rsidRDefault="005978AA" w:rsidP="00782325">
                      <w:pPr>
                        <w:pStyle w:val="Normlnywebov"/>
                        <w:jc w:val="center"/>
                        <w:textAlignment w:val="baseline"/>
                      </w:pPr>
                      <w:r>
                        <w:rPr>
                          <w:rFonts w:ascii="Arial" w:hAnsi="Arial" w:cstheme="minorBidi"/>
                          <w:b/>
                          <w:bCs/>
                          <w:color w:val="FFFFFF"/>
                          <w:kern w:val="24"/>
                          <w:sz w:val="20"/>
                          <w:szCs w:val="20"/>
                        </w:rPr>
                        <w:t>Nepriame náklady</w:t>
                      </w:r>
                    </w:p>
                    <w:p w14:paraId="4D880A71" w14:textId="77777777" w:rsidR="005978AA" w:rsidRDefault="005978AA" w:rsidP="00782325">
                      <w:pPr>
                        <w:pStyle w:val="Normlnywebov"/>
                        <w:jc w:val="center"/>
                        <w:textAlignment w:val="baseline"/>
                      </w:pPr>
                      <w:r>
                        <w:rPr>
                          <w:rFonts w:ascii="Arial" w:hAnsi="Arial" w:cstheme="minorBidi"/>
                          <w:color w:val="FFFFFF"/>
                          <w:kern w:val="24"/>
                          <w:sz w:val="16"/>
                          <w:szCs w:val="16"/>
                        </w:rPr>
                        <w:t>Iné nepriame náklady</w:t>
                      </w:r>
                    </w:p>
                    <w:p w14:paraId="77055F0C" w14:textId="77777777" w:rsidR="005978AA" w:rsidRDefault="005978AA" w:rsidP="00782325">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txbxContent>
                </v:textbox>
                <w10:wrap type="square"/>
              </v:rect>
            </w:pict>
          </mc:Fallback>
        </mc:AlternateContent>
      </w:r>
    </w:p>
    <w:p w14:paraId="37CFDA72" w14:textId="77777777" w:rsidR="00782325" w:rsidRPr="00685281" w:rsidRDefault="00782325" w:rsidP="00782325">
      <w:pPr>
        <w:spacing w:after="120" w:line="240" w:lineRule="auto"/>
        <w:rPr>
          <w:rFonts w:ascii="Times New Roman" w:eastAsia="Calibri" w:hAnsi="Times New Roman" w:cs="Times New Roman"/>
          <w:b/>
          <w:i/>
          <w:sz w:val="24"/>
          <w:szCs w:val="24"/>
        </w:rPr>
      </w:pPr>
    </w:p>
    <w:p w14:paraId="3BFC0CE0" w14:textId="77777777" w:rsidR="00782325" w:rsidRPr="00685281" w:rsidRDefault="00782325" w:rsidP="00782325">
      <w:pPr>
        <w:spacing w:after="120" w:line="240" w:lineRule="auto"/>
        <w:rPr>
          <w:rFonts w:ascii="Times New Roman" w:eastAsia="Calibri" w:hAnsi="Times New Roman" w:cs="Times New Roman"/>
          <w:b/>
          <w:i/>
          <w:sz w:val="24"/>
          <w:szCs w:val="24"/>
        </w:rPr>
      </w:pPr>
    </w:p>
    <w:p w14:paraId="4F86AF76" w14:textId="77777777" w:rsidR="00782325" w:rsidRPr="00685281" w:rsidRDefault="00782325" w:rsidP="00782325">
      <w:pPr>
        <w:spacing w:after="120" w:line="240" w:lineRule="auto"/>
        <w:rPr>
          <w:rFonts w:ascii="Times New Roman" w:eastAsia="Calibri" w:hAnsi="Times New Roman" w:cs="Times New Roman"/>
          <w:b/>
          <w:i/>
          <w:sz w:val="24"/>
          <w:szCs w:val="24"/>
        </w:rPr>
      </w:pPr>
      <w:r w:rsidRPr="00685281">
        <w:rPr>
          <w:rFonts w:ascii="Times New Roman" w:eastAsia="Calibri" w:hAnsi="Times New Roman" w:cs="Times New Roman"/>
          <w:b/>
          <w:i/>
          <w:sz w:val="24"/>
          <w:szCs w:val="24"/>
        </w:rPr>
        <w:t>Náklady na celé podnikateľské prostredie</w:t>
      </w:r>
    </w:p>
    <w:p w14:paraId="7D0623A5" w14:textId="77777777" w:rsidR="00782325" w:rsidRPr="00685281" w:rsidRDefault="00782325" w:rsidP="00782325">
      <w:pPr>
        <w:spacing w:after="120" w:line="240" w:lineRule="auto"/>
        <w:rPr>
          <w:rFonts w:ascii="Times New Roman" w:eastAsia="Calibri" w:hAnsi="Times New Roman" w:cs="Times New Roman"/>
          <w:sz w:val="24"/>
          <w:szCs w:val="24"/>
        </w:rPr>
      </w:pPr>
      <w:r w:rsidRPr="00685281">
        <w:rPr>
          <w:rFonts w:ascii="Times New Roman" w:eastAsia="Calibri" w:hAnsi="Times New Roman" w:cs="Times New Roman"/>
          <w:i/>
          <w:sz w:val="24"/>
          <w:szCs w:val="24"/>
        </w:rPr>
        <w:t xml:space="preserve">Priame a nepriame finančné náklady na celé PP </w:t>
      </w:r>
      <w:r w:rsidRPr="00685281">
        <w:rPr>
          <w:rFonts w:ascii="Times New Roman" w:eastAsia="Calibri" w:hAnsi="Times New Roman" w:cs="Times New Roman"/>
          <w:sz w:val="24"/>
          <w:szCs w:val="24"/>
        </w:rPr>
        <w:t>sú vyčíslené na základe vzorca:</w:t>
      </w:r>
    </w:p>
    <w:p w14:paraId="6F9272B7" w14:textId="77777777" w:rsidR="00782325" w:rsidRPr="00685281" w:rsidRDefault="00782325" w:rsidP="00782325">
      <w:pPr>
        <w:spacing w:after="120" w:line="240" w:lineRule="auto"/>
        <w:rPr>
          <w:rFonts w:ascii="Times New Roman" w:eastAsia="Times New Roman" w:hAnsi="Times New Roman" w:cs="Times New Roman"/>
          <w:noProof/>
          <w:color w:val="000000"/>
          <w:sz w:val="24"/>
          <w:szCs w:val="24"/>
          <w:lang w:eastAsia="sk-SK"/>
        </w:rPr>
      </w:pP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76672" behindDoc="0" locked="0" layoutInCell="1" allowOverlap="1" wp14:anchorId="5B586564" wp14:editId="69368CB6">
                <wp:simplePos x="0" y="0"/>
                <wp:positionH relativeFrom="margin">
                  <wp:align>left</wp:align>
                </wp:positionH>
                <wp:positionV relativeFrom="paragraph">
                  <wp:posOffset>41910</wp:posOffset>
                </wp:positionV>
                <wp:extent cx="3800475" cy="486410"/>
                <wp:effectExtent l="0" t="0" r="9525" b="8890"/>
                <wp:wrapSquare wrapText="bothSides"/>
                <wp:docPr id="192" name="Rectangle 3">
                  <a:extLst xmlns:a="http://schemas.openxmlformats.org/drawingml/2006/main">
                    <a:ext uri="{FF2B5EF4-FFF2-40B4-BE49-F238E27FC236}">
                      <a16:creationId xmlns:a16="http://schemas.microsoft.com/office/drawing/2014/main" id="{00000000-0008-0000-0300-00006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86410"/>
                        </a:xfrm>
                        <a:prstGeom prst="rect">
                          <a:avLst/>
                        </a:prstGeom>
                        <a:solidFill>
                          <a:srgbClr val="0070C0"/>
                        </a:solidFill>
                        <a:ln w="9525">
                          <a:noFill/>
                          <a:miter lim="800000"/>
                          <a:headEnd/>
                          <a:tailEnd/>
                        </a:ln>
                      </wps:spPr>
                      <wps:txbx>
                        <w:txbxContent>
                          <w:p w14:paraId="6DA6732A" w14:textId="77777777" w:rsidR="005978AA" w:rsidRDefault="005978AA" w:rsidP="00782325">
                            <w:pPr>
                              <w:pStyle w:val="Normlnywebov"/>
                              <w:jc w:val="center"/>
                              <w:textAlignment w:val="baseline"/>
                            </w:pPr>
                            <w:r>
                              <w:rPr>
                                <w:rFonts w:ascii="Arial" w:hAnsi="Arial" w:cstheme="minorBidi"/>
                                <w:b/>
                                <w:bCs/>
                                <w:color w:val="FFFFFF"/>
                                <w:kern w:val="24"/>
                                <w:sz w:val="16"/>
                                <w:szCs w:val="16"/>
                              </w:rPr>
                              <w:t>Priame náklady (dane, odvody, clá a poplatky, ktorých cieľom je znižovať negatívne externality</w:t>
                            </w:r>
                          </w:p>
                          <w:p w14:paraId="259CF205" w14:textId="77777777" w:rsidR="005978AA" w:rsidRDefault="005978AA" w:rsidP="00782325">
                            <w:pPr>
                              <w:pStyle w:val="Normlnywebov"/>
                              <w:jc w:val="center"/>
                              <w:textAlignment w:val="baseline"/>
                            </w:pPr>
                            <w:r>
                              <w:rPr>
                                <w:rFonts w:ascii="Arial" w:hAnsi="Arial" w:cstheme="minorBidi"/>
                                <w:b/>
                                <w:bCs/>
                                <w:color w:val="FFFFFF"/>
                                <w:kern w:val="24"/>
                                <w:sz w:val="16"/>
                                <w:szCs w:val="16"/>
                              </w:rPr>
                              <w:t xml:space="preserve"> </w:t>
                            </w:r>
                          </w:p>
                          <w:p w14:paraId="10FD62B1" w14:textId="77777777" w:rsidR="005978AA" w:rsidRDefault="005978AA" w:rsidP="00782325">
                            <w:pPr>
                              <w:pStyle w:val="Normlnywebov"/>
                              <w:jc w:val="center"/>
                              <w:textAlignment w:val="baseline"/>
                            </w:pPr>
                            <w:r>
                              <w:rPr>
                                <w:rFonts w:ascii="Arial" w:hAnsi="Arial" w:cstheme="minorBidi"/>
                                <w:i/>
                                <w:iCs/>
                                <w:color w:val="FFFFFF"/>
                                <w:kern w:val="24"/>
                                <w:sz w:val="16"/>
                                <w:szCs w:val="16"/>
                              </w:rPr>
                              <w:t>ročný vplyv na kategóriu dotknutých subjektov</w:t>
                            </w:r>
                          </w:p>
                        </w:txbxContent>
                      </wps:txbx>
                      <wps:bodyPr wrap="square" lIns="36000" tIns="36000" rIns="36000" bIns="36000" anchor="ctr">
                        <a:noAutofit/>
                      </wps:bodyPr>
                    </wps:wsp>
                  </a:graphicData>
                </a:graphic>
                <wp14:sizeRelH relativeFrom="margin">
                  <wp14:pctWidth>0</wp14:pctWidth>
                </wp14:sizeRelH>
              </wp:anchor>
            </w:drawing>
          </mc:Choice>
          <mc:Fallback xmlns:cx1="http://schemas.microsoft.com/office/drawing/2015/9/8/chartex">
            <w:pict>
              <v:rect w14:anchorId="5B586564" id="_x0000_s1056" style="position:absolute;margin-left:0;margin-top:3.3pt;width:299.25pt;height:38.3pt;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" fillcolor="#0070c0" stroked="f">
                <v:textbox inset="1mm,1mm,1mm,1mm">
                  <w:txbxContent>
                    <w:p w14:paraId="6DA6732A" w14:textId="77777777" w:rsidR="005978AA" w:rsidRDefault="005978AA" w:rsidP="00782325">
                      <w:pPr>
                        <w:pStyle w:val="Normlnywebov"/>
                        <w:jc w:val="center"/>
                        <w:textAlignment w:val="baseline"/>
                      </w:pPr>
                      <w:r>
                        <w:rPr>
                          <w:rFonts w:ascii="Arial" w:hAnsi="Arial" w:cstheme="minorBidi"/>
                          <w:b/>
                          <w:bCs/>
                          <w:color w:val="FFFFFF"/>
                          <w:kern w:val="24"/>
                          <w:sz w:val="16"/>
                          <w:szCs w:val="16"/>
                        </w:rPr>
                        <w:t>Priame náklady (dane, odvody, clá a poplatky, ktorých cieľom je znižovať negatívne externality</w:t>
                      </w:r>
                    </w:p>
                    <w:p w14:paraId="259CF205" w14:textId="77777777" w:rsidR="005978AA" w:rsidRDefault="005978AA" w:rsidP="00782325">
                      <w:pPr>
                        <w:pStyle w:val="Normlnywebov"/>
                        <w:jc w:val="center"/>
                        <w:textAlignment w:val="baseline"/>
                      </w:pPr>
                      <w:r>
                        <w:rPr>
                          <w:rFonts w:ascii="Arial" w:hAnsi="Arial" w:cstheme="minorBidi"/>
                          <w:b/>
                          <w:bCs/>
                          <w:color w:val="FFFFFF"/>
                          <w:kern w:val="24"/>
                          <w:sz w:val="16"/>
                          <w:szCs w:val="16"/>
                        </w:rPr>
                        <w:t xml:space="preserve"> </w:t>
                      </w:r>
                    </w:p>
                    <w:p w14:paraId="10FD62B1" w14:textId="77777777" w:rsidR="005978AA" w:rsidRDefault="005978AA" w:rsidP="00782325">
                      <w:pPr>
                        <w:pStyle w:val="Normlnywebov"/>
                        <w:jc w:val="center"/>
                        <w:textAlignment w:val="baseline"/>
                      </w:pPr>
                      <w:r>
                        <w:rPr>
                          <w:rFonts w:ascii="Arial" w:hAnsi="Arial" w:cstheme="minorBidi"/>
                          <w:i/>
                          <w:iCs/>
                          <w:color w:val="FFFFFF"/>
                          <w:kern w:val="24"/>
                          <w:sz w:val="16"/>
                          <w:szCs w:val="16"/>
                        </w:rPr>
                        <w:t>ročný vplyv na kategóriu dotknutých subjektov</w:t>
                      </w:r>
                    </w:p>
                  </w:txbxContent>
                </v:textbox>
                <w10:wrap type="square" anchorx="margin"/>
              </v:rect>
            </w:pict>
          </mc:Fallback>
        </mc:AlternateContent>
      </w:r>
    </w:p>
    <w:p w14:paraId="6047C765" w14:textId="77777777" w:rsidR="00782325" w:rsidRPr="00685281" w:rsidRDefault="00782325" w:rsidP="00782325">
      <w:pPr>
        <w:spacing w:after="120" w:line="240" w:lineRule="auto"/>
        <w:rPr>
          <w:rFonts w:ascii="Times New Roman" w:eastAsia="Times New Roman" w:hAnsi="Times New Roman" w:cs="Times New Roman"/>
          <w:noProof/>
          <w:color w:val="000000"/>
          <w:sz w:val="24"/>
          <w:szCs w:val="24"/>
          <w:lang w:eastAsia="sk-SK"/>
        </w:rPr>
      </w:pPr>
    </w:p>
    <w:p w14:paraId="3CB963B4" w14:textId="77777777" w:rsidR="00782325" w:rsidRPr="00685281" w:rsidRDefault="00782325" w:rsidP="00782325">
      <w:pPr>
        <w:spacing w:after="120" w:line="240" w:lineRule="auto"/>
        <w:rPr>
          <w:rFonts w:ascii="Times New Roman" w:eastAsia="Times New Roman" w:hAnsi="Times New Roman" w:cs="Times New Roman"/>
          <w:noProof/>
          <w:color w:val="000000"/>
          <w:sz w:val="24"/>
          <w:szCs w:val="24"/>
          <w:lang w:eastAsia="sk-SK"/>
        </w:rPr>
      </w:pPr>
    </w:p>
    <w:p w14:paraId="2F32CD74" w14:textId="77777777" w:rsidR="00782325" w:rsidRPr="00685281" w:rsidRDefault="00782325" w:rsidP="00782325">
      <w:pPr>
        <w:spacing w:after="120" w:line="240" w:lineRule="auto"/>
        <w:rPr>
          <w:rFonts w:ascii="Times New Roman" w:eastAsia="Times New Roman" w:hAnsi="Times New Roman" w:cs="Times New Roman"/>
          <w:noProof/>
          <w:color w:val="000000"/>
          <w:sz w:val="24"/>
          <w:szCs w:val="24"/>
          <w:lang w:eastAsia="sk-SK"/>
        </w:rPr>
      </w:pP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79744" behindDoc="0" locked="0" layoutInCell="1" allowOverlap="1" wp14:anchorId="6CC104B8" wp14:editId="43DF088B">
                <wp:simplePos x="0" y="0"/>
                <wp:positionH relativeFrom="column">
                  <wp:posOffset>3815080</wp:posOffset>
                </wp:positionH>
                <wp:positionV relativeFrom="paragraph">
                  <wp:posOffset>144145</wp:posOffset>
                </wp:positionV>
                <wp:extent cx="248851" cy="224998"/>
                <wp:effectExtent l="0" t="0" r="0" b="0"/>
                <wp:wrapNone/>
                <wp:docPr id="200" name="BlokTextu 199">
                  <a:extLst xmlns:a="http://schemas.openxmlformats.org/drawingml/2006/main">
                    <a:ext uri="{FF2B5EF4-FFF2-40B4-BE49-F238E27FC236}">
                      <a16:creationId xmlns:a16="http://schemas.microsoft.com/office/drawing/2014/main" id="{00000000-0008-0000-0300-000071000000}"/>
                    </a:ext>
                  </a:extLst>
                </wp:docPr>
                <wp:cNvGraphicFramePr/>
                <a:graphic xmlns:a="http://schemas.openxmlformats.org/drawingml/2006/main">
                  <a:graphicData uri="http://schemas.microsoft.com/office/word/2010/wordprocessingShape">
                    <wps:wsp>
                      <wps:cNvSpPr txBox="1"/>
                      <wps:spPr>
                        <a:xfrm>
                          <a:off x="0" y="0"/>
                          <a:ext cx="248851" cy="22499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065F3E3" w14:textId="77777777" w:rsidR="005978AA" w:rsidRDefault="005978AA" w:rsidP="00782325">
                            <w:pPr>
                              <w:pStyle w:val="Normlnywebov"/>
                            </w:pPr>
                            <w:r>
                              <w:rPr>
                                <w:rFonts w:ascii="Arial" w:hAnsi="Arial" w:cs="Arial"/>
                                <w:b/>
                                <w:bCs/>
                                <w:color w:val="000000" w:themeColor="text1"/>
                                <w:sz w:val="18"/>
                                <w:szCs w:val="18"/>
                              </w:rPr>
                              <w:t>x</w:t>
                            </w:r>
                          </w:p>
                        </w:txbxContent>
                      </wps:txbx>
                      <wps:bodyPr vertOverflow="clip" horzOverflow="clip" wrap="none" rtlCol="0" anchor="t">
                        <a:spAutoFit/>
                      </wps:bodyPr>
                    </wps:wsp>
                  </a:graphicData>
                </a:graphic>
              </wp:anchor>
            </w:drawing>
          </mc:Choice>
          <mc:Fallback xmlns:cx1="http://schemas.microsoft.com/office/drawing/2015/9/8/chartex">
            <w:pict>
              <v:shape w14:anchorId="6CC104B8" id="BlokTextu 199" o:spid="_x0000_s1057" type="#_x0000_t202" style="position:absolute;margin-left:300.4pt;margin-top:11.35pt;width:19.6pt;height:17.7pt;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" filled="f" stroked="f">
                <v:textbox style="mso-fit-shape-to-text:t">
                  <w:txbxContent>
                    <w:p w14:paraId="5065F3E3" w14:textId="77777777" w:rsidR="005978AA" w:rsidRDefault="005978AA" w:rsidP="00782325">
                      <w:pPr>
                        <w:pStyle w:val="Normlnywebov"/>
                      </w:pPr>
                      <w:r>
                        <w:rPr>
                          <w:rFonts w:ascii="Arial" w:hAnsi="Arial" w:cs="Arial"/>
                          <w:b/>
                          <w:bCs/>
                          <w:color w:val="000000" w:themeColor="text1"/>
                          <w:sz w:val="18"/>
                          <w:szCs w:val="18"/>
                        </w:rPr>
                        <w:t>x</w:t>
                      </w:r>
                    </w:p>
                  </w:txbxContent>
                </v:textbox>
              </v:shape>
            </w:pict>
          </mc:Fallback>
        </mc:AlternateContent>
      </w: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78720" behindDoc="0" locked="0" layoutInCell="1" allowOverlap="1" wp14:anchorId="5E57A685" wp14:editId="639C16FA">
                <wp:simplePos x="0" y="0"/>
                <wp:positionH relativeFrom="column">
                  <wp:posOffset>4114800</wp:posOffset>
                </wp:positionH>
                <wp:positionV relativeFrom="paragraph">
                  <wp:posOffset>10795</wp:posOffset>
                </wp:positionV>
                <wp:extent cx="1238885" cy="474980"/>
                <wp:effectExtent l="0" t="0" r="0" b="1270"/>
                <wp:wrapSquare wrapText="bothSides"/>
                <wp:docPr id="199"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885" cy="474980"/>
                        </a:xfrm>
                        <a:prstGeom prst="rect">
                          <a:avLst/>
                        </a:prstGeom>
                        <a:solidFill>
                          <a:srgbClr val="0070C0"/>
                        </a:solidFill>
                        <a:ln w="9525">
                          <a:noFill/>
                          <a:miter lim="800000"/>
                          <a:headEnd/>
                          <a:tailEnd/>
                        </a:ln>
                      </wps:spPr>
                      <wps:txbx>
                        <w:txbxContent>
                          <w:p w14:paraId="23D3387F" w14:textId="77777777" w:rsidR="005978AA" w:rsidRDefault="005978AA" w:rsidP="00782325">
                            <w:pPr>
                              <w:pStyle w:val="Normlnywebov"/>
                              <w:jc w:val="center"/>
                              <w:textAlignment w:val="baseline"/>
                            </w:pPr>
                            <w:r>
                              <w:rPr>
                                <w:rFonts w:ascii="Arial" w:hAnsi="Arial" w:cstheme="minorBidi"/>
                                <w:b/>
                                <w:bCs/>
                                <w:color w:val="FFFFFF"/>
                                <w:kern w:val="24"/>
                                <w:sz w:val="16"/>
                                <w:szCs w:val="16"/>
                              </w:rPr>
                              <w:t>Počet dotknutých subjektov</w:t>
                            </w:r>
                          </w:p>
                        </w:txbxContent>
                      </wps:txbx>
                      <wps:bodyPr wrap="square" lIns="36000" tIns="36000" rIns="36000" bIns="36000" anchor="ctr"/>
                    </wps:wsp>
                  </a:graphicData>
                </a:graphic>
                <wp14:sizeRelH relativeFrom="margin">
                  <wp14:pctWidth>0</wp14:pctWidth>
                </wp14:sizeRelH>
              </wp:anchor>
            </w:drawing>
          </mc:Choice>
          <mc:Fallback xmlns:cx1="http://schemas.microsoft.com/office/drawing/2015/9/8/chartex">
            <w:pict>
              <v:rect w14:anchorId="5E57A685" id="_x0000_s1058" style="position:absolute;margin-left:324pt;margin-top:.85pt;width:97.55pt;height:37.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" fillcolor="#0070c0" stroked="f">
                <v:textbox inset="1mm,1mm,1mm,1mm">
                  <w:txbxContent>
                    <w:p w14:paraId="23D3387F" w14:textId="77777777" w:rsidR="005978AA" w:rsidRDefault="005978AA" w:rsidP="00782325">
                      <w:pPr>
                        <w:pStyle w:val="Normlnywebov"/>
                        <w:jc w:val="center"/>
                        <w:textAlignment w:val="baseline"/>
                      </w:pPr>
                      <w:r>
                        <w:rPr>
                          <w:rFonts w:ascii="Arial" w:hAnsi="Arial" w:cstheme="minorBidi"/>
                          <w:b/>
                          <w:bCs/>
                          <w:color w:val="FFFFFF"/>
                          <w:kern w:val="24"/>
                          <w:sz w:val="16"/>
                          <w:szCs w:val="16"/>
                        </w:rPr>
                        <w:t>Počet dotknutých subjektov</w:t>
                      </w:r>
                    </w:p>
                  </w:txbxContent>
                </v:textbox>
                <w10:wrap type="square"/>
              </v:rect>
            </w:pict>
          </mc:Fallback>
        </mc:AlternateContent>
      </w: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77696" behindDoc="0" locked="0" layoutInCell="1" allowOverlap="1" wp14:anchorId="762A6CC7" wp14:editId="549C0714">
                <wp:simplePos x="0" y="0"/>
                <wp:positionH relativeFrom="margin">
                  <wp:align>left</wp:align>
                </wp:positionH>
                <wp:positionV relativeFrom="paragraph">
                  <wp:posOffset>10795</wp:posOffset>
                </wp:positionV>
                <wp:extent cx="3800475" cy="486410"/>
                <wp:effectExtent l="0" t="0" r="9525" b="8890"/>
                <wp:wrapSquare wrapText="bothSides"/>
                <wp:docPr id="189" name="Rectangle 3">
                  <a:extLst xmlns:a="http://schemas.openxmlformats.org/drawingml/2006/main">
                    <a:ext uri="{FF2B5EF4-FFF2-40B4-BE49-F238E27FC236}">
                      <a16:creationId xmlns:a16="http://schemas.microsoft.com/office/drawing/2014/main" id="{00000000-0008-0000-0300-00002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86410"/>
                        </a:xfrm>
                        <a:prstGeom prst="rect">
                          <a:avLst/>
                        </a:prstGeom>
                        <a:solidFill>
                          <a:srgbClr val="0070C0"/>
                        </a:solidFill>
                        <a:ln w="9525">
                          <a:noFill/>
                          <a:miter lim="800000"/>
                          <a:headEnd/>
                          <a:tailEnd/>
                        </a:ln>
                      </wps:spPr>
                      <wps:txbx>
                        <w:txbxContent>
                          <w:p w14:paraId="0A2DFF91" w14:textId="77777777" w:rsidR="005978AA" w:rsidRDefault="005978AA" w:rsidP="00782325">
                            <w:pPr>
                              <w:pStyle w:val="Normlnywebov"/>
                              <w:jc w:val="center"/>
                              <w:textAlignment w:val="baseline"/>
                            </w:pPr>
                            <w:r>
                              <w:rPr>
                                <w:rFonts w:ascii="Arial" w:hAnsi="Arial" w:cstheme="minorBidi"/>
                                <w:b/>
                                <w:bCs/>
                                <w:color w:val="FFFFFF"/>
                                <w:kern w:val="24"/>
                                <w:sz w:val="16"/>
                                <w:szCs w:val="16"/>
                              </w:rPr>
                              <w:t xml:space="preserve">Priame náklady </w:t>
                            </w:r>
                            <w:r>
                              <w:rPr>
                                <w:rFonts w:ascii="Arial" w:hAnsi="Arial" w:cstheme="minorBidi"/>
                                <w:b/>
                                <w:bCs/>
                                <w:color w:val="FFFFFF"/>
                                <w:kern w:val="24"/>
                                <w:sz w:val="16"/>
                                <w:szCs w:val="16"/>
                                <w:lang w:val="en-US"/>
                              </w:rPr>
                              <w:t>- in</w:t>
                            </w:r>
                            <w:r>
                              <w:rPr>
                                <w:rFonts w:ascii="Arial" w:hAnsi="Arial" w:cstheme="minorBidi"/>
                                <w:b/>
                                <w:bCs/>
                                <w:color w:val="FFFFFF"/>
                                <w:kern w:val="24"/>
                                <w:sz w:val="16"/>
                                <w:szCs w:val="16"/>
                              </w:rPr>
                              <w:t>é</w:t>
                            </w:r>
                            <w:r>
                              <w:rPr>
                                <w:rFonts w:ascii="Arial" w:hAnsi="Arial" w:cstheme="minorBidi"/>
                                <w:b/>
                                <w:bCs/>
                                <w:color w:val="FFFFFF"/>
                                <w:kern w:val="24"/>
                                <w:sz w:val="16"/>
                                <w:szCs w:val="16"/>
                                <w:lang w:val="en-US"/>
                              </w:rPr>
                              <w:t xml:space="preserve"> poplatk</w:t>
                            </w:r>
                            <w:r>
                              <w:rPr>
                                <w:rFonts w:ascii="Arial" w:hAnsi="Arial" w:cstheme="minorBidi"/>
                                <w:b/>
                                <w:bCs/>
                                <w:color w:val="FFFFFF"/>
                                <w:kern w:val="24"/>
                                <w:sz w:val="16"/>
                                <w:szCs w:val="16"/>
                              </w:rPr>
                              <w:t>y</w:t>
                            </w:r>
                          </w:p>
                          <w:p w14:paraId="21B20610" w14:textId="77777777" w:rsidR="005978AA" w:rsidRDefault="005978AA" w:rsidP="00782325">
                            <w:pPr>
                              <w:pStyle w:val="Normlnywebov"/>
                              <w:jc w:val="center"/>
                              <w:textAlignment w:val="baseline"/>
                            </w:pPr>
                            <w:r>
                              <w:rPr>
                                <w:rFonts w:ascii="Arial" w:hAnsi="Arial" w:cstheme="minorBidi"/>
                                <w:b/>
                                <w:bCs/>
                                <w:color w:val="FFFFFF"/>
                                <w:kern w:val="24"/>
                                <w:sz w:val="16"/>
                                <w:szCs w:val="16"/>
                                <w:lang w:val="en-US"/>
                              </w:rPr>
                              <w:t xml:space="preserve"> </w:t>
                            </w:r>
                          </w:p>
                          <w:p w14:paraId="459F69FB" w14:textId="77777777" w:rsidR="005978AA" w:rsidRDefault="005978AA" w:rsidP="00782325">
                            <w:pPr>
                              <w:pStyle w:val="Normlnywebov"/>
                              <w:jc w:val="center"/>
                              <w:textAlignment w:val="baseline"/>
                            </w:pPr>
                            <w:r>
                              <w:rPr>
                                <w:rFonts w:ascii="Arial" w:hAnsi="Arial" w:cstheme="minorBidi"/>
                                <w:i/>
                                <w:iCs/>
                                <w:color w:val="FFFFFF"/>
                                <w:kern w:val="24"/>
                                <w:sz w:val="16"/>
                                <w:szCs w:val="16"/>
                              </w:rPr>
                              <w:t xml:space="preserve">na jedného podnikateľa </w:t>
                            </w:r>
                          </w:p>
                        </w:txbxContent>
                      </wps:txbx>
                      <wps:bodyPr wrap="square" lIns="36000" tIns="36000" rIns="36000" bIns="36000" anchor="ctr">
                        <a:noAutofit/>
                      </wps:bodyPr>
                    </wps:wsp>
                  </a:graphicData>
                </a:graphic>
                <wp14:sizeRelH relativeFrom="margin">
                  <wp14:pctWidth>0</wp14:pctWidth>
                </wp14:sizeRelH>
              </wp:anchor>
            </w:drawing>
          </mc:Choice>
          <mc:Fallback xmlns:cx1="http://schemas.microsoft.com/office/drawing/2015/9/8/chartex">
            <w:pict>
              <v:rect w14:anchorId="762A6CC7" id="_x0000_s1059" style="position:absolute;margin-left:0;margin-top:.85pt;width:299.25pt;height:38.3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" fillcolor="#0070c0" stroked="f">
                <v:textbox inset="1mm,1mm,1mm,1mm">
                  <w:txbxContent>
                    <w:p w14:paraId="0A2DFF91" w14:textId="77777777" w:rsidR="005978AA" w:rsidRDefault="005978AA" w:rsidP="00782325">
                      <w:pPr>
                        <w:pStyle w:val="Normlnywebov"/>
                        <w:jc w:val="center"/>
                        <w:textAlignment w:val="baseline"/>
                      </w:pPr>
                      <w:r>
                        <w:rPr>
                          <w:rFonts w:ascii="Arial" w:hAnsi="Arial" w:cstheme="minorBidi"/>
                          <w:b/>
                          <w:bCs/>
                          <w:color w:val="FFFFFF"/>
                          <w:kern w:val="24"/>
                          <w:sz w:val="16"/>
                          <w:szCs w:val="16"/>
                        </w:rPr>
                        <w:t xml:space="preserve">Priame náklady </w:t>
                      </w:r>
                      <w:r>
                        <w:rPr>
                          <w:rFonts w:ascii="Arial" w:hAnsi="Arial" w:cstheme="minorBidi"/>
                          <w:b/>
                          <w:bCs/>
                          <w:color w:val="FFFFFF"/>
                          <w:kern w:val="24"/>
                          <w:sz w:val="16"/>
                          <w:szCs w:val="16"/>
                          <w:lang w:val="en-US"/>
                        </w:rPr>
                        <w:t>- in</w:t>
                      </w:r>
                      <w:r>
                        <w:rPr>
                          <w:rFonts w:ascii="Arial" w:hAnsi="Arial" w:cstheme="minorBidi"/>
                          <w:b/>
                          <w:bCs/>
                          <w:color w:val="FFFFFF"/>
                          <w:kern w:val="24"/>
                          <w:sz w:val="16"/>
                          <w:szCs w:val="16"/>
                        </w:rPr>
                        <w:t>é</w:t>
                      </w:r>
                      <w:r>
                        <w:rPr>
                          <w:rFonts w:ascii="Arial" w:hAnsi="Arial" w:cstheme="minorBidi"/>
                          <w:b/>
                          <w:bCs/>
                          <w:color w:val="FFFFFF"/>
                          <w:kern w:val="24"/>
                          <w:sz w:val="16"/>
                          <w:szCs w:val="16"/>
                          <w:lang w:val="en-US"/>
                        </w:rPr>
                        <w:t xml:space="preserve"> poplatk</w:t>
                      </w:r>
                      <w:r>
                        <w:rPr>
                          <w:rFonts w:ascii="Arial" w:hAnsi="Arial" w:cstheme="minorBidi"/>
                          <w:b/>
                          <w:bCs/>
                          <w:color w:val="FFFFFF"/>
                          <w:kern w:val="24"/>
                          <w:sz w:val="16"/>
                          <w:szCs w:val="16"/>
                        </w:rPr>
                        <w:t>y</w:t>
                      </w:r>
                    </w:p>
                    <w:p w14:paraId="21B20610" w14:textId="77777777" w:rsidR="005978AA" w:rsidRDefault="005978AA" w:rsidP="00782325">
                      <w:pPr>
                        <w:pStyle w:val="Normlnywebov"/>
                        <w:jc w:val="center"/>
                        <w:textAlignment w:val="baseline"/>
                      </w:pPr>
                      <w:r>
                        <w:rPr>
                          <w:rFonts w:ascii="Arial" w:hAnsi="Arial" w:cstheme="minorBidi"/>
                          <w:b/>
                          <w:bCs/>
                          <w:color w:val="FFFFFF"/>
                          <w:kern w:val="24"/>
                          <w:sz w:val="16"/>
                          <w:szCs w:val="16"/>
                          <w:lang w:val="en-US"/>
                        </w:rPr>
                        <w:t xml:space="preserve"> </w:t>
                      </w:r>
                    </w:p>
                    <w:p w14:paraId="459F69FB" w14:textId="77777777" w:rsidR="005978AA" w:rsidRDefault="005978AA" w:rsidP="00782325">
                      <w:pPr>
                        <w:pStyle w:val="Normlnywebov"/>
                        <w:jc w:val="center"/>
                        <w:textAlignment w:val="baseline"/>
                      </w:pPr>
                      <w:r>
                        <w:rPr>
                          <w:rFonts w:ascii="Arial" w:hAnsi="Arial" w:cstheme="minorBidi"/>
                          <w:i/>
                          <w:iCs/>
                          <w:color w:val="FFFFFF"/>
                          <w:kern w:val="24"/>
                          <w:sz w:val="16"/>
                          <w:szCs w:val="16"/>
                        </w:rPr>
                        <w:t xml:space="preserve">na jedného podnikateľa </w:t>
                      </w:r>
                    </w:p>
                  </w:txbxContent>
                </v:textbox>
                <w10:wrap type="square" anchorx="margin"/>
              </v:rect>
            </w:pict>
          </mc:Fallback>
        </mc:AlternateContent>
      </w:r>
    </w:p>
    <w:p w14:paraId="4B00A58B" w14:textId="77777777" w:rsidR="00782325" w:rsidRPr="00685281" w:rsidRDefault="00782325" w:rsidP="00782325">
      <w:pPr>
        <w:spacing w:after="120" w:line="240" w:lineRule="auto"/>
        <w:rPr>
          <w:rFonts w:ascii="Times New Roman" w:eastAsia="Times New Roman" w:hAnsi="Times New Roman" w:cs="Times New Roman"/>
          <w:noProof/>
          <w:color w:val="000000"/>
          <w:sz w:val="24"/>
          <w:szCs w:val="24"/>
          <w:lang w:eastAsia="sk-SK"/>
        </w:rPr>
      </w:pPr>
    </w:p>
    <w:p w14:paraId="72DBAD7E" w14:textId="77777777" w:rsidR="00782325" w:rsidRPr="00685281" w:rsidRDefault="00782325" w:rsidP="00782325">
      <w:pPr>
        <w:spacing w:after="120" w:line="240" w:lineRule="auto"/>
        <w:rPr>
          <w:rFonts w:ascii="Times New Roman" w:eastAsia="Times New Roman" w:hAnsi="Times New Roman" w:cs="Times New Roman"/>
          <w:noProof/>
          <w:color w:val="000000"/>
          <w:sz w:val="24"/>
          <w:szCs w:val="24"/>
          <w:lang w:eastAsia="sk-SK"/>
        </w:rPr>
      </w:pPr>
    </w:p>
    <w:p w14:paraId="709BBF78" w14:textId="77777777" w:rsidR="00782325" w:rsidRPr="00685281" w:rsidRDefault="00782325" w:rsidP="00782325">
      <w:pPr>
        <w:spacing w:after="120" w:line="240" w:lineRule="auto"/>
        <w:rPr>
          <w:rFonts w:ascii="Times New Roman" w:eastAsia="Times New Roman" w:hAnsi="Times New Roman" w:cs="Times New Roman"/>
          <w:noProof/>
          <w:color w:val="000000"/>
          <w:sz w:val="24"/>
          <w:szCs w:val="24"/>
          <w:lang w:eastAsia="sk-SK"/>
        </w:rPr>
      </w:pP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80768" behindDoc="0" locked="0" layoutInCell="1" allowOverlap="1" wp14:anchorId="00C85C9E" wp14:editId="2195BE6A">
                <wp:simplePos x="0" y="0"/>
                <wp:positionH relativeFrom="margin">
                  <wp:align>left</wp:align>
                </wp:positionH>
                <wp:positionV relativeFrom="paragraph">
                  <wp:posOffset>5080</wp:posOffset>
                </wp:positionV>
                <wp:extent cx="3790950" cy="486410"/>
                <wp:effectExtent l="0" t="0" r="0" b="8890"/>
                <wp:wrapSquare wrapText="bothSides"/>
                <wp:docPr id="193" name="Rectangle 3">
                  <a:extLst xmlns:a="http://schemas.openxmlformats.org/drawingml/2006/main">
                    <a:ext uri="{FF2B5EF4-FFF2-40B4-BE49-F238E27FC236}">
                      <a16:creationId xmlns:a16="http://schemas.microsoft.com/office/drawing/2014/main" id="{00000000-0008-0000-0300-00006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86410"/>
                        </a:xfrm>
                        <a:prstGeom prst="rect">
                          <a:avLst/>
                        </a:prstGeom>
                        <a:solidFill>
                          <a:srgbClr val="00A1DE"/>
                        </a:solidFill>
                        <a:ln w="9525">
                          <a:noFill/>
                          <a:miter lim="800000"/>
                          <a:headEnd/>
                          <a:tailEnd/>
                        </a:ln>
                      </wps:spPr>
                      <wps:txbx>
                        <w:txbxContent>
                          <w:p w14:paraId="2B14AB5B" w14:textId="77777777" w:rsidR="005978AA" w:rsidRDefault="005978AA" w:rsidP="00782325">
                            <w:pPr>
                              <w:pStyle w:val="Normlnywebov"/>
                              <w:jc w:val="center"/>
                              <w:textAlignment w:val="baseline"/>
                            </w:pPr>
                            <w:r>
                              <w:rPr>
                                <w:rFonts w:ascii="Arial" w:hAnsi="Arial" w:cstheme="minorBidi"/>
                                <w:b/>
                                <w:bCs/>
                                <w:color w:val="FFFFFF"/>
                                <w:kern w:val="24"/>
                                <w:sz w:val="16"/>
                                <w:szCs w:val="16"/>
                              </w:rPr>
                              <w:t>Nepriame náklady - Sankcie a pokuty</w:t>
                            </w:r>
                          </w:p>
                          <w:p w14:paraId="52FE7DED" w14:textId="77777777" w:rsidR="005978AA" w:rsidRDefault="005978AA" w:rsidP="00782325">
                            <w:pPr>
                              <w:pStyle w:val="Normlnywebov"/>
                              <w:jc w:val="center"/>
                              <w:textAlignment w:val="baseline"/>
                            </w:pPr>
                            <w:r>
                              <w:rPr>
                                <w:rFonts w:ascii="Arial" w:hAnsi="Arial" w:cstheme="minorBidi"/>
                                <w:b/>
                                <w:bCs/>
                                <w:color w:val="FFFFFF"/>
                                <w:kern w:val="24"/>
                                <w:sz w:val="16"/>
                                <w:szCs w:val="16"/>
                              </w:rPr>
                              <w:t xml:space="preserve">  </w:t>
                            </w:r>
                          </w:p>
                          <w:p w14:paraId="0831CBF6" w14:textId="77777777" w:rsidR="005978AA" w:rsidRDefault="005978AA" w:rsidP="00782325">
                            <w:pPr>
                              <w:pStyle w:val="Normlnywebov"/>
                              <w:jc w:val="center"/>
                              <w:textAlignment w:val="baseline"/>
                            </w:pPr>
                            <w:r>
                              <w:rPr>
                                <w:rFonts w:ascii="Arial" w:hAnsi="Arial" w:cstheme="minorBidi"/>
                                <w:i/>
                                <w:iCs/>
                                <w:color w:val="FFFFFF"/>
                                <w:kern w:val="24"/>
                                <w:sz w:val="16"/>
                                <w:szCs w:val="16"/>
                              </w:rPr>
                              <w:t>ročný vplyv na kategóriu dotknutých subjektov</w:t>
                            </w:r>
                          </w:p>
                        </w:txbxContent>
                      </wps:txbx>
                      <wps:bodyPr wrap="square" lIns="36000" tIns="36000" rIns="36000" bIns="36000" anchor="ctr"/>
                    </wps:wsp>
                  </a:graphicData>
                </a:graphic>
                <wp14:sizeRelH relativeFrom="margin">
                  <wp14:pctWidth>0</wp14:pctWidth>
                </wp14:sizeRelH>
              </wp:anchor>
            </w:drawing>
          </mc:Choice>
          <mc:Fallback xmlns:cx1="http://schemas.microsoft.com/office/drawing/2015/9/8/chartex">
            <w:pict>
              <v:rect w14:anchorId="00C85C9E" id="_x0000_s1060" style="position:absolute;margin-left:0;margin-top:.4pt;width:298.5pt;height:38.3pt;z-index:2516807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" fillcolor="#00a1de" stroked="f">
                <v:textbox inset="1mm,1mm,1mm,1mm">
                  <w:txbxContent>
                    <w:p w14:paraId="2B14AB5B" w14:textId="77777777" w:rsidR="005978AA" w:rsidRDefault="005978AA" w:rsidP="00782325">
                      <w:pPr>
                        <w:pStyle w:val="Normlnywebov"/>
                        <w:jc w:val="center"/>
                        <w:textAlignment w:val="baseline"/>
                      </w:pPr>
                      <w:r>
                        <w:rPr>
                          <w:rFonts w:ascii="Arial" w:hAnsi="Arial" w:cstheme="minorBidi"/>
                          <w:b/>
                          <w:bCs/>
                          <w:color w:val="FFFFFF"/>
                          <w:kern w:val="24"/>
                          <w:sz w:val="16"/>
                          <w:szCs w:val="16"/>
                        </w:rPr>
                        <w:t>Nepriame náklady - Sankcie a pokuty</w:t>
                      </w:r>
                    </w:p>
                    <w:p w14:paraId="52FE7DED" w14:textId="77777777" w:rsidR="005978AA" w:rsidRDefault="005978AA" w:rsidP="00782325">
                      <w:pPr>
                        <w:pStyle w:val="Normlnywebov"/>
                        <w:jc w:val="center"/>
                        <w:textAlignment w:val="baseline"/>
                      </w:pPr>
                      <w:r>
                        <w:rPr>
                          <w:rFonts w:ascii="Arial" w:hAnsi="Arial" w:cstheme="minorBidi"/>
                          <w:b/>
                          <w:bCs/>
                          <w:color w:val="FFFFFF"/>
                          <w:kern w:val="24"/>
                          <w:sz w:val="16"/>
                          <w:szCs w:val="16"/>
                        </w:rPr>
                        <w:t xml:space="preserve">  </w:t>
                      </w:r>
                    </w:p>
                    <w:p w14:paraId="0831CBF6" w14:textId="77777777" w:rsidR="005978AA" w:rsidRDefault="005978AA" w:rsidP="00782325">
                      <w:pPr>
                        <w:pStyle w:val="Normlnywebov"/>
                        <w:jc w:val="center"/>
                        <w:textAlignment w:val="baseline"/>
                      </w:pPr>
                      <w:r>
                        <w:rPr>
                          <w:rFonts w:ascii="Arial" w:hAnsi="Arial" w:cstheme="minorBidi"/>
                          <w:i/>
                          <w:iCs/>
                          <w:color w:val="FFFFFF"/>
                          <w:kern w:val="24"/>
                          <w:sz w:val="16"/>
                          <w:szCs w:val="16"/>
                        </w:rPr>
                        <w:t>ročný vplyv na kategóriu dotknutých subjektov</w:t>
                      </w:r>
                    </w:p>
                  </w:txbxContent>
                </v:textbox>
                <w10:wrap type="square" anchorx="margin"/>
              </v:rect>
            </w:pict>
          </mc:Fallback>
        </mc:AlternateContent>
      </w:r>
    </w:p>
    <w:p w14:paraId="220D52CF" w14:textId="77777777" w:rsidR="00782325" w:rsidRPr="00685281" w:rsidRDefault="00782325" w:rsidP="00782325">
      <w:pPr>
        <w:spacing w:after="120" w:line="240" w:lineRule="auto"/>
        <w:rPr>
          <w:rFonts w:ascii="Times New Roman" w:eastAsia="Times New Roman" w:hAnsi="Times New Roman" w:cs="Times New Roman"/>
          <w:noProof/>
          <w:color w:val="000000"/>
          <w:sz w:val="24"/>
          <w:szCs w:val="24"/>
          <w:lang w:eastAsia="sk-SK"/>
        </w:rPr>
      </w:pPr>
    </w:p>
    <w:p w14:paraId="742E9E8C" w14:textId="77777777" w:rsidR="00782325" w:rsidRPr="00685281" w:rsidRDefault="00782325" w:rsidP="00782325">
      <w:pPr>
        <w:spacing w:after="120" w:line="240" w:lineRule="auto"/>
        <w:rPr>
          <w:rFonts w:ascii="Times New Roman" w:eastAsia="Times New Roman" w:hAnsi="Times New Roman" w:cs="Times New Roman"/>
          <w:noProof/>
          <w:color w:val="000000"/>
          <w:sz w:val="24"/>
          <w:szCs w:val="24"/>
          <w:lang w:eastAsia="sk-SK"/>
        </w:rPr>
      </w:pPr>
    </w:p>
    <w:p w14:paraId="3B854869" w14:textId="77777777" w:rsidR="00782325" w:rsidRPr="00685281" w:rsidRDefault="00782325" w:rsidP="00782325">
      <w:pPr>
        <w:spacing w:after="120" w:line="240" w:lineRule="auto"/>
        <w:rPr>
          <w:rFonts w:ascii="Times New Roman" w:eastAsia="Times New Roman" w:hAnsi="Times New Roman" w:cs="Times New Roman"/>
          <w:noProof/>
          <w:color w:val="000000"/>
          <w:sz w:val="24"/>
          <w:szCs w:val="24"/>
          <w:lang w:eastAsia="sk-SK"/>
        </w:rPr>
      </w:pP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83840" behindDoc="0" locked="0" layoutInCell="1" allowOverlap="1" wp14:anchorId="08B6B803" wp14:editId="64BDFF5A">
                <wp:simplePos x="0" y="0"/>
                <wp:positionH relativeFrom="column">
                  <wp:posOffset>3829685</wp:posOffset>
                </wp:positionH>
                <wp:positionV relativeFrom="paragraph">
                  <wp:posOffset>119380</wp:posOffset>
                </wp:positionV>
                <wp:extent cx="248285" cy="224790"/>
                <wp:effectExtent l="0" t="0" r="0" b="0"/>
                <wp:wrapNone/>
                <wp:docPr id="16" name="BlokTextu 199">
                  <a:extLst xmlns:a="http://schemas.openxmlformats.org/drawingml/2006/main">
                    <a:ext uri="{FF2B5EF4-FFF2-40B4-BE49-F238E27FC236}">
                      <a16:creationId xmlns:a16="http://schemas.microsoft.com/office/drawing/2014/main" id="{00000000-0008-0000-0300-000071000000}"/>
                    </a:ext>
                  </a:extLst>
                </wp:docPr>
                <wp:cNvGraphicFramePr/>
                <a:graphic xmlns:a="http://schemas.openxmlformats.org/drawingml/2006/main">
                  <a:graphicData uri="http://schemas.microsoft.com/office/word/2010/wordprocessingShape">
                    <wps:wsp>
                      <wps:cNvSpPr txBox="1"/>
                      <wps:spPr>
                        <a:xfrm>
                          <a:off x="0" y="0"/>
                          <a:ext cx="248285" cy="224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E46A5FB" w14:textId="77777777" w:rsidR="005978AA" w:rsidRDefault="005978AA" w:rsidP="00782325">
                            <w:pPr>
                              <w:pStyle w:val="Normlnywebov"/>
                            </w:pPr>
                            <w:r>
                              <w:rPr>
                                <w:rFonts w:ascii="Arial" w:hAnsi="Arial" w:cs="Arial"/>
                                <w:b/>
                                <w:bCs/>
                                <w:color w:val="000000" w:themeColor="text1"/>
                                <w:sz w:val="18"/>
                                <w:szCs w:val="18"/>
                              </w:rPr>
                              <w:t>x</w:t>
                            </w:r>
                          </w:p>
                        </w:txbxContent>
                      </wps:txbx>
                      <wps:bodyPr vertOverflow="clip" horzOverflow="clip" wrap="none" rtlCol="0" anchor="t">
                        <a:spAutoFit/>
                      </wps:bodyPr>
                    </wps:wsp>
                  </a:graphicData>
                </a:graphic>
              </wp:anchor>
            </w:drawing>
          </mc:Choice>
          <mc:Fallback xmlns:cx1="http://schemas.microsoft.com/office/drawing/2015/9/8/chartex">
            <w:pict>
              <v:shape w14:anchorId="08B6B803" id="_x0000_s1061" type="#_x0000_t202" style="position:absolute;margin-left:301.55pt;margin-top:9.4pt;width:19.55pt;height:17.7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" filled="f" stroked="f">
                <v:textbox style="mso-fit-shape-to-text:t">
                  <w:txbxContent>
                    <w:p w14:paraId="7E46A5FB" w14:textId="77777777" w:rsidR="005978AA" w:rsidRDefault="005978AA" w:rsidP="00782325">
                      <w:pPr>
                        <w:pStyle w:val="Normlnywebov"/>
                      </w:pPr>
                      <w:r>
                        <w:rPr>
                          <w:rFonts w:ascii="Arial" w:hAnsi="Arial" w:cs="Arial"/>
                          <w:b/>
                          <w:bCs/>
                          <w:color w:val="000000" w:themeColor="text1"/>
                          <w:sz w:val="18"/>
                          <w:szCs w:val="18"/>
                        </w:rPr>
                        <w:t>x</w:t>
                      </w:r>
                    </w:p>
                  </w:txbxContent>
                </v:textbox>
              </v:shape>
            </w:pict>
          </mc:Fallback>
        </mc:AlternateContent>
      </w: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82816" behindDoc="0" locked="0" layoutInCell="1" allowOverlap="1" wp14:anchorId="67FA00FD" wp14:editId="7D04D19C">
                <wp:simplePos x="0" y="0"/>
                <wp:positionH relativeFrom="column">
                  <wp:posOffset>4119880</wp:posOffset>
                </wp:positionH>
                <wp:positionV relativeFrom="paragraph">
                  <wp:posOffset>9525</wp:posOffset>
                </wp:positionV>
                <wp:extent cx="1229360" cy="474980"/>
                <wp:effectExtent l="0" t="0" r="8890" b="1270"/>
                <wp:wrapSquare wrapText="bothSides"/>
                <wp:docPr id="191"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360" cy="474980"/>
                        </a:xfrm>
                        <a:prstGeom prst="rect">
                          <a:avLst/>
                        </a:prstGeom>
                        <a:solidFill>
                          <a:srgbClr val="00A1DE"/>
                        </a:solidFill>
                        <a:ln w="9525">
                          <a:noFill/>
                          <a:miter lim="800000"/>
                          <a:headEnd/>
                          <a:tailEnd/>
                        </a:ln>
                      </wps:spPr>
                      <wps:txbx>
                        <w:txbxContent>
                          <w:p w14:paraId="6A1AA66E" w14:textId="77777777" w:rsidR="005978AA" w:rsidRDefault="005978AA" w:rsidP="00782325">
                            <w:pPr>
                              <w:pStyle w:val="Normlnywebov"/>
                              <w:jc w:val="center"/>
                              <w:textAlignment w:val="baseline"/>
                            </w:pPr>
                            <w:r>
                              <w:rPr>
                                <w:rFonts w:ascii="Arial" w:hAnsi="Arial" w:cstheme="minorBidi"/>
                                <w:b/>
                                <w:bCs/>
                                <w:color w:val="FFFFFF"/>
                                <w:kern w:val="24"/>
                                <w:sz w:val="16"/>
                                <w:szCs w:val="16"/>
                              </w:rPr>
                              <w:t>Počet dotknutých subjektov</w:t>
                            </w:r>
                          </w:p>
                        </w:txbxContent>
                      </wps:txbx>
                      <wps:bodyPr wrap="square" lIns="36000" tIns="36000" rIns="36000" bIns="36000" anchor="ctr"/>
                    </wps:wsp>
                  </a:graphicData>
                </a:graphic>
                <wp14:sizeRelH relativeFrom="margin">
                  <wp14:pctWidth>0</wp14:pctWidth>
                </wp14:sizeRelH>
              </wp:anchor>
            </w:drawing>
          </mc:Choice>
          <mc:Fallback xmlns:cx1="http://schemas.microsoft.com/office/drawing/2015/9/8/chartex">
            <w:pict>
              <v:rect w14:anchorId="67FA00FD" id="_x0000_s1062" style="position:absolute;margin-left:324.4pt;margin-top:.75pt;width:96.8pt;height:37.4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" fillcolor="#00a1de" stroked="f">
                <v:textbox inset="1mm,1mm,1mm,1mm">
                  <w:txbxContent>
                    <w:p w14:paraId="6A1AA66E" w14:textId="77777777" w:rsidR="005978AA" w:rsidRDefault="005978AA" w:rsidP="00782325">
                      <w:pPr>
                        <w:pStyle w:val="Normlnywebov"/>
                        <w:jc w:val="center"/>
                        <w:textAlignment w:val="baseline"/>
                      </w:pPr>
                      <w:r>
                        <w:rPr>
                          <w:rFonts w:ascii="Arial" w:hAnsi="Arial" w:cstheme="minorBidi"/>
                          <w:b/>
                          <w:bCs/>
                          <w:color w:val="FFFFFF"/>
                          <w:kern w:val="24"/>
                          <w:sz w:val="16"/>
                          <w:szCs w:val="16"/>
                        </w:rPr>
                        <w:t>Počet dotknutých subjektov</w:t>
                      </w:r>
                    </w:p>
                  </w:txbxContent>
                </v:textbox>
                <w10:wrap type="square"/>
              </v:rect>
            </w:pict>
          </mc:Fallback>
        </mc:AlternateContent>
      </w: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81792" behindDoc="0" locked="0" layoutInCell="1" allowOverlap="1" wp14:anchorId="3CEA367F" wp14:editId="0039847A">
                <wp:simplePos x="0" y="0"/>
                <wp:positionH relativeFrom="margin">
                  <wp:align>left</wp:align>
                </wp:positionH>
                <wp:positionV relativeFrom="paragraph">
                  <wp:posOffset>28575</wp:posOffset>
                </wp:positionV>
                <wp:extent cx="3790950" cy="474980"/>
                <wp:effectExtent l="0" t="0" r="0" b="1270"/>
                <wp:wrapSquare wrapText="bothSides"/>
                <wp:docPr id="190" name="Rectangle 3">
                  <a:extLst xmlns:a="http://schemas.openxmlformats.org/drawingml/2006/main">
                    <a:ext uri="{FF2B5EF4-FFF2-40B4-BE49-F238E27FC236}">
                      <a16:creationId xmlns:a16="http://schemas.microsoft.com/office/drawing/2014/main" id="{00000000-0008-0000-0300-00002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74980"/>
                        </a:xfrm>
                        <a:prstGeom prst="rect">
                          <a:avLst/>
                        </a:prstGeom>
                        <a:solidFill>
                          <a:srgbClr val="00A1DE"/>
                        </a:solidFill>
                        <a:ln w="9525">
                          <a:noFill/>
                          <a:miter lim="800000"/>
                          <a:headEnd/>
                          <a:tailEnd/>
                        </a:ln>
                      </wps:spPr>
                      <wps:txbx>
                        <w:txbxContent>
                          <w:p w14:paraId="29BA09CB" w14:textId="77777777" w:rsidR="005978AA" w:rsidRDefault="005978AA" w:rsidP="00782325">
                            <w:pPr>
                              <w:pStyle w:val="Normlnywebov"/>
                              <w:jc w:val="center"/>
                              <w:textAlignment w:val="baseline"/>
                            </w:pPr>
                            <w:r>
                              <w:rPr>
                                <w:rFonts w:ascii="Arial" w:hAnsi="Arial" w:cstheme="minorBidi"/>
                                <w:b/>
                                <w:bCs/>
                                <w:color w:val="FFFFFF"/>
                                <w:kern w:val="24"/>
                                <w:sz w:val="16"/>
                                <w:szCs w:val="16"/>
                              </w:rPr>
                              <w:t>Iné nepriame náklady</w:t>
                            </w:r>
                          </w:p>
                          <w:p w14:paraId="61168B08" w14:textId="77777777" w:rsidR="005978AA" w:rsidRDefault="005978AA" w:rsidP="00782325">
                            <w:pPr>
                              <w:pStyle w:val="Normlnywebov"/>
                              <w:jc w:val="center"/>
                              <w:textAlignment w:val="baseline"/>
                            </w:pPr>
                            <w:r>
                              <w:rPr>
                                <w:rFonts w:ascii="Arial" w:hAnsi="Arial" w:cstheme="minorBidi"/>
                                <w:color w:val="FFFFFF"/>
                                <w:kern w:val="24"/>
                                <w:sz w:val="16"/>
                                <w:szCs w:val="16"/>
                              </w:rPr>
                              <w:t xml:space="preserve"> </w:t>
                            </w:r>
                          </w:p>
                          <w:p w14:paraId="38E0AD64" w14:textId="77777777" w:rsidR="005978AA" w:rsidRDefault="005978AA" w:rsidP="00782325">
                            <w:pPr>
                              <w:pStyle w:val="Normlnywebov"/>
                              <w:jc w:val="center"/>
                              <w:textAlignment w:val="baseline"/>
                            </w:pPr>
                            <w:r>
                              <w:rPr>
                                <w:rFonts w:ascii="Arial" w:hAnsi="Arial" w:cstheme="minorBidi"/>
                                <w:i/>
                                <w:iCs/>
                                <w:color w:val="FFFFFF"/>
                                <w:kern w:val="24"/>
                                <w:sz w:val="16"/>
                                <w:szCs w:val="16"/>
                              </w:rPr>
                              <w:t>na jedného podnikateľa</w:t>
                            </w:r>
                            <w:r>
                              <w:rPr>
                                <w:rFonts w:ascii="Arial" w:hAnsi="Arial" w:cstheme="minorBidi"/>
                                <w:color w:val="FFFFFF"/>
                                <w:kern w:val="24"/>
                                <w:sz w:val="16"/>
                                <w:szCs w:val="16"/>
                              </w:rPr>
                              <w:t xml:space="preserve"> </w:t>
                            </w:r>
                          </w:p>
                        </w:txbxContent>
                      </wps:txbx>
                      <wps:bodyPr wrap="square" lIns="36000" tIns="36000" rIns="36000" bIns="36000" anchor="ctr">
                        <a:noAutofit/>
                      </wps:bodyPr>
                    </wps:wsp>
                  </a:graphicData>
                </a:graphic>
                <wp14:sizeRelH relativeFrom="margin">
                  <wp14:pctWidth>0</wp14:pctWidth>
                </wp14:sizeRelH>
              </wp:anchor>
            </w:drawing>
          </mc:Choice>
          <mc:Fallback xmlns:cx1="http://schemas.microsoft.com/office/drawing/2015/9/8/chartex">
            <w:pict>
              <v:rect w14:anchorId="3CEA367F" id="_x0000_s1063" style="position:absolute;margin-left:0;margin-top:2.25pt;width:298.5pt;height:37.4pt;z-index:2516817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" fillcolor="#00a1de" stroked="f">
                <v:textbox inset="1mm,1mm,1mm,1mm">
                  <w:txbxContent>
                    <w:p w14:paraId="29BA09CB" w14:textId="77777777" w:rsidR="005978AA" w:rsidRDefault="005978AA" w:rsidP="00782325">
                      <w:pPr>
                        <w:pStyle w:val="Normlnywebov"/>
                        <w:jc w:val="center"/>
                        <w:textAlignment w:val="baseline"/>
                      </w:pPr>
                      <w:r>
                        <w:rPr>
                          <w:rFonts w:ascii="Arial" w:hAnsi="Arial" w:cstheme="minorBidi"/>
                          <w:b/>
                          <w:bCs/>
                          <w:color w:val="FFFFFF"/>
                          <w:kern w:val="24"/>
                          <w:sz w:val="16"/>
                          <w:szCs w:val="16"/>
                        </w:rPr>
                        <w:t>Iné nepriame náklady</w:t>
                      </w:r>
                    </w:p>
                    <w:p w14:paraId="61168B08" w14:textId="77777777" w:rsidR="005978AA" w:rsidRDefault="005978AA" w:rsidP="00782325">
                      <w:pPr>
                        <w:pStyle w:val="Normlnywebov"/>
                        <w:jc w:val="center"/>
                        <w:textAlignment w:val="baseline"/>
                      </w:pPr>
                      <w:r>
                        <w:rPr>
                          <w:rFonts w:ascii="Arial" w:hAnsi="Arial" w:cstheme="minorBidi"/>
                          <w:color w:val="FFFFFF"/>
                          <w:kern w:val="24"/>
                          <w:sz w:val="16"/>
                          <w:szCs w:val="16"/>
                        </w:rPr>
                        <w:t xml:space="preserve"> </w:t>
                      </w:r>
                    </w:p>
                    <w:p w14:paraId="38E0AD64" w14:textId="77777777" w:rsidR="005978AA" w:rsidRDefault="005978AA" w:rsidP="00782325">
                      <w:pPr>
                        <w:pStyle w:val="Normlnywebov"/>
                        <w:jc w:val="center"/>
                        <w:textAlignment w:val="baseline"/>
                      </w:pPr>
                      <w:r>
                        <w:rPr>
                          <w:rFonts w:ascii="Arial" w:hAnsi="Arial" w:cstheme="minorBidi"/>
                          <w:i/>
                          <w:iCs/>
                          <w:color w:val="FFFFFF"/>
                          <w:kern w:val="24"/>
                          <w:sz w:val="16"/>
                          <w:szCs w:val="16"/>
                        </w:rPr>
                        <w:t>na jedného podnikateľa</w:t>
                      </w:r>
                      <w:r>
                        <w:rPr>
                          <w:rFonts w:ascii="Arial" w:hAnsi="Arial" w:cstheme="minorBidi"/>
                          <w:color w:val="FFFFFF"/>
                          <w:kern w:val="24"/>
                          <w:sz w:val="16"/>
                          <w:szCs w:val="16"/>
                        </w:rPr>
                        <w:t xml:space="preserve"> </w:t>
                      </w:r>
                    </w:p>
                  </w:txbxContent>
                </v:textbox>
                <w10:wrap type="square" anchorx="margin"/>
              </v:rect>
            </w:pict>
          </mc:Fallback>
        </mc:AlternateContent>
      </w:r>
    </w:p>
    <w:p w14:paraId="0337BF30" w14:textId="77777777" w:rsidR="00782325" w:rsidRPr="00685281" w:rsidRDefault="00782325" w:rsidP="00782325">
      <w:pPr>
        <w:spacing w:after="120" w:line="240" w:lineRule="auto"/>
        <w:rPr>
          <w:rFonts w:ascii="Times New Roman" w:eastAsia="Times New Roman" w:hAnsi="Times New Roman" w:cs="Times New Roman"/>
          <w:noProof/>
          <w:color w:val="000000"/>
          <w:sz w:val="24"/>
          <w:szCs w:val="24"/>
          <w:lang w:eastAsia="sk-SK"/>
        </w:rPr>
      </w:pPr>
    </w:p>
    <w:p w14:paraId="0CAE3C27" w14:textId="77777777" w:rsidR="00782325" w:rsidRPr="00685281" w:rsidRDefault="00782325" w:rsidP="00782325">
      <w:pPr>
        <w:spacing w:after="120" w:line="240" w:lineRule="auto"/>
        <w:rPr>
          <w:rFonts w:ascii="Times New Roman" w:eastAsia="Times New Roman" w:hAnsi="Times New Roman" w:cs="Times New Roman"/>
          <w:noProof/>
          <w:color w:val="000000"/>
          <w:sz w:val="24"/>
          <w:szCs w:val="24"/>
          <w:lang w:eastAsia="sk-SK"/>
        </w:rPr>
      </w:pPr>
    </w:p>
    <w:p w14:paraId="79465FA8" w14:textId="77777777" w:rsidR="00782325" w:rsidRPr="00685281" w:rsidRDefault="00782325" w:rsidP="00782325">
      <w:pPr>
        <w:spacing w:after="120" w:line="240" w:lineRule="auto"/>
        <w:rPr>
          <w:rFonts w:ascii="Times New Roman" w:eastAsia="Calibri" w:hAnsi="Times New Roman" w:cs="Times New Roman"/>
          <w:sz w:val="24"/>
          <w:szCs w:val="24"/>
        </w:rPr>
      </w:pPr>
      <w:r w:rsidRPr="00685281">
        <w:rPr>
          <w:rFonts w:ascii="Times New Roman" w:eastAsia="Times New Roman" w:hAnsi="Times New Roman" w:cs="Times New Roman"/>
          <w:noProof/>
          <w:color w:val="000000"/>
          <w:sz w:val="24"/>
          <w:szCs w:val="24"/>
          <w:lang w:eastAsia="sk-SK"/>
        </w:rPr>
        <w:lastRenderedPageBreak/>
        <mc:AlternateContent>
          <mc:Choice Requires="wpg">
            <w:drawing>
              <wp:anchor distT="0" distB="0" distL="114300" distR="114300" simplePos="0" relativeHeight="251660288" behindDoc="0" locked="0" layoutInCell="1" allowOverlap="1" wp14:anchorId="399BE3BC" wp14:editId="2C7C6B9B">
                <wp:simplePos x="0" y="0"/>
                <wp:positionH relativeFrom="column">
                  <wp:posOffset>-4445</wp:posOffset>
                </wp:positionH>
                <wp:positionV relativeFrom="paragraph">
                  <wp:posOffset>238125</wp:posOffset>
                </wp:positionV>
                <wp:extent cx="4529455" cy="445770"/>
                <wp:effectExtent l="0" t="0" r="0" b="0"/>
                <wp:wrapNone/>
                <wp:docPr id="224" name="Skupin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9455" cy="445770"/>
                          <a:chOff x="0" y="0"/>
                          <a:chExt cx="3971925" cy="445770"/>
                        </a:xfrm>
                      </wpg:grpSpPr>
                      <wps:wsp>
                        <wps:cNvPr id="237" name="Textové pole 237"/>
                        <wps:cNvSpPr txBox="1">
                          <a:spLocks noChangeArrowheads="1"/>
                        </wps:cNvSpPr>
                        <wps:spPr bwMode="auto">
                          <a:xfrm>
                            <a:off x="3105150" y="0"/>
                            <a:ext cx="866775" cy="445770"/>
                          </a:xfrm>
                          <a:prstGeom prst="rect">
                            <a:avLst/>
                          </a:prstGeom>
                          <a:solidFill>
                            <a:srgbClr val="92D050"/>
                          </a:solidFill>
                          <a:ln w="9525">
                            <a:noFill/>
                            <a:miter lim="800000"/>
                            <a:headEnd/>
                            <a:tailEnd/>
                          </a:ln>
                        </wps:spPr>
                        <wps:txbx>
                          <w:txbxContent>
                            <w:p w14:paraId="2D4F01BF" w14:textId="77777777" w:rsidR="005978AA" w:rsidRPr="00895898" w:rsidRDefault="005978AA" w:rsidP="0078232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wps:txbx>
                        <wps:bodyPr rot="0" vert="horz" wrap="square" lIns="91440" tIns="45720" rIns="91440" bIns="45720" anchor="ctr" anchorCtr="0">
                          <a:noAutofit/>
                        </wps:bodyPr>
                      </wps:wsp>
                      <wpg:grpSp>
                        <wpg:cNvPr id="240" name="Skupina 240"/>
                        <wpg:cNvGrpSpPr/>
                        <wpg:grpSpPr>
                          <a:xfrm>
                            <a:off x="0" y="0"/>
                            <a:ext cx="2874010" cy="445770"/>
                            <a:chOff x="0" y="0"/>
                            <a:chExt cx="2874010" cy="445770"/>
                          </a:xfrm>
                        </wpg:grpSpPr>
                        <wps:wsp>
                          <wps:cNvPr id="242" name="Textové pole 2"/>
                          <wps:cNvSpPr txBox="1">
                            <a:spLocks noChangeArrowheads="1"/>
                          </wps:cNvSpPr>
                          <wps:spPr bwMode="auto">
                            <a:xfrm>
                              <a:off x="790575" y="95250"/>
                              <a:ext cx="100965" cy="304800"/>
                            </a:xfrm>
                            <a:prstGeom prst="rect">
                              <a:avLst/>
                            </a:prstGeom>
                            <a:noFill/>
                            <a:ln w="9525">
                              <a:noFill/>
                              <a:miter lim="800000"/>
                              <a:headEnd/>
                              <a:tailEnd/>
                            </a:ln>
                          </wps:spPr>
                          <wps:txbx>
                            <w:txbxContent>
                              <w:p w14:paraId="4759FB4F" w14:textId="77777777" w:rsidR="005978AA" w:rsidRDefault="005978AA" w:rsidP="00782325">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43" name="Textové pole 2"/>
                          <wps:cNvSpPr txBox="1">
                            <a:spLocks noChangeArrowheads="1"/>
                          </wps:cNvSpPr>
                          <wps:spPr bwMode="auto">
                            <a:xfrm>
                              <a:off x="1828800" y="85725"/>
                              <a:ext cx="85090" cy="342900"/>
                            </a:xfrm>
                            <a:prstGeom prst="rect">
                              <a:avLst/>
                            </a:prstGeom>
                            <a:noFill/>
                            <a:ln w="9525">
                              <a:noFill/>
                              <a:miter lim="800000"/>
                              <a:headEnd/>
                              <a:tailEnd/>
                            </a:ln>
                          </wps:spPr>
                          <wps:txbx>
                            <w:txbxContent>
                              <w:p w14:paraId="58EBE33F" w14:textId="77777777" w:rsidR="005978AA" w:rsidRDefault="005978AA" w:rsidP="00782325">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50" name="Textové pole 2"/>
                          <wps:cNvSpPr txBox="1">
                            <a:spLocks noChangeArrowheads="1"/>
                          </wps:cNvSpPr>
                          <wps:spPr bwMode="auto">
                            <a:xfrm>
                              <a:off x="2828925" y="95250"/>
                              <a:ext cx="45085" cy="257175"/>
                            </a:xfrm>
                            <a:prstGeom prst="rect">
                              <a:avLst/>
                            </a:prstGeom>
                            <a:noFill/>
                            <a:ln w="9525">
                              <a:noFill/>
                              <a:miter lim="800000"/>
                              <a:headEnd/>
                              <a:tailEnd/>
                            </a:ln>
                          </wps:spPr>
                          <wps:txbx>
                            <w:txbxContent>
                              <w:p w14:paraId="1A81DAC6" w14:textId="77777777" w:rsidR="005978AA" w:rsidRDefault="005978AA" w:rsidP="00782325">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51"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14:paraId="18DA04F0" w14:textId="77777777" w:rsidR="005978AA" w:rsidRPr="00895898" w:rsidRDefault="005978AA" w:rsidP="0078232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p>
                            </w:txbxContent>
                          </wps:txbx>
                          <wps:bodyPr rot="0" vert="horz" wrap="square" lIns="91440" tIns="45720" rIns="91440" bIns="45720" anchor="ctr" anchorCtr="0">
                            <a:noAutofit/>
                          </wps:bodyPr>
                        </wps:wsp>
                        <wps:wsp>
                          <wps:cNvPr id="252" name="Textové pole 2"/>
                          <wps:cNvSpPr txBox="1">
                            <a:spLocks noChangeArrowheads="1"/>
                          </wps:cNvSpPr>
                          <wps:spPr bwMode="auto">
                            <a:xfrm>
                              <a:off x="1047750" y="0"/>
                              <a:ext cx="733425" cy="445770"/>
                            </a:xfrm>
                            <a:prstGeom prst="rect">
                              <a:avLst/>
                            </a:prstGeom>
                            <a:solidFill>
                              <a:srgbClr val="92D050"/>
                            </a:solidFill>
                            <a:ln w="9525">
                              <a:noFill/>
                              <a:miter lim="800000"/>
                              <a:headEnd/>
                              <a:tailEnd/>
                            </a:ln>
                          </wps:spPr>
                          <wps:txbx>
                            <w:txbxContent>
                              <w:p w14:paraId="29C101F8" w14:textId="77777777" w:rsidR="005978AA" w:rsidRPr="00895898" w:rsidRDefault="005978AA" w:rsidP="0078232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w:t>
                                </w:r>
                                <w:r>
                                  <w:rPr>
                                    <w:rFonts w:ascii="Arial" w:hAnsi="Arial"/>
                                    <w:color w:val="FFFFFF"/>
                                    <w:kern w:val="24"/>
                                    <w:sz w:val="16"/>
                                    <w:szCs w:val="16"/>
                                  </w:rPr>
                                  <w:t xml:space="preserve"> ***</w:t>
                                </w:r>
                                <w:r w:rsidRPr="00895898">
                                  <w:rPr>
                                    <w:rFonts w:ascii="Arial" w:hAnsi="Arial"/>
                                    <w:color w:val="FFFFFF"/>
                                    <w:kern w:val="24"/>
                                    <w:sz w:val="16"/>
                                    <w:szCs w:val="16"/>
                                  </w:rPr>
                                  <w:t xml:space="preserve"> </w:t>
                                </w:r>
                              </w:p>
                            </w:txbxContent>
                          </wps:txbx>
                          <wps:bodyPr rot="0" vert="horz" wrap="square" lIns="91440" tIns="45720" rIns="91440" bIns="45720" anchor="ctr" anchorCtr="0">
                            <a:noAutofit/>
                          </wps:bodyPr>
                        </wps:wsp>
                        <wps:wsp>
                          <wps:cNvPr id="253" name="Textové pole 2"/>
                          <wps:cNvSpPr txBox="1">
                            <a:spLocks noChangeArrowheads="1"/>
                          </wps:cNvSpPr>
                          <wps:spPr bwMode="auto">
                            <a:xfrm>
                              <a:off x="2066925" y="0"/>
                              <a:ext cx="733425" cy="445770"/>
                            </a:xfrm>
                            <a:prstGeom prst="rect">
                              <a:avLst/>
                            </a:prstGeom>
                            <a:solidFill>
                              <a:srgbClr val="92D050"/>
                            </a:solidFill>
                            <a:ln w="9525">
                              <a:noFill/>
                              <a:miter lim="800000"/>
                              <a:headEnd/>
                              <a:tailEnd/>
                            </a:ln>
                          </wps:spPr>
                          <wps:txbx>
                            <w:txbxContent>
                              <w:p w14:paraId="6A882B5C" w14:textId="77777777" w:rsidR="005978AA" w:rsidRPr="00895898" w:rsidRDefault="005978AA" w:rsidP="0078232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wps:txbx>
                          <wps:bodyPr rot="0" vert="horz" wrap="square" lIns="91440" tIns="45720" rIns="91440" bIns="45720" anchor="ctr" anchorCtr="0">
                            <a:noAutofit/>
                          </wps:bodyPr>
                        </wps:wsp>
                      </wpg:grpSp>
                    </wpg:wgp>
                  </a:graphicData>
                </a:graphic>
                <wp14:sizeRelH relativeFrom="margin">
                  <wp14:pctWidth>0</wp14:pctWidth>
                </wp14:sizeRelH>
                <wp14:sizeRelV relativeFrom="page">
                  <wp14:pctHeight>0</wp14:pctHeight>
                </wp14:sizeRelV>
              </wp:anchor>
            </w:drawing>
          </mc:Choice>
          <mc:Fallback xmlns:cx1="http://schemas.microsoft.com/office/drawing/2015/9/8/chartex">
            <w:pict>
              <v:group w14:anchorId="399BE3BC" id="Skupina 119" o:spid="_x0000_s1064" style="position:absolute;margin-left:-.35pt;margin-top:18.75pt;width:356.65pt;height:35.1pt;z-index:251660288;mso-width-relative:margin" coordsize="39719,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">
                <v:shape id="Textové pole 237" o:spid="_x0000_s1065" type="#_x0000_t202" style="position:absolute;left:31051;width:866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" fillcolor="#92d050" stroked="f">
                  <v:textbox>
                    <w:txbxContent>
                      <w:p w14:paraId="2D4F01BF" w14:textId="77777777" w:rsidR="005978AA" w:rsidRPr="00895898" w:rsidRDefault="005978AA" w:rsidP="0078232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v:textbox>
                </v:shape>
                <v:group id="Skupina 240" o:spid="_x0000_s1066" style="position:absolute;width:28740;height:4457" coordsize="28740,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Textové pole 2" o:spid="_x0000_s1067" type="#_x0000_t202" style="position:absolute;left:7905;top:952;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14:paraId="4759FB4F" w14:textId="77777777" w:rsidR="005978AA" w:rsidRDefault="005978AA" w:rsidP="00782325">
                          <w:pPr>
                            <w:pStyle w:val="Normlnywebov"/>
                            <w:spacing w:after="160" w:line="256" w:lineRule="auto"/>
                          </w:pPr>
                          <w:r>
                            <w:rPr>
                              <w:rFonts w:ascii="Calibri" w:eastAsia="Calibri" w:hAnsi="Calibri"/>
                              <w:sz w:val="22"/>
                              <w:szCs w:val="22"/>
                            </w:rPr>
                            <w:t>x</w:t>
                          </w:r>
                        </w:p>
                      </w:txbxContent>
                    </v:textbox>
                  </v:shape>
                  <v:shape id="Textové pole 2" o:spid="_x0000_s1068" type="#_x0000_t202" style="position:absolute;left:18288;top:857;width:8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58EBE33F" w14:textId="77777777" w:rsidR="005978AA" w:rsidRDefault="005978AA" w:rsidP="00782325">
                          <w:pPr>
                            <w:pStyle w:val="Normlnywebov"/>
                            <w:spacing w:after="160" w:line="256" w:lineRule="auto"/>
                          </w:pPr>
                          <w:r>
                            <w:rPr>
                              <w:rFonts w:ascii="Calibri" w:eastAsia="Calibri" w:hAnsi="Calibri"/>
                              <w:sz w:val="22"/>
                              <w:szCs w:val="22"/>
                            </w:rPr>
                            <w:t>x</w:t>
                          </w:r>
                        </w:p>
                      </w:txbxContent>
                    </v:textbox>
                  </v:shape>
                  <v:shape id="Textové pole 2" o:spid="_x0000_s1069" type="#_x0000_t202" style="position:absolute;left:28289;top:952;width:45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" filled="f" stroked="f">
                    <v:textbox>
                      <w:txbxContent>
                        <w:p w14:paraId="1A81DAC6" w14:textId="77777777" w:rsidR="005978AA" w:rsidRDefault="005978AA" w:rsidP="00782325">
                          <w:pPr>
                            <w:pStyle w:val="Normlnywebov"/>
                            <w:spacing w:after="160" w:line="256" w:lineRule="auto"/>
                          </w:pPr>
                          <w:r>
                            <w:rPr>
                              <w:rFonts w:ascii="Calibri" w:eastAsia="Calibri" w:hAnsi="Calibri"/>
                              <w:sz w:val="22"/>
                              <w:szCs w:val="22"/>
                            </w:rPr>
                            <w:t>x</w:t>
                          </w:r>
                        </w:p>
                      </w:txbxContent>
                    </v:textbox>
                  </v:shape>
                  <v:shape id="Textové pole 2" o:spid="_x0000_s1070"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" fillcolor="#92d050" stroked="f">
                    <v:textbox>
                      <w:txbxContent>
                        <w:p w14:paraId="18DA04F0" w14:textId="77777777" w:rsidR="005978AA" w:rsidRPr="00895898" w:rsidRDefault="005978AA" w:rsidP="0078232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p>
                      </w:txbxContent>
                    </v:textbox>
                  </v:shape>
                  <v:shape id="Textové pole 2" o:spid="_x0000_s1071" type="#_x0000_t202" style="position:absolute;left:10477;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" fillcolor="#92d050" stroked="f">
                    <v:textbox>
                      <w:txbxContent>
                        <w:p w14:paraId="29C101F8" w14:textId="77777777" w:rsidR="005978AA" w:rsidRPr="00895898" w:rsidRDefault="005978AA" w:rsidP="0078232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w:t>
                          </w:r>
                          <w:r>
                            <w:rPr>
                              <w:rFonts w:ascii="Arial" w:hAnsi="Arial"/>
                              <w:color w:val="FFFFFF"/>
                              <w:kern w:val="24"/>
                              <w:sz w:val="16"/>
                              <w:szCs w:val="16"/>
                            </w:rPr>
                            <w:t xml:space="preserve"> ***</w:t>
                          </w:r>
                          <w:r w:rsidRPr="00895898">
                            <w:rPr>
                              <w:rFonts w:ascii="Arial" w:hAnsi="Arial"/>
                              <w:color w:val="FFFFFF"/>
                              <w:kern w:val="24"/>
                              <w:sz w:val="16"/>
                              <w:szCs w:val="16"/>
                            </w:rPr>
                            <w:t xml:space="preserve"> </w:t>
                          </w:r>
                        </w:p>
                      </w:txbxContent>
                    </v:textbox>
                  </v:shape>
                  <v:shape id="Textové pole 2" o:spid="_x0000_s1072" type="#_x0000_t202" style="position:absolute;left:20669;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" fillcolor="#92d050" stroked="f">
                    <v:textbox>
                      <w:txbxContent>
                        <w:p w14:paraId="6A882B5C" w14:textId="77777777" w:rsidR="005978AA" w:rsidRPr="00895898" w:rsidRDefault="005978AA" w:rsidP="0078232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v:textbox>
                  </v:shape>
                </v:group>
              </v:group>
            </w:pict>
          </mc:Fallback>
        </mc:AlternateContent>
      </w:r>
      <w:r w:rsidRPr="00685281">
        <w:rPr>
          <w:rFonts w:ascii="Times New Roman" w:eastAsia="Calibri" w:hAnsi="Times New Roman" w:cs="Times New Roman"/>
          <w:i/>
          <w:sz w:val="24"/>
          <w:szCs w:val="24"/>
        </w:rPr>
        <w:t xml:space="preserve">Administratívne náklady na celé podnikateľské prostredie </w:t>
      </w:r>
      <w:r w:rsidRPr="00685281">
        <w:rPr>
          <w:rFonts w:ascii="Times New Roman" w:eastAsia="Calibri" w:hAnsi="Times New Roman" w:cs="Times New Roman"/>
          <w:sz w:val="24"/>
          <w:szCs w:val="24"/>
        </w:rPr>
        <w:t>sú vyčíslené na základe vzorca:</w:t>
      </w:r>
    </w:p>
    <w:p w14:paraId="1BD0A0FD" w14:textId="77777777" w:rsidR="00782325" w:rsidRPr="00685281" w:rsidRDefault="00782325" w:rsidP="00782325">
      <w:pPr>
        <w:spacing w:after="120" w:line="240" w:lineRule="auto"/>
        <w:rPr>
          <w:rFonts w:ascii="Times New Roman" w:eastAsia="Times New Roman" w:hAnsi="Times New Roman" w:cs="Times New Roman"/>
          <w:color w:val="000000"/>
          <w:sz w:val="24"/>
          <w:szCs w:val="24"/>
        </w:rPr>
      </w:pPr>
    </w:p>
    <w:p w14:paraId="2DBCC9D3" w14:textId="77777777" w:rsidR="00782325" w:rsidRPr="00685281" w:rsidRDefault="00782325" w:rsidP="00782325">
      <w:pPr>
        <w:spacing w:after="120" w:line="240" w:lineRule="auto"/>
        <w:rPr>
          <w:rFonts w:ascii="Times New Roman" w:eastAsia="Times New Roman" w:hAnsi="Times New Roman" w:cs="Times New Roman"/>
          <w:i/>
          <w:color w:val="000000"/>
          <w:sz w:val="24"/>
          <w:szCs w:val="24"/>
        </w:rPr>
      </w:pPr>
    </w:p>
    <w:p w14:paraId="3E977B2B" w14:textId="77777777" w:rsidR="00782325" w:rsidRPr="00685281" w:rsidRDefault="00782325" w:rsidP="00782325">
      <w:pPr>
        <w:spacing w:after="120" w:line="240" w:lineRule="auto"/>
        <w:rPr>
          <w:rFonts w:ascii="Times New Roman" w:eastAsia="Calibri" w:hAnsi="Times New Roman" w:cs="Times New Roman"/>
          <w:i/>
          <w:sz w:val="24"/>
          <w:szCs w:val="24"/>
        </w:rPr>
      </w:pPr>
    </w:p>
    <w:p w14:paraId="545D0074" w14:textId="77777777" w:rsidR="00782325" w:rsidRPr="00685281" w:rsidRDefault="00782325" w:rsidP="00782325">
      <w:pPr>
        <w:spacing w:after="120" w:line="240" w:lineRule="auto"/>
        <w:rPr>
          <w:rFonts w:ascii="Times New Roman" w:eastAsia="Times New Roman" w:hAnsi="Times New Roman" w:cs="Times New Roman"/>
          <w:i/>
          <w:sz w:val="24"/>
          <w:szCs w:val="24"/>
        </w:rPr>
      </w:pPr>
      <w:r w:rsidRPr="00685281">
        <w:rPr>
          <w:rFonts w:ascii="Times New Roman" w:eastAsia="Times New Roman" w:hAnsi="Times New Roman" w:cs="Times New Roman"/>
          <w:i/>
          <w:sz w:val="24"/>
          <w:szCs w:val="24"/>
        </w:rPr>
        <w:t>* Pokyny k vyplneniu frekvencie plnenia povinnosti sú uvedené na str. 11</w:t>
      </w:r>
    </w:p>
    <w:p w14:paraId="0EE74832" w14:textId="77777777" w:rsidR="00782325" w:rsidRPr="00685281" w:rsidRDefault="00782325" w:rsidP="00782325">
      <w:pPr>
        <w:spacing w:after="120" w:line="240" w:lineRule="auto"/>
        <w:rPr>
          <w:rFonts w:ascii="Times New Roman" w:eastAsia="Times New Roman" w:hAnsi="Times New Roman" w:cs="Times New Roman"/>
          <w:i/>
          <w:sz w:val="24"/>
          <w:szCs w:val="24"/>
        </w:rPr>
      </w:pPr>
      <w:r w:rsidRPr="00685281">
        <w:rPr>
          <w:rFonts w:ascii="Times New Roman" w:eastAsia="Times New Roman" w:hAnsi="Times New Roman" w:cs="Times New Roman"/>
          <w:i/>
          <w:sz w:val="24"/>
          <w:szCs w:val="24"/>
        </w:rPr>
        <w:t>** Pokyny k vyplneniu časovej náročnosti sú uvedené na str. 11 a 12</w:t>
      </w:r>
    </w:p>
    <w:p w14:paraId="59C968C6" w14:textId="77777777" w:rsidR="00782325" w:rsidRPr="00685281" w:rsidRDefault="00782325" w:rsidP="00782325">
      <w:pPr>
        <w:spacing w:after="120" w:line="240" w:lineRule="auto"/>
        <w:jc w:val="both"/>
        <w:rPr>
          <w:rFonts w:ascii="Times New Roman" w:eastAsia="Times New Roman" w:hAnsi="Times New Roman" w:cs="Times New Roman"/>
          <w:i/>
          <w:color w:val="000000"/>
          <w:sz w:val="24"/>
          <w:szCs w:val="24"/>
        </w:rPr>
      </w:pPr>
      <w:r w:rsidRPr="00685281">
        <w:rPr>
          <w:rFonts w:ascii="Times New Roman" w:eastAsia="Times New Roman" w:hAnsi="Times New Roman" w:cs="Times New Roman"/>
          <w:i/>
          <w:sz w:val="24"/>
          <w:szCs w:val="24"/>
        </w:rPr>
        <w:t xml:space="preserve">*** Tarifa – pre zjednodušenie výpočtov vychádza z priemernej ceny práce, ktorá je uvedená v Kalkulačke nákladov (priemerná mzda + odvody zamestnávateľa). </w:t>
      </w:r>
    </w:p>
    <w:p w14:paraId="1EC56021" w14:textId="77777777" w:rsidR="00782325" w:rsidRPr="00685281" w:rsidRDefault="00782325" w:rsidP="00782325">
      <w:pPr>
        <w:spacing w:after="120" w:line="240" w:lineRule="auto"/>
        <w:rPr>
          <w:rFonts w:ascii="Times New Roman" w:eastAsia="Calibri" w:hAnsi="Times New Roman" w:cs="Times New Roman"/>
          <w:i/>
          <w:sz w:val="24"/>
          <w:szCs w:val="24"/>
        </w:rPr>
      </w:pPr>
    </w:p>
    <w:p w14:paraId="1505908E" w14:textId="77777777" w:rsidR="00782325" w:rsidRPr="00685281" w:rsidRDefault="00782325" w:rsidP="00782325">
      <w:pPr>
        <w:spacing w:after="120" w:line="240" w:lineRule="auto"/>
        <w:rPr>
          <w:rFonts w:ascii="Times New Roman" w:eastAsia="Calibri" w:hAnsi="Times New Roman" w:cs="Times New Roman"/>
          <w:i/>
          <w:sz w:val="24"/>
          <w:szCs w:val="24"/>
        </w:rPr>
      </w:pP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88960" behindDoc="0" locked="0" layoutInCell="1" allowOverlap="1" wp14:anchorId="3C38E609" wp14:editId="6DDDC11B">
                <wp:simplePos x="0" y="0"/>
                <wp:positionH relativeFrom="column">
                  <wp:posOffset>4731489</wp:posOffset>
                </wp:positionH>
                <wp:positionV relativeFrom="paragraph">
                  <wp:posOffset>745298</wp:posOffset>
                </wp:positionV>
                <wp:extent cx="248612" cy="258884"/>
                <wp:effectExtent l="0" t="0" r="0" b="0"/>
                <wp:wrapSquare wrapText="bothSides"/>
                <wp:docPr id="230"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612" cy="25888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F0297F0" w14:textId="77777777" w:rsidR="005978AA" w:rsidRDefault="005978AA" w:rsidP="00782325">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xmlns:cx1="http://schemas.microsoft.com/office/drawing/2015/9/8/chartex">
            <w:pict>
              <v:shape w14:anchorId="3C38E609" id="_x0000_s1073" type="#_x0000_t202" style="position:absolute;margin-left:372.55pt;margin-top:58.7pt;width:19.6pt;height:20.4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" filled="f" stroked="f">
                <v:textbox>
                  <w:txbxContent>
                    <w:p w14:paraId="2F0297F0" w14:textId="77777777" w:rsidR="005978AA" w:rsidRDefault="005978AA" w:rsidP="00782325">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87936" behindDoc="0" locked="0" layoutInCell="1" allowOverlap="1" wp14:anchorId="6F4620D7" wp14:editId="7066D801">
                <wp:simplePos x="0" y="0"/>
                <wp:positionH relativeFrom="column">
                  <wp:posOffset>3593465</wp:posOffset>
                </wp:positionH>
                <wp:positionV relativeFrom="paragraph">
                  <wp:posOffset>719455</wp:posOffset>
                </wp:positionV>
                <wp:extent cx="248285" cy="258445"/>
                <wp:effectExtent l="0" t="0" r="0" b="0"/>
                <wp:wrapSquare wrapText="bothSides"/>
                <wp:docPr id="229"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285" cy="2584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306403D" w14:textId="77777777" w:rsidR="005978AA" w:rsidRDefault="005978AA" w:rsidP="00782325">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xmlns:cx1="http://schemas.microsoft.com/office/drawing/2015/9/8/chartex">
            <w:pict>
              <v:shape w14:anchorId="6F4620D7" id="_x0000_s1074" type="#_x0000_t202" style="position:absolute;margin-left:282.95pt;margin-top:56.65pt;width:19.55pt;height:20.35pt;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" filled="f" stroked="f">
                <v:textbox>
                  <w:txbxContent>
                    <w:p w14:paraId="3306403D" w14:textId="77777777" w:rsidR="005978AA" w:rsidRDefault="005978AA" w:rsidP="00782325">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86912" behindDoc="0" locked="0" layoutInCell="1" allowOverlap="1" wp14:anchorId="3479A0F7" wp14:editId="3920EE49">
                <wp:simplePos x="0" y="0"/>
                <wp:positionH relativeFrom="column">
                  <wp:posOffset>2477386</wp:posOffset>
                </wp:positionH>
                <wp:positionV relativeFrom="paragraph">
                  <wp:posOffset>702768</wp:posOffset>
                </wp:positionV>
                <wp:extent cx="248612" cy="258884"/>
                <wp:effectExtent l="0" t="0" r="0" b="0"/>
                <wp:wrapSquare wrapText="bothSides"/>
                <wp:docPr id="228"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612" cy="25888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06DF420" w14:textId="77777777" w:rsidR="005978AA" w:rsidRDefault="005978AA" w:rsidP="00782325">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xmlns:cx1="http://schemas.microsoft.com/office/drawing/2015/9/8/chartex">
            <w:pict>
              <v:shape w14:anchorId="3479A0F7" id="_x0000_s1075" type="#_x0000_t202" style="position:absolute;margin-left:195.05pt;margin-top:55.35pt;width:19.6pt;height:20.4pt;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" filled="f" stroked="f">
                <v:textbox>
                  <w:txbxContent>
                    <w:p w14:paraId="206DF420" w14:textId="77777777" w:rsidR="005978AA" w:rsidRDefault="005978AA" w:rsidP="00782325">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Pr="00685281">
        <w:rPr>
          <w:rFonts w:ascii="Times New Roman" w:hAnsi="Times New Roman" w:cs="Times New Roman"/>
          <w:noProof/>
          <w:sz w:val="24"/>
          <w:szCs w:val="24"/>
          <w:lang w:eastAsia="sk-SK"/>
        </w:rPr>
        <mc:AlternateContent>
          <mc:Choice Requires="wps">
            <w:drawing>
              <wp:anchor distT="0" distB="0" distL="114300" distR="114300" simplePos="0" relativeHeight="251685888" behindDoc="0" locked="0" layoutInCell="1" allowOverlap="1" wp14:anchorId="3F623618" wp14:editId="35C20CD0">
                <wp:simplePos x="0" y="0"/>
                <wp:positionH relativeFrom="column">
                  <wp:posOffset>3831354</wp:posOffset>
                </wp:positionH>
                <wp:positionV relativeFrom="paragraph">
                  <wp:posOffset>376918</wp:posOffset>
                </wp:positionV>
                <wp:extent cx="934048" cy="1105697"/>
                <wp:effectExtent l="0" t="0" r="0" b="0"/>
                <wp:wrapNone/>
                <wp:docPr id="217" name="Rectangle 3">
                  <a:extLst xmlns:a="http://schemas.openxmlformats.org/drawingml/2006/main">
                    <a:ext uri="{FF2B5EF4-FFF2-40B4-BE49-F238E27FC236}">
                      <a16:creationId xmlns:a16="http://schemas.microsoft.com/office/drawing/2014/main" id="{00000000-0008-0000-0300-00005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048" cy="1105697"/>
                        </a:xfrm>
                        <a:prstGeom prst="rect">
                          <a:avLst/>
                        </a:prstGeom>
                        <a:solidFill>
                          <a:srgbClr val="00A1DE"/>
                        </a:solidFill>
                        <a:ln w="9525">
                          <a:noFill/>
                          <a:miter lim="800000"/>
                          <a:headEnd/>
                          <a:tailEnd/>
                        </a:ln>
                      </wps:spPr>
                      <wps:txbx>
                        <w:txbxContent>
                          <w:p w14:paraId="3C5084FE" w14:textId="77777777" w:rsidR="005978AA" w:rsidRDefault="005978AA" w:rsidP="00782325">
                            <w:pPr>
                              <w:pStyle w:val="Normlnywebov"/>
                              <w:jc w:val="center"/>
                              <w:textAlignment w:val="baseline"/>
                              <w:rPr>
                                <w:rFonts w:ascii="Arial" w:hAnsi="Arial" w:cstheme="minorBidi"/>
                                <w:b/>
                                <w:bCs/>
                                <w:color w:val="FFFFFF"/>
                                <w:kern w:val="24"/>
                                <w:sz w:val="20"/>
                                <w:szCs w:val="20"/>
                              </w:rPr>
                            </w:pPr>
                          </w:p>
                          <w:p w14:paraId="780AD784" w14:textId="77777777" w:rsidR="005978AA" w:rsidRDefault="005978AA" w:rsidP="00782325">
                            <w:pPr>
                              <w:pStyle w:val="Normlnywebov"/>
                              <w:jc w:val="center"/>
                              <w:textAlignment w:val="baseline"/>
                            </w:pPr>
                            <w:r>
                              <w:rPr>
                                <w:rFonts w:ascii="Arial" w:hAnsi="Arial" w:cstheme="minorBidi"/>
                                <w:b/>
                                <w:bCs/>
                                <w:color w:val="FFFFFF"/>
                                <w:kern w:val="24"/>
                                <w:sz w:val="20"/>
                                <w:szCs w:val="20"/>
                              </w:rPr>
                              <w:t>Nepriame náklady</w:t>
                            </w:r>
                          </w:p>
                          <w:p w14:paraId="52FADB96" w14:textId="77777777" w:rsidR="005978AA" w:rsidRDefault="005978AA" w:rsidP="00782325">
                            <w:pPr>
                              <w:pStyle w:val="Normlnywebov"/>
                              <w:jc w:val="center"/>
                              <w:textAlignment w:val="baseline"/>
                            </w:pPr>
                            <w:r>
                              <w:rPr>
                                <w:rFonts w:ascii="Arial" w:hAnsi="Arial" w:cstheme="minorBidi"/>
                                <w:color w:val="FFFFFF"/>
                                <w:kern w:val="24"/>
                                <w:sz w:val="16"/>
                                <w:szCs w:val="16"/>
                              </w:rPr>
                              <w:t>Iné nepriame náklady</w:t>
                            </w:r>
                          </w:p>
                          <w:p w14:paraId="7CC6F469" w14:textId="77777777" w:rsidR="005978AA" w:rsidRDefault="005978AA" w:rsidP="00782325">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p w14:paraId="779B6810" w14:textId="77777777" w:rsidR="005978AA" w:rsidRDefault="005978AA" w:rsidP="00782325">
                            <w:pPr>
                              <w:pStyle w:val="Normlnywebov"/>
                              <w:jc w:val="center"/>
                              <w:textAlignment w:val="baseline"/>
                            </w:pPr>
                          </w:p>
                        </w:txbxContent>
                      </wps:txbx>
                      <wps:bodyPr wrap="square" lIns="36000" tIns="36000" rIns="36000" bIns="36000" anchor="ctr">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F623618" id="_x0000_s1076" style="position:absolute;margin-left:301.7pt;margin-top:29.7pt;width:73.55pt;height:8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" fillcolor="#00a1de" stroked="f">
                <v:textbox inset="1mm,1mm,1mm,1mm">
                  <w:txbxContent>
                    <w:p w14:paraId="3C5084FE" w14:textId="77777777" w:rsidR="005978AA" w:rsidRDefault="005978AA" w:rsidP="00782325">
                      <w:pPr>
                        <w:pStyle w:val="Normlnywebov"/>
                        <w:jc w:val="center"/>
                        <w:textAlignment w:val="baseline"/>
                        <w:rPr>
                          <w:rFonts w:ascii="Arial" w:hAnsi="Arial" w:cstheme="minorBidi"/>
                          <w:b/>
                          <w:bCs/>
                          <w:color w:val="FFFFFF"/>
                          <w:kern w:val="24"/>
                          <w:sz w:val="20"/>
                          <w:szCs w:val="20"/>
                        </w:rPr>
                      </w:pPr>
                    </w:p>
                    <w:p w14:paraId="780AD784" w14:textId="77777777" w:rsidR="005978AA" w:rsidRDefault="005978AA" w:rsidP="00782325">
                      <w:pPr>
                        <w:pStyle w:val="Normlnywebov"/>
                        <w:jc w:val="center"/>
                        <w:textAlignment w:val="baseline"/>
                      </w:pPr>
                      <w:r>
                        <w:rPr>
                          <w:rFonts w:ascii="Arial" w:hAnsi="Arial" w:cstheme="minorBidi"/>
                          <w:b/>
                          <w:bCs/>
                          <w:color w:val="FFFFFF"/>
                          <w:kern w:val="24"/>
                          <w:sz w:val="20"/>
                          <w:szCs w:val="20"/>
                        </w:rPr>
                        <w:t>Nepriame náklady</w:t>
                      </w:r>
                    </w:p>
                    <w:p w14:paraId="52FADB96" w14:textId="77777777" w:rsidR="005978AA" w:rsidRDefault="005978AA" w:rsidP="00782325">
                      <w:pPr>
                        <w:pStyle w:val="Normlnywebov"/>
                        <w:jc w:val="center"/>
                        <w:textAlignment w:val="baseline"/>
                      </w:pPr>
                      <w:r>
                        <w:rPr>
                          <w:rFonts w:ascii="Arial" w:hAnsi="Arial" w:cstheme="minorBidi"/>
                          <w:color w:val="FFFFFF"/>
                          <w:kern w:val="24"/>
                          <w:sz w:val="16"/>
                          <w:szCs w:val="16"/>
                        </w:rPr>
                        <w:t>Iné nepriame náklady</w:t>
                      </w:r>
                    </w:p>
                    <w:p w14:paraId="7CC6F469" w14:textId="77777777" w:rsidR="005978AA" w:rsidRDefault="005978AA" w:rsidP="00782325">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p w14:paraId="779B6810" w14:textId="77777777" w:rsidR="005978AA" w:rsidRDefault="005978AA" w:rsidP="00782325">
                      <w:pPr>
                        <w:pStyle w:val="Normlnywebov"/>
                        <w:jc w:val="center"/>
                        <w:textAlignment w:val="baseline"/>
                      </w:pPr>
                    </w:p>
                  </w:txbxContent>
                </v:textbox>
              </v:rect>
            </w:pict>
          </mc:Fallback>
        </mc:AlternateContent>
      </w:r>
      <w:r w:rsidRPr="00685281">
        <w:rPr>
          <w:rFonts w:ascii="Times New Roman" w:hAnsi="Times New Roman" w:cs="Times New Roman"/>
          <w:noProof/>
          <w:sz w:val="24"/>
          <w:szCs w:val="24"/>
          <w:lang w:eastAsia="sk-SK"/>
        </w:rPr>
        <mc:AlternateContent>
          <mc:Choice Requires="wpg">
            <w:drawing>
              <wp:anchor distT="0" distB="0" distL="114300" distR="114300" simplePos="0" relativeHeight="251684864" behindDoc="0" locked="0" layoutInCell="1" allowOverlap="1" wp14:anchorId="70725616" wp14:editId="6D5D719E">
                <wp:simplePos x="0" y="0"/>
                <wp:positionH relativeFrom="margin">
                  <wp:align>left</wp:align>
                </wp:positionH>
                <wp:positionV relativeFrom="paragraph">
                  <wp:posOffset>365125</wp:posOffset>
                </wp:positionV>
                <wp:extent cx="5890260" cy="1116330"/>
                <wp:effectExtent l="0" t="0" r="0" b="7620"/>
                <wp:wrapSquare wrapText="bothSides"/>
                <wp:docPr id="15" name="Skupina 205">
                  <a:extLst xmlns:a="http://schemas.openxmlformats.org/drawingml/2006/main">
                    <a:ext uri="{FF2B5EF4-FFF2-40B4-BE49-F238E27FC236}">
                      <a16:creationId xmlns:a16="http://schemas.microsoft.com/office/drawing/2014/main" id="{00000000-0008-0000-0300-000059000000}"/>
                    </a:ext>
                  </a:extLst>
                </wp:docPr>
                <wp:cNvGraphicFramePr/>
                <a:graphic xmlns:a="http://schemas.openxmlformats.org/drawingml/2006/main">
                  <a:graphicData uri="http://schemas.microsoft.com/office/word/2010/wordprocessingGroup">
                    <wpg:wgp>
                      <wpg:cNvGrpSpPr/>
                      <wpg:grpSpPr>
                        <a:xfrm>
                          <a:off x="0" y="0"/>
                          <a:ext cx="5890260" cy="1116330"/>
                          <a:chOff x="0" y="0"/>
                          <a:chExt cx="6809417" cy="862629"/>
                        </a:xfrm>
                      </wpg:grpSpPr>
                      <wps:wsp>
                        <wps:cNvPr id="18" name="Rectangle 3">
                          <a:extLst>
                            <a:ext uri="{FF2B5EF4-FFF2-40B4-BE49-F238E27FC236}">
                              <a16:creationId xmlns:a16="http://schemas.microsoft.com/office/drawing/2014/main" id="{00000000-0008-0000-0300-00005A000000}"/>
                            </a:ext>
                          </a:extLst>
                        </wps:cNvPr>
                        <wps:cNvSpPr>
                          <a:spLocks noChangeArrowheads="1"/>
                        </wps:cNvSpPr>
                        <wps:spPr bwMode="auto">
                          <a:xfrm>
                            <a:off x="5732926" y="0"/>
                            <a:ext cx="1076491" cy="853641"/>
                          </a:xfrm>
                          <a:prstGeom prst="rect">
                            <a:avLst/>
                          </a:prstGeom>
                          <a:solidFill>
                            <a:srgbClr val="81BC00"/>
                          </a:solidFill>
                          <a:ln w="9525">
                            <a:noFill/>
                            <a:miter lim="800000"/>
                            <a:headEnd/>
                            <a:tailEnd/>
                          </a:ln>
                        </wps:spPr>
                        <wps:txbx>
                          <w:txbxContent>
                            <w:p w14:paraId="72B6424E" w14:textId="77777777" w:rsidR="005978AA" w:rsidRDefault="005978AA" w:rsidP="00782325">
                              <w:pPr>
                                <w:pStyle w:val="Normlnywebov"/>
                                <w:jc w:val="center"/>
                                <w:textAlignment w:val="baseline"/>
                              </w:pPr>
                              <w:r>
                                <w:rPr>
                                  <w:rFonts w:ascii="Arial" w:hAnsi="Arial" w:cstheme="minorBidi"/>
                                  <w:b/>
                                  <w:bCs/>
                                  <w:color w:val="FFFFFF"/>
                                  <w:kern w:val="24"/>
                                  <w:sz w:val="20"/>
                                  <w:szCs w:val="20"/>
                                </w:rPr>
                                <w:t xml:space="preserve">Administratívne náklady </w:t>
                              </w:r>
                            </w:p>
                            <w:p w14:paraId="551A9DE0" w14:textId="77777777" w:rsidR="005978AA" w:rsidRDefault="005978AA" w:rsidP="00782325">
                              <w:pPr>
                                <w:pStyle w:val="Normlnywebov"/>
                                <w:jc w:val="center"/>
                                <w:textAlignment w:val="baseline"/>
                              </w:pPr>
                              <w:r>
                                <w:rPr>
                                  <w:rFonts w:ascii="Arial" w:hAnsi="Arial" w:cstheme="minorBidi"/>
                                  <w:i/>
                                  <w:iCs/>
                                  <w:color w:val="FFFFFF"/>
                                  <w:kern w:val="24"/>
                                  <w:sz w:val="16"/>
                                  <w:szCs w:val="16"/>
                                </w:rPr>
                                <w:t>na jedného podnikateľa</w:t>
                              </w:r>
                            </w:p>
                          </w:txbxContent>
                        </wps:txbx>
                        <wps:bodyPr wrap="square" lIns="36000" tIns="36000" rIns="36000" bIns="36000" anchor="ctr"/>
                      </wps:wsp>
                      <wps:wsp>
                        <wps:cNvPr id="21" name="Rectangle 3">
                          <a:extLst>
                            <a:ext uri="{FF2B5EF4-FFF2-40B4-BE49-F238E27FC236}">
                              <a16:creationId xmlns:a16="http://schemas.microsoft.com/office/drawing/2014/main" id="{00000000-0008-0000-0300-00005B000000}"/>
                            </a:ext>
                          </a:extLst>
                        </wps:cNvPr>
                        <wps:cNvSpPr>
                          <a:spLocks noChangeArrowheads="1"/>
                        </wps:cNvSpPr>
                        <wps:spPr bwMode="auto">
                          <a:xfrm>
                            <a:off x="0" y="514"/>
                            <a:ext cx="1568601" cy="853641"/>
                          </a:xfrm>
                          <a:prstGeom prst="rect">
                            <a:avLst/>
                          </a:prstGeom>
                          <a:solidFill>
                            <a:srgbClr val="0070C0"/>
                          </a:solidFill>
                          <a:ln w="9525">
                            <a:noFill/>
                            <a:miter lim="800000"/>
                            <a:headEnd/>
                            <a:tailEnd/>
                          </a:ln>
                        </wps:spPr>
                        <wps:txbx>
                          <w:txbxContent>
                            <w:p w14:paraId="7A2C2D71" w14:textId="77777777" w:rsidR="005978AA" w:rsidRDefault="005978AA" w:rsidP="00782325">
                              <w:pPr>
                                <w:pStyle w:val="Normlnywebov"/>
                                <w:jc w:val="center"/>
                                <w:textAlignment w:val="baseline"/>
                              </w:pPr>
                              <w:r>
                                <w:rPr>
                                  <w:rFonts w:ascii="Arial" w:hAnsi="Arial" w:cstheme="minorBidi"/>
                                  <w:b/>
                                  <w:bCs/>
                                  <w:color w:val="FFFFFF"/>
                                  <w:kern w:val="24"/>
                                  <w:sz w:val="20"/>
                                  <w:szCs w:val="20"/>
                                </w:rPr>
                                <w:t xml:space="preserve">Priame náklady </w:t>
                              </w:r>
                            </w:p>
                            <w:p w14:paraId="0BD841F6" w14:textId="77777777" w:rsidR="005978AA" w:rsidRDefault="005978AA" w:rsidP="00782325">
                              <w:pPr>
                                <w:pStyle w:val="Normlnywebov"/>
                                <w:jc w:val="center"/>
                                <w:textAlignment w:val="baseline"/>
                              </w:pPr>
                              <w:r>
                                <w:rPr>
                                  <w:rFonts w:ascii="Arial" w:hAnsi="Arial" w:cstheme="minorBidi"/>
                                  <w:color w:val="FFFFFF"/>
                                  <w:kern w:val="24"/>
                                  <w:sz w:val="16"/>
                                  <w:szCs w:val="16"/>
                                </w:rPr>
                                <w:t>Dane, odvody, clá a poplatky, ktorých cieľom je znižovať negatívne externality)</w:t>
                              </w:r>
                            </w:p>
                            <w:p w14:paraId="0267423A" w14:textId="77777777" w:rsidR="005978AA" w:rsidRDefault="005978AA" w:rsidP="00782325">
                              <w:pPr>
                                <w:pStyle w:val="Normlnywebov"/>
                                <w:jc w:val="center"/>
                                <w:textAlignment w:val="baseline"/>
                              </w:pPr>
                              <w:r>
                                <w:rPr>
                                  <w:rFonts w:ascii="Arial" w:hAnsi="Arial" w:cstheme="minorBidi"/>
                                  <w:color w:val="FFFFFF"/>
                                  <w:kern w:val="24"/>
                                  <w:sz w:val="16"/>
                                  <w:szCs w:val="16"/>
                                </w:rPr>
                                <w:t xml:space="preserve"> </w:t>
                              </w:r>
                              <w:r>
                                <w:rPr>
                                  <w:rFonts w:ascii="Arial" w:hAnsi="Arial" w:cstheme="minorBidi"/>
                                  <w:i/>
                                  <w:iCs/>
                                  <w:color w:val="FFFFFF"/>
                                  <w:kern w:val="24"/>
                                  <w:sz w:val="16"/>
                                  <w:szCs w:val="16"/>
                                </w:rPr>
                                <w:t>na celé podnikateľské prostredie</w:t>
                              </w:r>
                            </w:p>
                          </w:txbxContent>
                        </wps:txbx>
                        <wps:bodyPr wrap="square" lIns="36000" tIns="36000" rIns="36000" bIns="36000" anchor="ctr" anchorCtr="0"/>
                      </wps:wsp>
                      <wps:wsp>
                        <wps:cNvPr id="26" name="Rectangle 3">
                          <a:extLst>
                            <a:ext uri="{FF2B5EF4-FFF2-40B4-BE49-F238E27FC236}">
                              <a16:creationId xmlns:a16="http://schemas.microsoft.com/office/drawing/2014/main" id="{00000000-0008-0000-0300-00005C000000}"/>
                            </a:ext>
                          </a:extLst>
                        </wps:cNvPr>
                        <wps:cNvSpPr>
                          <a:spLocks noChangeArrowheads="1"/>
                        </wps:cNvSpPr>
                        <wps:spPr bwMode="auto">
                          <a:xfrm>
                            <a:off x="1807368" y="4752"/>
                            <a:ext cx="1076491" cy="853641"/>
                          </a:xfrm>
                          <a:prstGeom prst="rect">
                            <a:avLst/>
                          </a:prstGeom>
                          <a:solidFill>
                            <a:srgbClr val="0070C0"/>
                          </a:solidFill>
                          <a:ln w="9525">
                            <a:noFill/>
                            <a:miter lim="800000"/>
                            <a:headEnd/>
                            <a:tailEnd/>
                          </a:ln>
                        </wps:spPr>
                        <wps:txbx>
                          <w:txbxContent>
                            <w:p w14:paraId="7CA885BA" w14:textId="77777777" w:rsidR="005978AA" w:rsidRDefault="005978AA" w:rsidP="00782325">
                              <w:pPr>
                                <w:pStyle w:val="Normlnywebov"/>
                                <w:jc w:val="center"/>
                                <w:textAlignment w:val="baseline"/>
                              </w:pPr>
                              <w:r>
                                <w:rPr>
                                  <w:rFonts w:ascii="Arial" w:hAnsi="Arial" w:cstheme="minorBidi"/>
                                  <w:b/>
                                  <w:bCs/>
                                  <w:color w:val="FFFFFF"/>
                                  <w:kern w:val="24"/>
                                  <w:sz w:val="20"/>
                                  <w:szCs w:val="20"/>
                                </w:rPr>
                                <w:t>Priame náklady</w:t>
                              </w:r>
                            </w:p>
                            <w:p w14:paraId="681F2EF9" w14:textId="77777777" w:rsidR="005978AA" w:rsidRDefault="005978AA" w:rsidP="00782325">
                              <w:pPr>
                                <w:pStyle w:val="Normlnywebov"/>
                                <w:jc w:val="center"/>
                                <w:textAlignment w:val="baseline"/>
                              </w:pPr>
                              <w:r>
                                <w:rPr>
                                  <w:rFonts w:ascii="Arial" w:hAnsi="Arial" w:cstheme="minorBidi"/>
                                  <w:color w:val="FFFFFF"/>
                                  <w:kern w:val="24"/>
                                  <w:sz w:val="16"/>
                                  <w:szCs w:val="16"/>
                                </w:rPr>
                                <w:t xml:space="preserve">  Iné poplatky</w:t>
                              </w:r>
                            </w:p>
                            <w:p w14:paraId="0F59F0C9" w14:textId="77777777" w:rsidR="005978AA" w:rsidRDefault="005978AA" w:rsidP="00782325">
                              <w:pPr>
                                <w:pStyle w:val="Normlnywebov"/>
                                <w:jc w:val="center"/>
                                <w:textAlignment w:val="baseline"/>
                              </w:pPr>
                              <w:r>
                                <w:rPr>
                                  <w:rFonts w:asciiTheme="minorHAnsi" w:hAnsi="Calibri" w:cstheme="minorBidi"/>
                                  <w:sz w:val="22"/>
                                  <w:szCs w:val="22"/>
                                </w:rPr>
                                <w:t xml:space="preserve"> </w:t>
                              </w:r>
                              <w:r>
                                <w:rPr>
                                  <w:rFonts w:ascii="Arial" w:hAnsi="Arial" w:cstheme="minorBidi"/>
                                  <w:i/>
                                  <w:iCs/>
                                  <w:color w:val="FFFFFF"/>
                                  <w:kern w:val="24"/>
                                  <w:sz w:val="16"/>
                                  <w:szCs w:val="16"/>
                                </w:rPr>
                                <w:t>na celé podnikateľské prostredie</w:t>
                              </w:r>
                            </w:p>
                          </w:txbxContent>
                        </wps:txbx>
                        <wps:bodyPr wrap="square" lIns="36000" tIns="36000" rIns="36000" bIns="36000" anchor="ctr"/>
                      </wps:wsp>
                      <wps:wsp>
                        <wps:cNvPr id="27" name="Rectangle 3">
                          <a:extLst>
                            <a:ext uri="{FF2B5EF4-FFF2-40B4-BE49-F238E27FC236}">
                              <a16:creationId xmlns:a16="http://schemas.microsoft.com/office/drawing/2014/main" id="{00000000-0008-0000-0300-00005D000000}"/>
                            </a:ext>
                          </a:extLst>
                        </wps:cNvPr>
                        <wps:cNvSpPr>
                          <a:spLocks noChangeArrowheads="1"/>
                        </wps:cNvSpPr>
                        <wps:spPr bwMode="auto">
                          <a:xfrm>
                            <a:off x="3113122" y="8988"/>
                            <a:ext cx="1076491" cy="853641"/>
                          </a:xfrm>
                          <a:prstGeom prst="rect">
                            <a:avLst/>
                          </a:prstGeom>
                          <a:solidFill>
                            <a:srgbClr val="00A1DE"/>
                          </a:solidFill>
                          <a:ln w="9525">
                            <a:noFill/>
                            <a:miter lim="800000"/>
                            <a:headEnd/>
                            <a:tailEnd/>
                          </a:ln>
                        </wps:spPr>
                        <wps:txbx>
                          <w:txbxContent>
                            <w:p w14:paraId="5734C47E" w14:textId="77777777" w:rsidR="005978AA" w:rsidRDefault="005978AA" w:rsidP="00782325">
                              <w:pPr>
                                <w:pStyle w:val="Normlnywebov"/>
                                <w:jc w:val="center"/>
                                <w:textAlignment w:val="baseline"/>
                              </w:pPr>
                              <w:r>
                                <w:rPr>
                                  <w:rFonts w:ascii="Arial" w:hAnsi="Arial" w:cstheme="minorBidi"/>
                                  <w:b/>
                                  <w:bCs/>
                                  <w:color w:val="FFFFFF"/>
                                  <w:kern w:val="24"/>
                                  <w:sz w:val="20"/>
                                  <w:szCs w:val="20"/>
                                </w:rPr>
                                <w:t>Nepriame náklady</w:t>
                              </w:r>
                            </w:p>
                            <w:p w14:paraId="1E62E9B2" w14:textId="77777777" w:rsidR="005978AA" w:rsidRDefault="005978AA" w:rsidP="00782325">
                              <w:pPr>
                                <w:pStyle w:val="Normlnywebov"/>
                                <w:jc w:val="center"/>
                                <w:textAlignment w:val="baseline"/>
                              </w:pPr>
                              <w:r>
                                <w:rPr>
                                  <w:rFonts w:ascii="Arial" w:hAnsi="Arial" w:cstheme="minorBidi"/>
                                  <w:color w:val="FFFFFF"/>
                                  <w:kern w:val="24"/>
                                  <w:sz w:val="16"/>
                                  <w:szCs w:val="16"/>
                                </w:rPr>
                                <w:t>Sankcie a pokuty</w:t>
                              </w:r>
                            </w:p>
                            <w:p w14:paraId="53AC15EC" w14:textId="77777777" w:rsidR="005978AA" w:rsidRDefault="005978AA" w:rsidP="00782325">
                              <w:pPr>
                                <w:pStyle w:val="Normlnywebov"/>
                                <w:jc w:val="center"/>
                                <w:textAlignment w:val="baseline"/>
                              </w:pPr>
                              <w:r>
                                <w:rPr>
                                  <w:rFonts w:ascii="Arial" w:hAnsi="Arial" w:cstheme="minorBidi"/>
                                  <w:i/>
                                  <w:iCs/>
                                  <w:color w:val="FFFFFF"/>
                                  <w:kern w:val="24"/>
                                  <w:sz w:val="16"/>
                                  <w:szCs w:val="16"/>
                                </w:rPr>
                                <w:t xml:space="preserve"> na celé podnikateľské prostredie</w:t>
                              </w:r>
                            </w:p>
                          </w:txbxContent>
                        </wps:txbx>
                        <wps:bodyPr wrap="square" lIns="36000" tIns="36000" rIns="36000" bIns="36000" anchor="ctr"/>
                      </wps:wsp>
                      <wps:wsp>
                        <wps:cNvPr id="28" name="BlokTextu 210">
                          <a:extLst>
                            <a:ext uri="{FF2B5EF4-FFF2-40B4-BE49-F238E27FC236}">
                              <a16:creationId xmlns:a16="http://schemas.microsoft.com/office/drawing/2014/main" id="{00000000-0008-0000-0300-00005E000000}"/>
                            </a:ext>
                          </a:extLst>
                        </wps:cNvPr>
                        <wps:cNvSpPr txBox="1"/>
                        <wps:spPr>
                          <a:xfrm>
                            <a:off x="1569295" y="271506"/>
                            <a:ext cx="289052" cy="25466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F28D1A7" w14:textId="77777777" w:rsidR="005978AA" w:rsidRDefault="005978AA" w:rsidP="00782325">
                              <w:pPr>
                                <w:pStyle w:val="Normlnywebov"/>
                              </w:pPr>
                              <w:r>
                                <w:rPr>
                                  <w:rFonts w:asciiTheme="minorHAnsi" w:hAnsi="Calibri" w:cstheme="minorBidi"/>
                                  <w:b/>
                                  <w:bCs/>
                                  <w:color w:val="000000" w:themeColor="text1"/>
                                  <w:sz w:val="22"/>
                                  <w:szCs w:val="22"/>
                                </w:rPr>
                                <w:t>+</w:t>
                              </w:r>
                            </w:p>
                          </w:txbxContent>
                        </wps:txbx>
                        <wps:bodyPr wrap="none" rtlCol="0" anchor="t">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70725616" id="Skupina 205" o:spid="_x0000_s1077" style="position:absolute;margin-left:0;margin-top:28.75pt;width:463.8pt;height:87.9pt;z-index:251684864;mso-position-horizontal:left;mso-position-horizontal-relative:margin;mso-width-relative:margin;mso-height-relative:margin" coordsize="68094,8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">
                <v:rect id="_x0000_s1078" style="position:absolute;left:57329;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" fillcolor="#81bc00" stroked="f">
                  <v:textbox inset="1mm,1mm,1mm,1mm">
                    <w:txbxContent>
                      <w:p w14:paraId="72B6424E" w14:textId="77777777" w:rsidR="005978AA" w:rsidRDefault="005978AA" w:rsidP="00782325">
                        <w:pPr>
                          <w:pStyle w:val="Normlnywebov"/>
                          <w:jc w:val="center"/>
                          <w:textAlignment w:val="baseline"/>
                        </w:pPr>
                        <w:r>
                          <w:rPr>
                            <w:rFonts w:ascii="Arial" w:hAnsi="Arial" w:cstheme="minorBidi"/>
                            <w:b/>
                            <w:bCs/>
                            <w:color w:val="FFFFFF"/>
                            <w:kern w:val="24"/>
                            <w:sz w:val="20"/>
                            <w:szCs w:val="20"/>
                          </w:rPr>
                          <w:t xml:space="preserve">Administratívne náklady </w:t>
                        </w:r>
                      </w:p>
                      <w:p w14:paraId="551A9DE0" w14:textId="77777777" w:rsidR="005978AA" w:rsidRDefault="005978AA" w:rsidP="00782325">
                        <w:pPr>
                          <w:pStyle w:val="Normlnywebov"/>
                          <w:jc w:val="center"/>
                          <w:textAlignment w:val="baseline"/>
                        </w:pPr>
                        <w:r>
                          <w:rPr>
                            <w:rFonts w:ascii="Arial" w:hAnsi="Arial" w:cstheme="minorBidi"/>
                            <w:i/>
                            <w:iCs/>
                            <w:color w:val="FFFFFF"/>
                            <w:kern w:val="24"/>
                            <w:sz w:val="16"/>
                            <w:szCs w:val="16"/>
                          </w:rPr>
                          <w:t>na jedného podnikateľa</w:t>
                        </w:r>
                      </w:p>
                    </w:txbxContent>
                  </v:textbox>
                </v:rect>
                <v:rect id="_x0000_s1079" style="position:absolute;top:5;width:15686;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" fillcolor="#0070c0" stroked="f">
                  <v:textbox inset="1mm,1mm,1mm,1mm">
                    <w:txbxContent>
                      <w:p w14:paraId="7A2C2D71" w14:textId="77777777" w:rsidR="005978AA" w:rsidRDefault="005978AA" w:rsidP="00782325">
                        <w:pPr>
                          <w:pStyle w:val="Normlnywebov"/>
                          <w:jc w:val="center"/>
                          <w:textAlignment w:val="baseline"/>
                        </w:pPr>
                        <w:r>
                          <w:rPr>
                            <w:rFonts w:ascii="Arial" w:hAnsi="Arial" w:cstheme="minorBidi"/>
                            <w:b/>
                            <w:bCs/>
                            <w:color w:val="FFFFFF"/>
                            <w:kern w:val="24"/>
                            <w:sz w:val="20"/>
                            <w:szCs w:val="20"/>
                          </w:rPr>
                          <w:t xml:space="preserve">Priame náklady </w:t>
                        </w:r>
                      </w:p>
                      <w:p w14:paraId="0BD841F6" w14:textId="77777777" w:rsidR="005978AA" w:rsidRDefault="005978AA" w:rsidP="00782325">
                        <w:pPr>
                          <w:pStyle w:val="Normlnywebov"/>
                          <w:jc w:val="center"/>
                          <w:textAlignment w:val="baseline"/>
                        </w:pPr>
                        <w:r>
                          <w:rPr>
                            <w:rFonts w:ascii="Arial" w:hAnsi="Arial" w:cstheme="minorBidi"/>
                            <w:color w:val="FFFFFF"/>
                            <w:kern w:val="24"/>
                            <w:sz w:val="16"/>
                            <w:szCs w:val="16"/>
                          </w:rPr>
                          <w:t>Dane, odvody, clá a poplatky, ktorých cieľom je znižovať negatívne externality)</w:t>
                        </w:r>
                      </w:p>
                      <w:p w14:paraId="0267423A" w14:textId="77777777" w:rsidR="005978AA" w:rsidRDefault="005978AA" w:rsidP="00782325">
                        <w:pPr>
                          <w:pStyle w:val="Normlnywebov"/>
                          <w:jc w:val="center"/>
                          <w:textAlignment w:val="baseline"/>
                        </w:pPr>
                        <w:r>
                          <w:rPr>
                            <w:rFonts w:ascii="Arial" w:hAnsi="Arial" w:cstheme="minorBidi"/>
                            <w:color w:val="FFFFFF"/>
                            <w:kern w:val="24"/>
                            <w:sz w:val="16"/>
                            <w:szCs w:val="16"/>
                          </w:rPr>
                          <w:t xml:space="preserve"> </w:t>
                        </w:r>
                        <w:r>
                          <w:rPr>
                            <w:rFonts w:ascii="Arial" w:hAnsi="Arial" w:cstheme="minorBidi"/>
                            <w:i/>
                            <w:iCs/>
                            <w:color w:val="FFFFFF"/>
                            <w:kern w:val="24"/>
                            <w:sz w:val="16"/>
                            <w:szCs w:val="16"/>
                          </w:rPr>
                          <w:t>na celé podnikateľské prostredie</w:t>
                        </w:r>
                      </w:p>
                    </w:txbxContent>
                  </v:textbox>
                </v:rect>
                <v:rect id="_x0000_s1080" style="position:absolute;left:18073;top:47;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" fillcolor="#0070c0" stroked="f">
                  <v:textbox inset="1mm,1mm,1mm,1mm">
                    <w:txbxContent>
                      <w:p w14:paraId="7CA885BA" w14:textId="77777777" w:rsidR="005978AA" w:rsidRDefault="005978AA" w:rsidP="00782325">
                        <w:pPr>
                          <w:pStyle w:val="Normlnywebov"/>
                          <w:jc w:val="center"/>
                          <w:textAlignment w:val="baseline"/>
                        </w:pPr>
                        <w:r>
                          <w:rPr>
                            <w:rFonts w:ascii="Arial" w:hAnsi="Arial" w:cstheme="minorBidi"/>
                            <w:b/>
                            <w:bCs/>
                            <w:color w:val="FFFFFF"/>
                            <w:kern w:val="24"/>
                            <w:sz w:val="20"/>
                            <w:szCs w:val="20"/>
                          </w:rPr>
                          <w:t>Priame náklady</w:t>
                        </w:r>
                      </w:p>
                      <w:p w14:paraId="681F2EF9" w14:textId="77777777" w:rsidR="005978AA" w:rsidRDefault="005978AA" w:rsidP="00782325">
                        <w:pPr>
                          <w:pStyle w:val="Normlnywebov"/>
                          <w:jc w:val="center"/>
                          <w:textAlignment w:val="baseline"/>
                        </w:pPr>
                        <w:r>
                          <w:rPr>
                            <w:rFonts w:ascii="Arial" w:hAnsi="Arial" w:cstheme="minorBidi"/>
                            <w:color w:val="FFFFFF"/>
                            <w:kern w:val="24"/>
                            <w:sz w:val="16"/>
                            <w:szCs w:val="16"/>
                          </w:rPr>
                          <w:t xml:space="preserve">  Iné poplatky</w:t>
                        </w:r>
                      </w:p>
                      <w:p w14:paraId="0F59F0C9" w14:textId="77777777" w:rsidR="005978AA" w:rsidRDefault="005978AA" w:rsidP="00782325">
                        <w:pPr>
                          <w:pStyle w:val="Normlnywebov"/>
                          <w:jc w:val="center"/>
                          <w:textAlignment w:val="baseline"/>
                        </w:pPr>
                        <w:r>
                          <w:rPr>
                            <w:rFonts w:asciiTheme="minorHAnsi" w:hAnsi="Calibri" w:cstheme="minorBidi"/>
                            <w:sz w:val="22"/>
                            <w:szCs w:val="22"/>
                          </w:rPr>
                          <w:t xml:space="preserve"> </w:t>
                        </w:r>
                        <w:r>
                          <w:rPr>
                            <w:rFonts w:ascii="Arial" w:hAnsi="Arial" w:cstheme="minorBidi"/>
                            <w:i/>
                            <w:iCs/>
                            <w:color w:val="FFFFFF"/>
                            <w:kern w:val="24"/>
                            <w:sz w:val="16"/>
                            <w:szCs w:val="16"/>
                          </w:rPr>
                          <w:t>na celé podnikateľské prostredie</w:t>
                        </w:r>
                      </w:p>
                    </w:txbxContent>
                  </v:textbox>
                </v:rect>
                <v:rect id="_x0000_s1081" style="position:absolute;left:31131;top:89;width:10765;height:8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" fillcolor="#00a1de" stroked="f">
                  <v:textbox inset="1mm,1mm,1mm,1mm">
                    <w:txbxContent>
                      <w:p w14:paraId="5734C47E" w14:textId="77777777" w:rsidR="005978AA" w:rsidRDefault="005978AA" w:rsidP="00782325">
                        <w:pPr>
                          <w:pStyle w:val="Normlnywebov"/>
                          <w:jc w:val="center"/>
                          <w:textAlignment w:val="baseline"/>
                        </w:pPr>
                        <w:r>
                          <w:rPr>
                            <w:rFonts w:ascii="Arial" w:hAnsi="Arial" w:cstheme="minorBidi"/>
                            <w:b/>
                            <w:bCs/>
                            <w:color w:val="FFFFFF"/>
                            <w:kern w:val="24"/>
                            <w:sz w:val="20"/>
                            <w:szCs w:val="20"/>
                          </w:rPr>
                          <w:t>Nepriame náklady</w:t>
                        </w:r>
                      </w:p>
                      <w:p w14:paraId="1E62E9B2" w14:textId="77777777" w:rsidR="005978AA" w:rsidRDefault="005978AA" w:rsidP="00782325">
                        <w:pPr>
                          <w:pStyle w:val="Normlnywebov"/>
                          <w:jc w:val="center"/>
                          <w:textAlignment w:val="baseline"/>
                        </w:pPr>
                        <w:r>
                          <w:rPr>
                            <w:rFonts w:ascii="Arial" w:hAnsi="Arial" w:cstheme="minorBidi"/>
                            <w:color w:val="FFFFFF"/>
                            <w:kern w:val="24"/>
                            <w:sz w:val="16"/>
                            <w:szCs w:val="16"/>
                          </w:rPr>
                          <w:t>Sankcie a pokuty</w:t>
                        </w:r>
                      </w:p>
                      <w:p w14:paraId="53AC15EC" w14:textId="77777777" w:rsidR="005978AA" w:rsidRDefault="005978AA" w:rsidP="00782325">
                        <w:pPr>
                          <w:pStyle w:val="Normlnywebov"/>
                          <w:jc w:val="center"/>
                          <w:textAlignment w:val="baseline"/>
                        </w:pPr>
                        <w:r>
                          <w:rPr>
                            <w:rFonts w:ascii="Arial" w:hAnsi="Arial" w:cstheme="minorBidi"/>
                            <w:i/>
                            <w:iCs/>
                            <w:color w:val="FFFFFF"/>
                            <w:kern w:val="24"/>
                            <w:sz w:val="16"/>
                            <w:szCs w:val="16"/>
                          </w:rPr>
                          <w:t xml:space="preserve"> na celé podnikateľské prostredie</w:t>
                        </w:r>
                      </w:p>
                    </w:txbxContent>
                  </v:textbox>
                </v:rect>
                <v:shape id="BlokTextu 210" o:spid="_x0000_s1082" type="#_x0000_t202" style="position:absolute;left:15692;top:2715;width:2891;height:25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" filled="f" stroked="f">
                  <v:textbox>
                    <w:txbxContent>
                      <w:p w14:paraId="0F28D1A7" w14:textId="77777777" w:rsidR="005978AA" w:rsidRDefault="005978AA" w:rsidP="00782325">
                        <w:pPr>
                          <w:pStyle w:val="Normlnywebov"/>
                        </w:pPr>
                        <w:r>
                          <w:rPr>
                            <w:rFonts w:asciiTheme="minorHAnsi" w:hAnsi="Calibri" w:cstheme="minorBidi"/>
                            <w:b/>
                            <w:bCs/>
                            <w:color w:val="000000" w:themeColor="text1"/>
                            <w:sz w:val="22"/>
                            <w:szCs w:val="22"/>
                          </w:rPr>
                          <w:t>+</w:t>
                        </w:r>
                      </w:p>
                    </w:txbxContent>
                  </v:textbox>
                </v:shape>
                <w10:wrap type="square" anchorx="margin"/>
              </v:group>
            </w:pict>
          </mc:Fallback>
        </mc:AlternateContent>
      </w:r>
      <w:r w:rsidRPr="00685281">
        <w:rPr>
          <w:rFonts w:ascii="Times New Roman" w:eastAsia="Calibri" w:hAnsi="Times New Roman" w:cs="Times New Roman"/>
          <w:i/>
          <w:sz w:val="24"/>
          <w:szCs w:val="24"/>
        </w:rPr>
        <w:t xml:space="preserve">Celkové náklady na celé podnikateľské prostredie </w:t>
      </w:r>
      <w:r w:rsidRPr="00685281">
        <w:rPr>
          <w:rFonts w:ascii="Times New Roman" w:eastAsia="Calibri" w:hAnsi="Times New Roman" w:cs="Times New Roman"/>
          <w:sz w:val="24"/>
          <w:szCs w:val="24"/>
        </w:rPr>
        <w:t>sú vyčíslené na základe vzorca:</w:t>
      </w:r>
    </w:p>
    <w:p w14:paraId="0CC12CF0" w14:textId="77777777" w:rsidR="00782325" w:rsidRPr="00685281" w:rsidRDefault="00782325" w:rsidP="00782325">
      <w:pPr>
        <w:spacing w:after="120" w:line="276" w:lineRule="auto"/>
        <w:jc w:val="both"/>
        <w:rPr>
          <w:rFonts w:ascii="Times New Roman" w:eastAsia="Calibri" w:hAnsi="Times New Roman" w:cs="Times New Roman"/>
          <w:b/>
          <w:sz w:val="24"/>
          <w:szCs w:val="24"/>
        </w:rPr>
      </w:pPr>
    </w:p>
    <w:p w14:paraId="69E5A876" w14:textId="77777777" w:rsidR="00782325" w:rsidRPr="00685281" w:rsidRDefault="00782325" w:rsidP="00782325">
      <w:pPr>
        <w:rPr>
          <w:rFonts w:ascii="Times New Roman" w:eastAsia="Calibri" w:hAnsi="Times New Roman" w:cs="Times New Roman"/>
          <w:b/>
          <w:sz w:val="24"/>
          <w:szCs w:val="24"/>
        </w:rPr>
      </w:pPr>
      <w:r w:rsidRPr="00685281">
        <w:rPr>
          <w:rFonts w:ascii="Times New Roman" w:eastAsia="Calibri" w:hAnsi="Times New Roman" w:cs="Times New Roman"/>
          <w:b/>
          <w:sz w:val="24"/>
          <w:szCs w:val="24"/>
        </w:rPr>
        <w:t>Stanovenie frekvencie plnenia povinnosti sa určí pomocou nasledovných koeficientov:</w:t>
      </w:r>
    </w:p>
    <w:p w14:paraId="2A7C9654" w14:textId="77777777" w:rsidR="00782325" w:rsidRPr="00685281" w:rsidRDefault="00782325" w:rsidP="00782325">
      <w:pPr>
        <w:spacing w:after="240" w:line="276" w:lineRule="auto"/>
        <w:jc w:val="both"/>
        <w:rPr>
          <w:rFonts w:ascii="Times New Roman" w:eastAsia="Calibri" w:hAnsi="Times New Roman" w:cs="Times New Roman"/>
          <w:sz w:val="24"/>
          <w:szCs w:val="24"/>
        </w:rPr>
      </w:pPr>
      <w:r w:rsidRPr="00685281">
        <w:rPr>
          <w:rFonts w:ascii="Times New Roman" w:eastAsia="Calibri" w:hAnsi="Times New Roman" w:cs="Times New Roman"/>
          <w:sz w:val="24"/>
          <w:szCs w:val="24"/>
        </w:rPr>
        <w:t xml:space="preserve">Východiskom, ktorým je stanovovaná frekvencia plnenia povinnosti, je obdobie jedného roka. Povinnosti môžu byť plnené pravidelne na ročnej báze, polročne, kvartálne, týždenne, raz za niekoľko rokov, prípadne jednorazovo (napr. povinnosti v súvislosti so vznikom a ukončením podnikania) alebo nepravidelne (v prípade zriedkavého výskytu určitej udalosti, napr. vznik priemyselnej havárie). Koeficienty pre výpočet nákladov regulácie zodpovedajúce frekvencii plnenia sú uvedené v tabuľke koeficientov frekvencie. Koeficient „jednorazovo“ vychádza z dĺžky volebného obdobia (4 roky), v rámci ktorého je ambícia, aby vláda SR stihla odstrániť jednorazovú záťaž, ktorú vytvorí. </w:t>
      </w:r>
    </w:p>
    <w:p w14:paraId="089FD7BB" w14:textId="77777777" w:rsidR="00782325" w:rsidRPr="00685281" w:rsidRDefault="00782325" w:rsidP="00782325">
      <w:pPr>
        <w:spacing w:after="0" w:line="276" w:lineRule="auto"/>
        <w:ind w:left="1134"/>
        <w:rPr>
          <w:rFonts w:ascii="Times New Roman" w:eastAsia="Times New Roman" w:hAnsi="Times New Roman" w:cs="Times New Roman"/>
          <w:i/>
          <w:color w:val="000000"/>
          <w:sz w:val="24"/>
          <w:szCs w:val="24"/>
        </w:rPr>
      </w:pPr>
      <w:r w:rsidRPr="00685281">
        <w:rPr>
          <w:rFonts w:ascii="Times New Roman" w:eastAsia="Times New Roman" w:hAnsi="Times New Roman" w:cs="Times New Roman"/>
          <w:i/>
          <w:color w:val="000000"/>
          <w:sz w:val="24"/>
          <w:szCs w:val="24"/>
        </w:rPr>
        <w:t>Tabuľka koeficientov frekvencie</w:t>
      </w:r>
    </w:p>
    <w:tbl>
      <w:tblPr>
        <w:tblW w:w="6920" w:type="dxa"/>
        <w:jc w:val="center"/>
        <w:tblCellMar>
          <w:left w:w="0" w:type="dxa"/>
          <w:right w:w="0" w:type="dxa"/>
        </w:tblCellMar>
        <w:tblLook w:val="04A0" w:firstRow="1" w:lastRow="0" w:firstColumn="1" w:lastColumn="0" w:noHBand="0" w:noVBand="1"/>
      </w:tblPr>
      <w:tblGrid>
        <w:gridCol w:w="2292"/>
        <w:gridCol w:w="1138"/>
        <w:gridCol w:w="2411"/>
        <w:gridCol w:w="1079"/>
      </w:tblGrid>
      <w:tr w:rsidR="00782325" w:rsidRPr="00685281" w14:paraId="6EF3EF65" w14:textId="77777777" w:rsidTr="00782325">
        <w:trPr>
          <w:trHeight w:val="459"/>
          <w:jc w:val="center"/>
        </w:trPr>
        <w:tc>
          <w:tcPr>
            <w:tcW w:w="2292" w:type="dxa"/>
            <w:tcBorders>
              <w:top w:val="single" w:sz="2" w:space="0" w:color="81BC00"/>
              <w:left w:val="single" w:sz="2" w:space="0" w:color="81BC00"/>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7723D1C9" w14:textId="77777777" w:rsidR="00782325" w:rsidRPr="00685281" w:rsidRDefault="00782325" w:rsidP="00782325">
            <w:pPr>
              <w:spacing w:after="0" w:line="240" w:lineRule="auto"/>
              <w:jc w:val="center"/>
              <w:rPr>
                <w:rFonts w:ascii="Times New Roman" w:eastAsia="Times New Roman" w:hAnsi="Times New Roman" w:cs="Times New Roman"/>
                <w:color w:val="FFFFFF"/>
                <w:sz w:val="24"/>
                <w:szCs w:val="24"/>
              </w:rPr>
            </w:pPr>
            <w:r w:rsidRPr="00685281">
              <w:rPr>
                <w:rFonts w:ascii="Times New Roman" w:eastAsia="Times New Roman" w:hAnsi="Times New Roman" w:cs="Times New Roman"/>
                <w:bCs/>
                <w:color w:val="FFFFFF"/>
                <w:sz w:val="24"/>
                <w:szCs w:val="24"/>
              </w:rPr>
              <w:t>Frekvencia plnenia povinnosti</w:t>
            </w:r>
          </w:p>
        </w:tc>
        <w:tc>
          <w:tcPr>
            <w:tcW w:w="1138"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3433F658" w14:textId="77777777" w:rsidR="00782325" w:rsidRPr="00685281" w:rsidRDefault="00782325" w:rsidP="00782325">
            <w:pPr>
              <w:spacing w:after="0" w:line="240" w:lineRule="auto"/>
              <w:jc w:val="center"/>
              <w:rPr>
                <w:rFonts w:ascii="Times New Roman" w:eastAsia="Times New Roman" w:hAnsi="Times New Roman" w:cs="Times New Roman"/>
                <w:color w:val="FFFFFF"/>
                <w:sz w:val="24"/>
                <w:szCs w:val="24"/>
              </w:rPr>
            </w:pPr>
            <w:r w:rsidRPr="00685281">
              <w:rPr>
                <w:rFonts w:ascii="Times New Roman" w:eastAsia="Times New Roman" w:hAnsi="Times New Roman" w:cs="Times New Roman"/>
                <w:bCs/>
                <w:color w:val="FFFFFF"/>
                <w:sz w:val="24"/>
                <w:szCs w:val="24"/>
              </w:rPr>
              <w:t>Koeficient frekvencie</w:t>
            </w:r>
          </w:p>
        </w:tc>
        <w:tc>
          <w:tcPr>
            <w:tcW w:w="2411"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487E5E37" w14:textId="77777777" w:rsidR="00782325" w:rsidRPr="00685281" w:rsidRDefault="00782325" w:rsidP="00782325">
            <w:pPr>
              <w:spacing w:after="0" w:line="240" w:lineRule="auto"/>
              <w:jc w:val="center"/>
              <w:rPr>
                <w:rFonts w:ascii="Times New Roman" w:eastAsia="Times New Roman" w:hAnsi="Times New Roman" w:cs="Times New Roman"/>
                <w:color w:val="FFFFFF"/>
                <w:sz w:val="24"/>
                <w:szCs w:val="24"/>
              </w:rPr>
            </w:pPr>
            <w:r w:rsidRPr="00685281">
              <w:rPr>
                <w:rFonts w:ascii="Times New Roman" w:eastAsia="Times New Roman" w:hAnsi="Times New Roman" w:cs="Times New Roman"/>
                <w:bCs/>
                <w:color w:val="FFFFFF"/>
                <w:sz w:val="24"/>
                <w:szCs w:val="24"/>
              </w:rPr>
              <w:t>Frekvencia plnenia povinnosti</w:t>
            </w:r>
          </w:p>
        </w:tc>
        <w:tc>
          <w:tcPr>
            <w:tcW w:w="1079" w:type="dxa"/>
            <w:tcBorders>
              <w:top w:val="single" w:sz="2" w:space="0" w:color="81BC00"/>
              <w:left w:val="single" w:sz="4" w:space="0" w:color="FFFFFF"/>
              <w:bottom w:val="single" w:sz="2" w:space="0" w:color="81BC00"/>
              <w:right w:val="single" w:sz="2" w:space="0" w:color="81BC00"/>
            </w:tcBorders>
            <w:shd w:val="clear" w:color="auto" w:fill="81BC00"/>
            <w:tcMar>
              <w:top w:w="28" w:type="dxa"/>
              <w:left w:w="28" w:type="dxa"/>
              <w:bottom w:w="28" w:type="dxa"/>
              <w:right w:w="28" w:type="dxa"/>
            </w:tcMar>
            <w:vAlign w:val="center"/>
            <w:hideMark/>
          </w:tcPr>
          <w:p w14:paraId="32F1526D" w14:textId="77777777" w:rsidR="00782325" w:rsidRPr="00685281" w:rsidRDefault="00782325" w:rsidP="00782325">
            <w:pPr>
              <w:spacing w:after="0" w:line="240" w:lineRule="auto"/>
              <w:jc w:val="center"/>
              <w:rPr>
                <w:rFonts w:ascii="Times New Roman" w:eastAsia="Times New Roman" w:hAnsi="Times New Roman" w:cs="Times New Roman"/>
                <w:color w:val="FFFFFF"/>
                <w:sz w:val="24"/>
                <w:szCs w:val="24"/>
              </w:rPr>
            </w:pPr>
            <w:r w:rsidRPr="00685281">
              <w:rPr>
                <w:rFonts w:ascii="Times New Roman" w:eastAsia="Times New Roman" w:hAnsi="Times New Roman" w:cs="Times New Roman"/>
                <w:bCs/>
                <w:color w:val="FFFFFF"/>
                <w:sz w:val="24"/>
                <w:szCs w:val="24"/>
              </w:rPr>
              <w:t>Koeficient frekvencie</w:t>
            </w:r>
          </w:p>
        </w:tc>
      </w:tr>
      <w:tr w:rsidR="00782325" w:rsidRPr="00685281" w14:paraId="55011C3A" w14:textId="77777777" w:rsidTr="00782325">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1F33E0B1" w14:textId="77777777" w:rsidR="00782325" w:rsidRPr="00685281" w:rsidRDefault="00782325" w:rsidP="00782325">
            <w:pPr>
              <w:spacing w:after="0" w:line="240" w:lineRule="auto"/>
              <w:rPr>
                <w:rFonts w:ascii="Times New Roman" w:eastAsia="Times New Roman" w:hAnsi="Times New Roman" w:cs="Times New Roman"/>
                <w:color w:val="000000"/>
                <w:sz w:val="24"/>
                <w:szCs w:val="24"/>
              </w:rPr>
            </w:pPr>
            <w:r w:rsidRPr="00685281">
              <w:rPr>
                <w:rFonts w:ascii="Times New Roman" w:eastAsia="Times New Roman" w:hAnsi="Times New Roman" w:cs="Times New Roman"/>
                <w:bCs/>
                <w:color w:val="000000"/>
                <w:sz w:val="24"/>
                <w:szCs w:val="24"/>
              </w:rPr>
              <w:t>1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243FA877" w14:textId="77777777" w:rsidR="00782325" w:rsidRPr="00685281" w:rsidRDefault="00782325" w:rsidP="00782325">
            <w:pPr>
              <w:spacing w:after="0" w:line="240" w:lineRule="auto"/>
              <w:jc w:val="right"/>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1</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392E9F9E" w14:textId="77777777" w:rsidR="00782325" w:rsidRPr="00685281" w:rsidRDefault="00782325" w:rsidP="00782325">
            <w:pPr>
              <w:spacing w:after="0" w:line="240" w:lineRule="auto"/>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každé 2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4CAE47B0" w14:textId="77777777" w:rsidR="00782325" w:rsidRPr="00685281" w:rsidRDefault="00782325" w:rsidP="00782325">
            <w:pPr>
              <w:spacing w:after="0" w:line="240" w:lineRule="auto"/>
              <w:jc w:val="right"/>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0,50</w:t>
            </w:r>
          </w:p>
        </w:tc>
      </w:tr>
      <w:tr w:rsidR="00782325" w:rsidRPr="00685281" w14:paraId="1A1952F4" w14:textId="77777777" w:rsidTr="00782325">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26A4CF7D" w14:textId="77777777" w:rsidR="00782325" w:rsidRPr="00685281" w:rsidRDefault="00782325" w:rsidP="00782325">
            <w:pPr>
              <w:spacing w:after="0" w:line="240" w:lineRule="auto"/>
              <w:rPr>
                <w:rFonts w:ascii="Times New Roman" w:eastAsia="Times New Roman" w:hAnsi="Times New Roman" w:cs="Times New Roman"/>
                <w:color w:val="000000"/>
                <w:sz w:val="24"/>
                <w:szCs w:val="24"/>
              </w:rPr>
            </w:pPr>
            <w:r w:rsidRPr="00685281">
              <w:rPr>
                <w:rFonts w:ascii="Times New Roman" w:eastAsia="Times New Roman" w:hAnsi="Times New Roman" w:cs="Times New Roman"/>
                <w:bCs/>
                <w:color w:val="000000"/>
                <w:sz w:val="24"/>
                <w:szCs w:val="24"/>
              </w:rPr>
              <w:t>2 – krát ročne (polročne)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1BB8AFE6" w14:textId="77777777" w:rsidR="00782325" w:rsidRPr="00685281" w:rsidRDefault="00782325" w:rsidP="00782325">
            <w:pPr>
              <w:spacing w:after="0" w:line="240" w:lineRule="auto"/>
              <w:jc w:val="right"/>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2</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1740DAF5" w14:textId="77777777" w:rsidR="00782325" w:rsidRPr="00685281" w:rsidRDefault="00782325" w:rsidP="00782325">
            <w:pPr>
              <w:spacing w:after="0" w:line="240" w:lineRule="auto"/>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každé 3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2E1C98A9" w14:textId="77777777" w:rsidR="00782325" w:rsidRPr="00685281" w:rsidRDefault="00782325" w:rsidP="00782325">
            <w:pPr>
              <w:spacing w:after="0" w:line="240" w:lineRule="auto"/>
              <w:jc w:val="right"/>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0,33</w:t>
            </w:r>
          </w:p>
        </w:tc>
      </w:tr>
      <w:tr w:rsidR="00782325" w:rsidRPr="00685281" w14:paraId="3686F862" w14:textId="77777777" w:rsidTr="00782325">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58902006" w14:textId="77777777" w:rsidR="00782325" w:rsidRPr="00685281" w:rsidRDefault="00782325" w:rsidP="00782325">
            <w:pPr>
              <w:spacing w:after="0" w:line="240" w:lineRule="auto"/>
              <w:rPr>
                <w:rFonts w:ascii="Times New Roman" w:eastAsia="Times New Roman" w:hAnsi="Times New Roman" w:cs="Times New Roman"/>
                <w:color w:val="000000"/>
                <w:sz w:val="24"/>
                <w:szCs w:val="24"/>
              </w:rPr>
            </w:pPr>
            <w:r w:rsidRPr="00685281">
              <w:rPr>
                <w:rFonts w:ascii="Times New Roman" w:eastAsia="Times New Roman" w:hAnsi="Times New Roman" w:cs="Times New Roman"/>
                <w:bCs/>
                <w:color w:val="000000"/>
                <w:sz w:val="24"/>
                <w:szCs w:val="24"/>
              </w:rPr>
              <w:t>3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2C2967AA" w14:textId="77777777" w:rsidR="00782325" w:rsidRPr="00685281" w:rsidRDefault="00782325" w:rsidP="00782325">
            <w:pPr>
              <w:spacing w:after="0" w:line="240" w:lineRule="auto"/>
              <w:jc w:val="right"/>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3</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4B7AA44C" w14:textId="77777777" w:rsidR="00782325" w:rsidRPr="00685281" w:rsidRDefault="00782325" w:rsidP="00782325">
            <w:pPr>
              <w:spacing w:after="0" w:line="240" w:lineRule="auto"/>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každé 4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3AFDD2A6" w14:textId="77777777" w:rsidR="00782325" w:rsidRPr="00685281" w:rsidRDefault="00782325" w:rsidP="00782325">
            <w:pPr>
              <w:spacing w:after="0" w:line="240" w:lineRule="auto"/>
              <w:jc w:val="right"/>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0,25</w:t>
            </w:r>
          </w:p>
        </w:tc>
      </w:tr>
      <w:tr w:rsidR="00782325" w:rsidRPr="00685281" w14:paraId="4ED505F2" w14:textId="77777777" w:rsidTr="00782325">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72F3856A" w14:textId="77777777" w:rsidR="00782325" w:rsidRPr="00685281" w:rsidRDefault="00782325" w:rsidP="00782325">
            <w:pPr>
              <w:spacing w:after="0" w:line="240" w:lineRule="auto"/>
              <w:rPr>
                <w:rFonts w:ascii="Times New Roman" w:eastAsia="Times New Roman" w:hAnsi="Times New Roman" w:cs="Times New Roman"/>
                <w:color w:val="000000"/>
                <w:sz w:val="24"/>
                <w:szCs w:val="24"/>
              </w:rPr>
            </w:pPr>
            <w:r w:rsidRPr="00685281">
              <w:rPr>
                <w:rFonts w:ascii="Times New Roman" w:eastAsia="Times New Roman" w:hAnsi="Times New Roman" w:cs="Times New Roman"/>
                <w:bCs/>
                <w:color w:val="000000"/>
                <w:sz w:val="24"/>
                <w:szCs w:val="24"/>
              </w:rPr>
              <w:t>4 – krát ročne (štvrťročne)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03522E18" w14:textId="77777777" w:rsidR="00782325" w:rsidRPr="00685281" w:rsidRDefault="00782325" w:rsidP="00782325">
            <w:pPr>
              <w:spacing w:after="0" w:line="240" w:lineRule="auto"/>
              <w:jc w:val="right"/>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4</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02BF087E" w14:textId="77777777" w:rsidR="00782325" w:rsidRPr="00685281" w:rsidRDefault="00782325" w:rsidP="00782325">
            <w:pPr>
              <w:spacing w:after="0" w:line="240" w:lineRule="auto"/>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každých 5 rokov</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75B57EF9" w14:textId="77777777" w:rsidR="00782325" w:rsidRPr="00685281" w:rsidRDefault="00782325" w:rsidP="00782325">
            <w:pPr>
              <w:spacing w:after="0" w:line="240" w:lineRule="auto"/>
              <w:jc w:val="right"/>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0,20</w:t>
            </w:r>
          </w:p>
        </w:tc>
      </w:tr>
      <w:tr w:rsidR="00782325" w:rsidRPr="00685281" w14:paraId="3B8CE580" w14:textId="77777777" w:rsidTr="00782325">
        <w:trPr>
          <w:trHeight w:val="170"/>
          <w:jc w:val="center"/>
        </w:trPr>
        <w:tc>
          <w:tcPr>
            <w:tcW w:w="2292" w:type="dxa"/>
            <w:tcBorders>
              <w:top w:val="single" w:sz="2" w:space="0" w:color="81BC00"/>
              <w:left w:val="single" w:sz="4" w:space="0" w:color="FFFFFF"/>
              <w:bottom w:val="single" w:sz="2" w:space="0" w:color="81BC00"/>
              <w:right w:val="nil"/>
            </w:tcBorders>
            <w:shd w:val="clear" w:color="auto" w:fill="auto"/>
            <w:tcMar>
              <w:top w:w="28" w:type="dxa"/>
              <w:left w:w="28" w:type="dxa"/>
              <w:bottom w:w="28" w:type="dxa"/>
              <w:right w:w="28" w:type="dxa"/>
            </w:tcMar>
            <w:vAlign w:val="center"/>
            <w:hideMark/>
          </w:tcPr>
          <w:p w14:paraId="5D51F20C" w14:textId="77777777" w:rsidR="00782325" w:rsidRPr="00685281" w:rsidRDefault="00782325" w:rsidP="00782325">
            <w:pPr>
              <w:spacing w:after="0" w:line="240" w:lineRule="auto"/>
              <w:rPr>
                <w:rFonts w:ascii="Times New Roman" w:eastAsia="Times New Roman" w:hAnsi="Times New Roman" w:cs="Times New Roman"/>
                <w:color w:val="000000"/>
                <w:sz w:val="24"/>
                <w:szCs w:val="24"/>
              </w:rPr>
            </w:pPr>
            <w:r w:rsidRPr="00685281">
              <w:rPr>
                <w:rFonts w:ascii="Times New Roman" w:eastAsia="Times New Roman" w:hAnsi="Times New Roman" w:cs="Times New Roman"/>
                <w:bCs/>
                <w:color w:val="000000"/>
                <w:sz w:val="24"/>
                <w:szCs w:val="24"/>
              </w:rPr>
              <w:t>Mesačne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hideMark/>
          </w:tcPr>
          <w:p w14:paraId="2BBFAE19" w14:textId="77777777" w:rsidR="00782325" w:rsidRPr="00685281" w:rsidRDefault="00782325" w:rsidP="00782325">
            <w:pPr>
              <w:spacing w:after="0" w:line="240" w:lineRule="auto"/>
              <w:jc w:val="right"/>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12</w:t>
            </w:r>
          </w:p>
        </w:tc>
        <w:tc>
          <w:tcPr>
            <w:tcW w:w="2411" w:type="dxa"/>
            <w:tcBorders>
              <w:top w:val="single" w:sz="2" w:space="0" w:color="81BC00"/>
              <w:left w:val="nil"/>
              <w:bottom w:val="single" w:sz="2" w:space="0" w:color="81BC00"/>
              <w:right w:val="nil"/>
            </w:tcBorders>
            <w:shd w:val="clear" w:color="auto" w:fill="auto"/>
            <w:tcMar>
              <w:top w:w="28" w:type="dxa"/>
              <w:left w:w="28" w:type="dxa"/>
              <w:bottom w:w="28" w:type="dxa"/>
              <w:right w:w="28" w:type="dxa"/>
            </w:tcMar>
            <w:vAlign w:val="center"/>
            <w:hideMark/>
          </w:tcPr>
          <w:p w14:paraId="7386B298" w14:textId="77777777" w:rsidR="00782325" w:rsidRPr="00685281" w:rsidRDefault="00782325" w:rsidP="00782325">
            <w:pPr>
              <w:spacing w:after="0" w:line="240" w:lineRule="auto"/>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jednorázovo</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vAlign w:val="center"/>
            <w:hideMark/>
          </w:tcPr>
          <w:p w14:paraId="117E764B" w14:textId="77777777" w:rsidR="00782325" w:rsidRPr="00685281" w:rsidRDefault="00782325" w:rsidP="00782325">
            <w:pPr>
              <w:spacing w:after="0" w:line="240" w:lineRule="auto"/>
              <w:jc w:val="right"/>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0,25</w:t>
            </w:r>
          </w:p>
        </w:tc>
      </w:tr>
      <w:tr w:rsidR="00782325" w:rsidRPr="00685281" w14:paraId="5AB4A5E8" w14:textId="77777777" w:rsidTr="00782325">
        <w:trPr>
          <w:trHeight w:val="170"/>
          <w:jc w:val="center"/>
        </w:trPr>
        <w:tc>
          <w:tcPr>
            <w:tcW w:w="2292" w:type="dxa"/>
            <w:tcBorders>
              <w:top w:val="single" w:sz="2" w:space="0" w:color="81BC00"/>
              <w:left w:val="single" w:sz="4" w:space="0" w:color="FFFFFF"/>
              <w:bottom w:val="single" w:sz="2" w:space="0" w:color="81BC00"/>
              <w:right w:val="nil"/>
            </w:tcBorders>
            <w:shd w:val="clear" w:color="auto" w:fill="auto"/>
            <w:tcMar>
              <w:top w:w="28" w:type="dxa"/>
              <w:left w:w="28" w:type="dxa"/>
              <w:bottom w:w="28" w:type="dxa"/>
              <w:right w:w="28" w:type="dxa"/>
            </w:tcMar>
            <w:vAlign w:val="center"/>
          </w:tcPr>
          <w:p w14:paraId="274D3991" w14:textId="77777777" w:rsidR="00782325" w:rsidRPr="00685281" w:rsidRDefault="00782325" w:rsidP="00782325">
            <w:pPr>
              <w:spacing w:after="0" w:line="240" w:lineRule="auto"/>
              <w:rPr>
                <w:rFonts w:ascii="Times New Roman" w:eastAsia="Times New Roman" w:hAnsi="Times New Roman" w:cs="Times New Roman"/>
                <w:bCs/>
                <w:color w:val="000000"/>
                <w:sz w:val="24"/>
                <w:szCs w:val="24"/>
              </w:rPr>
            </w:pPr>
            <w:r w:rsidRPr="00685281">
              <w:rPr>
                <w:rFonts w:ascii="Times New Roman" w:eastAsia="Times New Roman" w:hAnsi="Times New Roman" w:cs="Times New Roman"/>
                <w:bCs/>
                <w:color w:val="000000"/>
                <w:sz w:val="24"/>
                <w:szCs w:val="24"/>
              </w:rPr>
              <w:t>týždenne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tcPr>
          <w:p w14:paraId="58A62FE3" w14:textId="77777777" w:rsidR="00782325" w:rsidRPr="00685281" w:rsidRDefault="00782325" w:rsidP="00782325">
            <w:pPr>
              <w:spacing w:after="0" w:line="240" w:lineRule="auto"/>
              <w:jc w:val="right"/>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52</w:t>
            </w:r>
          </w:p>
        </w:tc>
        <w:tc>
          <w:tcPr>
            <w:tcW w:w="2411" w:type="dxa"/>
            <w:tcBorders>
              <w:top w:val="single" w:sz="2" w:space="0" w:color="81BC00"/>
              <w:left w:val="nil"/>
              <w:bottom w:val="single" w:sz="2" w:space="0" w:color="81BC00"/>
              <w:right w:val="nil"/>
            </w:tcBorders>
            <w:shd w:val="clear" w:color="auto" w:fill="auto"/>
            <w:tcMar>
              <w:top w:w="28" w:type="dxa"/>
              <w:left w:w="28" w:type="dxa"/>
              <w:bottom w:w="28" w:type="dxa"/>
              <w:right w:w="28" w:type="dxa"/>
            </w:tcMar>
            <w:vAlign w:val="center"/>
          </w:tcPr>
          <w:p w14:paraId="7A880ADA" w14:textId="77777777" w:rsidR="00782325" w:rsidRPr="00685281" w:rsidRDefault="00782325" w:rsidP="00782325">
            <w:pPr>
              <w:spacing w:after="0" w:line="240" w:lineRule="auto"/>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nepravidelne</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vAlign w:val="center"/>
          </w:tcPr>
          <w:p w14:paraId="501542E8" w14:textId="77777777" w:rsidR="00782325" w:rsidRPr="00685281" w:rsidRDefault="00782325" w:rsidP="00782325">
            <w:pPr>
              <w:spacing w:after="0" w:line="240" w:lineRule="auto"/>
              <w:jc w:val="right"/>
              <w:rPr>
                <w:rFonts w:ascii="Times New Roman" w:eastAsia="Times New Roman" w:hAnsi="Times New Roman" w:cs="Times New Roman"/>
                <w:color w:val="000000"/>
                <w:sz w:val="24"/>
                <w:szCs w:val="24"/>
              </w:rPr>
            </w:pPr>
            <w:r w:rsidRPr="00685281">
              <w:rPr>
                <w:rFonts w:ascii="Times New Roman" w:eastAsia="Times New Roman" w:hAnsi="Times New Roman" w:cs="Times New Roman"/>
                <w:color w:val="000000"/>
                <w:sz w:val="24"/>
                <w:szCs w:val="24"/>
              </w:rPr>
              <w:t>1,00</w:t>
            </w:r>
          </w:p>
        </w:tc>
      </w:tr>
    </w:tbl>
    <w:p w14:paraId="5F4D9723" w14:textId="77777777" w:rsidR="00782325" w:rsidRPr="00685281" w:rsidRDefault="00782325" w:rsidP="00782325">
      <w:pPr>
        <w:spacing w:after="120" w:line="276" w:lineRule="auto"/>
        <w:jc w:val="both"/>
        <w:rPr>
          <w:rFonts w:ascii="Times New Roman" w:eastAsia="Times New Roman" w:hAnsi="Times New Roman" w:cs="Times New Roman"/>
          <w:color w:val="000000"/>
          <w:sz w:val="24"/>
          <w:szCs w:val="24"/>
        </w:rPr>
      </w:pPr>
    </w:p>
    <w:p w14:paraId="05A1EAAE" w14:textId="77777777" w:rsidR="009F3A24" w:rsidRDefault="009F3A24" w:rsidP="00782325">
      <w:pPr>
        <w:spacing w:after="120" w:line="276" w:lineRule="auto"/>
        <w:jc w:val="both"/>
        <w:rPr>
          <w:rFonts w:ascii="Times New Roman" w:eastAsia="Calibri" w:hAnsi="Times New Roman" w:cs="Times New Roman"/>
          <w:b/>
          <w:sz w:val="24"/>
          <w:szCs w:val="24"/>
        </w:rPr>
      </w:pPr>
    </w:p>
    <w:p w14:paraId="3EABFC19" w14:textId="3B3544EC" w:rsidR="00782325" w:rsidRPr="00685281" w:rsidRDefault="00782325" w:rsidP="00782325">
      <w:pPr>
        <w:spacing w:after="120" w:line="276" w:lineRule="auto"/>
        <w:jc w:val="both"/>
        <w:rPr>
          <w:rFonts w:ascii="Times New Roman" w:eastAsia="Calibri" w:hAnsi="Times New Roman" w:cs="Times New Roman"/>
          <w:b/>
          <w:sz w:val="24"/>
          <w:szCs w:val="24"/>
        </w:rPr>
      </w:pPr>
      <w:r w:rsidRPr="00685281">
        <w:rPr>
          <w:rFonts w:ascii="Times New Roman" w:eastAsia="Calibri" w:hAnsi="Times New Roman" w:cs="Times New Roman"/>
          <w:b/>
          <w:sz w:val="24"/>
          <w:szCs w:val="24"/>
        </w:rPr>
        <w:lastRenderedPageBreak/>
        <w:t>Stanovenie časovej náročnosti pri administratívnych nákladoch</w:t>
      </w:r>
    </w:p>
    <w:p w14:paraId="66F31183" w14:textId="77777777" w:rsidR="00782325" w:rsidRPr="00685281" w:rsidRDefault="00782325" w:rsidP="00782325">
      <w:pPr>
        <w:spacing w:after="120" w:line="276" w:lineRule="auto"/>
        <w:jc w:val="both"/>
        <w:rPr>
          <w:rFonts w:ascii="Times New Roman" w:eastAsia="Calibri" w:hAnsi="Times New Roman" w:cs="Times New Roman"/>
          <w:sz w:val="24"/>
          <w:szCs w:val="24"/>
        </w:rPr>
      </w:pPr>
      <w:r w:rsidRPr="00685281">
        <w:rPr>
          <w:rFonts w:ascii="Times New Roman" w:eastAsia="Times New Roman" w:hAnsi="Times New Roman" w:cs="Times New Roman"/>
          <w:color w:val="000000"/>
          <w:sz w:val="24"/>
          <w:szCs w:val="24"/>
        </w:rPr>
        <w:t>Kalkulácia nákladov vychádza z metodiky štandardného nákladového modelu (SCM).</w:t>
      </w:r>
      <w:r w:rsidRPr="00685281">
        <w:rPr>
          <w:rFonts w:ascii="Times New Roman" w:eastAsia="Calibri" w:hAnsi="Times New Roman" w:cs="Times New Roman"/>
          <w:sz w:val="24"/>
          <w:szCs w:val="24"/>
        </w:rPr>
        <w:t xml:space="preserve"> Jej podstatou je rozklad regulácie a paragrafového znenia do súboru menších, ľahšie merateľných komponentov – jednotlivých regulácií, s následným nákladovým vyjadrením ich plnenia. </w:t>
      </w:r>
    </w:p>
    <w:p w14:paraId="43D5A47D" w14:textId="77777777" w:rsidR="00782325" w:rsidRPr="00685281" w:rsidRDefault="00782325" w:rsidP="00782325">
      <w:pPr>
        <w:spacing w:after="120" w:line="240" w:lineRule="auto"/>
        <w:jc w:val="both"/>
        <w:rPr>
          <w:rFonts w:ascii="Times New Roman" w:eastAsia="Calibri" w:hAnsi="Times New Roman" w:cs="Times New Roman"/>
          <w:sz w:val="24"/>
          <w:szCs w:val="24"/>
        </w:rPr>
      </w:pPr>
    </w:p>
    <w:p w14:paraId="76142FB1" w14:textId="77777777" w:rsidR="00782325" w:rsidRPr="00685281" w:rsidRDefault="00782325" w:rsidP="00782325">
      <w:pPr>
        <w:spacing w:after="120" w:line="240" w:lineRule="auto"/>
        <w:jc w:val="both"/>
        <w:rPr>
          <w:rFonts w:ascii="Times New Roman" w:eastAsia="Calibri" w:hAnsi="Times New Roman" w:cs="Times New Roman"/>
          <w:sz w:val="24"/>
          <w:szCs w:val="24"/>
        </w:rPr>
      </w:pPr>
      <w:r w:rsidRPr="00685281">
        <w:rPr>
          <w:rFonts w:ascii="Times New Roman" w:eastAsia="Calibri" w:hAnsi="Times New Roman" w:cs="Times New Roman"/>
          <w:sz w:val="24"/>
          <w:szCs w:val="24"/>
        </w:rPr>
        <w:t>Pri priraďovaní časovej náročnosti plnenia povinnosti je možné použiť dva základné prístupy:</w:t>
      </w:r>
    </w:p>
    <w:p w14:paraId="0084C2BA" w14:textId="77777777" w:rsidR="00782325" w:rsidRPr="00685281" w:rsidRDefault="00782325" w:rsidP="00782325">
      <w:pPr>
        <w:numPr>
          <w:ilvl w:val="0"/>
          <w:numId w:val="11"/>
        </w:numPr>
        <w:spacing w:after="120" w:line="240" w:lineRule="auto"/>
        <w:rPr>
          <w:rFonts w:ascii="Times New Roman" w:eastAsia="Calibri" w:hAnsi="Times New Roman" w:cs="Times New Roman"/>
          <w:i/>
          <w:sz w:val="24"/>
          <w:szCs w:val="24"/>
        </w:rPr>
      </w:pPr>
      <w:r w:rsidRPr="00685281">
        <w:rPr>
          <w:rFonts w:ascii="Times New Roman" w:eastAsia="Calibri" w:hAnsi="Times New Roman" w:cs="Times New Roman"/>
          <w:i/>
          <w:sz w:val="24"/>
          <w:szCs w:val="24"/>
        </w:rPr>
        <w:t xml:space="preserve">Expertný odhad trvania povinnosti (v min.) </w:t>
      </w:r>
    </w:p>
    <w:p w14:paraId="002EFB5E" w14:textId="77777777" w:rsidR="00782325" w:rsidRPr="00685281" w:rsidRDefault="00782325" w:rsidP="00782325">
      <w:pPr>
        <w:spacing w:after="120" w:line="276" w:lineRule="auto"/>
        <w:ind w:left="708"/>
        <w:jc w:val="both"/>
        <w:rPr>
          <w:rFonts w:ascii="Times New Roman" w:eastAsia="Times New Roman" w:hAnsi="Times New Roman" w:cs="Times New Roman"/>
          <w:sz w:val="24"/>
          <w:szCs w:val="24"/>
        </w:rPr>
      </w:pPr>
      <w:r w:rsidRPr="00685281">
        <w:rPr>
          <w:rFonts w:ascii="Times New Roman" w:eastAsia="Times New Roman" w:hAnsi="Times New Roman" w:cs="Times New Roman"/>
          <w:sz w:val="24"/>
          <w:szCs w:val="24"/>
        </w:rPr>
        <w:t>Odhad predkladateľa trvania povinnosti (v min.) Ak predkladateľ disponuje údajmi o trvaní povinnosti získanými na základe vlastných meraní alebo reprezentatívnym prieskumom medzi zainteresovanými subjektmi, tieto údaje môže predkladateľ použiť pre výpočet nákladov regulácie. Rovnako postupuje ak identifikuje špecifické povinnosti, ku ktorým nie je možné priradiť žiadnu z vyššie uvedených typických informačných povinností. Predkladateľ je povinný zverejniť všetky vstupné údaje, ktoré využil pri odhade trvania povinnosti a pri kvantifikácii časovej náročnosti vychádza z porovnania budúceho stavu so súčasným stavom. V kvantifikácii je potrebné zohľadniť časové parametre (trvanie spracovaniam, čas potrebný na zaslanie), kvantitatívne parametre (výška poplatku, materiálne náklady na podanie) a kvalitatívne parametre (prínos alebo náklad zavedenia predpisu, ktoré nie je možné zohľadniť v iných kategóriách).“</w:t>
      </w:r>
    </w:p>
    <w:p w14:paraId="256DF58E" w14:textId="77777777" w:rsidR="00782325" w:rsidRPr="00685281" w:rsidRDefault="00782325" w:rsidP="00782325">
      <w:pPr>
        <w:numPr>
          <w:ilvl w:val="0"/>
          <w:numId w:val="11"/>
        </w:numPr>
        <w:spacing w:after="120" w:line="240" w:lineRule="auto"/>
        <w:jc w:val="both"/>
        <w:rPr>
          <w:rFonts w:ascii="Times New Roman" w:eastAsia="Calibri" w:hAnsi="Times New Roman" w:cs="Times New Roman"/>
          <w:i/>
          <w:sz w:val="24"/>
          <w:szCs w:val="24"/>
        </w:rPr>
      </w:pPr>
      <w:r w:rsidRPr="00685281">
        <w:rPr>
          <w:rFonts w:ascii="Times New Roman" w:eastAsia="Calibri" w:hAnsi="Times New Roman" w:cs="Times New Roman"/>
          <w:i/>
          <w:sz w:val="24"/>
          <w:szCs w:val="24"/>
        </w:rPr>
        <w:t xml:space="preserve">Štandardná časová náročnosť povinnosti (min.)  </w:t>
      </w:r>
    </w:p>
    <w:p w14:paraId="0672149A" w14:textId="77777777" w:rsidR="00782325" w:rsidRPr="00685281" w:rsidRDefault="00782325" w:rsidP="00782325">
      <w:pPr>
        <w:spacing w:after="120" w:line="276" w:lineRule="auto"/>
        <w:ind w:left="708"/>
        <w:jc w:val="both"/>
        <w:rPr>
          <w:rFonts w:ascii="Times New Roman" w:eastAsia="Calibri" w:hAnsi="Times New Roman" w:cs="Times New Roman"/>
          <w:sz w:val="24"/>
          <w:szCs w:val="24"/>
        </w:rPr>
      </w:pPr>
      <w:r w:rsidRPr="00685281">
        <w:rPr>
          <w:rFonts w:ascii="Times New Roman" w:eastAsia="Calibri" w:hAnsi="Times New Roman" w:cs="Times New Roman"/>
          <w:sz w:val="24"/>
          <w:szCs w:val="24"/>
        </w:rPr>
        <w:t xml:space="preserve">Ak predkladateľ nevie odhadnúť trvanie administratívnej povinnosti presnejšie, tak si môže pomôcť výberom z 13 typických informačných povinností, ktorým sú priradené štandardizované časové náročnosti uvedené v tabuľke štandardných časových náročností typických informačných povinností. </w:t>
      </w:r>
    </w:p>
    <w:p w14:paraId="618D1503" w14:textId="77777777" w:rsidR="00782325" w:rsidRPr="00685281" w:rsidRDefault="00782325" w:rsidP="00782325">
      <w:pPr>
        <w:spacing w:after="120" w:line="276" w:lineRule="auto"/>
        <w:ind w:left="708"/>
        <w:jc w:val="both"/>
        <w:rPr>
          <w:rFonts w:ascii="Times New Roman" w:eastAsia="Calibri" w:hAnsi="Times New Roman" w:cs="Times New Roman"/>
          <w:sz w:val="24"/>
          <w:szCs w:val="24"/>
        </w:rPr>
      </w:pPr>
      <w:r w:rsidRPr="00685281">
        <w:rPr>
          <w:rFonts w:ascii="Times New Roman" w:eastAsia="Calibri" w:hAnsi="Times New Roman" w:cs="Times New Roman"/>
          <w:sz w:val="24"/>
          <w:szCs w:val="24"/>
        </w:rPr>
        <w:t>Tabuľka štandardných časových náročností typických informačných povinností podľa veľkosti podniku je uvedená v Kalkulačke nákladov, časti „Vysvetlivky ku kroku 1“.</w:t>
      </w:r>
    </w:p>
    <w:p w14:paraId="7C6BEF59" w14:textId="77777777" w:rsidR="00782325" w:rsidRPr="00685281" w:rsidRDefault="00782325" w:rsidP="00782325">
      <w:pPr>
        <w:spacing w:after="120" w:line="276" w:lineRule="auto"/>
        <w:ind w:left="708"/>
        <w:jc w:val="both"/>
        <w:rPr>
          <w:rFonts w:ascii="Times New Roman" w:eastAsia="Calibri" w:hAnsi="Times New Roman" w:cs="Times New Roman"/>
          <w:sz w:val="24"/>
          <w:szCs w:val="24"/>
        </w:rPr>
      </w:pPr>
      <w:r w:rsidRPr="00685281">
        <w:rPr>
          <w:rFonts w:ascii="Times New Roman" w:eastAsia="Calibri" w:hAnsi="Times New Roman" w:cs="Times New Roman"/>
          <w:sz w:val="24"/>
          <w:szCs w:val="24"/>
        </w:rPr>
        <w:t>Uvedené časové náročnosti budú zo strany ministerstva hospodárstva v primeraných časových intervaloch aktualizované. Odôvodnenie: Pravidelná aktualizácia časových hodnôt zabezpečí exaktnejšiu kvantifikáciu nákladov na podnikateľské prostredie. Využívanie neaktuálnych hodnôt časovej náročnosti môže pri kvantifikácii vplyvu na celé podnikateľské prostredie vytvárať veľké rozdiely kvantifikované v eurách.</w:t>
      </w:r>
    </w:p>
    <w:p w14:paraId="53CA32AD" w14:textId="77777777" w:rsidR="00782325" w:rsidRPr="00685281" w:rsidRDefault="00782325" w:rsidP="00782325">
      <w:pPr>
        <w:rPr>
          <w:rFonts w:ascii="Times New Roman" w:eastAsia="Calibri" w:hAnsi="Times New Roman" w:cs="Times New Roman"/>
          <w:b/>
          <w:i/>
          <w:iCs/>
          <w:sz w:val="24"/>
          <w:szCs w:val="24"/>
        </w:rPr>
      </w:pPr>
    </w:p>
    <w:p w14:paraId="0F06EEBE" w14:textId="77777777" w:rsidR="00782325" w:rsidRPr="00685281" w:rsidRDefault="00782325" w:rsidP="0078232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Calibri" w:hAnsi="Times New Roman" w:cs="Times New Roman"/>
          <w:bCs/>
          <w:sz w:val="24"/>
          <w:szCs w:val="24"/>
        </w:rPr>
      </w:pPr>
      <w:r w:rsidRPr="00685281">
        <w:rPr>
          <w:rFonts w:ascii="Times New Roman" w:eastAsia="Calibri" w:hAnsi="Times New Roman" w:cs="Times New Roman"/>
          <w:b/>
          <w:sz w:val="24"/>
          <w:szCs w:val="24"/>
        </w:rPr>
        <w:t xml:space="preserve">3.1.1 Súhrnná tabuľka nákladov regulácie </w:t>
      </w:r>
    </w:p>
    <w:p w14:paraId="1801A4F9" w14:textId="77777777" w:rsidR="00782325" w:rsidRPr="00685281" w:rsidRDefault="00782325" w:rsidP="00782325">
      <w:pPr>
        <w:spacing w:after="0" w:line="240" w:lineRule="auto"/>
        <w:rPr>
          <w:rFonts w:ascii="Times New Roman" w:eastAsia="Times New Roman" w:hAnsi="Times New Roman" w:cs="Times New Roman"/>
          <w:bCs/>
          <w:sz w:val="24"/>
          <w:szCs w:val="24"/>
          <w:lang w:eastAsia="sk-SK"/>
        </w:rPr>
      </w:pPr>
    </w:p>
    <w:p w14:paraId="1222B5E8" w14:textId="77777777" w:rsidR="00782325" w:rsidRPr="00685281" w:rsidRDefault="00782325" w:rsidP="00782325">
      <w:pPr>
        <w:spacing w:after="0" w:line="240" w:lineRule="auto"/>
        <w:jc w:val="both"/>
        <w:rPr>
          <w:rFonts w:ascii="Times New Roman" w:eastAsia="Times New Roman" w:hAnsi="Times New Roman" w:cs="Times New Roman"/>
          <w:b/>
          <w:bCs/>
          <w:iCs/>
          <w:sz w:val="24"/>
          <w:szCs w:val="24"/>
          <w:lang w:eastAsia="sk-SK"/>
        </w:rPr>
      </w:pPr>
      <w:r w:rsidRPr="00685281">
        <w:rPr>
          <w:rFonts w:ascii="Times New Roman" w:eastAsia="Times New Roman" w:hAnsi="Times New Roman" w:cs="Times New Roman"/>
          <w:b/>
          <w:bCs/>
          <w:iCs/>
          <w:sz w:val="24"/>
          <w:szCs w:val="24"/>
          <w:lang w:eastAsia="sk-SK"/>
        </w:rPr>
        <w:t xml:space="preserve">Tabuľka č. 1: Zmeny ročných nákladov v prepočte na podnikateľské prostredie, Vyhodnotenie mechanizmu znižovania byrokracie a nákladov a vyhodnotenie goldplatingu </w:t>
      </w:r>
      <w:r w:rsidRPr="00685281">
        <w:rPr>
          <w:rFonts w:ascii="Times New Roman" w:eastAsia="Times New Roman" w:hAnsi="Times New Roman" w:cs="Times New Roman"/>
          <w:sz w:val="24"/>
          <w:szCs w:val="24"/>
          <w:lang w:eastAsia="sk-SK"/>
        </w:rPr>
        <w:t xml:space="preserve">sa vyplní automaticky tým, že predkladateľ vyplní Kalkulačku nákladov. Predkladateľ následne tabuľku odkopíruje a vloží do analýzy vplyvov na podnikateľské prostredie. </w:t>
      </w:r>
    </w:p>
    <w:p w14:paraId="58A949C4"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p>
    <w:p w14:paraId="717FBECA" w14:textId="77777777" w:rsidR="00782325" w:rsidRPr="00685281" w:rsidRDefault="00782325" w:rsidP="00782325">
      <w:pPr>
        <w:spacing w:after="0" w:line="240" w:lineRule="auto"/>
        <w:jc w:val="both"/>
        <w:rPr>
          <w:rFonts w:ascii="Times New Roman" w:eastAsia="Times New Roman" w:hAnsi="Times New Roman" w:cs="Times New Roman"/>
          <w:b/>
          <w:i/>
          <w:sz w:val="24"/>
          <w:szCs w:val="24"/>
          <w:lang w:eastAsia="sk-SK"/>
        </w:rPr>
      </w:pPr>
      <w:r w:rsidRPr="00685281">
        <w:rPr>
          <w:rFonts w:ascii="Times New Roman" w:eastAsia="Times New Roman" w:hAnsi="Times New Roman" w:cs="Times New Roman"/>
          <w:b/>
          <w:i/>
          <w:sz w:val="24"/>
          <w:szCs w:val="24"/>
          <w:lang w:eastAsia="sk-SK"/>
        </w:rPr>
        <w:lastRenderedPageBreak/>
        <w:t>Vysvetlivky k tabuľke č. 1:</w:t>
      </w:r>
    </w:p>
    <w:p w14:paraId="4CC73C60" w14:textId="77777777" w:rsidR="00782325" w:rsidRPr="00685281" w:rsidRDefault="00782325" w:rsidP="00782325">
      <w:pPr>
        <w:spacing w:after="0" w:line="240" w:lineRule="auto"/>
        <w:jc w:val="both"/>
        <w:rPr>
          <w:rFonts w:ascii="Times New Roman" w:eastAsia="Times New Roman" w:hAnsi="Times New Roman" w:cs="Times New Roman"/>
          <w:b/>
          <w:i/>
          <w:sz w:val="24"/>
          <w:szCs w:val="24"/>
          <w:lang w:eastAsia="sk-SK"/>
        </w:rPr>
      </w:pPr>
    </w:p>
    <w:p w14:paraId="1264056C" w14:textId="77777777" w:rsidR="00782325" w:rsidRPr="00685281" w:rsidRDefault="00782325" w:rsidP="00782325">
      <w:pPr>
        <w:spacing w:line="240" w:lineRule="auto"/>
        <w:jc w:val="both"/>
        <w:rPr>
          <w:rFonts w:ascii="Times New Roman" w:eastAsia="Times New Roman" w:hAnsi="Times New Roman" w:cs="Times New Roman"/>
          <w:sz w:val="24"/>
          <w:szCs w:val="24"/>
          <w:lang w:eastAsia="sk-SK"/>
        </w:rPr>
      </w:pPr>
      <w:r w:rsidRPr="00685281">
        <w:rPr>
          <w:rFonts w:ascii="Times New Roman" w:eastAsia="Times New Roman" w:hAnsi="Times New Roman" w:cs="Times New Roman"/>
          <w:sz w:val="24"/>
          <w:szCs w:val="24"/>
          <w:lang w:eastAsia="sk-SK"/>
        </w:rPr>
        <w:t>Údaj</w:t>
      </w:r>
      <w:r w:rsidRPr="00685281">
        <w:rPr>
          <w:rFonts w:ascii="Times New Roman" w:eastAsia="Times New Roman" w:hAnsi="Times New Roman" w:cs="Times New Roman"/>
          <w:b/>
          <w:sz w:val="24"/>
          <w:szCs w:val="24"/>
          <w:lang w:eastAsia="sk-SK"/>
        </w:rPr>
        <w:t xml:space="preserve"> Spolu A+B+C+D+E</w:t>
      </w:r>
      <w:r w:rsidRPr="00685281">
        <w:rPr>
          <w:rFonts w:ascii="Times New Roman" w:eastAsia="Times New Roman" w:hAnsi="Times New Roman" w:cs="Times New Roman"/>
          <w:sz w:val="24"/>
          <w:szCs w:val="24"/>
          <w:lang w:eastAsia="sk-SK"/>
        </w:rPr>
        <w:t xml:space="preserve"> vyjadruje aký celkový pozitívny vplyv a aký celkový negatívny vplyv má regulácia na náklady PP.  </w:t>
      </w:r>
    </w:p>
    <w:p w14:paraId="2230ABD8" w14:textId="77777777" w:rsidR="00782325" w:rsidRPr="00685281" w:rsidRDefault="00782325" w:rsidP="00782325">
      <w:pPr>
        <w:spacing w:after="120" w:line="240" w:lineRule="auto"/>
        <w:jc w:val="both"/>
        <w:rPr>
          <w:rFonts w:ascii="Times New Roman" w:eastAsia="Times New Roman" w:hAnsi="Times New Roman" w:cs="Times New Roman"/>
          <w:sz w:val="24"/>
          <w:szCs w:val="24"/>
          <w:lang w:eastAsia="sk-SK"/>
        </w:rPr>
      </w:pPr>
      <w:r w:rsidRPr="00685281">
        <w:rPr>
          <w:rFonts w:ascii="Times New Roman" w:eastAsia="Times New Roman" w:hAnsi="Times New Roman" w:cs="Times New Roman"/>
          <w:sz w:val="24"/>
          <w:szCs w:val="24"/>
          <w:lang w:eastAsia="sk-SK"/>
        </w:rPr>
        <w:t>Údaj</w:t>
      </w:r>
      <w:r w:rsidRPr="00685281">
        <w:rPr>
          <w:rFonts w:ascii="Times New Roman" w:eastAsia="Times New Roman" w:hAnsi="Times New Roman" w:cs="Times New Roman"/>
          <w:b/>
          <w:sz w:val="24"/>
          <w:szCs w:val="24"/>
          <w:lang w:eastAsia="sk-SK"/>
        </w:rPr>
        <w:t xml:space="preserve"> F. Úplná harmonizácia práva EÚ</w:t>
      </w:r>
      <w:r w:rsidRPr="00685281">
        <w:rPr>
          <w:rFonts w:ascii="Times New Roman" w:eastAsia="Times New Roman" w:hAnsi="Times New Roman" w:cs="Times New Roman"/>
          <w:sz w:val="24"/>
          <w:szCs w:val="24"/>
          <w:lang w:eastAsia="sk-SK"/>
        </w:rPr>
        <w:t xml:space="preserve">: je súčet nákladov tých ustanovení predkladaného právneho predpisu, ktoré vyplývajú z legislatívy EÚ, od ktorej sa nemožno odkloniť a ktorú ani nie je možné upraviť inak (z Tabuľky č. 2 – Pôvod regulácie: EÚ úplná harm.). </w:t>
      </w:r>
      <w:r w:rsidRPr="00685281">
        <w:rPr>
          <w:rFonts w:ascii="Times New Roman" w:eastAsia="Times New Roman" w:hAnsi="Times New Roman" w:cs="Times New Roman"/>
          <w:sz w:val="24"/>
          <w:szCs w:val="24"/>
        </w:rPr>
        <w:t>A ak je možná voľba alebo odklon od znenia práva EÚ, tak len v prípade, že ide o odklon/voľbu, ktorý udržuje minimálne požiadavky práva EÚ (tieto nijako nenavyšuje).</w:t>
      </w:r>
      <w:r w:rsidRPr="00685281">
        <w:rPr>
          <w:rFonts w:ascii="Times New Roman" w:eastAsia="Times New Roman" w:hAnsi="Times New Roman" w:cs="Times New Roman"/>
          <w:sz w:val="24"/>
          <w:szCs w:val="24"/>
          <w:lang w:eastAsia="sk-SK"/>
        </w:rPr>
        <w:t xml:space="preserve"> Neuvádzajú sa sem vplyvy na náklady, ktoré vychádzajú z harmonizácie s právom EÚ s možnosťou voľby (okrem voľby, ktorá udržiava minimálne požiadavky smernice), tie nemajú výnimku z mechanizmu znižovania byrokracie a nákladov. Kvantifikované vplyvy (v eurách na PP) sa rozdelia na tie, ktoré podnikateľom zvyšujú náklady a na tie, ktoré im znižujú náklady.  </w:t>
      </w:r>
    </w:p>
    <w:p w14:paraId="403D4C5E" w14:textId="77777777" w:rsidR="00782325" w:rsidRPr="00685281" w:rsidRDefault="00782325" w:rsidP="00782325">
      <w:pPr>
        <w:spacing w:after="120" w:line="240" w:lineRule="auto"/>
        <w:jc w:val="both"/>
        <w:rPr>
          <w:rFonts w:ascii="Times New Roman" w:eastAsia="Times New Roman" w:hAnsi="Times New Roman" w:cs="Times New Roman"/>
          <w:sz w:val="24"/>
          <w:szCs w:val="24"/>
          <w:lang w:eastAsia="sk-SK"/>
        </w:rPr>
      </w:pPr>
      <w:r w:rsidRPr="00685281">
        <w:rPr>
          <w:rFonts w:ascii="Times New Roman" w:eastAsia="Times New Roman" w:hAnsi="Times New Roman" w:cs="Times New Roman"/>
          <w:sz w:val="24"/>
          <w:szCs w:val="24"/>
          <w:lang w:eastAsia="sk-SK"/>
        </w:rPr>
        <w:t xml:space="preserve">Údaj </w:t>
      </w:r>
      <w:r w:rsidRPr="00685281">
        <w:rPr>
          <w:rFonts w:ascii="Times New Roman" w:eastAsia="Times New Roman" w:hAnsi="Times New Roman" w:cs="Times New Roman"/>
          <w:b/>
          <w:sz w:val="24"/>
          <w:szCs w:val="24"/>
          <w:lang w:eastAsia="sk-SK"/>
        </w:rPr>
        <w:t>G</w:t>
      </w:r>
      <w:r w:rsidRPr="00685281">
        <w:rPr>
          <w:rFonts w:ascii="Times New Roman" w:eastAsia="Calibri" w:hAnsi="Times New Roman" w:cs="Times New Roman"/>
          <w:b/>
          <w:i/>
          <w:sz w:val="24"/>
          <w:szCs w:val="24"/>
        </w:rPr>
        <w:t xml:space="preserve">. </w:t>
      </w:r>
      <w:r w:rsidRPr="00685281">
        <w:rPr>
          <w:rFonts w:ascii="Times New Roman" w:eastAsia="Times New Roman" w:hAnsi="Times New Roman" w:cs="Times New Roman"/>
          <w:b/>
          <w:sz w:val="24"/>
          <w:szCs w:val="24"/>
          <w:lang w:eastAsia="sk-SK"/>
        </w:rPr>
        <w:t xml:space="preserve">Goldplating: </w:t>
      </w:r>
      <w:r w:rsidRPr="00685281">
        <w:rPr>
          <w:rFonts w:ascii="Times New Roman" w:eastAsia="Times New Roman" w:hAnsi="Times New Roman" w:cs="Times New Roman"/>
          <w:sz w:val="24"/>
          <w:szCs w:val="24"/>
          <w:lang w:eastAsia="sk-SK"/>
        </w:rPr>
        <w:t xml:space="preserve">Výpočet goldplatingu tak, ako je podrobne popísaný vo vysvetlivkách v prílohe č. 3b jednotnej metodiky– vo vysvetlivkách ku Kalkulačke nákladov. </w:t>
      </w:r>
    </w:p>
    <w:p w14:paraId="0AA79642" w14:textId="77777777" w:rsidR="00782325" w:rsidRPr="00685281" w:rsidRDefault="00782325" w:rsidP="00782325">
      <w:pPr>
        <w:spacing w:after="120" w:line="240" w:lineRule="auto"/>
        <w:jc w:val="both"/>
        <w:rPr>
          <w:rFonts w:ascii="Times New Roman" w:eastAsia="Times New Roman" w:hAnsi="Times New Roman" w:cs="Times New Roman"/>
          <w:sz w:val="24"/>
          <w:szCs w:val="24"/>
          <w:lang w:eastAsia="sk-SK"/>
        </w:rPr>
      </w:pPr>
      <w:r w:rsidRPr="00685281">
        <w:rPr>
          <w:rFonts w:ascii="Times New Roman" w:eastAsia="Times New Roman" w:hAnsi="Times New Roman" w:cs="Times New Roman"/>
          <w:b/>
          <w:sz w:val="24"/>
          <w:szCs w:val="24"/>
          <w:lang w:eastAsia="sk-SK"/>
        </w:rPr>
        <w:t>H. Náklady mechanizmu 1 in 2 out okrem výnimiek = B+D+E-F</w:t>
      </w:r>
      <w:r w:rsidRPr="00685281">
        <w:rPr>
          <w:rFonts w:ascii="Times New Roman" w:eastAsia="Times New Roman" w:hAnsi="Times New Roman" w:cs="Times New Roman"/>
          <w:sz w:val="24"/>
          <w:szCs w:val="24"/>
          <w:lang w:eastAsia="sk-SK"/>
        </w:rPr>
        <w:t>: náklady, ktoré vstupujú do mechanizmu</w:t>
      </w:r>
      <w:r w:rsidRPr="00685281">
        <w:rPr>
          <w:rFonts w:ascii="Times New Roman" w:eastAsia="Calibri" w:hAnsi="Times New Roman" w:cs="Times New Roman"/>
          <w:sz w:val="24"/>
          <w:szCs w:val="24"/>
        </w:rPr>
        <w:t xml:space="preserve"> </w:t>
      </w:r>
      <w:r w:rsidRPr="00685281">
        <w:rPr>
          <w:rFonts w:ascii="Times New Roman" w:eastAsia="Times New Roman" w:hAnsi="Times New Roman" w:cs="Times New Roman"/>
          <w:sz w:val="24"/>
          <w:szCs w:val="24"/>
          <w:lang w:eastAsia="sk-SK"/>
        </w:rPr>
        <w:t xml:space="preserve">znižovania byrokracie a nákladov. Ide o súčet iných poplatkov, nepriamych finančných nákladov a administratívnych nákladov, oslobodený od výšky nákladov, vyplývajúcich z úplnej harmonizácie s právom EÚ. V rámci údajov B, D a E je zahrnutá aj kvantifikácia goldplatingu v predloženom materiáli, ktorá vstupuje do mechanizmu znižovania byrokracie a nákladov. Do tohto mechanizmu však nevstupujú náklady existujúceho goldplatingu, ktoré sa predkladaným materiálom nemenia. Kvantifikované vplyvy (v eurách na PP) sa rozdelia na tie, ktoré podnikateľom zvyšujú náklady a na tie, ktoré znižujú náklady.  </w:t>
      </w:r>
    </w:p>
    <w:p w14:paraId="722E8B51" w14:textId="77777777" w:rsidR="00782325" w:rsidRPr="00685281" w:rsidRDefault="00782325" w:rsidP="00782325">
      <w:pPr>
        <w:spacing w:after="0" w:line="240" w:lineRule="auto"/>
        <w:jc w:val="both"/>
        <w:rPr>
          <w:rFonts w:ascii="Times New Roman" w:eastAsia="Times New Roman" w:hAnsi="Times New Roman" w:cs="Times New Roman"/>
          <w:b/>
          <w:bCs/>
          <w:sz w:val="24"/>
          <w:szCs w:val="24"/>
          <w:lang w:eastAsia="sk-SK"/>
        </w:rPr>
      </w:pPr>
    </w:p>
    <w:p w14:paraId="7EA3A4CC" w14:textId="77777777" w:rsidR="00782325" w:rsidRPr="00685281" w:rsidRDefault="00782325" w:rsidP="00782325">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iCs/>
          <w:sz w:val="24"/>
          <w:szCs w:val="24"/>
          <w:lang w:eastAsia="sk-SK"/>
        </w:rPr>
      </w:pPr>
      <w:r w:rsidRPr="00685281">
        <w:rPr>
          <w:rFonts w:ascii="Times New Roman" w:eastAsia="Times New Roman" w:hAnsi="Times New Roman" w:cs="Times New Roman"/>
          <w:b/>
          <w:bCs/>
          <w:iCs/>
          <w:sz w:val="24"/>
          <w:szCs w:val="24"/>
          <w:lang w:eastAsia="sk-SK"/>
        </w:rPr>
        <w:t>3.1.2 Výpočty vplyvov jednotlivých regulácií na zmeny v nákladoch podnikateľov</w:t>
      </w:r>
    </w:p>
    <w:p w14:paraId="66F62868" w14:textId="77777777" w:rsidR="00782325" w:rsidRPr="00685281" w:rsidRDefault="00782325" w:rsidP="00782325">
      <w:pPr>
        <w:spacing w:after="0" w:line="240" w:lineRule="auto"/>
        <w:jc w:val="both"/>
        <w:rPr>
          <w:rFonts w:ascii="Times New Roman" w:eastAsia="Times New Roman" w:hAnsi="Times New Roman" w:cs="Times New Roman"/>
          <w:b/>
          <w:bCs/>
          <w:iCs/>
          <w:sz w:val="24"/>
          <w:szCs w:val="24"/>
          <w:lang w:eastAsia="sk-SK"/>
        </w:rPr>
      </w:pPr>
    </w:p>
    <w:p w14:paraId="0C791931"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r w:rsidRPr="00685281">
        <w:rPr>
          <w:rFonts w:ascii="Times New Roman" w:eastAsia="Times New Roman" w:hAnsi="Times New Roman" w:cs="Times New Roman"/>
          <w:b/>
          <w:bCs/>
          <w:iCs/>
          <w:sz w:val="24"/>
          <w:szCs w:val="24"/>
          <w:lang w:eastAsia="sk-SK"/>
        </w:rPr>
        <w:t xml:space="preserve">Tabuľka č. 2: Výpočet vplyvov jednotlivých regulácií na zmeny v nákladoch podnikateľov </w:t>
      </w:r>
      <w:r w:rsidRPr="00685281">
        <w:rPr>
          <w:rFonts w:ascii="Times New Roman" w:eastAsia="Times New Roman" w:hAnsi="Times New Roman" w:cs="Times New Roman"/>
          <w:sz w:val="24"/>
          <w:szCs w:val="24"/>
          <w:lang w:eastAsia="sk-SK"/>
        </w:rPr>
        <w:t xml:space="preserve">sa vyplní automaticky tým, že predkladateľ vyplní Kalkulačku nákladov. Predkladateľ následne tabuľku odkopíruje a vloží do analýzy vplyvov na podnikateľské prostredie. </w:t>
      </w:r>
    </w:p>
    <w:p w14:paraId="4579AABB" w14:textId="77777777" w:rsidR="00782325" w:rsidRPr="00685281" w:rsidRDefault="00782325" w:rsidP="00782325">
      <w:pPr>
        <w:spacing w:after="0" w:line="240" w:lineRule="auto"/>
        <w:jc w:val="both"/>
        <w:rPr>
          <w:rFonts w:ascii="Times New Roman" w:eastAsia="Times New Roman" w:hAnsi="Times New Roman" w:cs="Times New Roman"/>
          <w:sz w:val="24"/>
          <w:szCs w:val="24"/>
          <w:lang w:eastAsia="sk-SK"/>
        </w:rPr>
      </w:pPr>
    </w:p>
    <w:p w14:paraId="6797A48B" w14:textId="77777777" w:rsidR="00782325" w:rsidRPr="00685281" w:rsidRDefault="00782325" w:rsidP="00782325">
      <w:pPr>
        <w:pStyle w:val="Odsekzoznamu"/>
        <w:numPr>
          <w:ilvl w:val="2"/>
          <w:numId w:val="14"/>
        </w:numPr>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eastAsia="Times New Roman" w:hAnsi="Times New Roman" w:cs="Times New Roman"/>
          <w:b/>
          <w:bCs/>
          <w:iCs/>
          <w:sz w:val="24"/>
          <w:szCs w:val="24"/>
          <w:lang w:eastAsia="sk-SK"/>
        </w:rPr>
      </w:pPr>
      <w:r w:rsidRPr="00685281">
        <w:rPr>
          <w:rFonts w:ascii="Times New Roman" w:eastAsia="Times New Roman" w:hAnsi="Times New Roman" w:cs="Times New Roman"/>
          <w:b/>
          <w:bCs/>
          <w:iCs/>
          <w:sz w:val="24"/>
          <w:szCs w:val="24"/>
          <w:lang w:eastAsia="sk-SK"/>
        </w:rPr>
        <w:t>Doplňujúce informácie k spôsobu výpočtu vplyvov jednotlivých regulácií na zmenu nákladov</w:t>
      </w:r>
    </w:p>
    <w:p w14:paraId="3F9055D1" w14:textId="77777777" w:rsidR="00782325" w:rsidRPr="00685281" w:rsidRDefault="00782325" w:rsidP="00782325">
      <w:pPr>
        <w:jc w:val="both"/>
        <w:rPr>
          <w:rFonts w:ascii="Times New Roman" w:eastAsia="Calibri" w:hAnsi="Times New Roman" w:cs="Times New Roman"/>
          <w:bCs/>
          <w:sz w:val="24"/>
          <w:szCs w:val="24"/>
        </w:rPr>
      </w:pPr>
    </w:p>
    <w:p w14:paraId="1F390D4B" w14:textId="77777777" w:rsidR="00782325" w:rsidRPr="00685281" w:rsidRDefault="00782325" w:rsidP="00782325">
      <w:pPr>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V tejto časti uvedie predkladateľ doplňujúce informácie ku každej regulácií samostatne k tabuľke č. 2 a k údajom vyplneným v Kalkulačke nákladov tak, aby umožňoval skontrolovať spôsob a správnosť výpočtov. Predkladateľ osobitne uvedie aj jednotlivé zdroje dát, ktoré použil na výpočty. Pri odkazoch z internetu je potrebné uviesť konkrétnu podstránku, odkiaľ boli čerpané dáta, nielen kmeňovú adresu webu a zároveň aj dátum, kedy bola informácia z danej podstránky prebratá.</w:t>
      </w:r>
    </w:p>
    <w:p w14:paraId="6ABFABF8" w14:textId="77777777" w:rsidR="00782325" w:rsidRPr="00685281" w:rsidRDefault="00782325" w:rsidP="00782325">
      <w:pPr>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V prípade, ak predkladateľ nemá k dispozícii konkrétne dáta, pokúsi sa vykonať expertný odhad, pričom v tejto časti popíše, akým spôsobom a z akých informácií vychádzal pri expertnom odhade.</w:t>
      </w:r>
    </w:p>
    <w:p w14:paraId="56352C00" w14:textId="77777777" w:rsidR="00782325" w:rsidRPr="00685281" w:rsidRDefault="00782325" w:rsidP="00782325">
      <w:pPr>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 xml:space="preserve">V prípade, ak </w:t>
      </w:r>
      <w:r w:rsidRPr="00685281">
        <w:rPr>
          <w:rFonts w:ascii="Times New Roman" w:eastAsia="Calibri" w:hAnsi="Times New Roman" w:cs="Times New Roman"/>
          <w:b/>
          <w:bCs/>
          <w:sz w:val="24"/>
          <w:szCs w:val="24"/>
        </w:rPr>
        <w:t xml:space="preserve">vplyvy objektívne nie je možné kvantifikovať alebo vykonať expertný odhad, predkladateľ z tohto dôvodu uvedie kvantitatívny popis v časti 3.4 analýzy, </w:t>
      </w:r>
      <w:r w:rsidRPr="00685281">
        <w:rPr>
          <w:rFonts w:ascii="Times New Roman" w:eastAsia="Calibri" w:hAnsi="Times New Roman" w:cs="Times New Roman"/>
          <w:b/>
          <w:bCs/>
          <w:sz w:val="24"/>
          <w:szCs w:val="24"/>
        </w:rPr>
        <w:lastRenderedPageBreak/>
        <w:t>čo najpresnejšie ich vysvetlí a uvedie dôvod, pre ktoré ich nebolo možné kvantifikovať, alebo vykonať expertný odhad</w:t>
      </w:r>
      <w:r w:rsidRPr="00685281">
        <w:rPr>
          <w:rFonts w:ascii="Times New Roman" w:eastAsia="Calibri" w:hAnsi="Times New Roman" w:cs="Times New Roman"/>
          <w:bCs/>
          <w:sz w:val="24"/>
          <w:szCs w:val="24"/>
        </w:rPr>
        <w:t xml:space="preserve">.  </w:t>
      </w:r>
    </w:p>
    <w:p w14:paraId="50E5CCD9" w14:textId="77777777" w:rsidR="00782325" w:rsidRPr="00685281" w:rsidRDefault="00782325" w:rsidP="00782325">
      <w:pPr>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Za objektívny dôvod je možné považovať skutočnosť, ak sa pre konkrétny údaj nevykonáva štatistické zisťovanie, resp. neexistuje žiadna iná forma sledovania alebo vykazovania, ktorá by mohla byť použitá na tento cieľ.</w:t>
      </w:r>
    </w:p>
    <w:p w14:paraId="1AF07A4D" w14:textId="77777777" w:rsidR="00782325" w:rsidRPr="00685281" w:rsidRDefault="00782325" w:rsidP="00782325">
      <w:pPr>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Expertný odhad je možné vykonať na základe rôznych dát, napr. historické dáta. Napríklad, ak je potrebný údaj typu „počet úkonov“ a predkladateľ nevie odhadnúť, koľko úkonov sa v budúcom období vykoná, mal by vykonať expertný odhad na základe údajov z minulosti (ideálne z posledných rokov), ak je takýto údaj k dispozícii.</w:t>
      </w:r>
    </w:p>
    <w:p w14:paraId="4229C878" w14:textId="77777777" w:rsidR="00782325" w:rsidRPr="00685281" w:rsidRDefault="00782325" w:rsidP="00782325">
      <w:pPr>
        <w:jc w:val="both"/>
        <w:rPr>
          <w:rFonts w:ascii="Times New Roman" w:eastAsia="Calibri" w:hAnsi="Times New Roman" w:cs="Times New Roman"/>
          <w:bCs/>
          <w:sz w:val="24"/>
          <w:szCs w:val="24"/>
        </w:rPr>
      </w:pPr>
    </w:p>
    <w:p w14:paraId="57FC6FF2" w14:textId="77777777" w:rsidR="00782325" w:rsidRPr="00685281" w:rsidRDefault="00782325" w:rsidP="00782325">
      <w:pPr>
        <w:pStyle w:val="Odsekzoznamu"/>
        <w:numPr>
          <w:ilvl w:val="2"/>
          <w:numId w:val="14"/>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iCs/>
          <w:sz w:val="24"/>
          <w:szCs w:val="24"/>
          <w:lang w:eastAsia="sk-SK"/>
        </w:rPr>
      </w:pPr>
      <w:r w:rsidRPr="00685281">
        <w:rPr>
          <w:rFonts w:ascii="Times New Roman" w:eastAsia="Times New Roman" w:hAnsi="Times New Roman" w:cs="Times New Roman"/>
          <w:b/>
          <w:bCs/>
          <w:iCs/>
          <w:sz w:val="24"/>
          <w:szCs w:val="24"/>
          <w:lang w:eastAsia="sk-SK"/>
        </w:rPr>
        <w:t>Odôvodnenie goldplatingu podľa bodu 4 časti III jednotnej metodiky a ďalšie doplňujúce informácie</w:t>
      </w:r>
    </w:p>
    <w:p w14:paraId="0A5F7447" w14:textId="77777777" w:rsidR="00782325" w:rsidRPr="00685281" w:rsidRDefault="00782325" w:rsidP="00782325">
      <w:pPr>
        <w:jc w:val="both"/>
        <w:rPr>
          <w:rFonts w:ascii="Times New Roman" w:eastAsia="Calibri" w:hAnsi="Times New Roman" w:cs="Times New Roman"/>
          <w:b/>
          <w:bCs/>
          <w:i/>
          <w:sz w:val="24"/>
          <w:szCs w:val="24"/>
          <w:u w:val="single"/>
        </w:rPr>
      </w:pPr>
    </w:p>
    <w:p w14:paraId="0AFC87B6" w14:textId="77777777" w:rsidR="00782325" w:rsidRPr="00685281" w:rsidRDefault="00782325" w:rsidP="00782325">
      <w:pPr>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 xml:space="preserve">V prípade, ak sa predkladaným návrhom regulácie vykonáva transpozícia smernice EÚ a bol identifikovaný goldplating v tabuľke zhody podľa </w:t>
      </w:r>
      <w:r w:rsidRPr="00685281">
        <w:rPr>
          <w:rFonts w:ascii="Times New Roman" w:eastAsia="Calibri" w:hAnsi="Times New Roman" w:cs="Times New Roman"/>
          <w:b/>
          <w:bCs/>
          <w:sz w:val="24"/>
          <w:szCs w:val="24"/>
        </w:rPr>
        <w:t>jednotnej metodiky</w:t>
      </w:r>
      <w:r w:rsidRPr="00685281">
        <w:rPr>
          <w:rFonts w:ascii="Times New Roman" w:eastAsia="Calibri" w:hAnsi="Times New Roman" w:cs="Times New Roman"/>
          <w:bCs/>
          <w:sz w:val="24"/>
          <w:szCs w:val="24"/>
        </w:rPr>
        <w:t xml:space="preserve"> alebo sa vykonáva implementácia nariadenia EÚ s goldplatingom, predkladateľ v tejto časti uvedie požadované informácie súvisiace s goldplatingom. Informácie sa uvádzajú aj v prípade, ak sa predloženým návrhom odstraňuje goldplating, ktorého pôvod je v skoršom zachovaní existujúcej právnej úpravy (existujúcich vnútroštátnych požiadaviek).  </w:t>
      </w:r>
    </w:p>
    <w:p w14:paraId="14EF0246" w14:textId="77777777" w:rsidR="00782325" w:rsidRPr="00685281" w:rsidRDefault="00782325" w:rsidP="00782325">
      <w:pPr>
        <w:jc w:val="both"/>
        <w:rPr>
          <w:rFonts w:ascii="Times New Roman" w:eastAsia="Calibri" w:hAnsi="Times New Roman" w:cs="Times New Roman"/>
          <w:b/>
          <w:bCs/>
          <w:sz w:val="24"/>
          <w:szCs w:val="24"/>
        </w:rPr>
      </w:pPr>
      <w:r w:rsidRPr="00685281">
        <w:rPr>
          <w:rFonts w:ascii="Times New Roman" w:eastAsia="Calibri" w:hAnsi="Times New Roman" w:cs="Times New Roman"/>
          <w:bCs/>
          <w:sz w:val="24"/>
          <w:szCs w:val="24"/>
        </w:rPr>
        <w:t>Predkladateľ v tejto časti uvedie odôvodnenie goldplatingu podľa bodu 4 časti III jednotnej metodiky a zvážené alternatívne riešenia; predkladateľ zároveň uvedie požadované informácie súvisiace s kategóriou golplatingu (podľa jednotnej metodiky) a požadované doplňujúce informácie k spôsobu výpočtu vplyvov jednotlivých regulácií, ktoré sú goldplatingom</w:t>
      </w:r>
      <w:r w:rsidRPr="00685281">
        <w:rPr>
          <w:rFonts w:ascii="Times New Roman" w:eastAsia="Calibri" w:hAnsi="Times New Roman" w:cs="Times New Roman"/>
          <w:b/>
          <w:bCs/>
          <w:sz w:val="24"/>
          <w:szCs w:val="24"/>
        </w:rPr>
        <w:t>.</w:t>
      </w:r>
    </w:p>
    <w:p w14:paraId="3036F0E7" w14:textId="77777777" w:rsidR="00782325" w:rsidRPr="00685281" w:rsidRDefault="00782325" w:rsidP="00782325">
      <w:pPr>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 xml:space="preserve">Požadované informácie sa uvedú osobitne ku každému identifikovanému goldplatingu (ku každej hodnotenej regulácii s goldplatingom osobitne). </w:t>
      </w:r>
    </w:p>
    <w:p w14:paraId="7D795C48" w14:textId="77777777" w:rsidR="00782325" w:rsidRPr="00685281" w:rsidRDefault="00782325" w:rsidP="00782325">
      <w:pPr>
        <w:spacing w:after="0" w:line="240" w:lineRule="auto"/>
        <w:ind w:right="-426"/>
        <w:rPr>
          <w:rFonts w:ascii="Times New Roman" w:eastAsia="Times New Roman" w:hAnsi="Times New Roman" w:cs="Times New Roman"/>
          <w:i/>
          <w:color w:val="000000"/>
          <w:sz w:val="24"/>
          <w:szCs w:val="24"/>
        </w:rPr>
      </w:pPr>
    </w:p>
    <w:p w14:paraId="33D6225B" w14:textId="77777777" w:rsidR="00782325" w:rsidRPr="00685281" w:rsidRDefault="00782325" w:rsidP="00782325">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685281">
        <w:rPr>
          <w:rFonts w:ascii="Times New Roman" w:eastAsia="Calibri" w:hAnsi="Times New Roman" w:cs="Times New Roman"/>
          <w:b/>
          <w:sz w:val="24"/>
          <w:szCs w:val="24"/>
        </w:rPr>
        <w:t>3.2 Vyhodnotenie konzultácií s podnikateľskými subjektmi</w:t>
      </w:r>
    </w:p>
    <w:p w14:paraId="38F0BBA0" w14:textId="77777777" w:rsidR="00782325" w:rsidRPr="00685281" w:rsidRDefault="00782325" w:rsidP="00782325">
      <w:pPr>
        <w:jc w:val="both"/>
        <w:rPr>
          <w:rFonts w:ascii="Times New Roman" w:eastAsia="Calibri" w:hAnsi="Times New Roman" w:cs="Times New Roman"/>
          <w:sz w:val="24"/>
          <w:szCs w:val="24"/>
        </w:rPr>
      </w:pPr>
    </w:p>
    <w:p w14:paraId="065AB64E" w14:textId="77777777" w:rsidR="00782325" w:rsidRPr="00685281" w:rsidRDefault="00782325" w:rsidP="00782325">
      <w:pPr>
        <w:jc w:val="both"/>
        <w:rPr>
          <w:rFonts w:ascii="Times New Roman" w:eastAsia="Calibri" w:hAnsi="Times New Roman" w:cs="Times New Roman"/>
          <w:bCs/>
          <w:sz w:val="24"/>
          <w:szCs w:val="24"/>
        </w:rPr>
      </w:pPr>
      <w:r w:rsidRPr="00685281">
        <w:rPr>
          <w:rFonts w:ascii="Times New Roman" w:eastAsia="Calibri" w:hAnsi="Times New Roman" w:cs="Times New Roman"/>
          <w:sz w:val="24"/>
          <w:szCs w:val="24"/>
        </w:rPr>
        <w:t xml:space="preserve">Alternatívne namiesto vypĺňania bodu 3.2 môže predkladateľ uviesť ako samostatnú prílohu tejto analýzy </w:t>
      </w:r>
      <w:r w:rsidRPr="00685281">
        <w:rPr>
          <w:rFonts w:ascii="Times New Roman" w:eastAsia="Calibri" w:hAnsi="Times New Roman" w:cs="Times New Roman"/>
          <w:b/>
          <w:sz w:val="24"/>
          <w:szCs w:val="24"/>
        </w:rPr>
        <w:t>Záznam z konzultácií</w:t>
      </w:r>
      <w:r w:rsidRPr="00685281">
        <w:rPr>
          <w:rFonts w:ascii="Times New Roman" w:eastAsia="Calibri" w:hAnsi="Times New Roman" w:cs="Times New Roman"/>
          <w:sz w:val="24"/>
          <w:szCs w:val="24"/>
        </w:rPr>
        <w:t>, musí však obsahovať všetky požadované informácie.</w:t>
      </w:r>
      <w:r w:rsidRPr="00685281">
        <w:rPr>
          <w:rFonts w:ascii="Times New Roman" w:eastAsia="Calibri" w:hAnsi="Times New Roman" w:cs="Times New Roman"/>
          <w:bCs/>
          <w:sz w:val="24"/>
          <w:szCs w:val="24"/>
        </w:rPr>
        <w:t xml:space="preserve"> </w:t>
      </w:r>
    </w:p>
    <w:p w14:paraId="61108542" w14:textId="77777777" w:rsidR="00782325" w:rsidRPr="00685281" w:rsidRDefault="00782325" w:rsidP="00782325">
      <w:pPr>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 xml:space="preserve">Predkladateľ do tejto časti uvedie </w:t>
      </w:r>
      <w:r w:rsidRPr="00685281">
        <w:rPr>
          <w:rFonts w:ascii="Times New Roman" w:eastAsia="Calibri" w:hAnsi="Times New Roman" w:cs="Times New Roman"/>
          <w:bCs/>
          <w:i/>
          <w:sz w:val="24"/>
          <w:szCs w:val="24"/>
        </w:rPr>
        <w:t>tieto informácie:</w:t>
      </w:r>
    </w:p>
    <w:p w14:paraId="51D51449" w14:textId="77777777" w:rsidR="00782325" w:rsidRPr="00685281" w:rsidRDefault="00782325" w:rsidP="00782325">
      <w:pPr>
        <w:numPr>
          <w:ilvl w:val="0"/>
          <w:numId w:val="12"/>
        </w:numPr>
        <w:contextualSpacing/>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či a akou formou sa k predkladanému materiálu konali konzultácie s podnikateľskými subjektmi</w:t>
      </w:r>
    </w:p>
    <w:p w14:paraId="76781027" w14:textId="77777777" w:rsidR="00782325" w:rsidRPr="00685281" w:rsidRDefault="00782325" w:rsidP="00782325">
      <w:pPr>
        <w:numPr>
          <w:ilvl w:val="0"/>
          <w:numId w:val="12"/>
        </w:numPr>
        <w:contextualSpacing/>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link na webovú stránku, na ktorej boli konzultácie zverejnené</w:t>
      </w:r>
    </w:p>
    <w:p w14:paraId="7710ADFD" w14:textId="77777777" w:rsidR="00782325" w:rsidRPr="00685281" w:rsidRDefault="00782325" w:rsidP="00782325">
      <w:pPr>
        <w:numPr>
          <w:ilvl w:val="0"/>
          <w:numId w:val="12"/>
        </w:numPr>
        <w:contextualSpacing/>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 xml:space="preserve">zdôvodnenie výberu formy, vrátane údaju o spôsobe oslovenia dotknutých subjektov </w:t>
      </w:r>
    </w:p>
    <w:p w14:paraId="55EFACA2" w14:textId="77777777" w:rsidR="00782325" w:rsidRPr="00685281" w:rsidRDefault="00782325" w:rsidP="00782325">
      <w:pPr>
        <w:numPr>
          <w:ilvl w:val="0"/>
          <w:numId w:val="12"/>
        </w:numPr>
        <w:contextualSpacing/>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trvanie konzultácií (od – do) a prípadné termín/y stretnutí</w:t>
      </w:r>
    </w:p>
    <w:p w14:paraId="66BEA814" w14:textId="77777777" w:rsidR="00782325" w:rsidRPr="00685281" w:rsidRDefault="00782325" w:rsidP="00782325">
      <w:pPr>
        <w:numPr>
          <w:ilvl w:val="0"/>
          <w:numId w:val="12"/>
        </w:numPr>
        <w:contextualSpacing/>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zoznam konzultujúcich subjektov</w:t>
      </w:r>
    </w:p>
    <w:p w14:paraId="3B42F051" w14:textId="77777777" w:rsidR="00782325" w:rsidRPr="00685281" w:rsidRDefault="00782325" w:rsidP="00782325">
      <w:pPr>
        <w:numPr>
          <w:ilvl w:val="0"/>
          <w:numId w:val="12"/>
        </w:numPr>
        <w:contextualSpacing/>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hlavné body konzultácií a ich závery</w:t>
      </w:r>
    </w:p>
    <w:p w14:paraId="120A203B" w14:textId="77777777" w:rsidR="00782325" w:rsidRPr="00685281" w:rsidRDefault="00782325" w:rsidP="00782325">
      <w:pPr>
        <w:numPr>
          <w:ilvl w:val="0"/>
          <w:numId w:val="12"/>
        </w:numPr>
        <w:contextualSpacing/>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lastRenderedPageBreak/>
        <w:t xml:space="preserve">zoznam predložených alternatívnych riešení problematiky </w:t>
      </w:r>
      <w:r w:rsidRPr="00685281">
        <w:rPr>
          <w:rFonts w:ascii="Times New Roman" w:eastAsia="Calibri" w:hAnsi="Times New Roman" w:cs="Times New Roman"/>
          <w:sz w:val="24"/>
          <w:szCs w:val="24"/>
        </w:rPr>
        <w:t>od konzultujúcich subjektov</w:t>
      </w:r>
    </w:p>
    <w:p w14:paraId="298331E1" w14:textId="77777777" w:rsidR="00782325" w:rsidRPr="00685281" w:rsidRDefault="00782325" w:rsidP="00782325">
      <w:pPr>
        <w:numPr>
          <w:ilvl w:val="0"/>
          <w:numId w:val="12"/>
        </w:numPr>
        <w:contextualSpacing/>
        <w:jc w:val="both"/>
        <w:rPr>
          <w:rFonts w:ascii="Times New Roman" w:eastAsia="Calibri" w:hAnsi="Times New Roman" w:cs="Times New Roman"/>
          <w:bCs/>
          <w:sz w:val="24"/>
          <w:szCs w:val="24"/>
        </w:rPr>
      </w:pPr>
      <w:r w:rsidRPr="00685281">
        <w:rPr>
          <w:rFonts w:ascii="Times New Roman" w:eastAsia="Calibri" w:hAnsi="Times New Roman" w:cs="Times New Roman"/>
          <w:sz w:val="24"/>
          <w:szCs w:val="24"/>
        </w:rPr>
        <w:t xml:space="preserve">zoznam navrhnutých opatrení na zníženie nákladov regulácií na PP od konzultujúcich subjektov (uveďte konkrétne), ktoré neboli akceptované a dôvod ich neakceptovania. </w:t>
      </w:r>
    </w:p>
    <w:p w14:paraId="291D524A" w14:textId="77777777" w:rsidR="00782325" w:rsidRPr="00685281" w:rsidRDefault="00782325" w:rsidP="00782325">
      <w:pPr>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Na uskutočnenie konzultácií predkladateľ postupuje podľa bodu 5. jednotnej metodiky ako aj podľa odporúčaní ku konzultáciám v časti III. jednotnej metodiky.</w:t>
      </w:r>
    </w:p>
    <w:p w14:paraId="64EABAA5" w14:textId="77777777" w:rsidR="00782325" w:rsidRPr="00685281" w:rsidRDefault="00782325" w:rsidP="00782325">
      <w:pPr>
        <w:jc w:val="both"/>
        <w:rPr>
          <w:rFonts w:ascii="Times New Roman" w:eastAsia="Calibri" w:hAnsi="Times New Roman" w:cs="Times New Roman"/>
          <w:bCs/>
          <w:sz w:val="24"/>
          <w:szCs w:val="24"/>
        </w:rPr>
      </w:pPr>
    </w:p>
    <w:p w14:paraId="1C073D03" w14:textId="77777777" w:rsidR="00782325" w:rsidRPr="00685281" w:rsidRDefault="00782325" w:rsidP="00782325">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685281">
        <w:rPr>
          <w:rFonts w:ascii="Times New Roman" w:eastAsia="Calibri" w:hAnsi="Times New Roman" w:cs="Times New Roman"/>
          <w:b/>
          <w:sz w:val="24"/>
          <w:szCs w:val="24"/>
        </w:rPr>
        <w:t>3.3 Vplyvy na konkurencieschopnosť a produktivitu</w:t>
      </w:r>
    </w:p>
    <w:p w14:paraId="5CBC533C" w14:textId="77777777" w:rsidR="00782325" w:rsidRPr="00685281" w:rsidRDefault="00782325" w:rsidP="00782325">
      <w:pPr>
        <w:spacing w:after="0"/>
        <w:jc w:val="both"/>
        <w:rPr>
          <w:rFonts w:ascii="Times New Roman" w:eastAsia="Calibri" w:hAnsi="Times New Roman" w:cs="Times New Roman"/>
          <w:i/>
          <w:sz w:val="24"/>
          <w:szCs w:val="24"/>
        </w:rPr>
      </w:pPr>
    </w:p>
    <w:p w14:paraId="3FD21903" w14:textId="77777777" w:rsidR="00782325" w:rsidRPr="00685281" w:rsidRDefault="00782325" w:rsidP="00782325">
      <w:pPr>
        <w:spacing w:after="0"/>
        <w:jc w:val="both"/>
        <w:rPr>
          <w:rFonts w:ascii="Times New Roman" w:eastAsia="Calibri" w:hAnsi="Times New Roman" w:cs="Times New Roman"/>
          <w:b/>
          <w:sz w:val="24"/>
          <w:szCs w:val="24"/>
        </w:rPr>
      </w:pPr>
      <w:r w:rsidRPr="00685281">
        <w:rPr>
          <w:rFonts w:ascii="Times New Roman" w:eastAsia="Calibri" w:hAnsi="Times New Roman" w:cs="Times New Roman"/>
          <w:b/>
          <w:sz w:val="24"/>
          <w:szCs w:val="24"/>
        </w:rPr>
        <w:t xml:space="preserve">Konkurencieschopnosť </w:t>
      </w:r>
    </w:p>
    <w:p w14:paraId="7A16575C" w14:textId="77777777" w:rsidR="00782325" w:rsidRPr="00685281" w:rsidRDefault="00782325" w:rsidP="00782325">
      <w:pPr>
        <w:spacing w:after="0"/>
        <w:jc w:val="both"/>
        <w:rPr>
          <w:rFonts w:ascii="Times New Roman" w:eastAsia="Calibri" w:hAnsi="Times New Roman" w:cs="Times New Roman"/>
          <w:b/>
          <w:sz w:val="24"/>
          <w:szCs w:val="24"/>
        </w:rPr>
      </w:pPr>
    </w:p>
    <w:p w14:paraId="46226B5E" w14:textId="77777777" w:rsidR="00782325" w:rsidRPr="00685281" w:rsidRDefault="00782325" w:rsidP="00782325">
      <w:pPr>
        <w:spacing w:after="0"/>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 xml:space="preserve">Predkladateľ uvedenie odpovede na uvedené otázky a na základe  týchto odpovedí vyberie, aký vplyv má predkladaný materiál na </w:t>
      </w:r>
      <w:r w:rsidRPr="00685281">
        <w:rPr>
          <w:rFonts w:ascii="Times New Roman" w:eastAsia="Calibri" w:hAnsi="Times New Roman" w:cs="Times New Roman"/>
          <w:b/>
          <w:bCs/>
          <w:sz w:val="24"/>
          <w:szCs w:val="24"/>
        </w:rPr>
        <w:t xml:space="preserve">konkurencieschopnosť </w:t>
      </w:r>
      <w:r w:rsidRPr="00685281">
        <w:rPr>
          <w:rFonts w:ascii="Times New Roman" w:eastAsia="Calibri" w:hAnsi="Times New Roman" w:cs="Times New Roman"/>
          <w:bCs/>
          <w:sz w:val="24"/>
          <w:szCs w:val="24"/>
        </w:rPr>
        <w:t>(zvyšuje, nemení, znižuje konkurencieschopnosť) a napíše zdôvodnenie zohľadňujúce zároveň aj odpovede na otázky uvedené v texte.</w:t>
      </w:r>
    </w:p>
    <w:p w14:paraId="317DD43C" w14:textId="77777777" w:rsidR="00782325" w:rsidRPr="00685281" w:rsidRDefault="00782325" w:rsidP="00782325">
      <w:pPr>
        <w:spacing w:after="0"/>
        <w:jc w:val="both"/>
        <w:rPr>
          <w:rFonts w:ascii="Times New Roman" w:eastAsia="Calibri" w:hAnsi="Times New Roman" w:cs="Times New Roman"/>
          <w:bCs/>
          <w:sz w:val="24"/>
          <w:szCs w:val="24"/>
        </w:rPr>
      </w:pPr>
    </w:p>
    <w:p w14:paraId="4343C888" w14:textId="77777777" w:rsidR="00782325" w:rsidRPr="00685281" w:rsidRDefault="00782325" w:rsidP="00782325">
      <w:pPr>
        <w:jc w:val="both"/>
        <w:rPr>
          <w:rFonts w:ascii="Times New Roman" w:eastAsia="Calibri" w:hAnsi="Times New Roman" w:cs="Times New Roman"/>
          <w:sz w:val="24"/>
          <w:szCs w:val="24"/>
        </w:rPr>
      </w:pPr>
      <w:r w:rsidRPr="00685281">
        <w:rPr>
          <w:rFonts w:ascii="Times New Roman" w:eastAsia="Calibri" w:hAnsi="Times New Roman" w:cs="Times New Roman"/>
          <w:bCs/>
          <w:sz w:val="24"/>
          <w:szCs w:val="24"/>
        </w:rPr>
        <w:t>V princípe existujú tri možnosti, ako môžu regulácie ovplyvniť fungovanie podnikateľských subjektov na trhu</w:t>
      </w:r>
      <w:r w:rsidRPr="00685281">
        <w:rPr>
          <w:rFonts w:ascii="Times New Roman" w:eastAsia="Calibri" w:hAnsi="Times New Roman" w:cs="Times New Roman"/>
          <w:sz w:val="24"/>
          <w:szCs w:val="24"/>
        </w:rPr>
        <w:t>:</w:t>
      </w:r>
    </w:p>
    <w:p w14:paraId="1A70CEDE" w14:textId="77777777" w:rsidR="00782325" w:rsidRPr="00685281" w:rsidRDefault="00782325" w:rsidP="00782325">
      <w:pPr>
        <w:spacing w:after="120"/>
        <w:ind w:left="340" w:hanging="340"/>
        <w:jc w:val="both"/>
        <w:rPr>
          <w:rFonts w:ascii="Times New Roman" w:eastAsia="Calibri" w:hAnsi="Times New Roman" w:cs="Times New Roman"/>
          <w:sz w:val="24"/>
          <w:szCs w:val="24"/>
        </w:rPr>
      </w:pPr>
      <w:r w:rsidRPr="00685281">
        <w:rPr>
          <w:rFonts w:ascii="Times New Roman" w:eastAsia="Calibri" w:hAnsi="Times New Roman" w:cs="Times New Roman"/>
          <w:sz w:val="24"/>
          <w:szCs w:val="24"/>
        </w:rPr>
        <w:t>a)</w:t>
      </w:r>
      <w:r w:rsidRPr="00685281">
        <w:rPr>
          <w:rFonts w:ascii="Times New Roman" w:eastAsia="Calibri" w:hAnsi="Times New Roman" w:cs="Times New Roman"/>
          <w:sz w:val="24"/>
          <w:szCs w:val="24"/>
        </w:rPr>
        <w:tab/>
      </w:r>
      <w:r w:rsidRPr="00685281">
        <w:rPr>
          <w:rFonts w:ascii="Times New Roman" w:eastAsia="Calibri" w:hAnsi="Times New Roman" w:cs="Times New Roman"/>
          <w:i/>
          <w:sz w:val="24"/>
          <w:szCs w:val="24"/>
        </w:rPr>
        <w:t>stanovením, resp. zmenou podmienok pre vstup na trh a začatie podnikania</w:t>
      </w:r>
      <w:r w:rsidRPr="00685281">
        <w:rPr>
          <w:rFonts w:ascii="Times New Roman" w:eastAsia="Calibri" w:hAnsi="Times New Roman" w:cs="Times New Roman"/>
          <w:sz w:val="24"/>
          <w:szCs w:val="24"/>
        </w:rPr>
        <w:t xml:space="preserve"> – napríklad problém s otvorením prevádzkarne, vysoké vstupné náklady, náročné administratívne procedúry a pod.,</w:t>
      </w:r>
    </w:p>
    <w:p w14:paraId="74BCDCBB" w14:textId="77777777" w:rsidR="00782325" w:rsidRPr="00685281" w:rsidRDefault="00782325" w:rsidP="00782325">
      <w:pPr>
        <w:spacing w:after="120"/>
        <w:ind w:left="340" w:hanging="340"/>
        <w:jc w:val="both"/>
        <w:rPr>
          <w:rFonts w:ascii="Times New Roman" w:eastAsia="Calibri" w:hAnsi="Times New Roman" w:cs="Times New Roman"/>
          <w:sz w:val="24"/>
          <w:szCs w:val="24"/>
        </w:rPr>
      </w:pPr>
      <w:r w:rsidRPr="00685281">
        <w:rPr>
          <w:rFonts w:ascii="Times New Roman" w:eastAsia="Calibri" w:hAnsi="Times New Roman" w:cs="Times New Roman"/>
          <w:sz w:val="24"/>
          <w:szCs w:val="24"/>
        </w:rPr>
        <w:t>b)</w:t>
      </w:r>
      <w:r w:rsidRPr="00685281">
        <w:rPr>
          <w:rFonts w:ascii="Times New Roman" w:eastAsia="Calibri" w:hAnsi="Times New Roman" w:cs="Times New Roman"/>
          <w:sz w:val="24"/>
          <w:szCs w:val="24"/>
        </w:rPr>
        <w:tab/>
      </w:r>
      <w:r w:rsidRPr="00685281">
        <w:rPr>
          <w:rFonts w:ascii="Times New Roman" w:eastAsia="Calibri" w:hAnsi="Times New Roman" w:cs="Times New Roman"/>
          <w:i/>
          <w:sz w:val="24"/>
          <w:szCs w:val="24"/>
        </w:rPr>
        <w:t>stanovením, resp. zmenou podmienok pre správanie sa na trhu</w:t>
      </w:r>
      <w:r w:rsidRPr="00685281">
        <w:rPr>
          <w:rFonts w:ascii="Times New Roman" w:eastAsia="Calibri" w:hAnsi="Times New Roman" w:cs="Times New Roman"/>
          <w:sz w:val="24"/>
          <w:szCs w:val="24"/>
        </w:rPr>
        <w:t xml:space="preserve"> – nové povinnosti a požiadavky pre existujúcich podnikateľov môžu znamenať obmedzenie rozsahu podnikania pre podnikateľské subjekty, čo im môže spôsobovať ťažkosti pri profilovaní sa na trhu alebo až stratu istého segmentu trhu,</w:t>
      </w:r>
    </w:p>
    <w:p w14:paraId="0C6CFA15" w14:textId="77777777" w:rsidR="00782325" w:rsidRPr="00685281" w:rsidRDefault="00782325" w:rsidP="00782325">
      <w:pPr>
        <w:spacing w:after="120"/>
        <w:ind w:left="340" w:hanging="340"/>
        <w:jc w:val="both"/>
        <w:rPr>
          <w:rFonts w:ascii="Times New Roman" w:eastAsia="Calibri" w:hAnsi="Times New Roman" w:cs="Times New Roman"/>
          <w:sz w:val="24"/>
          <w:szCs w:val="24"/>
        </w:rPr>
      </w:pPr>
      <w:r w:rsidRPr="00685281">
        <w:rPr>
          <w:rFonts w:ascii="Times New Roman" w:eastAsia="Calibri" w:hAnsi="Times New Roman" w:cs="Times New Roman"/>
          <w:sz w:val="24"/>
          <w:szCs w:val="24"/>
        </w:rPr>
        <w:t>c)</w:t>
      </w:r>
      <w:r w:rsidRPr="00685281">
        <w:rPr>
          <w:rFonts w:ascii="Times New Roman" w:eastAsia="Calibri" w:hAnsi="Times New Roman" w:cs="Times New Roman"/>
          <w:sz w:val="24"/>
          <w:szCs w:val="24"/>
        </w:rPr>
        <w:tab/>
      </w:r>
      <w:r w:rsidRPr="00685281">
        <w:rPr>
          <w:rFonts w:ascii="Times New Roman" w:eastAsia="Calibri" w:hAnsi="Times New Roman" w:cs="Times New Roman"/>
          <w:i/>
          <w:sz w:val="24"/>
          <w:szCs w:val="24"/>
        </w:rPr>
        <w:t>stanovením, resp. zmenou podmienok, ktoré vedú k zmenám v štruktúre trhu</w:t>
      </w:r>
      <w:r w:rsidRPr="00685281">
        <w:rPr>
          <w:rFonts w:ascii="Times New Roman" w:eastAsia="Calibri" w:hAnsi="Times New Roman" w:cs="Times New Roman"/>
          <w:sz w:val="24"/>
          <w:szCs w:val="24"/>
        </w:rPr>
        <w:t xml:space="preserve"> – spravidla ide o také opatrenia, ktoré postihujú iba veľké podnikateľské subjekty.</w:t>
      </w:r>
    </w:p>
    <w:p w14:paraId="4BC2ACC1" w14:textId="77777777" w:rsidR="00782325" w:rsidRPr="00685281" w:rsidRDefault="00782325" w:rsidP="00782325">
      <w:pPr>
        <w:jc w:val="both"/>
        <w:rPr>
          <w:rFonts w:ascii="Times New Roman" w:eastAsia="Calibri" w:hAnsi="Times New Roman" w:cs="Times New Roman"/>
          <w:bCs/>
          <w:sz w:val="24"/>
          <w:szCs w:val="24"/>
        </w:rPr>
      </w:pPr>
      <w:r w:rsidRPr="00685281">
        <w:rPr>
          <w:rFonts w:ascii="Times New Roman" w:eastAsia="Calibri" w:hAnsi="Times New Roman" w:cs="Times New Roman"/>
          <w:bCs/>
          <w:sz w:val="24"/>
          <w:szCs w:val="24"/>
        </w:rPr>
        <w:t>Predkladateľ v tejto časti  preto uvedie, či dochádza k vytvoreniu, resp. zmene bariér pre vstup na trh pre nových výrobcov, dodávateľov, poskytovateľov či odberateľov tovarov alebo služieb</w:t>
      </w:r>
      <w:r w:rsidRPr="00685281">
        <w:rPr>
          <w:rFonts w:ascii="Times New Roman" w:eastAsia="Calibri" w:hAnsi="Times New Roman" w:cs="Times New Roman"/>
          <w:sz w:val="24"/>
          <w:szCs w:val="24"/>
        </w:rPr>
        <w:t xml:space="preserve"> </w:t>
      </w:r>
      <w:r w:rsidRPr="00685281">
        <w:rPr>
          <w:rFonts w:ascii="Times New Roman" w:eastAsia="Calibri" w:hAnsi="Times New Roman" w:cs="Times New Roman"/>
          <w:bCs/>
          <w:sz w:val="24"/>
          <w:szCs w:val="24"/>
        </w:rPr>
        <w:t xml:space="preserve">a či dôjde k sprísneniu regulácie správania sa pre niektoré podniky. </w:t>
      </w:r>
    </w:p>
    <w:p w14:paraId="066A39A4" w14:textId="77777777" w:rsidR="00782325" w:rsidRPr="00685281" w:rsidRDefault="00782325" w:rsidP="00782325">
      <w:pPr>
        <w:jc w:val="both"/>
        <w:rPr>
          <w:rFonts w:ascii="Times New Roman" w:eastAsia="Calibri" w:hAnsi="Times New Roman" w:cs="Times New Roman"/>
          <w:sz w:val="24"/>
          <w:szCs w:val="24"/>
        </w:rPr>
      </w:pPr>
      <w:r w:rsidRPr="00685281">
        <w:rPr>
          <w:rFonts w:ascii="Times New Roman" w:eastAsia="Calibri" w:hAnsi="Times New Roman" w:cs="Times New Roman"/>
          <w:sz w:val="24"/>
          <w:szCs w:val="24"/>
        </w:rPr>
        <w:t>Predkladateľ opíše tiež situácie, kedy sa bude zaobchádzať s niektorými podnikmi alebo produktmi v porovnateľnej situácii rôzne</w:t>
      </w:r>
      <w:r w:rsidRPr="00685281">
        <w:rPr>
          <w:rFonts w:ascii="Times New Roman" w:eastAsia="Calibri" w:hAnsi="Times New Roman" w:cs="Times New Roman"/>
          <w:i/>
          <w:sz w:val="24"/>
          <w:szCs w:val="24"/>
        </w:rPr>
        <w:t xml:space="preserve"> </w:t>
      </w:r>
      <w:r w:rsidRPr="00685281">
        <w:rPr>
          <w:rFonts w:ascii="Times New Roman" w:eastAsia="Calibri" w:hAnsi="Times New Roman" w:cs="Times New Roman"/>
          <w:sz w:val="24"/>
          <w:szCs w:val="24"/>
        </w:rPr>
        <w:t>(napríklad špeciálne režimy pre MSP alebo vytvorenie povinného produktu zo zákona).</w:t>
      </w:r>
    </w:p>
    <w:p w14:paraId="3431EDAB" w14:textId="77777777" w:rsidR="00782325" w:rsidRPr="00685281" w:rsidRDefault="00782325" w:rsidP="00782325">
      <w:pPr>
        <w:jc w:val="both"/>
        <w:rPr>
          <w:rFonts w:ascii="Times New Roman" w:eastAsia="Calibri" w:hAnsi="Times New Roman" w:cs="Times New Roman"/>
          <w:sz w:val="24"/>
          <w:szCs w:val="24"/>
        </w:rPr>
      </w:pPr>
      <w:r w:rsidRPr="00685281">
        <w:rPr>
          <w:rFonts w:ascii="Times New Roman" w:eastAsia="Calibri" w:hAnsi="Times New Roman" w:cs="Times New Roman"/>
          <w:sz w:val="24"/>
          <w:szCs w:val="24"/>
        </w:rPr>
        <w:t>Predkladateľ opíše, či a aký vplyv má návrh na prekážky pri vývoze alebo dovoze z tretích krajín a či ovplyvní cezhraničné investície (príliv/odliv zahraničných investícií resp. uplatnenie slovenských podnikov na zahraničných trhoch).</w:t>
      </w:r>
    </w:p>
    <w:p w14:paraId="7A778F96" w14:textId="77777777" w:rsidR="00782325" w:rsidRPr="00685281" w:rsidRDefault="00782325" w:rsidP="00782325">
      <w:pPr>
        <w:jc w:val="both"/>
        <w:rPr>
          <w:rFonts w:ascii="Times New Roman" w:eastAsia="Calibri" w:hAnsi="Times New Roman" w:cs="Times New Roman"/>
          <w:sz w:val="24"/>
          <w:szCs w:val="24"/>
        </w:rPr>
      </w:pPr>
      <w:r w:rsidRPr="00685281">
        <w:rPr>
          <w:rFonts w:ascii="Times New Roman" w:eastAsia="Calibri" w:hAnsi="Times New Roman" w:cs="Times New Roman"/>
          <w:sz w:val="24"/>
          <w:szCs w:val="24"/>
        </w:rPr>
        <w:t xml:space="preserve">Predkladateľ zároveň posúdi  priame aj nepriame vplyvy so zameraním na dostupnosť zdrojov financovania, pracovnej sily, surovín, polotovarov, súčiastok, strojov a zariadení, energií a pod. Z hľadiska prístupu k financiám uvedie, či sa vytvárajú nové možnosti financovania aktivít pre podnikateľov, napríklad vo forme dotácií, úverov, alebo zjednodušuje prístup k existujúcim nástrojom financovania. </w:t>
      </w:r>
    </w:p>
    <w:p w14:paraId="57CC5EDC" w14:textId="77777777" w:rsidR="00782325" w:rsidRPr="00685281" w:rsidRDefault="00782325" w:rsidP="00782325">
      <w:pPr>
        <w:spacing w:after="0"/>
        <w:jc w:val="both"/>
        <w:rPr>
          <w:rFonts w:ascii="Times New Roman" w:eastAsia="Calibri" w:hAnsi="Times New Roman" w:cs="Times New Roman"/>
          <w:sz w:val="24"/>
          <w:szCs w:val="24"/>
        </w:rPr>
      </w:pPr>
      <w:r w:rsidRPr="00685281">
        <w:rPr>
          <w:rFonts w:ascii="Times New Roman" w:eastAsia="Calibri" w:hAnsi="Times New Roman" w:cs="Times New Roman"/>
          <w:sz w:val="24"/>
          <w:szCs w:val="24"/>
        </w:rPr>
        <w:lastRenderedPageBreak/>
        <w:t>V prípade, že v predkladanom materiáli bol identifikovaný goldplating s vplyvom na podnikateľské prostredie, predkladateľ popíše, akým spôsobom goldplating prispieva k zníženiu konkurencieschopnosti a produktivity.</w:t>
      </w:r>
    </w:p>
    <w:p w14:paraId="565FF104" w14:textId="77777777" w:rsidR="00782325" w:rsidRPr="00685281" w:rsidRDefault="00782325" w:rsidP="00782325">
      <w:pPr>
        <w:spacing w:after="0"/>
        <w:jc w:val="both"/>
        <w:rPr>
          <w:rFonts w:ascii="Times New Roman" w:eastAsia="Calibri" w:hAnsi="Times New Roman" w:cs="Times New Roman"/>
          <w:sz w:val="24"/>
          <w:szCs w:val="24"/>
        </w:rPr>
      </w:pPr>
    </w:p>
    <w:p w14:paraId="39AE1127" w14:textId="77777777" w:rsidR="00782325" w:rsidRPr="00685281" w:rsidRDefault="00782325" w:rsidP="00782325">
      <w:pPr>
        <w:jc w:val="both"/>
        <w:rPr>
          <w:rFonts w:ascii="Times New Roman" w:eastAsia="Calibri" w:hAnsi="Times New Roman" w:cs="Times New Roman"/>
          <w:sz w:val="24"/>
          <w:szCs w:val="24"/>
        </w:rPr>
      </w:pPr>
      <w:r w:rsidRPr="00685281">
        <w:rPr>
          <w:rFonts w:ascii="Times New Roman" w:eastAsia="Calibri" w:hAnsi="Times New Roman" w:cs="Times New Roman"/>
          <w:iCs/>
          <w:sz w:val="24"/>
          <w:szCs w:val="24"/>
        </w:rPr>
        <w:t>Predkladateľ na záver tejto časti uvedie, či a ako prispieva zmena regulácie k cieľu Slovenska mať najlepšie podnikateľské prostredie spomedzi susediacich krajín EÚ. Jedným z cieľov zmien regulácie je, aby sa Slovensko stalo najkonkurencieschopnejšou krajinou v regióne a to hlavne v porovnaní so susednými krajinami EÚ (Rakúsko, Česká republika, Poľsko, Maďarsko). Z tohto dôvodu odporúčame predkladateľom zaoberať sa nastavením regulácií v susedných krajinách a navrhovať ich zmeny tak, aby ich Slovensko vo vzťahu k podnikateľskému prostrediu malo lepšie ako susedné štáty. V prípade, že predkladateľ vie o lepšom nastavení regulácie v niektorej zo susedných krajín, tak to popíše v tejto časti.</w:t>
      </w:r>
    </w:p>
    <w:p w14:paraId="65D4D1D1" w14:textId="77777777" w:rsidR="00782325" w:rsidRPr="00685281" w:rsidRDefault="00782325" w:rsidP="00782325">
      <w:pPr>
        <w:jc w:val="both"/>
        <w:rPr>
          <w:rFonts w:ascii="Times New Roman" w:eastAsia="Calibri" w:hAnsi="Times New Roman" w:cs="Times New Roman"/>
          <w:b/>
          <w:sz w:val="24"/>
          <w:szCs w:val="24"/>
        </w:rPr>
      </w:pPr>
      <w:r w:rsidRPr="00685281">
        <w:rPr>
          <w:rFonts w:ascii="Times New Roman" w:eastAsia="Calibri" w:hAnsi="Times New Roman" w:cs="Times New Roman"/>
          <w:b/>
          <w:sz w:val="24"/>
          <w:szCs w:val="24"/>
        </w:rPr>
        <w:t xml:space="preserve">Produktivita </w:t>
      </w:r>
    </w:p>
    <w:p w14:paraId="30823829" w14:textId="77777777" w:rsidR="00782325" w:rsidRPr="00685281" w:rsidRDefault="00782325" w:rsidP="00782325">
      <w:pPr>
        <w:jc w:val="both"/>
        <w:rPr>
          <w:rFonts w:ascii="Times New Roman" w:eastAsia="Calibri" w:hAnsi="Times New Roman" w:cs="Times New Roman"/>
          <w:sz w:val="24"/>
          <w:szCs w:val="24"/>
        </w:rPr>
      </w:pPr>
      <w:r w:rsidRPr="00685281">
        <w:rPr>
          <w:rFonts w:ascii="Times New Roman" w:eastAsia="Calibri" w:hAnsi="Times New Roman" w:cs="Times New Roman"/>
          <w:sz w:val="24"/>
          <w:szCs w:val="24"/>
        </w:rPr>
        <w:t xml:space="preserve">Predkladateľ na základe odpovede na uvedenú otázku, ktorú uvedie v tejto časti analýzy vplyvov na podnikateľské prostredie, vyberie, aký vplyv má predkladaný materiál na produktivitu (zvyšuje, nemení, znižuje produktivitu) a napíše zdôvodnenie. Produktivita predstavuje pomer medzi vyprodukovaným množstvom a vstupmi použitými pri výrobe vo finančnom vyjadrení. Zvýšiť ju je možné takou zmenou regulácií, ktorá zníži podnikom náklady alebo umožní produkovať viac pri nezmenených nákladoch alebo kombinovaným spôsobom prispieva k zlepšeniu pomeru medzi produkciou a nákladmi podnikov. </w:t>
      </w:r>
    </w:p>
    <w:p w14:paraId="0EB152B1" w14:textId="77777777" w:rsidR="00782325" w:rsidRPr="00685281" w:rsidRDefault="00782325" w:rsidP="00782325">
      <w:pPr>
        <w:jc w:val="both"/>
        <w:rPr>
          <w:rFonts w:ascii="Times New Roman" w:eastAsia="Calibri" w:hAnsi="Times New Roman" w:cs="Times New Roman"/>
          <w:bCs/>
          <w:i/>
          <w:sz w:val="24"/>
          <w:szCs w:val="24"/>
        </w:rPr>
      </w:pPr>
      <w:r w:rsidRPr="00685281">
        <w:rPr>
          <w:rFonts w:ascii="Times New Roman" w:eastAsia="Calibri" w:hAnsi="Times New Roman" w:cs="Times New Roman"/>
          <w:bCs/>
          <w:i/>
          <w:sz w:val="24"/>
          <w:szCs w:val="24"/>
        </w:rPr>
        <w:t xml:space="preserve">Napríklad: Ak ide o zmenu regulácie, ktorá znižuje náklady podnikateľom a nemá negatívny vplyv na veľkosť produkcie, tak dochádza k zvýšeniu produktivity. Ak ide o zmenu regulácie, ktorá zvyšuje náklady podnikateľom a nemá iný väčší pozitívny vplyv na zvýšenie produkcie, tak dochádza k zníženiu produktivity. Ak sa zmenou regulácie zavedie povinná elektronizácia niektorého z procesov, ale na druhej strane sa tým vo väčšej miere zvýši produkcia podnikov, tak dochádza k zvýšeniu produktivity. </w:t>
      </w:r>
    </w:p>
    <w:p w14:paraId="6B841C63" w14:textId="77777777" w:rsidR="00782325" w:rsidRPr="00685281" w:rsidRDefault="00782325" w:rsidP="00782325">
      <w:pPr>
        <w:spacing w:after="0"/>
        <w:jc w:val="both"/>
        <w:rPr>
          <w:rFonts w:ascii="Times New Roman" w:eastAsia="Calibri" w:hAnsi="Times New Roman" w:cs="Times New Roman"/>
          <w:i/>
          <w:sz w:val="24"/>
          <w:szCs w:val="24"/>
        </w:rPr>
      </w:pPr>
    </w:p>
    <w:p w14:paraId="4641E253" w14:textId="77777777" w:rsidR="00782325" w:rsidRPr="00685281" w:rsidRDefault="00782325" w:rsidP="00782325">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685281">
        <w:rPr>
          <w:rFonts w:ascii="Times New Roman" w:eastAsia="Calibri" w:hAnsi="Times New Roman" w:cs="Times New Roman"/>
          <w:b/>
          <w:sz w:val="24"/>
          <w:szCs w:val="24"/>
        </w:rPr>
        <w:t>3.4  Iné vplyvy na podnikateľské prostredie</w:t>
      </w:r>
    </w:p>
    <w:p w14:paraId="68945467" w14:textId="77777777" w:rsidR="00782325" w:rsidRPr="00685281" w:rsidRDefault="00782325" w:rsidP="00782325">
      <w:pPr>
        <w:spacing w:after="0"/>
        <w:jc w:val="both"/>
        <w:rPr>
          <w:rFonts w:ascii="Times New Roman" w:eastAsia="Calibri" w:hAnsi="Times New Roman" w:cs="Times New Roman"/>
          <w:iCs/>
          <w:sz w:val="24"/>
          <w:szCs w:val="24"/>
        </w:rPr>
      </w:pPr>
    </w:p>
    <w:p w14:paraId="1D76F3D9" w14:textId="77777777" w:rsidR="00782325" w:rsidRPr="00685281" w:rsidRDefault="00782325" w:rsidP="00782325">
      <w:pPr>
        <w:spacing w:after="0"/>
        <w:jc w:val="both"/>
        <w:rPr>
          <w:rFonts w:ascii="Times New Roman" w:eastAsia="Calibri" w:hAnsi="Times New Roman" w:cs="Times New Roman"/>
          <w:iCs/>
          <w:sz w:val="24"/>
          <w:szCs w:val="24"/>
        </w:rPr>
      </w:pPr>
      <w:r w:rsidRPr="00685281">
        <w:rPr>
          <w:rFonts w:ascii="Times New Roman" w:eastAsia="Calibri" w:hAnsi="Times New Roman" w:cs="Times New Roman"/>
          <w:iCs/>
          <w:sz w:val="24"/>
          <w:szCs w:val="24"/>
        </w:rPr>
        <w:t>Predkladateľ do tejto časti uvedie a popíše nasledovné informácie:</w:t>
      </w:r>
    </w:p>
    <w:p w14:paraId="77758C0B" w14:textId="77777777" w:rsidR="00782325" w:rsidRPr="00685281" w:rsidRDefault="00782325" w:rsidP="00782325">
      <w:pPr>
        <w:numPr>
          <w:ilvl w:val="0"/>
          <w:numId w:val="13"/>
        </w:numPr>
        <w:spacing w:after="0" w:line="256" w:lineRule="auto"/>
        <w:contextualSpacing/>
        <w:jc w:val="both"/>
        <w:rPr>
          <w:rFonts w:ascii="Times New Roman" w:eastAsia="Calibri" w:hAnsi="Times New Roman" w:cs="Times New Roman"/>
          <w:bCs/>
          <w:iCs/>
          <w:sz w:val="24"/>
          <w:szCs w:val="24"/>
        </w:rPr>
      </w:pPr>
      <w:r w:rsidRPr="00685281">
        <w:rPr>
          <w:rFonts w:ascii="Times New Roman" w:eastAsia="Calibri" w:hAnsi="Times New Roman" w:cs="Times New Roman"/>
          <w:bCs/>
          <w:iCs/>
          <w:sz w:val="24"/>
          <w:szCs w:val="24"/>
        </w:rPr>
        <w:t xml:space="preserve">Pri </w:t>
      </w:r>
      <w:r w:rsidRPr="00685281">
        <w:rPr>
          <w:rFonts w:ascii="Times New Roman" w:eastAsia="Calibri" w:hAnsi="Times New Roman" w:cs="Times New Roman"/>
          <w:b/>
          <w:iCs/>
          <w:sz w:val="24"/>
          <w:szCs w:val="24"/>
        </w:rPr>
        <w:t>dotáciách, fondoch, štátnej pomoci a iných formách podpory</w:t>
      </w:r>
      <w:r w:rsidRPr="00685281">
        <w:rPr>
          <w:rFonts w:ascii="Times New Roman" w:eastAsia="Calibri" w:hAnsi="Times New Roman" w:cs="Times New Roman"/>
          <w:bCs/>
          <w:iCs/>
          <w:sz w:val="24"/>
          <w:szCs w:val="24"/>
        </w:rPr>
        <w:t xml:space="preserve"> zo strany štátu kvalitatívne popíšte pozitívne a negatívne vplyvy na podnikateľské prostredie. V prípade zmeny administratívnej náročnosti kvantifikujte vplyvy na modelovom príklade. </w:t>
      </w:r>
    </w:p>
    <w:p w14:paraId="738A7562" w14:textId="77777777" w:rsidR="00782325" w:rsidRPr="00685281" w:rsidRDefault="00782325" w:rsidP="00782325">
      <w:pPr>
        <w:numPr>
          <w:ilvl w:val="0"/>
          <w:numId w:val="13"/>
        </w:numPr>
        <w:spacing w:after="0" w:line="256" w:lineRule="auto"/>
        <w:contextualSpacing/>
        <w:jc w:val="both"/>
        <w:rPr>
          <w:rFonts w:ascii="Times New Roman" w:eastAsia="Calibri" w:hAnsi="Times New Roman" w:cs="Times New Roman"/>
          <w:bCs/>
          <w:iCs/>
          <w:sz w:val="24"/>
          <w:szCs w:val="24"/>
        </w:rPr>
      </w:pPr>
      <w:r w:rsidRPr="00685281">
        <w:rPr>
          <w:rFonts w:ascii="Times New Roman" w:eastAsia="Calibri" w:hAnsi="Times New Roman" w:cs="Times New Roman"/>
          <w:bCs/>
          <w:iCs/>
          <w:sz w:val="24"/>
          <w:szCs w:val="24"/>
        </w:rPr>
        <w:t xml:space="preserve">Pri </w:t>
      </w:r>
      <w:r w:rsidRPr="00685281">
        <w:rPr>
          <w:rFonts w:ascii="Times New Roman" w:eastAsia="Calibri" w:hAnsi="Times New Roman" w:cs="Times New Roman"/>
          <w:b/>
          <w:iCs/>
          <w:sz w:val="24"/>
          <w:szCs w:val="24"/>
        </w:rPr>
        <w:t>regulovaných cenách</w:t>
      </w:r>
      <w:r w:rsidRPr="00685281">
        <w:rPr>
          <w:rFonts w:ascii="Times New Roman" w:eastAsia="Calibri" w:hAnsi="Times New Roman" w:cs="Times New Roman"/>
          <w:bCs/>
          <w:iCs/>
          <w:sz w:val="24"/>
          <w:szCs w:val="24"/>
        </w:rPr>
        <w:t xml:space="preserve"> odhadnite ročný finančný vplyv na podnikateľské prostredie. </w:t>
      </w:r>
    </w:p>
    <w:p w14:paraId="21C62651" w14:textId="77777777" w:rsidR="00782325" w:rsidRPr="00685281" w:rsidRDefault="00782325" w:rsidP="00782325">
      <w:pPr>
        <w:numPr>
          <w:ilvl w:val="0"/>
          <w:numId w:val="13"/>
        </w:numPr>
        <w:spacing w:after="0" w:line="256" w:lineRule="auto"/>
        <w:contextualSpacing/>
        <w:jc w:val="both"/>
        <w:rPr>
          <w:rFonts w:ascii="Times New Roman" w:eastAsia="Calibri" w:hAnsi="Times New Roman" w:cs="Times New Roman"/>
          <w:bCs/>
          <w:iCs/>
          <w:sz w:val="24"/>
          <w:szCs w:val="24"/>
        </w:rPr>
      </w:pPr>
      <w:r w:rsidRPr="00685281">
        <w:rPr>
          <w:rFonts w:ascii="Times New Roman" w:eastAsia="Calibri" w:hAnsi="Times New Roman" w:cs="Times New Roman"/>
          <w:bCs/>
          <w:iCs/>
          <w:sz w:val="24"/>
          <w:szCs w:val="24"/>
        </w:rPr>
        <w:t xml:space="preserve">Pri </w:t>
      </w:r>
      <w:r w:rsidRPr="00685281">
        <w:rPr>
          <w:rFonts w:ascii="Times New Roman" w:eastAsia="Calibri" w:hAnsi="Times New Roman" w:cs="Times New Roman"/>
          <w:b/>
          <w:iCs/>
          <w:sz w:val="24"/>
          <w:szCs w:val="24"/>
        </w:rPr>
        <w:t>iných vplyvoch</w:t>
      </w:r>
      <w:r w:rsidRPr="00685281">
        <w:rPr>
          <w:rFonts w:ascii="Times New Roman" w:eastAsia="Calibri" w:hAnsi="Times New Roman" w:cs="Times New Roman"/>
          <w:bCs/>
          <w:iCs/>
          <w:sz w:val="24"/>
          <w:szCs w:val="24"/>
        </w:rPr>
        <w:t xml:space="preserve"> využite kvalitatívne a kvantitatívne metódy tak, aby bolo zrejmé ako pozitívne a ako negatívne budú pôsobiť na podnikateľské prostredie.</w:t>
      </w:r>
    </w:p>
    <w:p w14:paraId="49B8B2B0" w14:textId="77777777" w:rsidR="00782325" w:rsidRPr="00685281" w:rsidRDefault="00782325" w:rsidP="00782325">
      <w:pPr>
        <w:numPr>
          <w:ilvl w:val="0"/>
          <w:numId w:val="13"/>
        </w:numPr>
        <w:spacing w:after="0" w:line="256" w:lineRule="auto"/>
        <w:contextualSpacing/>
        <w:jc w:val="both"/>
        <w:rPr>
          <w:rFonts w:ascii="Times New Roman" w:eastAsia="Calibri" w:hAnsi="Times New Roman" w:cs="Times New Roman"/>
          <w:bCs/>
          <w:iCs/>
          <w:sz w:val="24"/>
          <w:szCs w:val="24"/>
        </w:rPr>
      </w:pPr>
      <w:r w:rsidRPr="00685281">
        <w:rPr>
          <w:rFonts w:ascii="Times New Roman" w:eastAsia="Calibri" w:hAnsi="Times New Roman" w:cs="Times New Roman"/>
          <w:sz w:val="24"/>
          <w:szCs w:val="24"/>
        </w:rPr>
        <w:t xml:space="preserve">Iné vplyvy </w:t>
      </w:r>
      <w:r w:rsidRPr="00685281">
        <w:rPr>
          <w:rFonts w:ascii="Times New Roman" w:eastAsia="Calibri" w:hAnsi="Times New Roman" w:cs="Times New Roman"/>
          <w:b/>
          <w:sz w:val="24"/>
          <w:szCs w:val="24"/>
        </w:rPr>
        <w:t>goldplatingu</w:t>
      </w:r>
      <w:r w:rsidRPr="00685281">
        <w:rPr>
          <w:rFonts w:ascii="Times New Roman" w:eastAsia="Calibri" w:hAnsi="Times New Roman" w:cs="Times New Roman"/>
          <w:sz w:val="24"/>
          <w:szCs w:val="24"/>
        </w:rPr>
        <w:t xml:space="preserve"> (v prípade, že bol v predloženom materiáli identifikovaný goldplating s vplyvom na podnikateľské prostredie).</w:t>
      </w:r>
    </w:p>
    <w:p w14:paraId="4DABEBCB" w14:textId="77777777" w:rsidR="00782325" w:rsidRPr="00685281" w:rsidRDefault="00782325" w:rsidP="00782325">
      <w:pPr>
        <w:spacing w:after="0"/>
        <w:jc w:val="both"/>
        <w:rPr>
          <w:rFonts w:ascii="Times New Roman" w:eastAsia="Calibri" w:hAnsi="Times New Roman" w:cs="Times New Roman"/>
          <w:bCs/>
          <w:i/>
          <w:iCs/>
          <w:sz w:val="24"/>
          <w:szCs w:val="24"/>
        </w:rPr>
      </w:pPr>
    </w:p>
    <w:p w14:paraId="5781AD20" w14:textId="77777777" w:rsidR="00782325" w:rsidRPr="00685281" w:rsidRDefault="00782325" w:rsidP="00782325">
      <w:pPr>
        <w:spacing w:after="0"/>
        <w:jc w:val="both"/>
        <w:rPr>
          <w:rFonts w:ascii="Times New Roman" w:eastAsia="Calibri" w:hAnsi="Times New Roman" w:cs="Times New Roman"/>
          <w:bCs/>
          <w:i/>
          <w:iCs/>
          <w:sz w:val="24"/>
          <w:szCs w:val="24"/>
        </w:rPr>
      </w:pPr>
      <w:r w:rsidRPr="00685281">
        <w:rPr>
          <w:rFonts w:ascii="Times New Roman" w:eastAsia="Calibri" w:hAnsi="Times New Roman" w:cs="Times New Roman"/>
          <w:bCs/>
          <w:i/>
          <w:iCs/>
          <w:sz w:val="24"/>
          <w:szCs w:val="24"/>
        </w:rPr>
        <w:t xml:space="preserve">Príklady: </w:t>
      </w:r>
    </w:p>
    <w:p w14:paraId="24DB916C" w14:textId="77777777" w:rsidR="00782325" w:rsidRPr="00685281" w:rsidRDefault="00782325" w:rsidP="00782325">
      <w:pPr>
        <w:pStyle w:val="Odsekzoznamu"/>
        <w:numPr>
          <w:ilvl w:val="0"/>
          <w:numId w:val="13"/>
        </w:numPr>
        <w:spacing w:after="0"/>
        <w:jc w:val="both"/>
        <w:rPr>
          <w:rFonts w:ascii="Times New Roman" w:eastAsia="Calibri" w:hAnsi="Times New Roman" w:cs="Times New Roman"/>
          <w:bCs/>
          <w:i/>
          <w:iCs/>
          <w:sz w:val="24"/>
          <w:szCs w:val="24"/>
        </w:rPr>
      </w:pPr>
      <w:r w:rsidRPr="00685281">
        <w:rPr>
          <w:rFonts w:ascii="Times New Roman" w:eastAsia="Calibri" w:hAnsi="Times New Roman" w:cs="Times New Roman"/>
          <w:bCs/>
          <w:i/>
          <w:iCs/>
          <w:sz w:val="24"/>
          <w:szCs w:val="24"/>
        </w:rPr>
        <w:t>predĺženie lehoty na prihlásenie zamestnanca do Sociálnej poisťovne pred nástupom do zamestnania,</w:t>
      </w:r>
    </w:p>
    <w:p w14:paraId="1666AC30" w14:textId="77777777" w:rsidR="00782325" w:rsidRPr="00685281" w:rsidRDefault="00782325" w:rsidP="00782325">
      <w:pPr>
        <w:pStyle w:val="Odsekzoznamu"/>
        <w:numPr>
          <w:ilvl w:val="0"/>
          <w:numId w:val="13"/>
        </w:numPr>
        <w:spacing w:after="0"/>
        <w:jc w:val="both"/>
        <w:rPr>
          <w:rFonts w:ascii="Times New Roman" w:eastAsia="Calibri" w:hAnsi="Times New Roman" w:cs="Times New Roman"/>
          <w:bCs/>
          <w:i/>
          <w:iCs/>
          <w:sz w:val="24"/>
          <w:szCs w:val="24"/>
        </w:rPr>
      </w:pPr>
      <w:r w:rsidRPr="00685281">
        <w:rPr>
          <w:rFonts w:ascii="Times New Roman" w:eastAsia="Calibri" w:hAnsi="Times New Roman" w:cs="Times New Roman"/>
          <w:bCs/>
          <w:i/>
          <w:iCs/>
          <w:sz w:val="24"/>
          <w:szCs w:val="24"/>
        </w:rPr>
        <w:t xml:space="preserve">sprísnenie dôvodov pre umožnenie odkladu daňového priznania, </w:t>
      </w:r>
    </w:p>
    <w:p w14:paraId="7BE859A4" w14:textId="77777777" w:rsidR="00782325" w:rsidRPr="00685281" w:rsidRDefault="00782325" w:rsidP="00782325">
      <w:pPr>
        <w:pStyle w:val="Odsekzoznamu"/>
        <w:numPr>
          <w:ilvl w:val="0"/>
          <w:numId w:val="13"/>
        </w:numPr>
        <w:spacing w:after="0"/>
        <w:jc w:val="both"/>
        <w:rPr>
          <w:rFonts w:ascii="Times New Roman" w:eastAsia="Calibri" w:hAnsi="Times New Roman" w:cs="Times New Roman"/>
          <w:bCs/>
          <w:i/>
          <w:iCs/>
          <w:sz w:val="24"/>
          <w:szCs w:val="24"/>
        </w:rPr>
      </w:pPr>
      <w:r w:rsidRPr="00685281">
        <w:rPr>
          <w:rFonts w:ascii="Times New Roman" w:eastAsia="Calibri" w:hAnsi="Times New Roman" w:cs="Times New Roman"/>
          <w:bCs/>
          <w:i/>
          <w:iCs/>
          <w:sz w:val="24"/>
          <w:szCs w:val="24"/>
        </w:rPr>
        <w:lastRenderedPageBreak/>
        <w:t>náklady znečisťovateľov vyplývajúce z povinností odstraňovania znečistenia, ktoré predstavuje   závažné riziko pre niektorú zložku životného prostredia, chránené časti krajiny, chránené živočíchy alebo rastliny alebo ľudské zdravie</w:t>
      </w:r>
    </w:p>
    <w:p w14:paraId="1BC3EF3A" w14:textId="77777777" w:rsidR="00782325" w:rsidRPr="00685281" w:rsidRDefault="00782325" w:rsidP="00782325">
      <w:pPr>
        <w:pStyle w:val="Odsekzoznamu"/>
        <w:numPr>
          <w:ilvl w:val="0"/>
          <w:numId w:val="13"/>
        </w:numPr>
        <w:spacing w:after="0"/>
        <w:jc w:val="both"/>
        <w:rPr>
          <w:rFonts w:ascii="Times New Roman" w:eastAsia="Calibri" w:hAnsi="Times New Roman" w:cs="Times New Roman"/>
          <w:bCs/>
          <w:i/>
          <w:iCs/>
          <w:sz w:val="24"/>
          <w:szCs w:val="24"/>
        </w:rPr>
      </w:pPr>
      <w:r w:rsidRPr="00685281">
        <w:rPr>
          <w:rFonts w:ascii="Times New Roman" w:eastAsia="Calibri" w:hAnsi="Times New Roman" w:cs="Times New Roman"/>
          <w:bCs/>
          <w:i/>
          <w:iCs/>
          <w:sz w:val="24"/>
          <w:szCs w:val="24"/>
        </w:rPr>
        <w:t>zabezpečenie právnej istoty</w:t>
      </w:r>
    </w:p>
    <w:p w14:paraId="46BD4748" w14:textId="77777777" w:rsidR="00782325" w:rsidRPr="00685281" w:rsidRDefault="00782325" w:rsidP="00782325">
      <w:pPr>
        <w:pStyle w:val="Odsekzoznamu"/>
        <w:numPr>
          <w:ilvl w:val="0"/>
          <w:numId w:val="13"/>
        </w:numPr>
        <w:spacing w:after="0"/>
        <w:jc w:val="both"/>
        <w:rPr>
          <w:rFonts w:ascii="Times New Roman" w:eastAsia="Calibri" w:hAnsi="Times New Roman" w:cs="Times New Roman"/>
          <w:bCs/>
          <w:i/>
          <w:iCs/>
          <w:sz w:val="24"/>
          <w:szCs w:val="24"/>
        </w:rPr>
      </w:pPr>
      <w:r w:rsidRPr="00685281">
        <w:rPr>
          <w:rFonts w:ascii="Times New Roman" w:eastAsia="Calibri" w:hAnsi="Times New Roman" w:cs="Times New Roman"/>
          <w:bCs/>
          <w:i/>
          <w:iCs/>
          <w:sz w:val="24"/>
          <w:szCs w:val="24"/>
        </w:rPr>
        <w:t>zmeny na tlačivách a v povinných prílohách v rámci žiadostí o dotácie</w:t>
      </w:r>
    </w:p>
    <w:p w14:paraId="66646C5F" w14:textId="77777777" w:rsidR="00782325" w:rsidRPr="00685281" w:rsidRDefault="00782325" w:rsidP="00782325">
      <w:pPr>
        <w:pStyle w:val="Odsekzoznamu"/>
        <w:numPr>
          <w:ilvl w:val="0"/>
          <w:numId w:val="13"/>
        </w:numPr>
        <w:spacing w:after="0"/>
        <w:jc w:val="both"/>
        <w:rPr>
          <w:rFonts w:ascii="Times New Roman" w:eastAsia="Calibri" w:hAnsi="Times New Roman" w:cs="Times New Roman"/>
          <w:bCs/>
          <w:i/>
          <w:iCs/>
          <w:sz w:val="24"/>
          <w:szCs w:val="24"/>
        </w:rPr>
      </w:pPr>
      <w:r w:rsidRPr="00685281">
        <w:rPr>
          <w:rFonts w:ascii="Times New Roman" w:eastAsia="Calibri" w:hAnsi="Times New Roman" w:cs="Times New Roman"/>
          <w:bCs/>
          <w:i/>
          <w:iCs/>
          <w:sz w:val="24"/>
          <w:szCs w:val="24"/>
        </w:rPr>
        <w:t>zmeny regulovaných cien, napríklad v oblasti telekomunikácií, energetiky, financií a iných</w:t>
      </w:r>
    </w:p>
    <w:p w14:paraId="5BE10A97" w14:textId="77777777" w:rsidR="00782325" w:rsidRPr="00A04D75" w:rsidRDefault="00782325">
      <w:pPr>
        <w:rPr>
          <w:rFonts w:ascii="Times New Roman" w:eastAsia="Times New Roman" w:hAnsi="Times New Roman" w:cs="Times New Roman"/>
          <w:b/>
          <w:bCs/>
          <w:lang w:eastAsia="sk-SK"/>
        </w:rPr>
      </w:pPr>
      <w:r w:rsidRPr="00A04D75">
        <w:rPr>
          <w:rFonts w:ascii="Times New Roman" w:hAnsi="Times New Roman" w:cs="Times New Roman"/>
        </w:rPr>
        <w:br w:type="page"/>
      </w:r>
    </w:p>
    <w:p w14:paraId="2801F161" w14:textId="19689321" w:rsidR="005572A3" w:rsidRPr="00355E55" w:rsidRDefault="005572A3" w:rsidP="005572A3">
      <w:pPr>
        <w:pStyle w:val="Nzov"/>
        <w:spacing w:line="276" w:lineRule="auto"/>
        <w:contextualSpacing/>
        <w:rPr>
          <w:sz w:val="24"/>
          <w:szCs w:val="24"/>
        </w:rPr>
      </w:pPr>
      <w:r w:rsidRPr="00355E55">
        <w:rPr>
          <w:sz w:val="24"/>
          <w:szCs w:val="24"/>
        </w:rPr>
        <w:lastRenderedPageBreak/>
        <w:t>Doložka zlučiteľnosti</w:t>
      </w:r>
    </w:p>
    <w:p w14:paraId="6D95DAA5" w14:textId="77777777" w:rsidR="005572A3" w:rsidRPr="00355E55" w:rsidRDefault="005572A3" w:rsidP="005572A3">
      <w:pPr>
        <w:pStyle w:val="Nzov"/>
        <w:spacing w:line="276" w:lineRule="auto"/>
        <w:contextualSpacing/>
        <w:rPr>
          <w:sz w:val="24"/>
          <w:szCs w:val="24"/>
        </w:rPr>
      </w:pPr>
      <w:r w:rsidRPr="00355E55">
        <w:rPr>
          <w:sz w:val="24"/>
          <w:szCs w:val="24"/>
        </w:rPr>
        <w:t>návrhu zákona s právom Európskej únie </w:t>
      </w:r>
    </w:p>
    <w:p w14:paraId="28F1E5ED" w14:textId="77777777" w:rsidR="005572A3" w:rsidRPr="00355E55" w:rsidRDefault="005572A3" w:rsidP="005572A3">
      <w:pPr>
        <w:jc w:val="center"/>
        <w:rPr>
          <w:rFonts w:ascii="Times New Roman" w:hAnsi="Times New Roman" w:cs="Times New Roman"/>
          <w:b/>
          <w:sz w:val="24"/>
          <w:szCs w:val="24"/>
        </w:rPr>
      </w:pPr>
    </w:p>
    <w:p w14:paraId="630E83D8" w14:textId="77777777" w:rsidR="005572A3" w:rsidRPr="00355E55" w:rsidRDefault="005572A3" w:rsidP="005572A3">
      <w:pPr>
        <w:jc w:val="center"/>
        <w:rPr>
          <w:rFonts w:ascii="Times New Roman" w:hAnsi="Times New Roman" w:cs="Times New Roman"/>
          <w:b/>
          <w:sz w:val="24"/>
          <w:szCs w:val="24"/>
        </w:rPr>
      </w:pP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8952"/>
      </w:tblGrid>
      <w:tr w:rsidR="005572A3" w:rsidRPr="00355E55" w14:paraId="4CD32847" w14:textId="77777777" w:rsidTr="00355E55">
        <w:tc>
          <w:tcPr>
            <w:tcW w:w="404" w:type="dxa"/>
          </w:tcPr>
          <w:p w14:paraId="3EE4F200" w14:textId="77777777" w:rsidR="005572A3" w:rsidRPr="00355E55" w:rsidRDefault="005572A3" w:rsidP="00355E55">
            <w:pPr>
              <w:tabs>
                <w:tab w:val="left" w:pos="360"/>
              </w:tabs>
              <w:rPr>
                <w:rFonts w:ascii="Times New Roman" w:hAnsi="Times New Roman" w:cs="Times New Roman"/>
                <w:b/>
                <w:sz w:val="24"/>
                <w:szCs w:val="24"/>
              </w:rPr>
            </w:pPr>
            <w:r w:rsidRPr="00355E55">
              <w:rPr>
                <w:rFonts w:ascii="Times New Roman" w:hAnsi="Times New Roman" w:cs="Times New Roman"/>
                <w:b/>
                <w:sz w:val="24"/>
                <w:szCs w:val="24"/>
              </w:rPr>
              <w:t>1.</w:t>
            </w:r>
          </w:p>
        </w:tc>
        <w:tc>
          <w:tcPr>
            <w:tcW w:w="8952" w:type="dxa"/>
          </w:tcPr>
          <w:p w14:paraId="7024BF7E" w14:textId="323FF5F5" w:rsidR="005572A3" w:rsidRPr="00355E55" w:rsidRDefault="005572A3" w:rsidP="00953C4F">
            <w:pPr>
              <w:tabs>
                <w:tab w:val="left" w:pos="360"/>
              </w:tabs>
              <w:rPr>
                <w:rFonts w:ascii="Times New Roman" w:hAnsi="Times New Roman" w:cs="Times New Roman"/>
                <w:sz w:val="24"/>
                <w:szCs w:val="24"/>
              </w:rPr>
            </w:pPr>
            <w:r w:rsidRPr="00355E55">
              <w:rPr>
                <w:rFonts w:ascii="Times New Roman" w:hAnsi="Times New Roman" w:cs="Times New Roman"/>
                <w:b/>
                <w:sz w:val="24"/>
                <w:szCs w:val="24"/>
              </w:rPr>
              <w:t>Navrhovateľ zákona:</w:t>
            </w:r>
            <w:r w:rsidRPr="00355E55">
              <w:rPr>
                <w:rFonts w:ascii="Times New Roman" w:hAnsi="Times New Roman" w:cs="Times New Roman"/>
                <w:sz w:val="24"/>
                <w:szCs w:val="24"/>
              </w:rPr>
              <w:t xml:space="preserve"> </w:t>
            </w:r>
            <w:r w:rsidR="00953C4F">
              <w:rPr>
                <w:rFonts w:ascii="Times New Roman" w:hAnsi="Times New Roman" w:cs="Times New Roman"/>
                <w:sz w:val="24"/>
                <w:szCs w:val="24"/>
              </w:rPr>
              <w:t>Vláda Slovenskej republiky</w:t>
            </w:r>
            <w:r w:rsidR="00953C4F" w:rsidRPr="00355E55">
              <w:rPr>
                <w:rFonts w:ascii="Times New Roman" w:hAnsi="Times New Roman" w:cs="Times New Roman"/>
                <w:sz w:val="24"/>
                <w:szCs w:val="24"/>
              </w:rPr>
              <w:t xml:space="preserve"> </w:t>
            </w:r>
          </w:p>
        </w:tc>
      </w:tr>
      <w:tr w:rsidR="005572A3" w:rsidRPr="00355E55" w14:paraId="0712E6D4" w14:textId="77777777" w:rsidTr="00355E55">
        <w:tc>
          <w:tcPr>
            <w:tcW w:w="404" w:type="dxa"/>
          </w:tcPr>
          <w:p w14:paraId="5BBD0E06" w14:textId="77777777" w:rsidR="005572A3" w:rsidRPr="00355E55" w:rsidRDefault="005572A3" w:rsidP="00355E55">
            <w:pPr>
              <w:tabs>
                <w:tab w:val="left" w:pos="360"/>
              </w:tabs>
              <w:rPr>
                <w:rFonts w:ascii="Times New Roman" w:hAnsi="Times New Roman" w:cs="Times New Roman"/>
                <w:sz w:val="24"/>
                <w:szCs w:val="24"/>
              </w:rPr>
            </w:pPr>
          </w:p>
        </w:tc>
        <w:tc>
          <w:tcPr>
            <w:tcW w:w="8952" w:type="dxa"/>
          </w:tcPr>
          <w:p w14:paraId="7ECFDB09" w14:textId="77777777" w:rsidR="005572A3" w:rsidRPr="00355E55" w:rsidRDefault="005572A3" w:rsidP="00355E55">
            <w:pPr>
              <w:tabs>
                <w:tab w:val="left" w:pos="360"/>
              </w:tabs>
              <w:rPr>
                <w:rFonts w:ascii="Times New Roman" w:hAnsi="Times New Roman" w:cs="Times New Roman"/>
                <w:sz w:val="24"/>
                <w:szCs w:val="24"/>
              </w:rPr>
            </w:pPr>
          </w:p>
        </w:tc>
      </w:tr>
      <w:tr w:rsidR="005572A3" w:rsidRPr="00355E55" w14:paraId="2C9CD365" w14:textId="77777777" w:rsidTr="00355E55">
        <w:tc>
          <w:tcPr>
            <w:tcW w:w="404" w:type="dxa"/>
          </w:tcPr>
          <w:p w14:paraId="7B2DFE8C" w14:textId="77777777" w:rsidR="005572A3" w:rsidRPr="00355E55" w:rsidRDefault="005572A3" w:rsidP="00355E55">
            <w:pPr>
              <w:tabs>
                <w:tab w:val="left" w:pos="360"/>
              </w:tabs>
              <w:rPr>
                <w:rFonts w:ascii="Times New Roman" w:hAnsi="Times New Roman" w:cs="Times New Roman"/>
                <w:b/>
                <w:sz w:val="24"/>
                <w:szCs w:val="24"/>
              </w:rPr>
            </w:pPr>
            <w:r w:rsidRPr="00355E55">
              <w:rPr>
                <w:rFonts w:ascii="Times New Roman" w:hAnsi="Times New Roman" w:cs="Times New Roman"/>
                <w:b/>
                <w:sz w:val="24"/>
                <w:szCs w:val="24"/>
              </w:rPr>
              <w:t>2.</w:t>
            </w:r>
          </w:p>
        </w:tc>
        <w:tc>
          <w:tcPr>
            <w:tcW w:w="8952" w:type="dxa"/>
          </w:tcPr>
          <w:p w14:paraId="2E8B2F28" w14:textId="77777777" w:rsidR="005572A3" w:rsidRPr="00355E55" w:rsidRDefault="005572A3" w:rsidP="00355E55">
            <w:pPr>
              <w:tabs>
                <w:tab w:val="left" w:pos="360"/>
              </w:tabs>
              <w:jc w:val="both"/>
              <w:rPr>
                <w:rFonts w:ascii="Times New Roman" w:hAnsi="Times New Roman" w:cs="Times New Roman"/>
                <w:sz w:val="24"/>
                <w:szCs w:val="24"/>
              </w:rPr>
            </w:pPr>
            <w:r w:rsidRPr="00355E55">
              <w:rPr>
                <w:rFonts w:ascii="Times New Roman" w:hAnsi="Times New Roman" w:cs="Times New Roman"/>
                <w:b/>
                <w:sz w:val="24"/>
                <w:szCs w:val="24"/>
              </w:rPr>
              <w:t>Názov návrhu zákona:</w:t>
            </w:r>
            <w:r w:rsidRPr="00355E55">
              <w:rPr>
                <w:rFonts w:ascii="Times New Roman" w:hAnsi="Times New Roman" w:cs="Times New Roman"/>
                <w:sz w:val="24"/>
                <w:szCs w:val="24"/>
              </w:rPr>
              <w:t xml:space="preserve"> </w:t>
            </w:r>
            <w:r w:rsidRPr="00355E55">
              <w:rPr>
                <w:rFonts w:ascii="Times New Roman" w:hAnsi="Times New Roman" w:cs="Times New Roman"/>
                <w:sz w:val="24"/>
                <w:szCs w:val="24"/>
              </w:rPr>
              <w:fldChar w:fldCharType="begin"/>
            </w:r>
            <w:r w:rsidRPr="00355E55">
              <w:rPr>
                <w:rFonts w:ascii="Times New Roman" w:hAnsi="Times New Roman" w:cs="Times New Roman"/>
                <w:sz w:val="24"/>
                <w:szCs w:val="24"/>
              </w:rPr>
              <w:instrText xml:space="preserve"> DOCPROPERTY  FSC#SKEDITIONSLOVLEX@103.510:plnynazovpredpis  \* MERGEFORMAT </w:instrText>
            </w:r>
            <w:r w:rsidRPr="00355E55">
              <w:rPr>
                <w:rFonts w:ascii="Times New Roman" w:hAnsi="Times New Roman" w:cs="Times New Roman"/>
                <w:sz w:val="24"/>
                <w:szCs w:val="24"/>
              </w:rPr>
              <w:fldChar w:fldCharType="separate"/>
            </w:r>
            <w:r w:rsidRPr="00355E55">
              <w:rPr>
                <w:rFonts w:ascii="Times New Roman" w:hAnsi="Times New Roman" w:cs="Times New Roman"/>
                <w:sz w:val="24"/>
                <w:szCs w:val="24"/>
              </w:rPr>
              <w:t xml:space="preserve">Návrh zákona, ktorým sa mení a dopĺňa zákon č. 69/2018 Z. z. o kybernetickej bezpečnosti a o zmene a doplnení niektorých zákonov v znení neskorších predpisov a ktorým sa menia a dopĺňajú niektoré zákony </w:t>
            </w:r>
            <w:r w:rsidRPr="00355E55">
              <w:rPr>
                <w:rFonts w:ascii="Times New Roman" w:hAnsi="Times New Roman" w:cs="Times New Roman"/>
                <w:sz w:val="24"/>
                <w:szCs w:val="24"/>
              </w:rPr>
              <w:fldChar w:fldCharType="end"/>
            </w:r>
            <w:r w:rsidRPr="00355E55">
              <w:rPr>
                <w:rFonts w:ascii="Times New Roman" w:hAnsi="Times New Roman" w:cs="Times New Roman"/>
                <w:sz w:val="24"/>
                <w:szCs w:val="24"/>
              </w:rPr>
              <w:fldChar w:fldCharType="begin"/>
            </w:r>
            <w:r w:rsidRPr="00355E55">
              <w:rPr>
                <w:rFonts w:ascii="Times New Roman" w:hAnsi="Times New Roman" w:cs="Times New Roman"/>
                <w:sz w:val="24"/>
                <w:szCs w:val="24"/>
              </w:rPr>
              <w:instrText xml:space="preserve"> DOCPROPERTY  FSC#SKEDITIONSLOVLEX@103.510:plnynazovpredpis1  \* MERGEFORMAT </w:instrText>
            </w:r>
            <w:r w:rsidRPr="00355E55">
              <w:rPr>
                <w:rFonts w:ascii="Times New Roman" w:hAnsi="Times New Roman" w:cs="Times New Roman"/>
                <w:sz w:val="24"/>
                <w:szCs w:val="24"/>
              </w:rPr>
              <w:fldChar w:fldCharType="end"/>
            </w:r>
            <w:r w:rsidRPr="00355E55">
              <w:rPr>
                <w:rFonts w:ascii="Times New Roman" w:hAnsi="Times New Roman" w:cs="Times New Roman"/>
                <w:sz w:val="24"/>
                <w:szCs w:val="24"/>
              </w:rPr>
              <w:fldChar w:fldCharType="begin"/>
            </w:r>
            <w:r w:rsidRPr="00355E55">
              <w:rPr>
                <w:rFonts w:ascii="Times New Roman" w:hAnsi="Times New Roman" w:cs="Times New Roman"/>
                <w:sz w:val="24"/>
                <w:szCs w:val="24"/>
              </w:rPr>
              <w:instrText xml:space="preserve"> DOCPROPERTY  FSC#SKEDITIONSLOVLEX@103.510:plnynazovpredpis2  \* MERGEFORMAT </w:instrText>
            </w:r>
            <w:r w:rsidRPr="00355E55">
              <w:rPr>
                <w:rFonts w:ascii="Times New Roman" w:hAnsi="Times New Roman" w:cs="Times New Roman"/>
                <w:sz w:val="24"/>
                <w:szCs w:val="24"/>
              </w:rPr>
              <w:fldChar w:fldCharType="end"/>
            </w:r>
            <w:r w:rsidRPr="00355E55">
              <w:rPr>
                <w:rFonts w:ascii="Times New Roman" w:hAnsi="Times New Roman" w:cs="Times New Roman"/>
                <w:sz w:val="24"/>
                <w:szCs w:val="24"/>
              </w:rPr>
              <w:fldChar w:fldCharType="begin"/>
            </w:r>
            <w:r w:rsidRPr="00355E55">
              <w:rPr>
                <w:rFonts w:ascii="Times New Roman" w:hAnsi="Times New Roman" w:cs="Times New Roman"/>
                <w:sz w:val="24"/>
                <w:szCs w:val="24"/>
              </w:rPr>
              <w:instrText xml:space="preserve"> DOCPROPERTY  FSC#SKEDITIONSLOVLEX@103.510:plnynazovpredpis3  \* MERGEFORMAT </w:instrText>
            </w:r>
            <w:r w:rsidRPr="00355E55">
              <w:rPr>
                <w:rFonts w:ascii="Times New Roman" w:hAnsi="Times New Roman" w:cs="Times New Roman"/>
                <w:sz w:val="24"/>
                <w:szCs w:val="24"/>
              </w:rPr>
              <w:fldChar w:fldCharType="end"/>
            </w:r>
          </w:p>
        </w:tc>
      </w:tr>
      <w:tr w:rsidR="005572A3" w:rsidRPr="00355E55" w14:paraId="2108CB93" w14:textId="77777777" w:rsidTr="00355E55">
        <w:tc>
          <w:tcPr>
            <w:tcW w:w="404" w:type="dxa"/>
          </w:tcPr>
          <w:p w14:paraId="17669692" w14:textId="77777777" w:rsidR="005572A3" w:rsidRPr="00355E55" w:rsidRDefault="005572A3" w:rsidP="00355E55">
            <w:pPr>
              <w:tabs>
                <w:tab w:val="left" w:pos="360"/>
              </w:tabs>
              <w:rPr>
                <w:rFonts w:ascii="Times New Roman" w:hAnsi="Times New Roman" w:cs="Times New Roman"/>
                <w:sz w:val="24"/>
                <w:szCs w:val="24"/>
              </w:rPr>
            </w:pPr>
          </w:p>
        </w:tc>
        <w:tc>
          <w:tcPr>
            <w:tcW w:w="8952" w:type="dxa"/>
          </w:tcPr>
          <w:p w14:paraId="55AB2073" w14:textId="77777777" w:rsidR="005572A3" w:rsidRPr="00355E55" w:rsidRDefault="005572A3" w:rsidP="00355E55">
            <w:pPr>
              <w:tabs>
                <w:tab w:val="left" w:pos="360"/>
              </w:tabs>
              <w:rPr>
                <w:rFonts w:ascii="Times New Roman" w:hAnsi="Times New Roman" w:cs="Times New Roman"/>
                <w:sz w:val="24"/>
                <w:szCs w:val="24"/>
              </w:rPr>
            </w:pPr>
          </w:p>
        </w:tc>
      </w:tr>
      <w:tr w:rsidR="005572A3" w:rsidRPr="00355E55" w14:paraId="25DB3233" w14:textId="77777777" w:rsidTr="00355E55">
        <w:tc>
          <w:tcPr>
            <w:tcW w:w="404" w:type="dxa"/>
          </w:tcPr>
          <w:p w14:paraId="69767A2D" w14:textId="77777777" w:rsidR="005572A3" w:rsidRPr="00355E55" w:rsidRDefault="005572A3" w:rsidP="00355E55">
            <w:pPr>
              <w:tabs>
                <w:tab w:val="left" w:pos="360"/>
              </w:tabs>
              <w:rPr>
                <w:rFonts w:ascii="Times New Roman" w:hAnsi="Times New Roman" w:cs="Times New Roman"/>
                <w:b/>
                <w:sz w:val="24"/>
                <w:szCs w:val="24"/>
              </w:rPr>
            </w:pPr>
            <w:r w:rsidRPr="00355E55">
              <w:rPr>
                <w:rFonts w:ascii="Times New Roman" w:hAnsi="Times New Roman" w:cs="Times New Roman"/>
                <w:b/>
                <w:sz w:val="24"/>
                <w:szCs w:val="24"/>
              </w:rPr>
              <w:t>3.</w:t>
            </w:r>
          </w:p>
        </w:tc>
        <w:tc>
          <w:tcPr>
            <w:tcW w:w="8952" w:type="dxa"/>
          </w:tcPr>
          <w:p w14:paraId="0139FDE6" w14:textId="77777777" w:rsidR="005572A3" w:rsidRPr="00355E55" w:rsidRDefault="005572A3" w:rsidP="00355E55">
            <w:pPr>
              <w:tabs>
                <w:tab w:val="left" w:pos="360"/>
              </w:tabs>
              <w:rPr>
                <w:rFonts w:ascii="Times New Roman" w:hAnsi="Times New Roman" w:cs="Times New Roman"/>
                <w:b/>
                <w:sz w:val="24"/>
                <w:szCs w:val="24"/>
              </w:rPr>
            </w:pPr>
            <w:r w:rsidRPr="00355E55">
              <w:rPr>
                <w:rFonts w:ascii="Times New Roman" w:hAnsi="Times New Roman" w:cs="Times New Roman"/>
                <w:b/>
                <w:sz w:val="24"/>
                <w:szCs w:val="24"/>
              </w:rPr>
              <w:t>Problematika návrhu právneho predpisu:</w:t>
            </w:r>
          </w:p>
          <w:p w14:paraId="28CE0319" w14:textId="77777777" w:rsidR="005572A3" w:rsidRPr="00355E55" w:rsidRDefault="005572A3" w:rsidP="00355E55">
            <w:pPr>
              <w:tabs>
                <w:tab w:val="left" w:pos="360"/>
              </w:tabs>
              <w:rPr>
                <w:rFonts w:ascii="Times New Roman" w:hAnsi="Times New Roman" w:cs="Times New Roman"/>
                <w:b/>
                <w:sz w:val="24"/>
                <w:szCs w:val="24"/>
              </w:rPr>
            </w:pPr>
          </w:p>
          <w:p w14:paraId="0259A5D0" w14:textId="77777777" w:rsidR="005572A3" w:rsidRPr="00355E55" w:rsidRDefault="005572A3" w:rsidP="005572A3">
            <w:pPr>
              <w:pStyle w:val="Odsekzoznamu"/>
              <w:widowControl w:val="0"/>
              <w:numPr>
                <w:ilvl w:val="0"/>
                <w:numId w:val="35"/>
              </w:numPr>
              <w:tabs>
                <w:tab w:val="left" w:pos="1068"/>
              </w:tabs>
              <w:autoSpaceDE w:val="0"/>
              <w:autoSpaceDN w:val="0"/>
              <w:adjustRightInd w:val="0"/>
              <w:jc w:val="both"/>
              <w:rPr>
                <w:rFonts w:ascii="Times New Roman" w:hAnsi="Times New Roman" w:cs="Times New Roman"/>
                <w:i/>
                <w:sz w:val="24"/>
                <w:szCs w:val="24"/>
              </w:rPr>
            </w:pPr>
            <w:r w:rsidRPr="00355E55">
              <w:rPr>
                <w:rFonts w:ascii="Times New Roman" w:hAnsi="Times New Roman" w:cs="Times New Roman"/>
                <w:i/>
                <w:sz w:val="24"/>
                <w:szCs w:val="24"/>
              </w:rPr>
              <w:t xml:space="preserve">v primárnom práve </w:t>
            </w:r>
          </w:p>
          <w:p w14:paraId="443ABF5E"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Článok 114 Zmluvy o fungovaní Európskej únie (Hlava III – Aproximácia práva),</w:t>
            </w:r>
          </w:p>
          <w:p w14:paraId="1CCC4E16"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Článok 127 ods. 2 Zmluvy o fungovaní Európskej únie,</w:t>
            </w:r>
          </w:p>
          <w:p w14:paraId="64DC5504"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Článok 181 Zmluvy o fungovaní Európskej únie,</w:t>
            </w:r>
          </w:p>
          <w:p w14:paraId="73B66F0A"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 xml:space="preserve">Článok 12 a článok 22 Protokolu (č. 4) o štatúte Európskeho systému centrálnych bánk a Európskej centrálnej banky,  </w:t>
            </w:r>
          </w:p>
          <w:p w14:paraId="38CEC4C0" w14:textId="77777777" w:rsidR="005572A3" w:rsidRPr="00355E55" w:rsidRDefault="005572A3" w:rsidP="00355E55">
            <w:pPr>
              <w:pStyle w:val="Odsekzoznamu"/>
              <w:ind w:left="1068"/>
              <w:jc w:val="both"/>
              <w:rPr>
                <w:rFonts w:ascii="Times New Roman" w:hAnsi="Times New Roman" w:cs="Times New Roman"/>
                <w:sz w:val="24"/>
                <w:szCs w:val="24"/>
              </w:rPr>
            </w:pPr>
          </w:p>
          <w:p w14:paraId="6F5EC5CD" w14:textId="77777777" w:rsidR="005572A3" w:rsidRPr="00355E55" w:rsidRDefault="005572A3" w:rsidP="005572A3">
            <w:pPr>
              <w:pStyle w:val="Odsekzoznamu"/>
              <w:widowControl w:val="0"/>
              <w:numPr>
                <w:ilvl w:val="0"/>
                <w:numId w:val="35"/>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i/>
                <w:sz w:val="24"/>
                <w:szCs w:val="24"/>
              </w:rPr>
              <w:t>upravená v sekundárnom práve Európskej únie</w:t>
            </w:r>
          </w:p>
          <w:p w14:paraId="21D73153" w14:textId="77777777" w:rsidR="005572A3" w:rsidRPr="00355E55" w:rsidRDefault="005572A3" w:rsidP="00355E55">
            <w:pPr>
              <w:ind w:left="360"/>
              <w:jc w:val="both"/>
              <w:rPr>
                <w:rFonts w:ascii="Times New Roman" w:hAnsi="Times New Roman" w:cs="Times New Roman"/>
                <w:sz w:val="24"/>
                <w:szCs w:val="24"/>
              </w:rPr>
            </w:pPr>
          </w:p>
          <w:p w14:paraId="578C0DB3"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smernica Európskeho parlamentu a Rady (EÚ) 2022/2555 zo 14. decembra 2022 o opatreniach na zabezpečenie vysokej spoločnej úrovne kybernetickej bezpečnosti v Únii, ktorou sa mení nariadenie (EÚ) č. 910/2014 a smernica (EÚ) 2018/1972 a zrušuje smernica (EÚ) 2016/1148 (smernica NIS 2) (Ú. v. EÚ L 333, 27.12.2022) v platnom znení, gestor: Národný bezpečnostný úrad,</w:t>
            </w:r>
          </w:p>
          <w:p w14:paraId="32F66FFC" w14:textId="77777777" w:rsidR="005572A3" w:rsidRPr="00355E55" w:rsidRDefault="005572A3" w:rsidP="00355E55">
            <w:pPr>
              <w:ind w:left="360"/>
              <w:jc w:val="both"/>
              <w:rPr>
                <w:rFonts w:ascii="Times New Roman" w:hAnsi="Times New Roman" w:cs="Times New Roman"/>
                <w:sz w:val="24"/>
                <w:szCs w:val="24"/>
              </w:rPr>
            </w:pPr>
          </w:p>
          <w:p w14:paraId="3332D5DD"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 (Ú. v. EÚ L 151, 7.6.2019), gestor: Národný bezpečnostný úrad,</w:t>
            </w:r>
          </w:p>
          <w:p w14:paraId="4043456B" w14:textId="77777777" w:rsidR="005572A3" w:rsidRPr="00355E55" w:rsidRDefault="005572A3" w:rsidP="00355E55">
            <w:pPr>
              <w:pStyle w:val="Odsekzoznamu"/>
              <w:rPr>
                <w:rFonts w:ascii="Times New Roman" w:hAnsi="Times New Roman" w:cs="Times New Roman"/>
                <w:sz w:val="24"/>
                <w:szCs w:val="24"/>
              </w:rPr>
            </w:pPr>
          </w:p>
          <w:p w14:paraId="6FCAF44F"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(EÚ) č. 648/2012 zo 4. júla 2012 o mimoburzových derivátoch, centrálnych protistranách a archívoch obchodných údajov (Ú. v. EÚ L 201, 27.7.2012) v platnom znení, gestor: Ministerstvo financií Slovenskej republiky, Národná banka Slovenska,</w:t>
            </w:r>
          </w:p>
          <w:p w14:paraId="580B5DC1" w14:textId="77777777" w:rsidR="005572A3" w:rsidRPr="00355E55" w:rsidRDefault="005572A3" w:rsidP="00355E55">
            <w:pPr>
              <w:pStyle w:val="Odsekzoznamu"/>
              <w:rPr>
                <w:rFonts w:ascii="Times New Roman" w:hAnsi="Times New Roman" w:cs="Times New Roman"/>
                <w:sz w:val="24"/>
                <w:szCs w:val="24"/>
              </w:rPr>
            </w:pPr>
          </w:p>
          <w:p w14:paraId="4718940C"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nariadenie Rady (EÚ) č. 1024/2013 z 15. októbra 2013, ktorým sa Európska centrálna banka poveruje osobitnými úlohami, pokiaľ ide o politiky týkajúce sa prudenciálneho dohľadu nad úverovými inštitúciami (Ú. v. EÚ L 287, 29.10.2013), gestor: Ministerstvo financií Slovenskej republiky, Národná banka Slovenska,</w:t>
            </w:r>
          </w:p>
          <w:p w14:paraId="14F46F85" w14:textId="77777777" w:rsidR="005572A3" w:rsidRPr="00355E55" w:rsidRDefault="005572A3" w:rsidP="00355E55">
            <w:pPr>
              <w:pStyle w:val="Odsekzoznamu"/>
              <w:rPr>
                <w:rFonts w:ascii="Times New Roman" w:hAnsi="Times New Roman" w:cs="Times New Roman"/>
                <w:sz w:val="24"/>
                <w:szCs w:val="24"/>
              </w:rPr>
            </w:pPr>
          </w:p>
          <w:p w14:paraId="00670F05"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nariadenie Európskej centrálnej banky (EÚ) č. 795/2014 z 3. júla 2014 o požiadavkách v oblasti dohľadu nad systémovo dôležitými platobnými systémami (Ú. v. EÚ L 217, 23.7.2014) v platnom znení, gestor: Ministerstvo financií Slovenskej republiky, Národná banka Slovenska,</w:t>
            </w:r>
          </w:p>
          <w:p w14:paraId="0CB7F428" w14:textId="77777777" w:rsidR="005572A3" w:rsidRPr="00355E55" w:rsidRDefault="005572A3" w:rsidP="00355E55">
            <w:pPr>
              <w:pStyle w:val="Odsekzoznamu"/>
              <w:rPr>
                <w:rFonts w:ascii="Times New Roman" w:hAnsi="Times New Roman" w:cs="Times New Roman"/>
                <w:sz w:val="24"/>
                <w:szCs w:val="24"/>
              </w:rPr>
            </w:pPr>
          </w:p>
          <w:p w14:paraId="081E64FF"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(EÚ) č. 909/2014 z 23. júla 2014 o zlepšení vyrovnania transakcií s cennými papiermi v Európskej únii, centrálnych depozitároch cenných papierov a o zmene smerníc 98/26/ES a 2014/65/EÚ a nariadenia (EÚ) č. 236/2012 (Ú. v. EÚ L 257, 28.8.2014) v platnom znení, gestor: Ministerstvo financií Slovenskej republiky, Národná banka Slovenska,</w:t>
            </w:r>
          </w:p>
          <w:p w14:paraId="111550EA" w14:textId="77777777" w:rsidR="005572A3" w:rsidRPr="00355E55" w:rsidRDefault="005572A3" w:rsidP="00355E55">
            <w:pPr>
              <w:pStyle w:val="Odsekzoznamu"/>
              <w:rPr>
                <w:rFonts w:ascii="Times New Roman" w:hAnsi="Times New Roman" w:cs="Times New Roman"/>
                <w:sz w:val="24"/>
                <w:szCs w:val="24"/>
              </w:rPr>
            </w:pPr>
          </w:p>
          <w:p w14:paraId="79CDD3C2"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delegované nariadenie Komisie (EÚ) 2017/584 zo 14. júla 2016, ktorým sa dopĺňa smernica Európskeho parlamentu a Rady 2014/65/EÚ, pokiaľ ide o regulačné technické predpisy bližšie určujúce organizačné požiadavky na obchodné miesta (Ú. v. EÚ L 87, 31.3.2017), gestor: Ministerstvo financií Slovenskej republiky, Národná banka Slovenska,</w:t>
            </w:r>
          </w:p>
          <w:p w14:paraId="6841BFF9" w14:textId="77777777" w:rsidR="005572A3" w:rsidRPr="00355E55" w:rsidRDefault="005572A3" w:rsidP="00355E55">
            <w:pPr>
              <w:pStyle w:val="Odsekzoznamu"/>
              <w:rPr>
                <w:rFonts w:ascii="Times New Roman" w:hAnsi="Times New Roman" w:cs="Times New Roman"/>
                <w:sz w:val="24"/>
                <w:szCs w:val="24"/>
              </w:rPr>
            </w:pPr>
          </w:p>
          <w:p w14:paraId="3D6E8F18"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(EÚ) 2022/123 z 25. januára 2022 o posilnenej úlohe Európskej agentúry pre lieky z hľadiska pripravenosti na krízy a krízového riadenia v oblasti liekov a zdravotníckych pomôcok (Ú. v. EÚ L 020 31.1.2022) v platnom znení, gestor: Ministerstvo zdravotníctva Slovenskej republiky,</w:t>
            </w:r>
          </w:p>
          <w:p w14:paraId="55746B2D" w14:textId="77777777" w:rsidR="005572A3" w:rsidRPr="00355E55" w:rsidRDefault="005572A3" w:rsidP="00355E55">
            <w:pPr>
              <w:pStyle w:val="Odsekzoznamu"/>
              <w:rPr>
                <w:rFonts w:ascii="Times New Roman" w:hAnsi="Times New Roman" w:cs="Times New Roman"/>
                <w:sz w:val="24"/>
                <w:szCs w:val="24"/>
              </w:rPr>
            </w:pPr>
          </w:p>
          <w:p w14:paraId="6E4086EB"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(EÚ) 2022/2554 zo 14. decembra 2022 o digitálnej prevádzkovej odolnosti finančného sektora a o zmene nariadení (ES) č. 1060/2009, (EÚ) č. 648/2012, (EÚ) č. 600/2014, (EÚ) č. 909/2014 a (EÚ) 2016/1011 (Ú. v. EÚ L 333, 27.12.2022), gestor: Ministerstvo financií Slovenskej republiky, Národná banka Slovenska,</w:t>
            </w:r>
          </w:p>
          <w:p w14:paraId="3C84E2F4" w14:textId="77777777" w:rsidR="005572A3" w:rsidRPr="00355E55" w:rsidRDefault="005572A3" w:rsidP="00355E55">
            <w:pPr>
              <w:pStyle w:val="Odsekzoznamu"/>
              <w:rPr>
                <w:rFonts w:ascii="Times New Roman" w:hAnsi="Times New Roman" w:cs="Times New Roman"/>
                <w:sz w:val="24"/>
                <w:szCs w:val="24"/>
              </w:rPr>
            </w:pPr>
          </w:p>
          <w:p w14:paraId="51036E9A"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smernica Európskeho parlamentu a Rady 2002/58/ES z 12. júla 2002, týkajúca sa spracovávania osobných údajov a ochrany súkromia v sektore elektronických komunikácií (smernica o súkromí a elektronických komunikáciách) (Ú. v. ES L 201, 31.7.2002; Mimoriadne vydanie Ú. v. EÚ, kap. 13/zv. 29) v platnom znení, gestor: Ministerstvo dopravy a výstavby Slovenskej republiky,</w:t>
            </w:r>
          </w:p>
          <w:p w14:paraId="0BB6DA1F" w14:textId="77777777" w:rsidR="005572A3" w:rsidRPr="00355E55" w:rsidRDefault="005572A3" w:rsidP="00355E55">
            <w:pPr>
              <w:pStyle w:val="Odsekzoznamu"/>
              <w:rPr>
                <w:rFonts w:ascii="Times New Roman" w:hAnsi="Times New Roman" w:cs="Times New Roman"/>
                <w:sz w:val="24"/>
                <w:szCs w:val="24"/>
              </w:rPr>
            </w:pPr>
          </w:p>
          <w:p w14:paraId="00DA9861"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14.11.2012) v platnom znení, gestor: Úrad pre normalizáciu, metrológiu a skúšobníctvo Slovenskej republiky, Ministerstvo práce, sociálnych vecí a rodiny Slovenskej republiky, Ministerstvo hospodárstva Slovenskej republiky,</w:t>
            </w:r>
          </w:p>
          <w:p w14:paraId="5D146ECB" w14:textId="77777777" w:rsidR="005572A3" w:rsidRPr="00355E55" w:rsidRDefault="005572A3" w:rsidP="00355E55">
            <w:pPr>
              <w:pStyle w:val="Odsekzoznamu"/>
              <w:rPr>
                <w:rFonts w:ascii="Times New Roman" w:hAnsi="Times New Roman" w:cs="Times New Roman"/>
                <w:sz w:val="24"/>
                <w:szCs w:val="24"/>
              </w:rPr>
            </w:pPr>
          </w:p>
          <w:p w14:paraId="73EB4C5E"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(ES) č. 549/2004 z 10. marca 2004, ktorým sa stanovuje rámec na vytvorenie jednotného európskeho neba (rámcové nariadenie) (Ú. v. EÚ L 96, 31.3.2004) v platnom znení, gestor: Ministerstvo dopravy Slovenskej republiky,</w:t>
            </w:r>
          </w:p>
          <w:p w14:paraId="24DDA9A9" w14:textId="77777777" w:rsidR="005572A3" w:rsidRPr="00355E55" w:rsidRDefault="005572A3" w:rsidP="00355E55">
            <w:pPr>
              <w:pStyle w:val="Odsekzoznamu"/>
              <w:rPr>
                <w:rFonts w:ascii="Times New Roman" w:hAnsi="Times New Roman" w:cs="Times New Roman"/>
                <w:sz w:val="24"/>
                <w:szCs w:val="24"/>
              </w:rPr>
            </w:pPr>
          </w:p>
          <w:p w14:paraId="66C28771"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 xml:space="preserve">nariadenie Európskeho parlamentu a Rady (ES) č. 1008/2008 z 24. septembra 2008 o spoločných pravidlách prevádzky leteckých dopravných služieb v Spoločenstve (prepracované znenie) (Ú. v. EÚ L 293, 31.10.2008) v platnom </w:t>
            </w:r>
            <w:r w:rsidRPr="00355E55">
              <w:rPr>
                <w:rFonts w:ascii="Times New Roman" w:hAnsi="Times New Roman" w:cs="Times New Roman"/>
                <w:sz w:val="24"/>
                <w:szCs w:val="24"/>
              </w:rPr>
              <w:lastRenderedPageBreak/>
              <w:t>znení, gestor: Ministerstvo dopravy Slovenskej republiky,</w:t>
            </w:r>
          </w:p>
          <w:p w14:paraId="4FD2EC17" w14:textId="77777777" w:rsidR="005572A3" w:rsidRPr="00355E55" w:rsidRDefault="005572A3" w:rsidP="00355E55">
            <w:pPr>
              <w:pStyle w:val="Odsekzoznamu"/>
              <w:rPr>
                <w:rFonts w:ascii="Times New Roman" w:hAnsi="Times New Roman" w:cs="Times New Roman"/>
                <w:sz w:val="24"/>
                <w:szCs w:val="24"/>
              </w:rPr>
            </w:pPr>
          </w:p>
          <w:p w14:paraId="69B819BA"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nariadenie Komisie (EÚ) č. 139/2014 z 12. februára 2014, ktorým sa stanovujú požiadavky a administratívne postupy týkajúce sa letísk podľa nariadenia Európskeho parlamentu a Rady (ES) č. 216/2008 (</w:t>
            </w:r>
            <w:r w:rsidRPr="00355E55">
              <w:rPr>
                <w:rFonts w:ascii="Times New Roman" w:hAnsi="Times New Roman" w:cs="Times New Roman"/>
                <w:iCs/>
                <w:sz w:val="24"/>
                <w:szCs w:val="24"/>
              </w:rPr>
              <w:t>Ú. v. EÚ L 44, 14.2.2014</w:t>
            </w:r>
            <w:r w:rsidRPr="00355E55">
              <w:rPr>
                <w:rFonts w:ascii="Times New Roman" w:hAnsi="Times New Roman" w:cs="Times New Roman"/>
                <w:sz w:val="24"/>
                <w:szCs w:val="24"/>
              </w:rPr>
              <w:t>) v platnom znení, gestor: Ministerstvo dopravy, výstavby a regionálneho rozvoja Slovenskej republiky,</w:t>
            </w:r>
          </w:p>
          <w:p w14:paraId="56BFD993" w14:textId="77777777" w:rsidR="005572A3" w:rsidRPr="00355E55" w:rsidRDefault="005572A3" w:rsidP="00355E55">
            <w:pPr>
              <w:pStyle w:val="Odsekzoznamu"/>
              <w:rPr>
                <w:rFonts w:ascii="Times New Roman" w:hAnsi="Times New Roman" w:cs="Times New Roman"/>
                <w:sz w:val="24"/>
                <w:szCs w:val="24"/>
              </w:rPr>
            </w:pPr>
          </w:p>
          <w:p w14:paraId="190AB08D"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vykonávacie nariadenie Komisie (EÚ) 2015/1998 z 5. novembra 2015, ktorým sa stanovujú podrobné opatrenia na vykonávanie spoločných základných noriem bezpečnostnej ochrany letectva (</w:t>
            </w:r>
            <w:r w:rsidRPr="00355E55">
              <w:rPr>
                <w:rFonts w:ascii="Times New Roman" w:hAnsi="Times New Roman" w:cs="Times New Roman"/>
                <w:iCs/>
                <w:sz w:val="24"/>
                <w:szCs w:val="24"/>
              </w:rPr>
              <w:t>Ú. v. EÚ L 299, 14.11.2015</w:t>
            </w:r>
            <w:r w:rsidRPr="00355E55">
              <w:rPr>
                <w:rFonts w:ascii="Times New Roman" w:hAnsi="Times New Roman" w:cs="Times New Roman"/>
                <w:sz w:val="24"/>
                <w:szCs w:val="24"/>
              </w:rPr>
              <w:t>) v platnom znení, gestor: Ministerstvo dopravy, výstavby a regionálneho rozvoja Slovenskej republiky, Ministerstvo financií Slovenskej republiky, Národná banka Slovenska</w:t>
            </w:r>
          </w:p>
          <w:p w14:paraId="4A23C406" w14:textId="77777777" w:rsidR="005572A3" w:rsidRPr="00355E55" w:rsidRDefault="005572A3" w:rsidP="00355E55">
            <w:pPr>
              <w:pStyle w:val="Odsekzoznamu"/>
              <w:rPr>
                <w:rFonts w:ascii="Times New Roman" w:hAnsi="Times New Roman" w:cs="Times New Roman"/>
                <w:sz w:val="24"/>
                <w:szCs w:val="24"/>
              </w:rPr>
            </w:pPr>
          </w:p>
          <w:p w14:paraId="5923F9DD"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vykonávacie Nariadenie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w:t>
            </w:r>
            <w:r w:rsidRPr="00355E55">
              <w:rPr>
                <w:rFonts w:ascii="Times New Roman" w:hAnsi="Times New Roman" w:cs="Times New Roman"/>
                <w:iCs/>
                <w:sz w:val="24"/>
                <w:szCs w:val="24"/>
              </w:rPr>
              <w:t>Ú. v. EÚ L 62, 8.3.2017</w:t>
            </w:r>
            <w:r w:rsidRPr="00355E55">
              <w:rPr>
                <w:rFonts w:ascii="Times New Roman" w:hAnsi="Times New Roman" w:cs="Times New Roman"/>
                <w:sz w:val="24"/>
                <w:szCs w:val="24"/>
              </w:rPr>
              <w:t>) v platnom znení, gestor: Ministerstvo dopravy a výstavby Slovenskej republiky,</w:t>
            </w:r>
          </w:p>
          <w:p w14:paraId="54356B66" w14:textId="77777777" w:rsidR="005572A3" w:rsidRPr="00355E55" w:rsidRDefault="005572A3" w:rsidP="00355E55">
            <w:pPr>
              <w:pStyle w:val="Odsekzoznamu"/>
              <w:rPr>
                <w:rFonts w:ascii="Times New Roman" w:hAnsi="Times New Roman" w:cs="Times New Roman"/>
                <w:sz w:val="24"/>
                <w:szCs w:val="24"/>
              </w:rPr>
            </w:pPr>
          </w:p>
          <w:p w14:paraId="20661946"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(EÚ) č.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w:t>
            </w:r>
            <w:r w:rsidRPr="00355E55">
              <w:rPr>
                <w:rFonts w:ascii="Times New Roman" w:hAnsi="Times New Roman" w:cs="Times New Roman"/>
                <w:iCs/>
                <w:sz w:val="24"/>
                <w:szCs w:val="24"/>
              </w:rPr>
              <w:t>Ú. v. EÚ L 212, 22.8.2018</w:t>
            </w:r>
            <w:r w:rsidRPr="00355E55">
              <w:rPr>
                <w:rFonts w:ascii="Times New Roman" w:hAnsi="Times New Roman" w:cs="Times New Roman"/>
                <w:sz w:val="24"/>
                <w:szCs w:val="24"/>
              </w:rPr>
              <w:t xml:space="preserve">) v platnom znení, gestor: Ministerstvo dopravy a výstavby Slovenskej republiky, Úrad pre normalizáciu, metrológiu a skúšobníctvo Slovenskej republiky, Dopravný úrad, </w:t>
            </w:r>
          </w:p>
          <w:p w14:paraId="07E45784" w14:textId="77777777" w:rsidR="005572A3" w:rsidRPr="00355E55" w:rsidRDefault="005572A3" w:rsidP="00355E55">
            <w:pPr>
              <w:pStyle w:val="Odsekzoznamu"/>
              <w:rPr>
                <w:rFonts w:ascii="Times New Roman" w:hAnsi="Times New Roman" w:cs="Times New Roman"/>
                <w:sz w:val="24"/>
                <w:szCs w:val="24"/>
              </w:rPr>
            </w:pPr>
          </w:p>
          <w:p w14:paraId="5DFE288F"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delegované nariadenie Komisie (EÚ) 2022/1645 zo 14. júla 2022, ktorým sa stanovujú pravidlá uplatňovania nariadenia Európskeho parlamentu a Rady (EÚ) 2018/1139, pokiaľ ide o požiadavky na riadenie rizík v oblasti informačnej bezpečnosti s potenciálnym vplyvom na bezpečnosť letectva pre organizácie, na ktoré sa vzťahujú nariadenia Komisie (EÚ) č. 748/2012 a (EÚ) č. 139/2014, a ktorým sa menia nariadenia Komisie (EÚ) č. 748/2012 a (EÚ) č. 139/2014 (</w:t>
            </w:r>
            <w:r w:rsidRPr="00355E55">
              <w:rPr>
                <w:rFonts w:ascii="Times New Roman" w:hAnsi="Times New Roman" w:cs="Times New Roman"/>
                <w:iCs/>
                <w:sz w:val="24"/>
                <w:szCs w:val="24"/>
              </w:rPr>
              <w:t>Ú. v. EÚ L 248, 26.9.2022</w:t>
            </w:r>
            <w:r w:rsidRPr="00355E55">
              <w:rPr>
                <w:rFonts w:ascii="Times New Roman" w:hAnsi="Times New Roman" w:cs="Times New Roman"/>
                <w:sz w:val="24"/>
                <w:szCs w:val="24"/>
              </w:rPr>
              <w:t>), gestor: Ministerstvo dopravy Slovenskej republiky, Dopravný úrad,</w:t>
            </w:r>
          </w:p>
          <w:p w14:paraId="7A66EC55" w14:textId="77777777" w:rsidR="005572A3" w:rsidRPr="00355E55" w:rsidRDefault="005572A3" w:rsidP="00355E55">
            <w:pPr>
              <w:pStyle w:val="Odsekzoznamu"/>
              <w:rPr>
                <w:rFonts w:ascii="Times New Roman" w:hAnsi="Times New Roman" w:cs="Times New Roman"/>
                <w:sz w:val="24"/>
                <w:szCs w:val="24"/>
              </w:rPr>
            </w:pPr>
          </w:p>
          <w:p w14:paraId="598578C8"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vykonávacie nariadenie Komisie (EÚ) 2023/1769 z 12. septembra 2023, ktorým sa stanovujú technické požiadavky a administratívne postupy schvaľovania organizácií, ktoré sa podieľajú na projektovaní alebo výrobe systémov a komponentov manažmentu letovej prevádzky/leteckých navigačných služieb, a ktorým sa mení vykonávacie nariadenie (EÚ) 2023/203 (</w:t>
            </w:r>
            <w:r w:rsidRPr="00355E55">
              <w:rPr>
                <w:rFonts w:ascii="Times New Roman" w:hAnsi="Times New Roman" w:cs="Times New Roman"/>
                <w:iCs/>
                <w:sz w:val="24"/>
                <w:szCs w:val="24"/>
              </w:rPr>
              <w:t>Ú. v. EÚ L 228, 15.9.2023</w:t>
            </w:r>
            <w:r w:rsidRPr="00355E55">
              <w:rPr>
                <w:rFonts w:ascii="Times New Roman" w:hAnsi="Times New Roman" w:cs="Times New Roman"/>
                <w:sz w:val="24"/>
                <w:szCs w:val="24"/>
              </w:rPr>
              <w:t>), gestor: Ministerstvo dopravy Slovenskej republiky, Dopravný úrad,</w:t>
            </w:r>
          </w:p>
          <w:p w14:paraId="70776CE4" w14:textId="77777777" w:rsidR="005572A3" w:rsidRPr="00355E55" w:rsidRDefault="005572A3" w:rsidP="00355E55">
            <w:pPr>
              <w:pStyle w:val="Odsekzoznamu"/>
              <w:rPr>
                <w:rFonts w:ascii="Times New Roman" w:hAnsi="Times New Roman" w:cs="Times New Roman"/>
                <w:sz w:val="24"/>
                <w:szCs w:val="24"/>
              </w:rPr>
            </w:pPr>
          </w:p>
          <w:p w14:paraId="309957AC" w14:textId="77777777" w:rsidR="005572A3" w:rsidRPr="00355E55" w:rsidRDefault="005572A3" w:rsidP="005572A3">
            <w:pPr>
              <w:pStyle w:val="Odsekzoznamu"/>
              <w:widowControl w:val="0"/>
              <w:numPr>
                <w:ilvl w:val="0"/>
                <w:numId w:val="36"/>
              </w:numPr>
              <w:autoSpaceDE w:val="0"/>
              <w:autoSpaceDN w:val="0"/>
              <w:adjustRightInd w:val="0"/>
              <w:jc w:val="both"/>
              <w:rPr>
                <w:rFonts w:ascii="Times New Roman" w:hAnsi="Times New Roman" w:cs="Times New Roman"/>
                <w:sz w:val="24"/>
                <w:szCs w:val="24"/>
              </w:rPr>
            </w:pPr>
            <w:r w:rsidRPr="00355E55">
              <w:rPr>
                <w:rFonts w:ascii="Times New Roman" w:hAnsi="Times New Roman" w:cs="Times New Roman"/>
                <w:sz w:val="24"/>
                <w:szCs w:val="24"/>
              </w:rPr>
              <w:t xml:space="preserve">nariadenie Európskeho parlamentu a Rady (EÚ) č. 575/2013 z  26. júna 2013 </w:t>
            </w:r>
            <w:r w:rsidRPr="00355E55">
              <w:rPr>
                <w:rFonts w:ascii="Times New Roman" w:hAnsi="Times New Roman" w:cs="Times New Roman"/>
                <w:sz w:val="24"/>
                <w:szCs w:val="24"/>
              </w:rPr>
              <w:lastRenderedPageBreak/>
              <w:t>o prudenciálnych požiadavkách na úverové inštitúcie a investičné spoločnosti a o zmene nariadenia (EÚ) č. 648/2012 (</w:t>
            </w:r>
            <w:r w:rsidRPr="00355E55">
              <w:rPr>
                <w:rFonts w:ascii="Times New Roman" w:hAnsi="Times New Roman" w:cs="Times New Roman"/>
                <w:iCs/>
                <w:sz w:val="24"/>
                <w:szCs w:val="24"/>
              </w:rPr>
              <w:t>Ú. v. EÚ L 176, 27.6.2013</w:t>
            </w:r>
            <w:r w:rsidRPr="00355E55">
              <w:rPr>
                <w:rFonts w:ascii="Times New Roman" w:hAnsi="Times New Roman" w:cs="Times New Roman"/>
                <w:sz w:val="24"/>
                <w:szCs w:val="24"/>
              </w:rPr>
              <w:t>) v platnom znení, gestor: Ministerstvo financií Slovenskej republiky, Národná banka Slovenska,</w:t>
            </w:r>
          </w:p>
          <w:p w14:paraId="05C52A3E" w14:textId="77777777" w:rsidR="005572A3" w:rsidRPr="00355E55" w:rsidRDefault="005572A3" w:rsidP="00355E55">
            <w:pPr>
              <w:jc w:val="both"/>
              <w:rPr>
                <w:rFonts w:ascii="Times New Roman" w:hAnsi="Times New Roman" w:cs="Times New Roman"/>
                <w:sz w:val="24"/>
                <w:szCs w:val="24"/>
              </w:rPr>
            </w:pPr>
          </w:p>
          <w:p w14:paraId="77F24E4F" w14:textId="77777777" w:rsidR="005572A3" w:rsidRPr="00355E55" w:rsidRDefault="005572A3" w:rsidP="00355E55">
            <w:pPr>
              <w:ind w:left="360"/>
              <w:jc w:val="both"/>
              <w:rPr>
                <w:rFonts w:ascii="Times New Roman" w:hAnsi="Times New Roman" w:cs="Times New Roman"/>
                <w:sz w:val="24"/>
                <w:szCs w:val="24"/>
              </w:rPr>
            </w:pPr>
          </w:p>
          <w:p w14:paraId="25B318F9" w14:textId="77777777" w:rsidR="005572A3" w:rsidRPr="00355E55" w:rsidRDefault="005572A3" w:rsidP="005572A3">
            <w:pPr>
              <w:pStyle w:val="Odsekzoznamu"/>
              <w:widowControl w:val="0"/>
              <w:numPr>
                <w:ilvl w:val="0"/>
                <w:numId w:val="35"/>
              </w:numPr>
              <w:autoSpaceDE w:val="0"/>
              <w:autoSpaceDN w:val="0"/>
              <w:adjustRightInd w:val="0"/>
              <w:jc w:val="both"/>
              <w:rPr>
                <w:rFonts w:ascii="Times New Roman" w:hAnsi="Times New Roman" w:cs="Times New Roman"/>
                <w:i/>
                <w:sz w:val="24"/>
                <w:szCs w:val="24"/>
              </w:rPr>
            </w:pPr>
            <w:r w:rsidRPr="00355E55">
              <w:rPr>
                <w:rFonts w:ascii="Times New Roman" w:hAnsi="Times New Roman" w:cs="Times New Roman"/>
                <w:i/>
                <w:sz w:val="24"/>
                <w:szCs w:val="24"/>
              </w:rPr>
              <w:t>nie je obsiahnutý v judikatúre Súdneho dvora Európskej únie.</w:t>
            </w:r>
          </w:p>
          <w:p w14:paraId="62D1CE10" w14:textId="77777777" w:rsidR="005572A3" w:rsidRPr="00355E55" w:rsidRDefault="005572A3" w:rsidP="00355E55">
            <w:pPr>
              <w:tabs>
                <w:tab w:val="left" w:pos="360"/>
              </w:tabs>
              <w:rPr>
                <w:rFonts w:ascii="Times New Roman" w:hAnsi="Times New Roman" w:cs="Times New Roman"/>
                <w:sz w:val="24"/>
                <w:szCs w:val="24"/>
              </w:rPr>
            </w:pPr>
          </w:p>
        </w:tc>
      </w:tr>
    </w:tbl>
    <w:p w14:paraId="6521A811" w14:textId="77777777" w:rsidR="005572A3" w:rsidRPr="00355E55" w:rsidRDefault="005572A3" w:rsidP="005572A3">
      <w:pPr>
        <w:tabs>
          <w:tab w:val="left" w:pos="360"/>
        </w:tabs>
        <w:jc w:val="both"/>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454"/>
        <w:gridCol w:w="272"/>
        <w:gridCol w:w="8346"/>
      </w:tblGrid>
      <w:tr w:rsidR="005572A3" w:rsidRPr="00355E55" w14:paraId="3BA7B4A0" w14:textId="77777777" w:rsidTr="00355E55">
        <w:trPr>
          <w:jc w:val="center"/>
        </w:trPr>
        <w:tc>
          <w:tcPr>
            <w:tcW w:w="250" w:type="pct"/>
            <w:tcBorders>
              <w:top w:val="nil"/>
              <w:left w:val="nil"/>
              <w:bottom w:val="nil"/>
              <w:right w:val="nil"/>
            </w:tcBorders>
            <w:hideMark/>
          </w:tcPr>
          <w:p w14:paraId="57397056" w14:textId="77777777" w:rsidR="005572A3" w:rsidRPr="00355E55" w:rsidRDefault="005572A3" w:rsidP="00355E55">
            <w:pPr>
              <w:rPr>
                <w:rFonts w:ascii="Times New Roman" w:hAnsi="Times New Roman" w:cs="Times New Roman"/>
                <w:b/>
                <w:bCs/>
                <w:sz w:val="24"/>
                <w:szCs w:val="24"/>
              </w:rPr>
            </w:pPr>
            <w:r w:rsidRPr="00355E55">
              <w:rPr>
                <w:rFonts w:ascii="Times New Roman" w:hAnsi="Times New Roman" w:cs="Times New Roman"/>
                <w:b/>
                <w:bCs/>
                <w:sz w:val="24"/>
                <w:szCs w:val="24"/>
              </w:rPr>
              <w:t>4.</w:t>
            </w:r>
          </w:p>
        </w:tc>
        <w:tc>
          <w:tcPr>
            <w:tcW w:w="4750" w:type="pct"/>
            <w:gridSpan w:val="2"/>
            <w:tcBorders>
              <w:top w:val="nil"/>
              <w:left w:val="nil"/>
              <w:bottom w:val="nil"/>
              <w:right w:val="nil"/>
            </w:tcBorders>
            <w:vAlign w:val="center"/>
            <w:hideMark/>
          </w:tcPr>
          <w:p w14:paraId="51977D1D" w14:textId="77777777" w:rsidR="005572A3" w:rsidRPr="00355E55" w:rsidRDefault="005572A3" w:rsidP="00355E55">
            <w:pPr>
              <w:spacing w:after="250"/>
              <w:rPr>
                <w:rFonts w:ascii="Times New Roman" w:hAnsi="Times New Roman" w:cs="Times New Roman"/>
                <w:b/>
                <w:bCs/>
                <w:sz w:val="24"/>
                <w:szCs w:val="24"/>
              </w:rPr>
            </w:pPr>
            <w:r w:rsidRPr="00355E55">
              <w:rPr>
                <w:rFonts w:ascii="Times New Roman" w:hAnsi="Times New Roman" w:cs="Times New Roman"/>
                <w:b/>
                <w:bCs/>
                <w:sz w:val="24"/>
                <w:szCs w:val="24"/>
              </w:rPr>
              <w:t>Záväzky Slovenskej republiky vo vzťahu k Európskej únii:</w:t>
            </w:r>
          </w:p>
        </w:tc>
      </w:tr>
      <w:tr w:rsidR="005572A3" w:rsidRPr="00355E55" w14:paraId="19694B6D" w14:textId="77777777" w:rsidTr="00355E55">
        <w:trPr>
          <w:jc w:val="center"/>
        </w:trPr>
        <w:tc>
          <w:tcPr>
            <w:tcW w:w="0" w:type="auto"/>
            <w:tcBorders>
              <w:top w:val="nil"/>
              <w:left w:val="nil"/>
              <w:bottom w:val="nil"/>
              <w:right w:val="nil"/>
            </w:tcBorders>
            <w:hideMark/>
          </w:tcPr>
          <w:p w14:paraId="2BC937F7" w14:textId="77777777" w:rsidR="005572A3" w:rsidRPr="00355E55" w:rsidRDefault="005572A3" w:rsidP="00355E55">
            <w:pPr>
              <w:spacing w:after="250"/>
              <w:rPr>
                <w:rFonts w:ascii="Times New Roman" w:hAnsi="Times New Roman" w:cs="Times New Roman"/>
                <w:b/>
                <w:bCs/>
                <w:sz w:val="24"/>
                <w:szCs w:val="24"/>
              </w:rPr>
            </w:pPr>
          </w:p>
        </w:tc>
        <w:tc>
          <w:tcPr>
            <w:tcW w:w="150" w:type="pct"/>
            <w:tcBorders>
              <w:top w:val="nil"/>
              <w:left w:val="nil"/>
              <w:bottom w:val="nil"/>
              <w:right w:val="nil"/>
            </w:tcBorders>
            <w:hideMark/>
          </w:tcPr>
          <w:p w14:paraId="6174D067" w14:textId="77777777" w:rsidR="005572A3" w:rsidRPr="00355E55" w:rsidRDefault="005572A3" w:rsidP="00355E55">
            <w:pPr>
              <w:rPr>
                <w:rFonts w:ascii="Times New Roman" w:hAnsi="Times New Roman" w:cs="Times New Roman"/>
                <w:sz w:val="24"/>
                <w:szCs w:val="24"/>
              </w:rPr>
            </w:pPr>
            <w:r w:rsidRPr="00355E55">
              <w:rPr>
                <w:rFonts w:ascii="Times New Roman" w:hAnsi="Times New Roman" w:cs="Times New Roman"/>
                <w:sz w:val="24"/>
                <w:szCs w:val="24"/>
              </w:rPr>
              <w:t>a)</w:t>
            </w:r>
          </w:p>
        </w:tc>
        <w:tc>
          <w:tcPr>
            <w:tcW w:w="0" w:type="auto"/>
            <w:tcBorders>
              <w:top w:val="nil"/>
              <w:left w:val="nil"/>
              <w:bottom w:val="nil"/>
              <w:right w:val="nil"/>
            </w:tcBorders>
            <w:vAlign w:val="center"/>
            <w:hideMark/>
          </w:tcPr>
          <w:p w14:paraId="596BD8CE" w14:textId="77777777" w:rsidR="005572A3" w:rsidRPr="00355E55" w:rsidRDefault="005572A3" w:rsidP="00355E55">
            <w:pPr>
              <w:spacing w:after="250"/>
              <w:rPr>
                <w:rFonts w:ascii="Times New Roman" w:hAnsi="Times New Roman" w:cs="Times New Roman"/>
                <w:sz w:val="24"/>
                <w:szCs w:val="24"/>
              </w:rPr>
            </w:pPr>
            <w:r w:rsidRPr="00355E55">
              <w:rPr>
                <w:rFonts w:ascii="Times New Roman" w:hAnsi="Times New Roman" w:cs="Times New Roman"/>
                <w:sz w:val="24"/>
                <w:szCs w:val="24"/>
              </w:rPr>
              <w:t>lehota na prebratie smernice alebo lehota na implementáciu nariadenia alebo rozhodnutia</w:t>
            </w:r>
          </w:p>
        </w:tc>
      </w:tr>
      <w:tr w:rsidR="005572A3" w:rsidRPr="00355E55" w14:paraId="75C5C2BF" w14:textId="77777777" w:rsidTr="00355E55">
        <w:trPr>
          <w:jc w:val="center"/>
        </w:trPr>
        <w:tc>
          <w:tcPr>
            <w:tcW w:w="0" w:type="auto"/>
            <w:tcBorders>
              <w:top w:val="nil"/>
              <w:left w:val="nil"/>
              <w:bottom w:val="nil"/>
              <w:right w:val="nil"/>
            </w:tcBorders>
            <w:hideMark/>
          </w:tcPr>
          <w:p w14:paraId="777F6059" w14:textId="77777777" w:rsidR="005572A3" w:rsidRPr="00355E55" w:rsidRDefault="005572A3" w:rsidP="00355E55">
            <w:pPr>
              <w:spacing w:after="250"/>
              <w:rPr>
                <w:rFonts w:ascii="Times New Roman" w:hAnsi="Times New Roman" w:cs="Times New Roman"/>
                <w:sz w:val="24"/>
                <w:szCs w:val="24"/>
              </w:rPr>
            </w:pPr>
          </w:p>
        </w:tc>
        <w:tc>
          <w:tcPr>
            <w:tcW w:w="0" w:type="auto"/>
            <w:tcBorders>
              <w:top w:val="nil"/>
              <w:left w:val="nil"/>
              <w:bottom w:val="nil"/>
              <w:right w:val="nil"/>
            </w:tcBorders>
            <w:hideMark/>
          </w:tcPr>
          <w:p w14:paraId="6CA028AC" w14:textId="77777777" w:rsidR="005572A3" w:rsidRPr="00355E55" w:rsidRDefault="005572A3" w:rsidP="00355E55">
            <w:pPr>
              <w:spacing w:after="250"/>
              <w:jc w:val="both"/>
              <w:rPr>
                <w:rFonts w:ascii="Times New Roman" w:hAnsi="Times New Roman" w:cs="Times New Roman"/>
                <w:sz w:val="24"/>
                <w:szCs w:val="24"/>
              </w:rPr>
            </w:pPr>
          </w:p>
        </w:tc>
        <w:tc>
          <w:tcPr>
            <w:tcW w:w="0" w:type="auto"/>
            <w:tcBorders>
              <w:top w:val="nil"/>
              <w:left w:val="nil"/>
              <w:bottom w:val="nil"/>
              <w:right w:val="nil"/>
            </w:tcBorders>
            <w:vAlign w:val="center"/>
            <w:hideMark/>
          </w:tcPr>
          <w:p w14:paraId="57452F84" w14:textId="77777777" w:rsidR="005572A3" w:rsidRPr="00355E55" w:rsidRDefault="005572A3" w:rsidP="00355E55">
            <w:pPr>
              <w:spacing w:after="250"/>
              <w:jc w:val="both"/>
              <w:rPr>
                <w:rFonts w:ascii="Times New Roman" w:hAnsi="Times New Roman" w:cs="Times New Roman"/>
                <w:sz w:val="24"/>
                <w:szCs w:val="24"/>
              </w:rPr>
            </w:pPr>
            <w:r w:rsidRPr="00355E55">
              <w:rPr>
                <w:rFonts w:ascii="Times New Roman" w:hAnsi="Times New Roman" w:cs="Times New Roman"/>
                <w:sz w:val="24"/>
                <w:szCs w:val="24"/>
              </w:rPr>
              <w:t>Členské štáty prijmú a uverejnia do 17. októbra 2024 opatrenia potrebné na dosiahnutie súladu so smernicou Európskeho parlamentu a Rady (EÚ) 2022/2555 zo 14. decembra 2022 o opatreniach na zabezpečenie vysokej spoločnej úrovne kybernetickej bezpečnosti v Únii, ktorou sa mení nariadenie (EÚ) č. 910/2014 a smernica (EÚ) 2018/1972 a zrušuje smernica (EÚ) 2016/1148 (smernica NIS 2) (Ú. v. EÚ L 151, 7.6.2019).</w:t>
            </w:r>
          </w:p>
          <w:p w14:paraId="143CBD7D" w14:textId="77777777" w:rsidR="005572A3" w:rsidRPr="00355E55" w:rsidRDefault="005572A3" w:rsidP="00355E55">
            <w:pPr>
              <w:spacing w:after="250"/>
              <w:jc w:val="both"/>
              <w:rPr>
                <w:rFonts w:ascii="Times New Roman" w:hAnsi="Times New Roman" w:cs="Times New Roman"/>
                <w:sz w:val="24"/>
                <w:szCs w:val="24"/>
              </w:rPr>
            </w:pPr>
            <w:r w:rsidRPr="00355E55">
              <w:rPr>
                <w:rFonts w:ascii="Times New Roman" w:hAnsi="Times New Roman" w:cs="Times New Roman"/>
                <w:sz w:val="24"/>
                <w:szCs w:val="24"/>
              </w:rPr>
              <w:t>V súvislosti s nariadením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 články 58, 60, 61, 63, 64, a 65 sa uplatňujú od 28. júna 2021.</w:t>
            </w:r>
          </w:p>
          <w:p w14:paraId="793E126A" w14:textId="77777777" w:rsidR="005572A3" w:rsidRPr="00355E55" w:rsidRDefault="005572A3" w:rsidP="00355E55">
            <w:pPr>
              <w:spacing w:after="250"/>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(EÚ) č. 648/2012 zo 4. júla 2012 o mimoburzových derivátoch, centrálnych protistranách a archívoch obchodných údajov (Ú. V. EÚ L 201, 27.7.2012) v platnom znení, účinné od 16. augusta 2012.</w:t>
            </w:r>
          </w:p>
          <w:p w14:paraId="5D555A93" w14:textId="77777777" w:rsidR="005572A3" w:rsidRPr="00355E55" w:rsidRDefault="005572A3" w:rsidP="00355E55">
            <w:pPr>
              <w:spacing w:after="250"/>
              <w:jc w:val="both"/>
              <w:rPr>
                <w:rFonts w:ascii="Times New Roman" w:hAnsi="Times New Roman" w:cs="Times New Roman"/>
                <w:sz w:val="24"/>
                <w:szCs w:val="24"/>
              </w:rPr>
            </w:pPr>
            <w:r w:rsidRPr="00355E55">
              <w:rPr>
                <w:rFonts w:ascii="Times New Roman" w:hAnsi="Times New Roman" w:cs="Times New Roman"/>
                <w:sz w:val="24"/>
                <w:szCs w:val="24"/>
              </w:rPr>
              <w:t>Nariadenie Rady (EÚ) č. 1024/2013 z 15. októbra 2013, ktorým sa Európska centrálna banka poveruje osobitnými úlohami, pokiaľ ide o politiky týkajúce sa prudenciálneho dohľadu nad úverovými inštitúciami (Ú. V. EÚ L 287, 29.10.2013), účinné od 3. novembra 2013.</w:t>
            </w:r>
          </w:p>
          <w:p w14:paraId="2E80B32A" w14:textId="77777777" w:rsidR="005572A3" w:rsidRPr="00355E55" w:rsidRDefault="005572A3" w:rsidP="00355E55">
            <w:pPr>
              <w:spacing w:after="250"/>
              <w:jc w:val="both"/>
              <w:rPr>
                <w:rFonts w:ascii="Times New Roman" w:hAnsi="Times New Roman" w:cs="Times New Roman"/>
                <w:sz w:val="24"/>
                <w:szCs w:val="24"/>
              </w:rPr>
            </w:pPr>
            <w:r w:rsidRPr="00355E55">
              <w:rPr>
                <w:rFonts w:ascii="Times New Roman" w:hAnsi="Times New Roman" w:cs="Times New Roman"/>
                <w:sz w:val="24"/>
                <w:szCs w:val="24"/>
              </w:rPr>
              <w:t>Nariadenie Európskej centrálnej banky (EÚ) č. 795/2014 z 3. júla 2014 o požiadavkách v oblasti dohľadu nad systémovo dôležitými platobnými systémami (Ú. v. EÚ L 217, 23.7.2014) v platnom znení, účinné od 12. augusta 2014.</w:t>
            </w:r>
          </w:p>
          <w:p w14:paraId="1A660C1B" w14:textId="77777777" w:rsidR="005572A3" w:rsidRPr="00355E55" w:rsidRDefault="005572A3" w:rsidP="00355E55">
            <w:pPr>
              <w:spacing w:after="250"/>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(EÚ) č. 909/2014 z 23. júla 2014 o zlepšení vyrovnania transakcií s cennými papiermi v Európskej únii, centrálnych depozitároch cenných papierov a o zmene smerníc 98/26/ES a 2014/65/EÚ a nariadenia (EÚ) č. 236/2012 (Ú. v. EÚ L 257, 28.8.2014) v platnom znení, účinné od 17. septembra 2014.</w:t>
            </w:r>
          </w:p>
          <w:p w14:paraId="57EB23FA" w14:textId="77777777" w:rsidR="005572A3" w:rsidRPr="00355E55" w:rsidRDefault="005572A3" w:rsidP="00355E55">
            <w:pPr>
              <w:spacing w:after="250"/>
              <w:jc w:val="both"/>
              <w:rPr>
                <w:rFonts w:ascii="Times New Roman" w:hAnsi="Times New Roman" w:cs="Times New Roman"/>
                <w:sz w:val="24"/>
                <w:szCs w:val="24"/>
              </w:rPr>
            </w:pPr>
            <w:r w:rsidRPr="00355E55">
              <w:rPr>
                <w:rFonts w:ascii="Times New Roman" w:hAnsi="Times New Roman" w:cs="Times New Roman"/>
                <w:sz w:val="24"/>
                <w:szCs w:val="24"/>
              </w:rPr>
              <w:t xml:space="preserve">Delegované nariadenie Komisie (EÚ) 2017/584 zo 14. júla 2016, ktorým sa dopĺňa smernica Európskeho parlamentu a Rady 2014/65/EÚ, pokiaľ ide o regulačné technické </w:t>
            </w:r>
            <w:r w:rsidRPr="00355E55">
              <w:rPr>
                <w:rFonts w:ascii="Times New Roman" w:hAnsi="Times New Roman" w:cs="Times New Roman"/>
                <w:sz w:val="24"/>
                <w:szCs w:val="24"/>
              </w:rPr>
              <w:lastRenderedPageBreak/>
              <w:t>predpisy bližšie určujúce organizačné požiadavky na obchodné miesta (Ú. v. EÚ L 87, 31. 3. 2017), účinné od 20. apríla 2017.</w:t>
            </w:r>
          </w:p>
          <w:p w14:paraId="72D00230" w14:textId="77777777" w:rsidR="005572A3" w:rsidRPr="00355E55" w:rsidRDefault="005572A3" w:rsidP="00355E55">
            <w:pPr>
              <w:spacing w:after="250"/>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(EÚ) 2022/123 z 25. januára 2022 o posilnenej úlohe Európskej agentúry pre lieky z hľadiska pripravenosti na krízy a krízového riadenia v oblasti liekov a zdravotníckych pomôcok (Ú. v. EÚ L 020 31.1.2022) v platnom znení, účinné od 1. februára 2022.</w:t>
            </w:r>
          </w:p>
          <w:p w14:paraId="30F0D982" w14:textId="77777777" w:rsidR="005572A3" w:rsidRPr="00355E55" w:rsidRDefault="005572A3" w:rsidP="00355E55">
            <w:pPr>
              <w:spacing w:after="250"/>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(EÚ) 2022/2554 zo 14. decembra 2022 o digitálnej prevádzkovej odolnosti finančného sektora a o zmene nariadení (ES) č. 1060/2009, (EÚ) č. 648/2012, (EÚ) č. 600/2014, (EÚ) č. 909/2014 a (EÚ) 2016/1011 (Ú. v. EÚ L 333, 27.12.2022), účinné od 16. januára 2023.</w:t>
            </w:r>
          </w:p>
          <w:p w14:paraId="22D523A0" w14:textId="77777777" w:rsidR="005572A3" w:rsidRPr="00355E55" w:rsidRDefault="005572A3" w:rsidP="00355E55">
            <w:pPr>
              <w:jc w:val="both"/>
              <w:rPr>
                <w:rFonts w:ascii="Times New Roman" w:hAnsi="Times New Roman" w:cs="Times New Roman"/>
                <w:sz w:val="24"/>
                <w:szCs w:val="24"/>
              </w:rPr>
            </w:pPr>
            <w:r w:rsidRPr="00355E55">
              <w:rPr>
                <w:rFonts w:ascii="Times New Roman" w:hAnsi="Times New Roman" w:cs="Times New Roman"/>
                <w:sz w:val="24"/>
                <w:szCs w:val="24"/>
              </w:rPr>
              <w:t>Členské štáty do 31. októbra 2003 prijmú opatrenia potrebné na dosiahnutie súladu s touto smernicou Európskeho parlamentu a Rady 2002/58/ES z 12. júla 2002, týkajúca sa spracovávania osobných údajov a ochrany súkromia v sektore elektronických komunikácií (smernica o súkromí a elektronických komunikáciách) (Ú. v. ES L 201, 31.7.2002; Mimoriadne vydanie Ú. v. EÚ, kap. 13/zv. 29) v platnom znení.</w:t>
            </w:r>
          </w:p>
          <w:p w14:paraId="65C46AF8" w14:textId="77777777" w:rsidR="005572A3" w:rsidRPr="00355E55" w:rsidRDefault="005572A3" w:rsidP="00355E55">
            <w:pPr>
              <w:jc w:val="both"/>
              <w:rPr>
                <w:rFonts w:ascii="Times New Roman" w:hAnsi="Times New Roman" w:cs="Times New Roman"/>
                <w:sz w:val="24"/>
                <w:szCs w:val="24"/>
              </w:rPr>
            </w:pPr>
          </w:p>
          <w:p w14:paraId="3B488EA0" w14:textId="77777777" w:rsidR="005572A3" w:rsidRPr="00355E55" w:rsidRDefault="005572A3" w:rsidP="00355E55">
            <w:pPr>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14.11.2012) v platnom znení, účinné od 04.12.2012.</w:t>
            </w:r>
          </w:p>
          <w:p w14:paraId="6994647E" w14:textId="77777777" w:rsidR="005572A3" w:rsidRPr="00355E55" w:rsidRDefault="005572A3" w:rsidP="00355E55">
            <w:pPr>
              <w:jc w:val="both"/>
              <w:rPr>
                <w:rFonts w:ascii="Times New Roman" w:hAnsi="Times New Roman" w:cs="Times New Roman"/>
                <w:sz w:val="24"/>
                <w:szCs w:val="24"/>
              </w:rPr>
            </w:pPr>
          </w:p>
          <w:p w14:paraId="7CE023D7" w14:textId="77777777" w:rsidR="005572A3" w:rsidRPr="00355E55" w:rsidRDefault="005572A3" w:rsidP="00355E55">
            <w:pPr>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(ES) č. 549/2004 z 10. marca 2004, ktorým sa stanovuje rámec na vytvorenie jednotného európskeho neba (rámcové nariadenie) (Ú. v. EÚ L 96, 31.3.2004) v platnom znení, účinné od 20.04.2004.</w:t>
            </w:r>
          </w:p>
          <w:p w14:paraId="3DCBE8CA" w14:textId="77777777" w:rsidR="005572A3" w:rsidRPr="00355E55" w:rsidRDefault="005572A3" w:rsidP="00355E55">
            <w:pPr>
              <w:jc w:val="both"/>
              <w:rPr>
                <w:rFonts w:ascii="Times New Roman" w:hAnsi="Times New Roman" w:cs="Times New Roman"/>
                <w:sz w:val="24"/>
                <w:szCs w:val="24"/>
              </w:rPr>
            </w:pPr>
          </w:p>
          <w:p w14:paraId="52AE669F" w14:textId="77777777" w:rsidR="005572A3" w:rsidRPr="00355E55" w:rsidRDefault="005572A3" w:rsidP="00355E55">
            <w:pPr>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(ES) č. 1008/2008 z 24. septembra 2008 o spoločných pravidlách prevádzky leteckých dopravných služieb v Spoločenstve (prepracované znenie) (Ú. v. EÚ L 293, 31.10.2008), v platnom znení, účinné od 01.11.2008.</w:t>
            </w:r>
          </w:p>
          <w:p w14:paraId="07A3C86B" w14:textId="77777777" w:rsidR="005572A3" w:rsidRPr="00355E55" w:rsidRDefault="005572A3" w:rsidP="00355E55">
            <w:pPr>
              <w:jc w:val="both"/>
              <w:rPr>
                <w:rFonts w:ascii="Times New Roman" w:hAnsi="Times New Roman" w:cs="Times New Roman"/>
                <w:sz w:val="24"/>
                <w:szCs w:val="24"/>
              </w:rPr>
            </w:pPr>
          </w:p>
          <w:p w14:paraId="314C5E81" w14:textId="77777777" w:rsidR="005572A3" w:rsidRPr="00355E55" w:rsidRDefault="005572A3" w:rsidP="00355E55">
            <w:pPr>
              <w:jc w:val="both"/>
              <w:rPr>
                <w:rFonts w:ascii="Times New Roman" w:hAnsi="Times New Roman" w:cs="Times New Roman"/>
                <w:sz w:val="24"/>
                <w:szCs w:val="24"/>
              </w:rPr>
            </w:pPr>
            <w:r w:rsidRPr="00355E55">
              <w:rPr>
                <w:rFonts w:ascii="Times New Roman" w:hAnsi="Times New Roman" w:cs="Times New Roman"/>
                <w:sz w:val="24"/>
                <w:szCs w:val="24"/>
              </w:rPr>
              <w:t>Nariadenie Komisie (EÚ) č. 139/2014 z 12. februára 2014, ktorým sa stanovujú požiadavky a administratívne postupy týkajúce sa letísk podľa nariadenia Európskeho parlamentu a Rady (ES) č. 216/2008 (</w:t>
            </w:r>
            <w:r w:rsidRPr="00355E55">
              <w:rPr>
                <w:rFonts w:ascii="Times New Roman" w:hAnsi="Times New Roman" w:cs="Times New Roman"/>
                <w:iCs/>
                <w:sz w:val="24"/>
                <w:szCs w:val="24"/>
              </w:rPr>
              <w:t>Ú. v. EÚ L 44, 14.2.2014</w:t>
            </w:r>
            <w:r w:rsidRPr="00355E55">
              <w:rPr>
                <w:rFonts w:ascii="Times New Roman" w:hAnsi="Times New Roman" w:cs="Times New Roman"/>
                <w:sz w:val="24"/>
                <w:szCs w:val="24"/>
              </w:rPr>
              <w:t>) v platnom znení, účinné od 06.03.2014.</w:t>
            </w:r>
          </w:p>
          <w:p w14:paraId="59D24617" w14:textId="77777777" w:rsidR="005572A3" w:rsidRPr="00355E55" w:rsidRDefault="005572A3" w:rsidP="00355E55">
            <w:pPr>
              <w:jc w:val="both"/>
              <w:rPr>
                <w:rFonts w:ascii="Times New Roman" w:hAnsi="Times New Roman" w:cs="Times New Roman"/>
                <w:sz w:val="24"/>
                <w:szCs w:val="24"/>
              </w:rPr>
            </w:pPr>
          </w:p>
          <w:p w14:paraId="72D7C847" w14:textId="77777777" w:rsidR="005572A3" w:rsidRPr="00355E55" w:rsidRDefault="005572A3" w:rsidP="00355E55">
            <w:pPr>
              <w:jc w:val="both"/>
              <w:rPr>
                <w:rFonts w:ascii="Times New Roman" w:hAnsi="Times New Roman" w:cs="Times New Roman"/>
                <w:sz w:val="24"/>
                <w:szCs w:val="24"/>
              </w:rPr>
            </w:pPr>
            <w:r w:rsidRPr="00355E55">
              <w:rPr>
                <w:rFonts w:ascii="Times New Roman" w:hAnsi="Times New Roman" w:cs="Times New Roman"/>
                <w:sz w:val="24"/>
                <w:szCs w:val="24"/>
              </w:rPr>
              <w:t xml:space="preserve">Vykonávacie nariadenie Komisie (EÚ) 2015/1998 z 5. novembra 2015, ktorým sa stanovujú podrobné opatrenia na vykonávanie spoločných základných noriem </w:t>
            </w:r>
            <w:r w:rsidRPr="00355E55">
              <w:rPr>
                <w:rFonts w:ascii="Times New Roman" w:hAnsi="Times New Roman" w:cs="Times New Roman"/>
                <w:sz w:val="24"/>
                <w:szCs w:val="24"/>
              </w:rPr>
              <w:lastRenderedPageBreak/>
              <w:t>bezpečnostnej ochrany letectva (</w:t>
            </w:r>
            <w:r w:rsidRPr="00355E55">
              <w:rPr>
                <w:rFonts w:ascii="Times New Roman" w:hAnsi="Times New Roman" w:cs="Times New Roman"/>
                <w:iCs/>
                <w:sz w:val="24"/>
                <w:szCs w:val="24"/>
              </w:rPr>
              <w:t>Ú. v. EÚ L 299, 14.11.2015</w:t>
            </w:r>
            <w:r w:rsidRPr="00355E55">
              <w:rPr>
                <w:rFonts w:ascii="Times New Roman" w:hAnsi="Times New Roman" w:cs="Times New Roman"/>
                <w:sz w:val="24"/>
                <w:szCs w:val="24"/>
              </w:rPr>
              <w:t>) v platnom znení, účinné od 15.11.2015.</w:t>
            </w:r>
          </w:p>
          <w:p w14:paraId="5B2B4985" w14:textId="77777777" w:rsidR="005572A3" w:rsidRPr="00355E55" w:rsidRDefault="005572A3" w:rsidP="00355E55">
            <w:pPr>
              <w:jc w:val="both"/>
              <w:rPr>
                <w:rFonts w:ascii="Times New Roman" w:hAnsi="Times New Roman" w:cs="Times New Roman"/>
                <w:sz w:val="24"/>
                <w:szCs w:val="24"/>
              </w:rPr>
            </w:pPr>
          </w:p>
          <w:p w14:paraId="26B06BBA" w14:textId="77777777" w:rsidR="005572A3" w:rsidRPr="00355E55" w:rsidRDefault="005572A3" w:rsidP="00355E55">
            <w:pPr>
              <w:jc w:val="both"/>
              <w:rPr>
                <w:rFonts w:ascii="Times New Roman" w:hAnsi="Times New Roman" w:cs="Times New Roman"/>
                <w:sz w:val="24"/>
                <w:szCs w:val="24"/>
              </w:rPr>
            </w:pPr>
            <w:r w:rsidRPr="00355E55">
              <w:rPr>
                <w:rFonts w:ascii="Times New Roman" w:hAnsi="Times New Roman" w:cs="Times New Roman"/>
                <w:sz w:val="24"/>
                <w:szCs w:val="24"/>
              </w:rPr>
              <w:t>Vykonávacie Nariadenie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w:t>
            </w:r>
            <w:r w:rsidRPr="00355E55">
              <w:rPr>
                <w:rFonts w:ascii="Times New Roman" w:hAnsi="Times New Roman" w:cs="Times New Roman"/>
                <w:iCs/>
                <w:sz w:val="24"/>
                <w:szCs w:val="24"/>
              </w:rPr>
              <w:t>Ú. v. EÚ L 62, 8.3.2017</w:t>
            </w:r>
            <w:r w:rsidRPr="00355E55">
              <w:rPr>
                <w:rFonts w:ascii="Times New Roman" w:hAnsi="Times New Roman" w:cs="Times New Roman"/>
                <w:sz w:val="24"/>
                <w:szCs w:val="24"/>
              </w:rPr>
              <w:t>) v platnom znení, účinné od 28.03.2017.</w:t>
            </w:r>
          </w:p>
          <w:p w14:paraId="59219470" w14:textId="77777777" w:rsidR="005572A3" w:rsidRPr="00355E55" w:rsidRDefault="005572A3" w:rsidP="00355E55">
            <w:pPr>
              <w:jc w:val="both"/>
              <w:rPr>
                <w:rFonts w:ascii="Times New Roman" w:hAnsi="Times New Roman" w:cs="Times New Roman"/>
                <w:sz w:val="24"/>
                <w:szCs w:val="24"/>
              </w:rPr>
            </w:pPr>
          </w:p>
          <w:p w14:paraId="78486CAB" w14:textId="77777777" w:rsidR="005572A3" w:rsidRPr="00355E55" w:rsidRDefault="005572A3" w:rsidP="00355E55">
            <w:pPr>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(EÚ) č.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w:t>
            </w:r>
            <w:r w:rsidRPr="00355E55">
              <w:rPr>
                <w:rFonts w:ascii="Times New Roman" w:hAnsi="Times New Roman" w:cs="Times New Roman"/>
                <w:iCs/>
                <w:sz w:val="24"/>
                <w:szCs w:val="24"/>
              </w:rPr>
              <w:t>Ú. v. EÚ L 212, 22.8.2018</w:t>
            </w:r>
            <w:r w:rsidRPr="00355E55">
              <w:rPr>
                <w:rFonts w:ascii="Times New Roman" w:hAnsi="Times New Roman" w:cs="Times New Roman"/>
                <w:sz w:val="24"/>
                <w:szCs w:val="24"/>
              </w:rPr>
              <w:t>) v platnom znení, účinné od 11.09.2018.</w:t>
            </w:r>
          </w:p>
          <w:p w14:paraId="0D7DD01D" w14:textId="77777777" w:rsidR="005572A3" w:rsidRPr="00355E55" w:rsidRDefault="005572A3" w:rsidP="00355E55">
            <w:pPr>
              <w:jc w:val="both"/>
              <w:rPr>
                <w:rFonts w:ascii="Times New Roman" w:hAnsi="Times New Roman" w:cs="Times New Roman"/>
                <w:sz w:val="24"/>
                <w:szCs w:val="24"/>
              </w:rPr>
            </w:pPr>
          </w:p>
          <w:p w14:paraId="2EA5A2E8" w14:textId="77777777" w:rsidR="005572A3" w:rsidRPr="00355E55" w:rsidRDefault="005572A3" w:rsidP="00355E55">
            <w:pPr>
              <w:jc w:val="both"/>
              <w:rPr>
                <w:rFonts w:ascii="Times New Roman" w:hAnsi="Times New Roman" w:cs="Times New Roman"/>
                <w:sz w:val="24"/>
                <w:szCs w:val="24"/>
              </w:rPr>
            </w:pPr>
            <w:r w:rsidRPr="00355E55">
              <w:rPr>
                <w:rFonts w:ascii="Times New Roman" w:hAnsi="Times New Roman" w:cs="Times New Roman"/>
                <w:sz w:val="24"/>
                <w:szCs w:val="24"/>
              </w:rPr>
              <w:t>Delegované nariadenie Komisie (EÚ) 2022/1645 zo 14. júla 2022, ktorým sa stanovujú pravidlá uplatňovania nariadenia Európskeho parlamentu a Rady (EÚ) 2018/1139, pokiaľ ide o požiadavky na riadenie rizík v oblasti informačnej bezpečnosti s potenciálnym vplyvom na bezpečnosť letectva pre organizácie, na ktoré sa vzťahujú nariadenia Komisie (EÚ) č. 748/2012 a (EÚ) č. 139/2014, a ktorým sa menia nariadenia Komisie (EÚ) č. 748/2012 a (EÚ) č. 139/2014 (</w:t>
            </w:r>
            <w:r w:rsidRPr="00355E55">
              <w:rPr>
                <w:rFonts w:ascii="Times New Roman" w:hAnsi="Times New Roman" w:cs="Times New Roman"/>
                <w:iCs/>
                <w:sz w:val="24"/>
                <w:szCs w:val="24"/>
              </w:rPr>
              <w:t>Ú. v. EÚ L 248, 26.9.2022</w:t>
            </w:r>
            <w:r w:rsidRPr="00355E55">
              <w:rPr>
                <w:rFonts w:ascii="Times New Roman" w:hAnsi="Times New Roman" w:cs="Times New Roman"/>
                <w:sz w:val="24"/>
                <w:szCs w:val="24"/>
              </w:rPr>
              <w:t>), účinné od 16.10.2022.</w:t>
            </w:r>
          </w:p>
          <w:p w14:paraId="236764DE" w14:textId="77777777" w:rsidR="005572A3" w:rsidRPr="00355E55" w:rsidRDefault="005572A3" w:rsidP="00355E55">
            <w:pPr>
              <w:jc w:val="both"/>
              <w:rPr>
                <w:rFonts w:ascii="Times New Roman" w:hAnsi="Times New Roman" w:cs="Times New Roman"/>
                <w:sz w:val="24"/>
                <w:szCs w:val="24"/>
              </w:rPr>
            </w:pPr>
          </w:p>
          <w:p w14:paraId="5095502B" w14:textId="77777777" w:rsidR="005572A3" w:rsidRPr="00355E55" w:rsidRDefault="005572A3" w:rsidP="00355E55">
            <w:pPr>
              <w:jc w:val="both"/>
              <w:rPr>
                <w:rFonts w:ascii="Times New Roman" w:hAnsi="Times New Roman" w:cs="Times New Roman"/>
                <w:sz w:val="24"/>
                <w:szCs w:val="24"/>
              </w:rPr>
            </w:pPr>
            <w:r w:rsidRPr="00355E55">
              <w:rPr>
                <w:rFonts w:ascii="Times New Roman" w:hAnsi="Times New Roman" w:cs="Times New Roman"/>
                <w:sz w:val="24"/>
                <w:szCs w:val="24"/>
              </w:rPr>
              <w:t>Vykonávacie nariadenie Komisie (EÚ) 2023/1769 z 12. septembra 2023, ktorým sa stanovujú technické požiadavky a administratívne postupy schvaľovania organizácií, ktoré sa podieľajú na projektovaní alebo výrobe systémov a komponentov manažmentu letovej prevádzky/leteckých navigačných služieb, a ktorým sa mení vykonávacie nariadenie (EÚ) 2023/203 (</w:t>
            </w:r>
            <w:r w:rsidRPr="00355E55">
              <w:rPr>
                <w:rFonts w:ascii="Times New Roman" w:hAnsi="Times New Roman" w:cs="Times New Roman"/>
                <w:iCs/>
                <w:sz w:val="24"/>
                <w:szCs w:val="24"/>
              </w:rPr>
              <w:t>Ú. v. EÚ L 228, 15.9.2023</w:t>
            </w:r>
            <w:r w:rsidRPr="00355E55">
              <w:rPr>
                <w:rFonts w:ascii="Times New Roman" w:hAnsi="Times New Roman" w:cs="Times New Roman"/>
                <w:sz w:val="24"/>
                <w:szCs w:val="24"/>
              </w:rPr>
              <w:t>), účinné od 05.10.2023.</w:t>
            </w:r>
          </w:p>
          <w:p w14:paraId="0B317251" w14:textId="77777777" w:rsidR="005572A3" w:rsidRPr="00355E55" w:rsidRDefault="005572A3" w:rsidP="00355E55">
            <w:pPr>
              <w:jc w:val="both"/>
              <w:rPr>
                <w:rFonts w:ascii="Times New Roman" w:hAnsi="Times New Roman" w:cs="Times New Roman"/>
                <w:sz w:val="24"/>
                <w:szCs w:val="24"/>
              </w:rPr>
            </w:pPr>
          </w:p>
          <w:p w14:paraId="02FB4819" w14:textId="77777777" w:rsidR="005572A3" w:rsidRPr="00355E55" w:rsidRDefault="005572A3" w:rsidP="00355E55">
            <w:pPr>
              <w:jc w:val="both"/>
              <w:rPr>
                <w:rFonts w:ascii="Times New Roman" w:hAnsi="Times New Roman" w:cs="Times New Roman"/>
                <w:sz w:val="24"/>
                <w:szCs w:val="24"/>
              </w:rPr>
            </w:pPr>
            <w:r w:rsidRPr="00355E55">
              <w:rPr>
                <w:rFonts w:ascii="Times New Roman" w:hAnsi="Times New Roman" w:cs="Times New Roman"/>
                <w:sz w:val="24"/>
                <w:szCs w:val="24"/>
              </w:rPr>
              <w:t>Nariadenie Európskeho parlamentu a Rady (EÚ) č. 575/2013 z  26. júna 2013 o prudenciálnych požiadavkách na úverové inštitúcie a investičné spoločnosti a o zmene nariadenia (EÚ) č. 648/2012 (</w:t>
            </w:r>
            <w:r w:rsidRPr="00355E55">
              <w:rPr>
                <w:rFonts w:ascii="Times New Roman" w:hAnsi="Times New Roman" w:cs="Times New Roman"/>
                <w:iCs/>
                <w:sz w:val="24"/>
                <w:szCs w:val="24"/>
              </w:rPr>
              <w:t>Ú. v. EÚ L 176, 27.6.2013</w:t>
            </w:r>
            <w:r w:rsidRPr="00355E55">
              <w:rPr>
                <w:rFonts w:ascii="Times New Roman" w:hAnsi="Times New Roman" w:cs="Times New Roman"/>
                <w:sz w:val="24"/>
                <w:szCs w:val="24"/>
              </w:rPr>
              <w:t>) v platnom znení, účinné od 28.06.2013.</w:t>
            </w:r>
          </w:p>
          <w:p w14:paraId="7D09A32C" w14:textId="77777777" w:rsidR="005572A3" w:rsidRPr="00355E55" w:rsidRDefault="005572A3" w:rsidP="00355E55">
            <w:pPr>
              <w:spacing w:after="250"/>
              <w:jc w:val="both"/>
              <w:rPr>
                <w:rFonts w:ascii="Times New Roman" w:hAnsi="Times New Roman" w:cs="Times New Roman"/>
                <w:sz w:val="24"/>
                <w:szCs w:val="24"/>
              </w:rPr>
            </w:pPr>
          </w:p>
        </w:tc>
      </w:tr>
      <w:tr w:rsidR="005572A3" w:rsidRPr="00355E55" w14:paraId="71ADB5C5" w14:textId="77777777" w:rsidTr="00355E55">
        <w:trPr>
          <w:jc w:val="center"/>
        </w:trPr>
        <w:tc>
          <w:tcPr>
            <w:tcW w:w="0" w:type="auto"/>
            <w:tcBorders>
              <w:top w:val="nil"/>
              <w:left w:val="nil"/>
              <w:bottom w:val="nil"/>
              <w:right w:val="nil"/>
            </w:tcBorders>
            <w:hideMark/>
          </w:tcPr>
          <w:p w14:paraId="3ECD2295" w14:textId="77777777" w:rsidR="005572A3" w:rsidRPr="00355E55" w:rsidRDefault="005572A3" w:rsidP="00355E55">
            <w:pPr>
              <w:spacing w:after="250"/>
              <w:jc w:val="both"/>
              <w:rPr>
                <w:rFonts w:ascii="Times New Roman" w:hAnsi="Times New Roman" w:cs="Times New Roman"/>
                <w:sz w:val="24"/>
                <w:szCs w:val="24"/>
              </w:rPr>
            </w:pPr>
          </w:p>
        </w:tc>
        <w:tc>
          <w:tcPr>
            <w:tcW w:w="0" w:type="auto"/>
            <w:tcBorders>
              <w:top w:val="nil"/>
              <w:left w:val="nil"/>
              <w:bottom w:val="nil"/>
              <w:right w:val="nil"/>
            </w:tcBorders>
            <w:hideMark/>
          </w:tcPr>
          <w:p w14:paraId="5EB47815" w14:textId="77777777" w:rsidR="005572A3" w:rsidRPr="00355E55" w:rsidRDefault="005572A3" w:rsidP="00355E55">
            <w:pPr>
              <w:jc w:val="both"/>
              <w:rPr>
                <w:rFonts w:ascii="Times New Roman" w:hAnsi="Times New Roman" w:cs="Times New Roman"/>
                <w:sz w:val="24"/>
                <w:szCs w:val="24"/>
              </w:rPr>
            </w:pPr>
            <w:r w:rsidRPr="00355E55">
              <w:rPr>
                <w:rFonts w:ascii="Times New Roman" w:hAnsi="Times New Roman" w:cs="Times New Roman"/>
                <w:sz w:val="24"/>
                <w:szCs w:val="24"/>
              </w:rPr>
              <w:t>b)</w:t>
            </w:r>
          </w:p>
        </w:tc>
        <w:tc>
          <w:tcPr>
            <w:tcW w:w="0" w:type="auto"/>
            <w:tcBorders>
              <w:top w:val="nil"/>
              <w:left w:val="nil"/>
              <w:bottom w:val="nil"/>
              <w:right w:val="nil"/>
            </w:tcBorders>
            <w:vAlign w:val="center"/>
            <w:hideMark/>
          </w:tcPr>
          <w:p w14:paraId="4C6FA22F" w14:textId="77777777" w:rsidR="005572A3" w:rsidRPr="00355E55" w:rsidRDefault="005572A3" w:rsidP="00355E55">
            <w:pPr>
              <w:spacing w:after="250"/>
              <w:jc w:val="both"/>
              <w:rPr>
                <w:rFonts w:ascii="Times New Roman" w:hAnsi="Times New Roman" w:cs="Times New Roman"/>
                <w:sz w:val="24"/>
                <w:szCs w:val="24"/>
              </w:rPr>
            </w:pPr>
            <w:r w:rsidRPr="00355E55">
              <w:rPr>
                <w:rFonts w:ascii="Times New Roman" w:hAnsi="Times New Roman" w:cs="Times New Roman"/>
                <w:sz w:val="24"/>
                <w:szCs w:val="24"/>
              </w:rPr>
              <w:t xml:space="preserve">informácia o konaní začatom proti Slovenskej republike o porušení podľa čl. 258 až 260 Zmluvy o fungovaní Európskej únie </w:t>
            </w:r>
          </w:p>
        </w:tc>
      </w:tr>
      <w:tr w:rsidR="005572A3" w:rsidRPr="00355E55" w14:paraId="7096AEB7" w14:textId="77777777" w:rsidTr="00355E55">
        <w:trPr>
          <w:jc w:val="center"/>
        </w:trPr>
        <w:tc>
          <w:tcPr>
            <w:tcW w:w="0" w:type="auto"/>
            <w:tcBorders>
              <w:top w:val="nil"/>
              <w:left w:val="nil"/>
              <w:bottom w:val="nil"/>
              <w:right w:val="nil"/>
            </w:tcBorders>
            <w:hideMark/>
          </w:tcPr>
          <w:p w14:paraId="30233875" w14:textId="77777777" w:rsidR="005572A3" w:rsidRPr="00355E55" w:rsidRDefault="005572A3" w:rsidP="00355E55">
            <w:pPr>
              <w:spacing w:after="250"/>
              <w:jc w:val="both"/>
              <w:rPr>
                <w:rFonts w:ascii="Times New Roman" w:hAnsi="Times New Roman" w:cs="Times New Roman"/>
                <w:sz w:val="24"/>
                <w:szCs w:val="24"/>
              </w:rPr>
            </w:pPr>
          </w:p>
        </w:tc>
        <w:tc>
          <w:tcPr>
            <w:tcW w:w="0" w:type="auto"/>
            <w:tcBorders>
              <w:top w:val="nil"/>
              <w:left w:val="nil"/>
              <w:bottom w:val="nil"/>
              <w:right w:val="nil"/>
            </w:tcBorders>
            <w:hideMark/>
          </w:tcPr>
          <w:p w14:paraId="5239BDF0" w14:textId="77777777" w:rsidR="005572A3" w:rsidRPr="00355E55" w:rsidRDefault="005572A3" w:rsidP="00355E55">
            <w:pPr>
              <w:jc w:val="both"/>
              <w:rPr>
                <w:rFonts w:ascii="Times New Roman" w:hAnsi="Times New Roman" w:cs="Times New Roman"/>
                <w:sz w:val="24"/>
                <w:szCs w:val="24"/>
              </w:rPr>
            </w:pPr>
          </w:p>
        </w:tc>
        <w:tc>
          <w:tcPr>
            <w:tcW w:w="0" w:type="auto"/>
            <w:tcBorders>
              <w:top w:val="nil"/>
              <w:left w:val="nil"/>
              <w:bottom w:val="nil"/>
              <w:right w:val="nil"/>
            </w:tcBorders>
            <w:vAlign w:val="center"/>
            <w:hideMark/>
          </w:tcPr>
          <w:p w14:paraId="0C388D70" w14:textId="77777777" w:rsidR="005572A3" w:rsidRPr="00355E55" w:rsidRDefault="005572A3" w:rsidP="00355E55">
            <w:pPr>
              <w:spacing w:after="250"/>
              <w:jc w:val="both"/>
              <w:rPr>
                <w:rFonts w:ascii="Times New Roman" w:hAnsi="Times New Roman" w:cs="Times New Roman"/>
                <w:sz w:val="24"/>
                <w:szCs w:val="24"/>
              </w:rPr>
            </w:pPr>
            <w:r w:rsidRPr="00355E55">
              <w:rPr>
                <w:rFonts w:ascii="Times New Roman" w:hAnsi="Times New Roman" w:cs="Times New Roman"/>
                <w:sz w:val="24"/>
                <w:szCs w:val="24"/>
              </w:rPr>
              <w:t>Voči Slovenskej republike nebolo začaté žiadne z uvedených konaní ani uvedený postup Európskej komisie.</w:t>
            </w:r>
            <w:r w:rsidRPr="00355E55">
              <w:rPr>
                <w:rFonts w:ascii="Times New Roman" w:hAnsi="Times New Roman" w:cs="Times New Roman"/>
                <w:sz w:val="24"/>
                <w:szCs w:val="24"/>
              </w:rPr>
              <w:br/>
            </w:r>
          </w:p>
        </w:tc>
      </w:tr>
      <w:tr w:rsidR="005572A3" w:rsidRPr="00355E55" w14:paraId="1E79C268" w14:textId="77777777" w:rsidTr="00355E55">
        <w:trPr>
          <w:jc w:val="center"/>
        </w:trPr>
        <w:tc>
          <w:tcPr>
            <w:tcW w:w="0" w:type="auto"/>
            <w:tcBorders>
              <w:top w:val="nil"/>
              <w:left w:val="nil"/>
              <w:bottom w:val="nil"/>
              <w:right w:val="nil"/>
            </w:tcBorders>
            <w:hideMark/>
          </w:tcPr>
          <w:p w14:paraId="5FB9A90D" w14:textId="77777777" w:rsidR="005572A3" w:rsidRPr="00355E55" w:rsidRDefault="005572A3" w:rsidP="00355E55">
            <w:pPr>
              <w:spacing w:after="250"/>
              <w:jc w:val="both"/>
              <w:rPr>
                <w:rFonts w:ascii="Times New Roman" w:hAnsi="Times New Roman" w:cs="Times New Roman"/>
                <w:sz w:val="24"/>
                <w:szCs w:val="24"/>
              </w:rPr>
            </w:pPr>
          </w:p>
        </w:tc>
        <w:tc>
          <w:tcPr>
            <w:tcW w:w="0" w:type="auto"/>
            <w:tcBorders>
              <w:top w:val="nil"/>
              <w:left w:val="nil"/>
              <w:bottom w:val="nil"/>
              <w:right w:val="nil"/>
            </w:tcBorders>
            <w:hideMark/>
          </w:tcPr>
          <w:p w14:paraId="70973A40" w14:textId="77777777" w:rsidR="005572A3" w:rsidRPr="00355E55" w:rsidRDefault="005572A3" w:rsidP="00355E55">
            <w:pPr>
              <w:jc w:val="both"/>
              <w:rPr>
                <w:rFonts w:ascii="Times New Roman" w:hAnsi="Times New Roman" w:cs="Times New Roman"/>
                <w:sz w:val="24"/>
                <w:szCs w:val="24"/>
              </w:rPr>
            </w:pPr>
            <w:r w:rsidRPr="00355E55">
              <w:rPr>
                <w:rFonts w:ascii="Times New Roman" w:hAnsi="Times New Roman" w:cs="Times New Roman"/>
                <w:sz w:val="24"/>
                <w:szCs w:val="24"/>
              </w:rPr>
              <w:t>c)</w:t>
            </w:r>
          </w:p>
        </w:tc>
        <w:tc>
          <w:tcPr>
            <w:tcW w:w="0" w:type="auto"/>
            <w:tcBorders>
              <w:top w:val="nil"/>
              <w:left w:val="nil"/>
              <w:bottom w:val="nil"/>
              <w:right w:val="nil"/>
            </w:tcBorders>
            <w:vAlign w:val="center"/>
            <w:hideMark/>
          </w:tcPr>
          <w:p w14:paraId="74A2A3FB" w14:textId="77777777" w:rsidR="005572A3" w:rsidRPr="00355E55" w:rsidRDefault="005572A3" w:rsidP="00355E55">
            <w:pPr>
              <w:spacing w:after="250"/>
              <w:jc w:val="both"/>
              <w:rPr>
                <w:rFonts w:ascii="Times New Roman" w:hAnsi="Times New Roman" w:cs="Times New Roman"/>
                <w:sz w:val="24"/>
                <w:szCs w:val="24"/>
              </w:rPr>
            </w:pPr>
            <w:r w:rsidRPr="00355E55">
              <w:rPr>
                <w:rFonts w:ascii="Times New Roman" w:hAnsi="Times New Roman" w:cs="Times New Roman"/>
                <w:sz w:val="24"/>
                <w:szCs w:val="24"/>
              </w:rPr>
              <w:t>informácia o právnych predpisoch, v ktorých sú preberané smernice už prebraté spolu s uvedením rozsahu tohto prebratia</w:t>
            </w:r>
          </w:p>
        </w:tc>
      </w:tr>
      <w:tr w:rsidR="005572A3" w:rsidRPr="00355E55" w14:paraId="58A0F02A" w14:textId="77777777" w:rsidTr="00355E55">
        <w:trPr>
          <w:jc w:val="center"/>
        </w:trPr>
        <w:tc>
          <w:tcPr>
            <w:tcW w:w="0" w:type="auto"/>
            <w:tcBorders>
              <w:top w:val="nil"/>
              <w:left w:val="nil"/>
              <w:bottom w:val="nil"/>
              <w:right w:val="nil"/>
            </w:tcBorders>
            <w:hideMark/>
          </w:tcPr>
          <w:p w14:paraId="4023CAC0" w14:textId="77777777" w:rsidR="005572A3" w:rsidRPr="00355E55" w:rsidRDefault="005572A3" w:rsidP="00355E55">
            <w:pPr>
              <w:spacing w:after="250"/>
              <w:rPr>
                <w:rFonts w:ascii="Times New Roman" w:hAnsi="Times New Roman" w:cs="Times New Roman"/>
                <w:sz w:val="24"/>
                <w:szCs w:val="24"/>
              </w:rPr>
            </w:pPr>
          </w:p>
        </w:tc>
        <w:tc>
          <w:tcPr>
            <w:tcW w:w="0" w:type="auto"/>
            <w:tcBorders>
              <w:top w:val="nil"/>
              <w:left w:val="nil"/>
              <w:bottom w:val="nil"/>
              <w:right w:val="nil"/>
            </w:tcBorders>
            <w:hideMark/>
          </w:tcPr>
          <w:p w14:paraId="3825FFB7" w14:textId="77777777" w:rsidR="005572A3" w:rsidRPr="00355E55" w:rsidRDefault="005572A3" w:rsidP="00355E55">
            <w:pPr>
              <w:rPr>
                <w:rFonts w:ascii="Times New Roman" w:hAnsi="Times New Roman" w:cs="Times New Roman"/>
                <w:sz w:val="24"/>
                <w:szCs w:val="24"/>
              </w:rPr>
            </w:pPr>
          </w:p>
        </w:tc>
        <w:tc>
          <w:tcPr>
            <w:tcW w:w="0" w:type="auto"/>
            <w:tcBorders>
              <w:top w:val="nil"/>
              <w:left w:val="nil"/>
              <w:bottom w:val="nil"/>
              <w:right w:val="nil"/>
            </w:tcBorders>
            <w:vAlign w:val="center"/>
            <w:hideMark/>
          </w:tcPr>
          <w:p w14:paraId="24CFF2C3" w14:textId="6EAFE3D7" w:rsidR="005572A3" w:rsidRPr="00355E55" w:rsidRDefault="005572A3" w:rsidP="00D802EC">
            <w:pPr>
              <w:spacing w:after="250"/>
              <w:rPr>
                <w:rFonts w:ascii="Times New Roman" w:hAnsi="Times New Roman" w:cs="Times New Roman"/>
                <w:sz w:val="24"/>
                <w:szCs w:val="24"/>
              </w:rPr>
            </w:pPr>
            <w:r w:rsidRPr="00355E55">
              <w:rPr>
                <w:rFonts w:ascii="Times New Roman" w:hAnsi="Times New Roman" w:cs="Times New Roman"/>
                <w:sz w:val="24"/>
                <w:szCs w:val="24"/>
              </w:rPr>
              <w:t xml:space="preserve">Smernica 2002/58/ES v platnom znení bola prebratá do zákona č. 452/2021 Z. z. o elektronických komunikáciách v znení neskorších predpisov. </w:t>
            </w:r>
          </w:p>
        </w:tc>
      </w:tr>
      <w:tr w:rsidR="005572A3" w:rsidRPr="00355E55" w14:paraId="1B5BC924" w14:textId="77777777" w:rsidTr="00355E55">
        <w:trPr>
          <w:jc w:val="center"/>
        </w:trPr>
        <w:tc>
          <w:tcPr>
            <w:tcW w:w="0" w:type="auto"/>
            <w:tcBorders>
              <w:top w:val="nil"/>
              <w:left w:val="nil"/>
              <w:bottom w:val="nil"/>
              <w:right w:val="nil"/>
            </w:tcBorders>
            <w:hideMark/>
          </w:tcPr>
          <w:p w14:paraId="312A667B" w14:textId="77777777" w:rsidR="005572A3" w:rsidRPr="00355E55" w:rsidRDefault="005572A3" w:rsidP="00355E55">
            <w:pPr>
              <w:rPr>
                <w:rFonts w:ascii="Times New Roman" w:hAnsi="Times New Roman" w:cs="Times New Roman"/>
                <w:b/>
                <w:bCs/>
                <w:sz w:val="24"/>
                <w:szCs w:val="24"/>
              </w:rPr>
            </w:pPr>
            <w:r w:rsidRPr="00355E55">
              <w:rPr>
                <w:rFonts w:ascii="Times New Roman" w:hAnsi="Times New Roman" w:cs="Times New Roman"/>
                <w:b/>
                <w:bCs/>
                <w:sz w:val="24"/>
                <w:szCs w:val="24"/>
              </w:rPr>
              <w:t>5.</w:t>
            </w:r>
          </w:p>
        </w:tc>
        <w:tc>
          <w:tcPr>
            <w:tcW w:w="0" w:type="auto"/>
            <w:gridSpan w:val="2"/>
            <w:tcBorders>
              <w:top w:val="nil"/>
              <w:left w:val="nil"/>
              <w:bottom w:val="nil"/>
              <w:right w:val="nil"/>
            </w:tcBorders>
            <w:hideMark/>
          </w:tcPr>
          <w:p w14:paraId="42AA53C0" w14:textId="77777777" w:rsidR="005572A3" w:rsidRPr="00355E55" w:rsidRDefault="005572A3" w:rsidP="00355E55">
            <w:pPr>
              <w:spacing w:after="250"/>
              <w:rPr>
                <w:rFonts w:ascii="Times New Roman" w:hAnsi="Times New Roman" w:cs="Times New Roman"/>
                <w:b/>
                <w:bCs/>
                <w:sz w:val="24"/>
                <w:szCs w:val="24"/>
              </w:rPr>
            </w:pPr>
            <w:r w:rsidRPr="00355E55">
              <w:rPr>
                <w:rFonts w:ascii="Times New Roman" w:hAnsi="Times New Roman" w:cs="Times New Roman"/>
                <w:b/>
                <w:bCs/>
                <w:sz w:val="24"/>
                <w:szCs w:val="24"/>
              </w:rPr>
              <w:t>Návrh zákona je úplne zlučiteľný s právom Európskej únie.</w:t>
            </w:r>
          </w:p>
        </w:tc>
      </w:tr>
    </w:tbl>
    <w:p w14:paraId="6A41EA2A" w14:textId="77777777" w:rsidR="00355E55" w:rsidRDefault="00355E55">
      <w:pPr>
        <w:rPr>
          <w:rFonts w:ascii="Times New Roman" w:hAnsi="Times New Roman" w:cs="Times New Roman"/>
          <w:b/>
          <w:color w:val="000000" w:themeColor="text1"/>
        </w:rPr>
      </w:pPr>
    </w:p>
    <w:p w14:paraId="77532CC0" w14:textId="77777777" w:rsidR="00355E55" w:rsidRDefault="00355E55">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002F5D9F" w14:textId="03FC9271" w:rsidR="00796AFF" w:rsidRPr="00507E84" w:rsidRDefault="00796AFF" w:rsidP="00796AFF">
      <w:pPr>
        <w:pStyle w:val="Nadpis5"/>
        <w:spacing w:before="0"/>
        <w:jc w:val="both"/>
        <w:rPr>
          <w:rFonts w:ascii="Times New Roman" w:hAnsi="Times New Roman" w:cs="Times New Roman"/>
          <w:b/>
          <w:color w:val="000000" w:themeColor="text1"/>
        </w:rPr>
      </w:pPr>
      <w:r w:rsidRPr="00507E84">
        <w:rPr>
          <w:rFonts w:ascii="Times New Roman" w:hAnsi="Times New Roman" w:cs="Times New Roman"/>
          <w:b/>
          <w:color w:val="000000" w:themeColor="text1"/>
        </w:rPr>
        <w:lastRenderedPageBreak/>
        <w:t>B. Osobitná časť</w:t>
      </w:r>
    </w:p>
    <w:p w14:paraId="34275183" w14:textId="77777777" w:rsidR="00796AFF" w:rsidRPr="00507E84" w:rsidRDefault="00796AFF" w:rsidP="00796AFF">
      <w:pPr>
        <w:spacing w:after="0"/>
        <w:rPr>
          <w:rFonts w:ascii="Times New Roman" w:hAnsi="Times New Roman" w:cs="Times New Roman"/>
          <w:sz w:val="24"/>
          <w:szCs w:val="24"/>
          <w:lang w:eastAsia="sk-SK"/>
        </w:rPr>
      </w:pPr>
    </w:p>
    <w:p w14:paraId="636EE3A2" w14:textId="77777777"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Čl. I</w:t>
      </w:r>
    </w:p>
    <w:p w14:paraId="301FAC4C" w14:textId="77777777"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bodu 1</w:t>
      </w:r>
    </w:p>
    <w:p w14:paraId="216006A4" w14:textId="77777777" w:rsidR="00D54873" w:rsidRPr="00507E84" w:rsidRDefault="00A62B3C" w:rsidP="008A5493">
      <w:pPr>
        <w:spacing w:after="0"/>
        <w:jc w:val="both"/>
        <w:rPr>
          <w:rFonts w:ascii="Times New Roman" w:hAnsi="Times New Roman" w:cs="Times New Roman"/>
          <w:sz w:val="24"/>
          <w:szCs w:val="24"/>
        </w:rPr>
      </w:pPr>
      <w:r w:rsidRPr="00507E84">
        <w:rPr>
          <w:rFonts w:ascii="Times New Roman" w:hAnsi="Times New Roman" w:cs="Times New Roman"/>
        </w:rPr>
        <w:t>S cieľom zaistiť kybernetickú bezpečnosť a zabezpečiť efektívne riešenie kybernetických bezpečnostných incidentov</w:t>
      </w:r>
      <w:r w:rsidRPr="00507E84">
        <w:rPr>
          <w:rFonts w:ascii="Times New Roman" w:hAnsi="Times New Roman" w:cs="Times New Roman"/>
          <w:sz w:val="24"/>
          <w:szCs w:val="24"/>
        </w:rPr>
        <w:t xml:space="preserve">, návrh zákona spresňuje </w:t>
      </w:r>
      <w:r w:rsidR="00796AFF" w:rsidRPr="00507E84">
        <w:rPr>
          <w:rFonts w:ascii="Times New Roman" w:hAnsi="Times New Roman" w:cs="Times New Roman"/>
          <w:sz w:val="24"/>
          <w:szCs w:val="24"/>
        </w:rPr>
        <w:t xml:space="preserve"> predmet </w:t>
      </w:r>
      <w:r w:rsidR="00BD5E37" w:rsidRPr="00507E84">
        <w:rPr>
          <w:rFonts w:ascii="Times New Roman" w:hAnsi="Times New Roman" w:cs="Times New Roman"/>
          <w:sz w:val="24"/>
          <w:szCs w:val="24"/>
        </w:rPr>
        <w:t xml:space="preserve">návrhu </w:t>
      </w:r>
      <w:r w:rsidR="00796AFF" w:rsidRPr="00507E84">
        <w:rPr>
          <w:rFonts w:ascii="Times New Roman" w:hAnsi="Times New Roman" w:cs="Times New Roman"/>
          <w:sz w:val="24"/>
          <w:szCs w:val="24"/>
        </w:rPr>
        <w:t>zákona podľa požiadaviek, ktoré vyplynuli zo smernice NIS</w:t>
      </w:r>
      <w:r w:rsidR="00454460" w:rsidRPr="00507E84">
        <w:rPr>
          <w:rFonts w:ascii="Times New Roman" w:hAnsi="Times New Roman" w:cs="Times New Roman"/>
          <w:sz w:val="24"/>
          <w:szCs w:val="24"/>
        </w:rPr>
        <w:t xml:space="preserve"> </w:t>
      </w:r>
      <w:r w:rsidR="00796AFF" w:rsidRPr="00507E84">
        <w:rPr>
          <w:rFonts w:ascii="Times New Roman" w:hAnsi="Times New Roman" w:cs="Times New Roman"/>
          <w:sz w:val="24"/>
          <w:szCs w:val="24"/>
        </w:rPr>
        <w:t>2</w:t>
      </w:r>
      <w:r w:rsidR="0068052C" w:rsidRPr="00507E84">
        <w:rPr>
          <w:rFonts w:ascii="Times New Roman" w:hAnsi="Times New Roman" w:cs="Times New Roman"/>
          <w:sz w:val="24"/>
          <w:szCs w:val="24"/>
        </w:rPr>
        <w:t xml:space="preserve"> a praxe. </w:t>
      </w:r>
      <w:r w:rsidR="00796AFF" w:rsidRPr="00507E84">
        <w:rPr>
          <w:rFonts w:ascii="Times New Roman" w:hAnsi="Times New Roman" w:cs="Times New Roman"/>
          <w:sz w:val="24"/>
          <w:szCs w:val="24"/>
        </w:rPr>
        <w:t xml:space="preserve">Predmet </w:t>
      </w:r>
      <w:r w:rsidR="00DF2BFF" w:rsidRPr="00507E84">
        <w:rPr>
          <w:rFonts w:ascii="Times New Roman" w:hAnsi="Times New Roman" w:cs="Times New Roman"/>
          <w:sz w:val="24"/>
          <w:szCs w:val="24"/>
        </w:rPr>
        <w:t xml:space="preserve">návrhu </w:t>
      </w:r>
      <w:r w:rsidR="00796AFF" w:rsidRPr="00507E84">
        <w:rPr>
          <w:rFonts w:ascii="Times New Roman" w:hAnsi="Times New Roman" w:cs="Times New Roman"/>
          <w:sz w:val="24"/>
          <w:szCs w:val="24"/>
        </w:rPr>
        <w:t xml:space="preserve">zákona zodpovedá požiadavkám transpozície a predstavuje nevyhnutný súbor nástrojov zabezpečenia kybernetickej bezpečnosti. </w:t>
      </w:r>
      <w:r w:rsidR="00DF2BFF" w:rsidRPr="00507E84">
        <w:rPr>
          <w:rFonts w:ascii="Times New Roman" w:hAnsi="Times New Roman" w:cs="Times New Roman"/>
          <w:sz w:val="24"/>
          <w:szCs w:val="24"/>
        </w:rPr>
        <w:t>Návrh z</w:t>
      </w:r>
      <w:r w:rsidR="00796AFF" w:rsidRPr="00507E84">
        <w:rPr>
          <w:rFonts w:ascii="Times New Roman" w:hAnsi="Times New Roman" w:cs="Times New Roman"/>
          <w:sz w:val="24"/>
          <w:szCs w:val="24"/>
        </w:rPr>
        <w:t>ákon</w:t>
      </w:r>
      <w:r w:rsidR="00DF2BFF" w:rsidRPr="00507E84">
        <w:rPr>
          <w:rFonts w:ascii="Times New Roman" w:hAnsi="Times New Roman" w:cs="Times New Roman"/>
          <w:sz w:val="24"/>
          <w:szCs w:val="24"/>
        </w:rPr>
        <w:t>a</w:t>
      </w:r>
      <w:r w:rsidR="00796AFF" w:rsidRPr="00507E84">
        <w:rPr>
          <w:rFonts w:ascii="Times New Roman" w:hAnsi="Times New Roman" w:cs="Times New Roman"/>
          <w:sz w:val="24"/>
          <w:szCs w:val="24"/>
        </w:rPr>
        <w:t xml:space="preserve"> upravuje podmienky pre riadenie a zabezpečenie kybernetickej bezpečnosti, správu v oblasti kybernetickej bezpečnosti a</w:t>
      </w:r>
      <w:r w:rsidR="00077EA3" w:rsidRPr="00507E84">
        <w:rPr>
          <w:rFonts w:ascii="Times New Roman" w:hAnsi="Times New Roman" w:cs="Times New Roman"/>
          <w:sz w:val="24"/>
          <w:szCs w:val="24"/>
        </w:rPr>
        <w:t> </w:t>
      </w:r>
      <w:r w:rsidR="00796AFF" w:rsidRPr="00507E84">
        <w:rPr>
          <w:rFonts w:ascii="Times New Roman" w:hAnsi="Times New Roman" w:cs="Times New Roman"/>
          <w:sz w:val="24"/>
          <w:szCs w:val="24"/>
        </w:rPr>
        <w:t>organizáciu a pôsobnosť jednotiek CSIRT, úlohy a pôsobnosť národnej autority pre certifikáciu kybernetickej bezpečnosti a kontrolu nad dodržiavaním ustanovení tohto zákona vrátane auditu a dohľadu.</w:t>
      </w:r>
    </w:p>
    <w:p w14:paraId="66D87EBE" w14:textId="77777777" w:rsidR="00D54873" w:rsidRPr="00507E84" w:rsidRDefault="00D54873" w:rsidP="008A5493">
      <w:pPr>
        <w:spacing w:after="0"/>
        <w:jc w:val="both"/>
        <w:rPr>
          <w:rFonts w:ascii="Times New Roman" w:hAnsi="Times New Roman" w:cs="Times New Roman"/>
          <w:sz w:val="24"/>
          <w:szCs w:val="24"/>
        </w:rPr>
      </w:pPr>
    </w:p>
    <w:p w14:paraId="4382E975" w14:textId="210F6669" w:rsidR="008A5493" w:rsidRPr="00507E84" w:rsidRDefault="00B25A87" w:rsidP="008A5493">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bodu 2</w:t>
      </w:r>
    </w:p>
    <w:p w14:paraId="10430EFD" w14:textId="28060605" w:rsidR="008A5493" w:rsidRPr="00507E84" w:rsidRDefault="00D57FED"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Pôsobnosť </w:t>
      </w:r>
      <w:r w:rsidR="00DF2BFF" w:rsidRPr="00507E84">
        <w:rPr>
          <w:rFonts w:ascii="Times New Roman" w:hAnsi="Times New Roman" w:cs="Times New Roman"/>
          <w:sz w:val="24"/>
          <w:szCs w:val="24"/>
        </w:rPr>
        <w:t xml:space="preserve">návrhu </w:t>
      </w:r>
      <w:r w:rsidRPr="00507E84">
        <w:rPr>
          <w:rFonts w:ascii="Times New Roman" w:hAnsi="Times New Roman" w:cs="Times New Roman"/>
          <w:sz w:val="24"/>
          <w:szCs w:val="24"/>
        </w:rPr>
        <w:t>zákona bola upravená  na základe požiadav</w:t>
      </w:r>
      <w:r w:rsidR="0068052C" w:rsidRPr="00507E84">
        <w:rPr>
          <w:rFonts w:ascii="Times New Roman" w:hAnsi="Times New Roman" w:cs="Times New Roman"/>
          <w:sz w:val="24"/>
          <w:szCs w:val="24"/>
        </w:rPr>
        <w:t>iek</w:t>
      </w:r>
      <w:r w:rsidRPr="00507E84">
        <w:rPr>
          <w:rFonts w:ascii="Times New Roman" w:hAnsi="Times New Roman" w:cs="Times New Roman"/>
          <w:sz w:val="24"/>
          <w:szCs w:val="24"/>
        </w:rPr>
        <w:t xml:space="preserve"> </w:t>
      </w:r>
      <w:r w:rsidR="00B15ED1" w:rsidRPr="00507E84">
        <w:rPr>
          <w:rFonts w:ascii="Times New Roman" w:hAnsi="Times New Roman" w:cs="Times New Roman"/>
          <w:sz w:val="24"/>
          <w:szCs w:val="24"/>
        </w:rPr>
        <w:t>vyplývajúc</w:t>
      </w:r>
      <w:r w:rsidR="0068052C" w:rsidRPr="00507E84">
        <w:rPr>
          <w:rFonts w:ascii="Times New Roman" w:hAnsi="Times New Roman" w:cs="Times New Roman"/>
          <w:sz w:val="24"/>
          <w:szCs w:val="24"/>
        </w:rPr>
        <w:t xml:space="preserve">ich </w:t>
      </w:r>
      <w:r w:rsidR="00B15ED1" w:rsidRPr="00507E84">
        <w:rPr>
          <w:rFonts w:ascii="Times New Roman" w:hAnsi="Times New Roman" w:cs="Times New Roman"/>
          <w:sz w:val="24"/>
          <w:szCs w:val="24"/>
        </w:rPr>
        <w:t xml:space="preserve">zo </w:t>
      </w:r>
      <w:r w:rsidRPr="00507E84">
        <w:rPr>
          <w:rFonts w:ascii="Times New Roman" w:hAnsi="Times New Roman" w:cs="Times New Roman"/>
          <w:sz w:val="24"/>
          <w:szCs w:val="24"/>
        </w:rPr>
        <w:t>smernice NIS 2 a</w:t>
      </w:r>
      <w:r w:rsidR="00B15ED1" w:rsidRPr="00507E84">
        <w:rPr>
          <w:rFonts w:ascii="Times New Roman" w:hAnsi="Times New Roman" w:cs="Times New Roman"/>
          <w:sz w:val="24"/>
          <w:szCs w:val="24"/>
        </w:rPr>
        <w:t xml:space="preserve"> taktiež na základe požiadavky </w:t>
      </w:r>
      <w:r w:rsidRPr="00507E84">
        <w:rPr>
          <w:rFonts w:ascii="Times New Roman" w:hAnsi="Times New Roman" w:cs="Times New Roman"/>
          <w:sz w:val="24"/>
          <w:szCs w:val="24"/>
        </w:rPr>
        <w:t>Úradu jadrového dozoru Slovenskej republiky</w:t>
      </w:r>
      <w:r w:rsidR="0068052C" w:rsidRPr="00507E84">
        <w:rPr>
          <w:rFonts w:ascii="Times New Roman" w:hAnsi="Times New Roman" w:cs="Times New Roman"/>
          <w:sz w:val="24"/>
          <w:szCs w:val="24"/>
        </w:rPr>
        <w:t xml:space="preserve"> a Ministerstva obrany. Výnimky, ktoré sa v praxi neosvedčili, boli upravené a zaradené do kategórie sektorových úprav, kedy sa na bezpečnostné opatrenia aplikujú osobitné právne predpisy. Ide napríklad aj o atómový zákon alebo zákon o informačných technológiách verejnej správy.</w:t>
      </w:r>
    </w:p>
    <w:p w14:paraId="369F36CD" w14:textId="460F729E" w:rsidR="00B15ED1" w:rsidRPr="00507E84" w:rsidRDefault="0068052C"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N</w:t>
      </w:r>
      <w:r w:rsidR="00A15DA0" w:rsidRPr="00507E84">
        <w:rPr>
          <w:rFonts w:ascii="Times New Roman" w:hAnsi="Times New Roman" w:cs="Times New Roman"/>
          <w:sz w:val="24"/>
          <w:szCs w:val="24"/>
        </w:rPr>
        <w:t>áv</w:t>
      </w:r>
      <w:r w:rsidR="00114006" w:rsidRPr="00507E84">
        <w:rPr>
          <w:rFonts w:ascii="Times New Roman" w:hAnsi="Times New Roman" w:cs="Times New Roman"/>
          <w:sz w:val="24"/>
          <w:szCs w:val="24"/>
        </w:rPr>
        <w:t xml:space="preserve">rh </w:t>
      </w:r>
      <w:r w:rsidR="00B15ED1" w:rsidRPr="00507E84">
        <w:rPr>
          <w:rFonts w:ascii="Times New Roman" w:hAnsi="Times New Roman" w:cs="Times New Roman"/>
          <w:sz w:val="24"/>
          <w:szCs w:val="24"/>
        </w:rPr>
        <w:t>zákon</w:t>
      </w:r>
      <w:r w:rsidR="00114006" w:rsidRPr="00507E84">
        <w:rPr>
          <w:rFonts w:ascii="Times New Roman" w:hAnsi="Times New Roman" w:cs="Times New Roman"/>
          <w:sz w:val="24"/>
          <w:szCs w:val="24"/>
        </w:rPr>
        <w:t>a</w:t>
      </w:r>
      <w:r w:rsidR="00B15ED1" w:rsidRPr="00507E84">
        <w:rPr>
          <w:rFonts w:ascii="Times New Roman" w:hAnsi="Times New Roman" w:cs="Times New Roman"/>
          <w:sz w:val="24"/>
          <w:szCs w:val="24"/>
        </w:rPr>
        <w:t xml:space="preserve"> </w:t>
      </w:r>
      <w:r w:rsidRPr="00507E84">
        <w:rPr>
          <w:rFonts w:ascii="Times New Roman" w:hAnsi="Times New Roman" w:cs="Times New Roman"/>
          <w:sz w:val="24"/>
          <w:szCs w:val="24"/>
        </w:rPr>
        <w:t xml:space="preserve">sa </w:t>
      </w:r>
      <w:r w:rsidR="00B15ED1" w:rsidRPr="00507E84">
        <w:rPr>
          <w:rFonts w:ascii="Times New Roman" w:hAnsi="Times New Roman" w:cs="Times New Roman"/>
          <w:sz w:val="24"/>
          <w:szCs w:val="24"/>
        </w:rPr>
        <w:t>primerane vzťah</w:t>
      </w:r>
      <w:r w:rsidRPr="00507E84">
        <w:rPr>
          <w:rFonts w:ascii="Times New Roman" w:hAnsi="Times New Roman" w:cs="Times New Roman"/>
          <w:sz w:val="24"/>
          <w:szCs w:val="24"/>
        </w:rPr>
        <w:t>uje</w:t>
      </w:r>
      <w:r w:rsidR="00B15ED1" w:rsidRPr="00507E84">
        <w:rPr>
          <w:rFonts w:ascii="Times New Roman" w:hAnsi="Times New Roman" w:cs="Times New Roman"/>
          <w:sz w:val="24"/>
          <w:szCs w:val="24"/>
        </w:rPr>
        <w:t xml:space="preserve"> aj na </w:t>
      </w:r>
      <w:r w:rsidRPr="00507E84">
        <w:rPr>
          <w:rFonts w:ascii="Times New Roman" w:hAnsi="Times New Roman" w:cs="Times New Roman"/>
          <w:sz w:val="24"/>
          <w:szCs w:val="24"/>
        </w:rPr>
        <w:t xml:space="preserve">tie </w:t>
      </w:r>
      <w:r w:rsidR="00B15ED1" w:rsidRPr="00507E84">
        <w:rPr>
          <w:rFonts w:ascii="Times New Roman" w:hAnsi="Times New Roman" w:cs="Times New Roman"/>
          <w:sz w:val="24"/>
          <w:szCs w:val="24"/>
        </w:rPr>
        <w:t xml:space="preserve">informačné systémy, ktoré sú v pôsobnosti </w:t>
      </w:r>
      <w:r w:rsidR="00FD255E" w:rsidRPr="00507E84">
        <w:rPr>
          <w:rFonts w:ascii="Times New Roman" w:hAnsi="Times New Roman" w:cs="Times New Roman"/>
          <w:sz w:val="24"/>
          <w:szCs w:val="24"/>
        </w:rPr>
        <w:t>M</w:t>
      </w:r>
      <w:r w:rsidR="00B15ED1" w:rsidRPr="00507E84">
        <w:rPr>
          <w:rFonts w:ascii="Times New Roman" w:hAnsi="Times New Roman" w:cs="Times New Roman"/>
          <w:sz w:val="24"/>
          <w:szCs w:val="24"/>
        </w:rPr>
        <w:t>inisterstva obrany Slovenskej republiky</w:t>
      </w:r>
      <w:r w:rsidRPr="00507E84">
        <w:rPr>
          <w:rFonts w:ascii="Times New Roman" w:hAnsi="Times New Roman" w:cs="Times New Roman"/>
          <w:sz w:val="24"/>
          <w:szCs w:val="24"/>
        </w:rPr>
        <w:t>, o ktorých to ustanoví v zmysle spoločných ustanovení ústredný orgán. Ide o p</w:t>
      </w:r>
      <w:r w:rsidR="00B15ED1" w:rsidRPr="00507E84">
        <w:rPr>
          <w:rFonts w:ascii="Times New Roman" w:hAnsi="Times New Roman" w:cs="Times New Roman"/>
          <w:sz w:val="24"/>
          <w:szCs w:val="24"/>
        </w:rPr>
        <w:t>rimeran</w:t>
      </w:r>
      <w:r w:rsidRPr="00507E84">
        <w:rPr>
          <w:rFonts w:ascii="Times New Roman" w:hAnsi="Times New Roman" w:cs="Times New Roman"/>
          <w:sz w:val="24"/>
          <w:szCs w:val="24"/>
        </w:rPr>
        <w:t>ú</w:t>
      </w:r>
      <w:r w:rsidR="00B15ED1" w:rsidRPr="00507E84">
        <w:rPr>
          <w:rFonts w:ascii="Times New Roman" w:hAnsi="Times New Roman" w:cs="Times New Roman"/>
          <w:sz w:val="24"/>
          <w:szCs w:val="24"/>
        </w:rPr>
        <w:t xml:space="preserve"> reguláci</w:t>
      </w:r>
      <w:r w:rsidRPr="00507E84">
        <w:rPr>
          <w:rFonts w:ascii="Times New Roman" w:hAnsi="Times New Roman" w:cs="Times New Roman"/>
          <w:sz w:val="24"/>
          <w:szCs w:val="24"/>
        </w:rPr>
        <w:t>u</w:t>
      </w:r>
      <w:r w:rsidR="00B15ED1" w:rsidRPr="00507E84">
        <w:rPr>
          <w:rFonts w:ascii="Times New Roman" w:hAnsi="Times New Roman" w:cs="Times New Roman"/>
          <w:sz w:val="24"/>
          <w:szCs w:val="24"/>
        </w:rPr>
        <w:t xml:space="preserve"> tých informačných systémov, ktoré majú dosah na verejný sektor, vrátane civilného</w:t>
      </w:r>
      <w:r w:rsidRPr="00507E84">
        <w:rPr>
          <w:rFonts w:ascii="Times New Roman" w:hAnsi="Times New Roman" w:cs="Times New Roman"/>
          <w:sz w:val="24"/>
          <w:szCs w:val="24"/>
        </w:rPr>
        <w:t xml:space="preserve"> (mimo spravodajskej služby).</w:t>
      </w:r>
    </w:p>
    <w:p w14:paraId="15062573" w14:textId="5514F8E1" w:rsidR="00CA5175" w:rsidRPr="00507E84" w:rsidRDefault="0068052C" w:rsidP="00CA5175">
      <w:pPr>
        <w:spacing w:after="0"/>
        <w:jc w:val="both"/>
        <w:rPr>
          <w:rFonts w:ascii="Times New Roman" w:hAnsi="Times New Roman" w:cs="Times New Roman"/>
          <w:sz w:val="24"/>
          <w:szCs w:val="24"/>
        </w:rPr>
      </w:pPr>
      <w:r w:rsidRPr="00507E84">
        <w:rPr>
          <w:rFonts w:ascii="Times New Roman" w:hAnsi="Times New Roman" w:cs="Times New Roman"/>
          <w:sz w:val="24"/>
          <w:szCs w:val="24"/>
        </w:rPr>
        <w:t>V prípade osobitnej kategórie konkrétne vymedzených osôb a poskytovaných činností, resp. služieb, sú doplnené podmienky</w:t>
      </w:r>
      <w:r w:rsidR="00796AFF" w:rsidRPr="00507E84">
        <w:rPr>
          <w:rFonts w:ascii="Times New Roman" w:hAnsi="Times New Roman" w:cs="Times New Roman"/>
          <w:sz w:val="24"/>
          <w:szCs w:val="24"/>
        </w:rPr>
        <w:t xml:space="preserve">, za ktorých sa ustanovenia </w:t>
      </w:r>
      <w:r w:rsidR="00BD5E37" w:rsidRPr="00507E84">
        <w:rPr>
          <w:rFonts w:ascii="Times New Roman" w:hAnsi="Times New Roman" w:cs="Times New Roman"/>
          <w:sz w:val="24"/>
          <w:szCs w:val="24"/>
        </w:rPr>
        <w:t xml:space="preserve">návrhu </w:t>
      </w:r>
      <w:r w:rsidR="00796AFF" w:rsidRPr="00507E84">
        <w:rPr>
          <w:rFonts w:ascii="Times New Roman" w:hAnsi="Times New Roman" w:cs="Times New Roman"/>
          <w:sz w:val="24"/>
          <w:szCs w:val="24"/>
        </w:rPr>
        <w:t xml:space="preserve">zákona vzťahujú aj na osobu, ktorá nemá sídlo, </w:t>
      </w:r>
      <w:r w:rsidR="00BD5E37" w:rsidRPr="00507E84">
        <w:rPr>
          <w:rFonts w:ascii="Times New Roman" w:hAnsi="Times New Roman" w:cs="Times New Roman"/>
          <w:sz w:val="24"/>
          <w:szCs w:val="24"/>
        </w:rPr>
        <w:t xml:space="preserve">trvalý </w:t>
      </w:r>
      <w:r w:rsidR="00796AFF" w:rsidRPr="00507E84">
        <w:rPr>
          <w:rFonts w:ascii="Times New Roman" w:hAnsi="Times New Roman" w:cs="Times New Roman"/>
          <w:sz w:val="24"/>
          <w:szCs w:val="24"/>
        </w:rPr>
        <w:t>pobyt alebo miesto podnikania na území Slovenskej republiky</w:t>
      </w:r>
      <w:r w:rsidRPr="00507E84">
        <w:rPr>
          <w:rFonts w:ascii="Times New Roman" w:hAnsi="Times New Roman" w:cs="Times New Roman"/>
          <w:sz w:val="24"/>
          <w:szCs w:val="24"/>
        </w:rPr>
        <w:t xml:space="preserve">. Uvedené podmienky </w:t>
      </w:r>
      <w:r w:rsidR="00796AFF" w:rsidRPr="00507E84">
        <w:rPr>
          <w:rFonts w:ascii="Times New Roman" w:hAnsi="Times New Roman" w:cs="Times New Roman"/>
          <w:sz w:val="24"/>
          <w:szCs w:val="24"/>
        </w:rPr>
        <w:t>vyplynul</w:t>
      </w:r>
      <w:r w:rsidRPr="00507E84">
        <w:rPr>
          <w:rFonts w:ascii="Times New Roman" w:hAnsi="Times New Roman" w:cs="Times New Roman"/>
          <w:sz w:val="24"/>
          <w:szCs w:val="24"/>
        </w:rPr>
        <w:t>i priamo</w:t>
      </w:r>
      <w:r w:rsidR="00796AFF" w:rsidRPr="00507E84">
        <w:rPr>
          <w:rFonts w:ascii="Times New Roman" w:hAnsi="Times New Roman" w:cs="Times New Roman"/>
          <w:sz w:val="24"/>
          <w:szCs w:val="24"/>
        </w:rPr>
        <w:t xml:space="preserve"> zo smernice NIS</w:t>
      </w:r>
      <w:r w:rsidR="00454460" w:rsidRPr="00507E84">
        <w:rPr>
          <w:rFonts w:ascii="Times New Roman" w:hAnsi="Times New Roman" w:cs="Times New Roman"/>
          <w:sz w:val="24"/>
          <w:szCs w:val="24"/>
        </w:rPr>
        <w:t xml:space="preserve"> </w:t>
      </w:r>
      <w:r w:rsidR="00796AFF" w:rsidRPr="00507E84">
        <w:rPr>
          <w:rFonts w:ascii="Times New Roman" w:hAnsi="Times New Roman" w:cs="Times New Roman"/>
          <w:sz w:val="24"/>
          <w:szCs w:val="24"/>
        </w:rPr>
        <w:t>2.</w:t>
      </w:r>
      <w:r w:rsidR="00CA5175" w:rsidRPr="00507E84">
        <w:rPr>
          <w:rFonts w:ascii="Times New Roman" w:hAnsi="Times New Roman" w:cs="Times New Roman"/>
          <w:sz w:val="24"/>
          <w:szCs w:val="24"/>
        </w:rPr>
        <w:t xml:space="preserve"> Podmienkami na to, aby mohli </w:t>
      </w:r>
      <w:r w:rsidRPr="00507E84">
        <w:rPr>
          <w:rFonts w:ascii="Times New Roman" w:hAnsi="Times New Roman" w:cs="Times New Roman"/>
          <w:sz w:val="24"/>
          <w:szCs w:val="24"/>
        </w:rPr>
        <w:t>byť konkrétne osoby</w:t>
      </w:r>
      <w:r w:rsidR="00CA5175" w:rsidRPr="00507E84">
        <w:rPr>
          <w:rFonts w:ascii="Times New Roman" w:hAnsi="Times New Roman" w:cs="Times New Roman"/>
          <w:sz w:val="24"/>
          <w:szCs w:val="24"/>
        </w:rPr>
        <w:t xml:space="preserve"> zapísané do registra prevádzkovateľov základnej služby sú, že osoba na území Slovenskej republiky:</w:t>
      </w:r>
    </w:p>
    <w:p w14:paraId="27D7717D" w14:textId="77777777" w:rsidR="00CA5175" w:rsidRPr="00507E84" w:rsidRDefault="00CA5175" w:rsidP="00CA5175">
      <w:pPr>
        <w:pStyle w:val="Odsekzoznamu"/>
        <w:numPr>
          <w:ilvl w:val="0"/>
          <w:numId w:val="2"/>
        </w:numPr>
        <w:spacing w:after="0" w:line="240" w:lineRule="auto"/>
        <w:jc w:val="both"/>
        <w:rPr>
          <w:rFonts w:ascii="Times New Roman" w:hAnsi="Times New Roman" w:cs="Times New Roman"/>
          <w:sz w:val="24"/>
          <w:szCs w:val="24"/>
        </w:rPr>
      </w:pPr>
      <w:r w:rsidRPr="00507E84">
        <w:rPr>
          <w:rFonts w:ascii="Times New Roman" w:hAnsi="Times New Roman" w:cs="Times New Roman"/>
          <w:sz w:val="24"/>
          <w:szCs w:val="24"/>
        </w:rPr>
        <w:t>najčastejšie prijíma rozhodnutia týkajúce sa bezpečnostných opatrení na riadenie kybernetických rizík,</w:t>
      </w:r>
    </w:p>
    <w:p w14:paraId="0F29918B" w14:textId="7A4EEFBB" w:rsidR="00CA5175" w:rsidRPr="00507E84" w:rsidRDefault="00CA5175" w:rsidP="00BD5E37">
      <w:pPr>
        <w:pStyle w:val="Odsekzoznamu"/>
        <w:numPr>
          <w:ilvl w:val="0"/>
          <w:numId w:val="2"/>
        </w:numPr>
        <w:spacing w:after="0" w:line="240" w:lineRule="auto"/>
        <w:jc w:val="both"/>
        <w:rPr>
          <w:rFonts w:ascii="Times New Roman" w:hAnsi="Times New Roman" w:cs="Times New Roman"/>
          <w:sz w:val="24"/>
          <w:szCs w:val="24"/>
        </w:rPr>
      </w:pPr>
      <w:r w:rsidRPr="00507E84">
        <w:rPr>
          <w:rFonts w:ascii="Times New Roman" w:hAnsi="Times New Roman" w:cs="Times New Roman"/>
          <w:sz w:val="24"/>
          <w:szCs w:val="24"/>
        </w:rPr>
        <w:t>vykonáva opatrenia s cieľom zachovať kybernetickú bezpečnosť a zároveň nie je možné určiť miesto podľa predchádzajúcej odrážky alebo ak osoba neprijíma rozhodnutia podľa prvej odrážky na území členského štátu Európskej únie</w:t>
      </w:r>
      <w:r w:rsidR="00BD5E37" w:rsidRPr="00507E84">
        <w:rPr>
          <w:rFonts w:ascii="Times New Roman" w:hAnsi="Times New Roman" w:cs="Times New Roman"/>
          <w:sz w:val="24"/>
          <w:szCs w:val="24"/>
        </w:rPr>
        <w:t xml:space="preserve"> alebo v štáte, ktorý je zmluvnou stranou zmluvnej strane Dohody o Európskom hospodárskom priestore (ďalej len „členský štát Európskej únie“)</w:t>
      </w:r>
      <w:r w:rsidRPr="00507E84">
        <w:rPr>
          <w:rFonts w:ascii="Times New Roman" w:hAnsi="Times New Roman" w:cs="Times New Roman"/>
          <w:sz w:val="24"/>
          <w:szCs w:val="24"/>
        </w:rPr>
        <w:t>,</w:t>
      </w:r>
    </w:p>
    <w:p w14:paraId="48C13FC3" w14:textId="77777777" w:rsidR="00CA5175" w:rsidRPr="00507E84" w:rsidRDefault="00CA5175" w:rsidP="00CA5175">
      <w:pPr>
        <w:pStyle w:val="Odsekzoznamu"/>
        <w:numPr>
          <w:ilvl w:val="0"/>
          <w:numId w:val="2"/>
        </w:numPr>
        <w:spacing w:after="0" w:line="240" w:lineRule="auto"/>
        <w:jc w:val="both"/>
        <w:rPr>
          <w:rFonts w:ascii="Times New Roman" w:hAnsi="Times New Roman" w:cs="Times New Roman"/>
          <w:sz w:val="24"/>
          <w:szCs w:val="24"/>
        </w:rPr>
      </w:pPr>
      <w:r w:rsidRPr="00507E84">
        <w:rPr>
          <w:rFonts w:ascii="Times New Roman" w:hAnsi="Times New Roman" w:cs="Times New Roman"/>
          <w:sz w:val="24"/>
          <w:szCs w:val="24"/>
        </w:rPr>
        <w:t>má prevádzkareň s najvyšším počtom zamestnancov spomedzi prevádzkarní umiestnených v iných členských štátoch Európskej únie,</w:t>
      </w:r>
    </w:p>
    <w:p w14:paraId="38B7F382" w14:textId="209CA48F" w:rsidR="00CA5175" w:rsidRPr="00507E84" w:rsidRDefault="00CA5175" w:rsidP="00CA5175">
      <w:pPr>
        <w:pStyle w:val="Odsekzoznamu"/>
        <w:numPr>
          <w:ilvl w:val="0"/>
          <w:numId w:val="2"/>
        </w:numPr>
        <w:spacing w:after="0" w:line="240" w:lineRule="auto"/>
        <w:jc w:val="both"/>
        <w:rPr>
          <w:rFonts w:ascii="Times New Roman" w:hAnsi="Times New Roman" w:cs="Times New Roman"/>
          <w:sz w:val="24"/>
          <w:szCs w:val="24"/>
        </w:rPr>
      </w:pPr>
      <w:r w:rsidRPr="00507E84">
        <w:rPr>
          <w:rFonts w:ascii="Times New Roman" w:hAnsi="Times New Roman" w:cs="Times New Roman"/>
          <w:sz w:val="24"/>
          <w:szCs w:val="24"/>
        </w:rPr>
        <w:t xml:space="preserve">má sídlo, </w:t>
      </w:r>
      <w:r w:rsidR="00BD5E37" w:rsidRPr="00507E84">
        <w:rPr>
          <w:rFonts w:ascii="Times New Roman" w:hAnsi="Times New Roman" w:cs="Times New Roman"/>
          <w:sz w:val="24"/>
          <w:szCs w:val="24"/>
        </w:rPr>
        <w:t xml:space="preserve">trvalý </w:t>
      </w:r>
      <w:r w:rsidRPr="00507E84">
        <w:rPr>
          <w:rFonts w:ascii="Times New Roman" w:hAnsi="Times New Roman" w:cs="Times New Roman"/>
          <w:sz w:val="24"/>
          <w:szCs w:val="24"/>
        </w:rPr>
        <w:t xml:space="preserve">pobyt alebo miesto podnikania zástupca podľa § 21 ods. 1 zákona a zároveň ide o osobu, ktorá nemá sídlo, </w:t>
      </w:r>
      <w:r w:rsidR="002436AE" w:rsidRPr="00507E84">
        <w:rPr>
          <w:rFonts w:ascii="Times New Roman" w:hAnsi="Times New Roman" w:cs="Times New Roman"/>
          <w:sz w:val="24"/>
          <w:szCs w:val="24"/>
        </w:rPr>
        <w:t xml:space="preserve">trvalý </w:t>
      </w:r>
      <w:r w:rsidRPr="00507E84">
        <w:rPr>
          <w:rFonts w:ascii="Times New Roman" w:hAnsi="Times New Roman" w:cs="Times New Roman"/>
          <w:sz w:val="24"/>
          <w:szCs w:val="24"/>
        </w:rPr>
        <w:t>pobyt alebo miesto podnikania v členskom štáte Európskej únie.</w:t>
      </w:r>
    </w:p>
    <w:p w14:paraId="6E67C875" w14:textId="77777777" w:rsidR="00B5188F" w:rsidRPr="00507E84" w:rsidRDefault="00B5188F" w:rsidP="00A15DA0">
      <w:pPr>
        <w:spacing w:after="0"/>
        <w:jc w:val="both"/>
        <w:rPr>
          <w:rFonts w:ascii="Times New Roman" w:hAnsi="Times New Roman" w:cs="Times New Roman"/>
          <w:sz w:val="24"/>
          <w:szCs w:val="24"/>
        </w:rPr>
      </w:pPr>
      <w:r w:rsidRPr="00507E84">
        <w:rPr>
          <w:rFonts w:ascii="Times New Roman" w:hAnsi="Times New Roman" w:cs="Times New Roman"/>
          <w:sz w:val="24"/>
          <w:szCs w:val="24"/>
        </w:rPr>
        <w:t>V návrhu zákona sa precizuje negatívna výnimka zákona č. 69/2018 Z. z., a to že zákon sa nevzťahuje na dohľad  a kontrolu plnenia požiadaviek podľa § 2 ods. 1 písm. d) návrhu zákona. Ide o doplnenie výnimky v nadväznosti na prijatie nariadenia Európskeho parlamentu a Rady (EÚ) 2022/2554 zo 14. decembra 2022 o digitálnej prevádzkovej odolnosti finančného sektora a o zmene nariadení (ES) č. 1060/2009, (EÚ) č. 648/2012, (EÚ) č. 600/2014, (EÚ) č. 909/2014 a (EÚ) 2016/1011 (Ú. v. EÚ L 333, 27.12.2022) (ďalej len „nariadenie (EÚ) 2022/2554“).</w:t>
      </w:r>
    </w:p>
    <w:p w14:paraId="249E8171" w14:textId="77777777" w:rsidR="00B5188F" w:rsidRPr="00507E84" w:rsidRDefault="00B5188F" w:rsidP="00A15DA0">
      <w:pPr>
        <w:spacing w:after="0" w:line="240" w:lineRule="auto"/>
        <w:jc w:val="both"/>
        <w:rPr>
          <w:rFonts w:ascii="Times New Roman" w:hAnsi="Times New Roman" w:cs="Times New Roman"/>
          <w:sz w:val="24"/>
          <w:szCs w:val="24"/>
        </w:rPr>
      </w:pPr>
    </w:p>
    <w:p w14:paraId="6AD77B2C" w14:textId="1D0E0CEE" w:rsidR="00B25A87" w:rsidRPr="00507E84" w:rsidRDefault="00B5188F" w:rsidP="00800A80">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bodom</w:t>
      </w:r>
      <w:r w:rsidR="00B25A87" w:rsidRPr="00507E84">
        <w:rPr>
          <w:rFonts w:ascii="Times New Roman" w:hAnsi="Times New Roman" w:cs="Times New Roman"/>
          <w:b/>
          <w:sz w:val="24"/>
          <w:szCs w:val="24"/>
        </w:rPr>
        <w:t xml:space="preserve"> 3</w:t>
      </w:r>
      <w:r w:rsidRPr="00507E84">
        <w:rPr>
          <w:rFonts w:ascii="Times New Roman" w:hAnsi="Times New Roman" w:cs="Times New Roman"/>
          <w:b/>
          <w:sz w:val="24"/>
          <w:szCs w:val="24"/>
        </w:rPr>
        <w:t xml:space="preserve"> až 7</w:t>
      </w:r>
    </w:p>
    <w:p w14:paraId="7079E21E" w14:textId="2982D31A" w:rsidR="00796AFF" w:rsidRPr="00507E84" w:rsidRDefault="00D65856" w:rsidP="00800A80">
      <w:pPr>
        <w:spacing w:after="0"/>
        <w:jc w:val="both"/>
        <w:rPr>
          <w:rFonts w:ascii="Times New Roman" w:hAnsi="Times New Roman" w:cs="Times New Roman"/>
          <w:sz w:val="24"/>
          <w:szCs w:val="24"/>
        </w:rPr>
      </w:pPr>
      <w:r w:rsidRPr="00507E84">
        <w:rPr>
          <w:rFonts w:ascii="Times New Roman" w:hAnsi="Times New Roman" w:cs="Times New Roman"/>
          <w:sz w:val="24"/>
          <w:szCs w:val="24"/>
        </w:rPr>
        <w:t>Preberajú sa pojmy definované v smernici NIS</w:t>
      </w:r>
      <w:r w:rsidR="00FD255E" w:rsidRPr="00507E84">
        <w:rPr>
          <w:rFonts w:ascii="Times New Roman" w:hAnsi="Times New Roman" w:cs="Times New Roman"/>
          <w:sz w:val="24"/>
          <w:szCs w:val="24"/>
        </w:rPr>
        <w:t xml:space="preserve"> </w:t>
      </w:r>
      <w:r w:rsidRPr="00507E84">
        <w:rPr>
          <w:rFonts w:ascii="Times New Roman" w:hAnsi="Times New Roman" w:cs="Times New Roman"/>
          <w:sz w:val="24"/>
          <w:szCs w:val="24"/>
        </w:rPr>
        <w:t>2 alebo na ktoré smernica NIS 2 odkazuje, najmä pojmy vyplývajúce z</w:t>
      </w:r>
      <w:r w:rsidR="0068052C" w:rsidRPr="00507E84">
        <w:rPr>
          <w:rFonts w:ascii="Times New Roman" w:hAnsi="Times New Roman" w:cs="Times New Roman"/>
          <w:sz w:val="24"/>
          <w:szCs w:val="24"/>
        </w:rPr>
        <w:t xml:space="preserve"> </w:t>
      </w:r>
      <w:r w:rsidR="00063938" w:rsidRPr="00507E84">
        <w:rPr>
          <w:rFonts w:ascii="Times New Roman" w:hAnsi="Times New Roman" w:cs="Times New Roman"/>
          <w:sz w:val="24"/>
          <w:szCs w:val="24"/>
        </w:rPr>
        <w:t>nariadenia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 (Ú. v. EÚ L 151, 7.6.2019) (ďalej len „nariadenie (EÚ) 2019/881“)</w:t>
      </w:r>
      <w:r w:rsidRPr="00507E84">
        <w:rPr>
          <w:rFonts w:ascii="Times New Roman" w:hAnsi="Times New Roman" w:cs="Times New Roman"/>
          <w:sz w:val="24"/>
          <w:szCs w:val="24"/>
        </w:rPr>
        <w:t>.</w:t>
      </w:r>
      <w:r w:rsidR="002436AE" w:rsidRPr="00507E84">
        <w:rPr>
          <w:rFonts w:ascii="Times New Roman" w:hAnsi="Times New Roman" w:cs="Times New Roman"/>
          <w:sz w:val="24"/>
          <w:szCs w:val="24"/>
        </w:rPr>
        <w:t xml:space="preserve"> Ide o vymedzenie základ</w:t>
      </w:r>
      <w:r w:rsidR="00B25A87" w:rsidRPr="00507E84">
        <w:rPr>
          <w:rFonts w:ascii="Times New Roman" w:hAnsi="Times New Roman" w:cs="Times New Roman"/>
          <w:sz w:val="24"/>
          <w:szCs w:val="24"/>
        </w:rPr>
        <w:t xml:space="preserve">ných pojmov na účely zákona </w:t>
      </w:r>
      <w:r w:rsidR="002436AE" w:rsidRPr="00507E84">
        <w:rPr>
          <w:rFonts w:ascii="Times New Roman" w:hAnsi="Times New Roman" w:cs="Times New Roman"/>
          <w:sz w:val="24"/>
          <w:szCs w:val="24"/>
        </w:rPr>
        <w:t xml:space="preserve">č. </w:t>
      </w:r>
      <w:r w:rsidR="00B25A87" w:rsidRPr="00507E84">
        <w:rPr>
          <w:rFonts w:ascii="Times New Roman" w:hAnsi="Times New Roman" w:cs="Times New Roman"/>
          <w:sz w:val="24"/>
          <w:szCs w:val="24"/>
        </w:rPr>
        <w:t xml:space="preserve">  </w:t>
      </w:r>
      <w:r w:rsidR="002436AE" w:rsidRPr="00507E84">
        <w:rPr>
          <w:rFonts w:ascii="Times New Roman" w:hAnsi="Times New Roman" w:cs="Times New Roman"/>
          <w:sz w:val="24"/>
          <w:szCs w:val="24"/>
        </w:rPr>
        <w:t>69/2018 Z. z.</w:t>
      </w:r>
      <w:r w:rsidR="00800A80" w:rsidRPr="00507E84">
        <w:rPr>
          <w:rFonts w:ascii="Times New Roman" w:hAnsi="Times New Roman" w:cs="Times New Roman"/>
          <w:sz w:val="24"/>
          <w:szCs w:val="24"/>
        </w:rPr>
        <w:t xml:space="preserve"> a transpozíciu smernice NIS 2.</w:t>
      </w:r>
    </w:p>
    <w:p w14:paraId="0EE47E0E" w14:textId="77777777" w:rsidR="00796AFF" w:rsidRPr="00507E84" w:rsidRDefault="00796AFF" w:rsidP="00796AFF">
      <w:pPr>
        <w:spacing w:after="0"/>
        <w:jc w:val="both"/>
        <w:rPr>
          <w:rFonts w:ascii="Times New Roman" w:hAnsi="Times New Roman" w:cs="Times New Roman"/>
          <w:sz w:val="24"/>
          <w:szCs w:val="24"/>
        </w:rPr>
      </w:pPr>
    </w:p>
    <w:p w14:paraId="6EC49AF3" w14:textId="2F95086D"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B5188F" w:rsidRPr="00507E84">
        <w:rPr>
          <w:rFonts w:ascii="Times New Roman" w:hAnsi="Times New Roman" w:cs="Times New Roman"/>
          <w:b/>
          <w:sz w:val="24"/>
          <w:szCs w:val="24"/>
        </w:rPr>
        <w:t>8</w:t>
      </w:r>
    </w:p>
    <w:p w14:paraId="02B2F360" w14:textId="34491B30" w:rsidR="004948B6" w:rsidRPr="00507E84" w:rsidRDefault="004948B6" w:rsidP="004948B6">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Ustanovenie </w:t>
      </w:r>
      <w:r w:rsidR="002436AE" w:rsidRPr="00507E84">
        <w:rPr>
          <w:rFonts w:ascii="Times New Roman" w:hAnsi="Times New Roman" w:cs="Times New Roman"/>
          <w:sz w:val="24"/>
          <w:szCs w:val="24"/>
        </w:rPr>
        <w:t xml:space="preserve">definuje </w:t>
      </w:r>
      <w:r w:rsidRPr="00507E84">
        <w:rPr>
          <w:rFonts w:ascii="Times New Roman" w:hAnsi="Times New Roman" w:cs="Times New Roman"/>
          <w:sz w:val="24"/>
          <w:szCs w:val="24"/>
        </w:rPr>
        <w:t>prevádzkovateľa základnej služby zápisom v registri prevádzkovateľov základnej služby, ktorý je vedený Národným bezpečnostným úradom.</w:t>
      </w:r>
    </w:p>
    <w:p w14:paraId="262F4A3F" w14:textId="77777777" w:rsidR="00796AFF" w:rsidRPr="00507E84" w:rsidRDefault="00796AFF" w:rsidP="00796AFF">
      <w:pPr>
        <w:spacing w:after="0"/>
        <w:jc w:val="both"/>
        <w:rPr>
          <w:rFonts w:ascii="Times New Roman" w:hAnsi="Times New Roman" w:cs="Times New Roman"/>
          <w:sz w:val="24"/>
          <w:szCs w:val="24"/>
        </w:rPr>
      </w:pPr>
    </w:p>
    <w:p w14:paraId="7F401858" w14:textId="73A4DC4C" w:rsidR="00796AFF" w:rsidRPr="00507E84" w:rsidRDefault="004948B6"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7B0E01" w:rsidRPr="00507E84">
        <w:rPr>
          <w:rFonts w:ascii="Times New Roman" w:hAnsi="Times New Roman" w:cs="Times New Roman"/>
          <w:b/>
          <w:sz w:val="24"/>
          <w:szCs w:val="24"/>
        </w:rPr>
        <w:t>9</w:t>
      </w:r>
    </w:p>
    <w:p w14:paraId="58F2E76C" w14:textId="77777777" w:rsidR="004948B6" w:rsidRPr="00507E84" w:rsidRDefault="004948B6" w:rsidP="004948B6">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Legislatívnotechnická úprava. Ide o precizovanie textu.</w:t>
      </w:r>
    </w:p>
    <w:p w14:paraId="79A4F305" w14:textId="77777777" w:rsidR="00796AFF" w:rsidRPr="00507E84" w:rsidRDefault="00796AFF" w:rsidP="00796AFF">
      <w:pPr>
        <w:spacing w:after="0"/>
        <w:jc w:val="both"/>
        <w:rPr>
          <w:rFonts w:ascii="Times New Roman" w:hAnsi="Times New Roman" w:cs="Times New Roman"/>
          <w:sz w:val="24"/>
          <w:szCs w:val="24"/>
        </w:rPr>
      </w:pPr>
    </w:p>
    <w:p w14:paraId="480C1062" w14:textId="16A443FA" w:rsidR="00796AFF" w:rsidRPr="00507E84" w:rsidRDefault="004948B6"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7B0E01" w:rsidRPr="00507E84">
        <w:rPr>
          <w:rFonts w:ascii="Times New Roman" w:hAnsi="Times New Roman" w:cs="Times New Roman"/>
          <w:b/>
          <w:sz w:val="24"/>
          <w:szCs w:val="24"/>
        </w:rPr>
        <w:t>10</w:t>
      </w:r>
    </w:p>
    <w:p w14:paraId="11DD6C53" w14:textId="78814C54" w:rsidR="004948B6" w:rsidRPr="00507E84" w:rsidRDefault="004948B6" w:rsidP="004948B6">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Legislatívnotechnická úprava. </w:t>
      </w:r>
      <w:r w:rsidR="00A34BA6" w:rsidRPr="00507E84">
        <w:rPr>
          <w:rFonts w:ascii="Times New Roman" w:hAnsi="Times New Roman" w:cs="Times New Roman"/>
          <w:sz w:val="24"/>
          <w:szCs w:val="24"/>
        </w:rPr>
        <w:t xml:space="preserve">Ide o zosúladenie </w:t>
      </w:r>
      <w:r w:rsidRPr="00507E84">
        <w:rPr>
          <w:rFonts w:ascii="Times New Roman" w:hAnsi="Times New Roman" w:cs="Times New Roman"/>
          <w:sz w:val="24"/>
          <w:szCs w:val="24"/>
        </w:rPr>
        <w:t xml:space="preserve">názvu </w:t>
      </w:r>
      <w:r w:rsidR="00A34BA6" w:rsidRPr="00507E84">
        <w:rPr>
          <w:rFonts w:ascii="Times New Roman" w:hAnsi="Times New Roman" w:cs="Times New Roman"/>
          <w:sz w:val="24"/>
          <w:szCs w:val="24"/>
        </w:rPr>
        <w:t>M</w:t>
      </w:r>
      <w:r w:rsidRPr="00507E84">
        <w:rPr>
          <w:rFonts w:ascii="Times New Roman" w:hAnsi="Times New Roman" w:cs="Times New Roman"/>
          <w:sz w:val="24"/>
          <w:szCs w:val="24"/>
        </w:rPr>
        <w:t>inisterstva</w:t>
      </w:r>
      <w:r w:rsidR="00A34BA6" w:rsidRPr="00507E84">
        <w:rPr>
          <w:rFonts w:ascii="Times New Roman" w:hAnsi="Times New Roman" w:cs="Times New Roman"/>
          <w:sz w:val="24"/>
          <w:szCs w:val="24"/>
        </w:rPr>
        <w:t xml:space="preserve"> dopravy Slovenskej</w:t>
      </w:r>
      <w:r w:rsidRPr="00507E84">
        <w:rPr>
          <w:rFonts w:ascii="Times New Roman" w:hAnsi="Times New Roman" w:cs="Times New Roman"/>
          <w:sz w:val="24"/>
          <w:szCs w:val="24"/>
        </w:rPr>
        <w:t xml:space="preserve"> </w:t>
      </w:r>
      <w:r w:rsidR="00A34BA6" w:rsidRPr="00507E84">
        <w:rPr>
          <w:rFonts w:ascii="Times New Roman" w:hAnsi="Times New Roman" w:cs="Times New Roman"/>
          <w:sz w:val="24"/>
          <w:szCs w:val="24"/>
        </w:rPr>
        <w:t xml:space="preserve">republiky </w:t>
      </w:r>
      <w:r w:rsidRPr="00507E84">
        <w:rPr>
          <w:rFonts w:ascii="Times New Roman" w:hAnsi="Times New Roman" w:cs="Times New Roman"/>
          <w:sz w:val="24"/>
          <w:szCs w:val="24"/>
        </w:rPr>
        <w:t>so zmenou vykonanou zákonom č. 172/2022 Z. z.</w:t>
      </w:r>
    </w:p>
    <w:p w14:paraId="76917521" w14:textId="4DA6173C" w:rsidR="004948B6" w:rsidRPr="00507E84" w:rsidRDefault="00A34BA6" w:rsidP="004948B6">
      <w:pPr>
        <w:spacing w:after="0"/>
        <w:jc w:val="both"/>
        <w:rPr>
          <w:rFonts w:ascii="Times New Roman" w:hAnsi="Times New Roman" w:cs="Times New Roman"/>
          <w:sz w:val="24"/>
          <w:szCs w:val="24"/>
        </w:rPr>
      </w:pPr>
      <w:r w:rsidRPr="00507E84">
        <w:rPr>
          <w:rFonts w:ascii="Times New Roman" w:hAnsi="Times New Roman" w:cs="Times New Roman"/>
          <w:sz w:val="24"/>
          <w:szCs w:val="24"/>
        </w:rPr>
        <w:t>Návrhom zákona sa dopĺňa</w:t>
      </w:r>
      <w:r w:rsidR="004948B6" w:rsidRPr="00507E84">
        <w:rPr>
          <w:rFonts w:ascii="Times New Roman" w:hAnsi="Times New Roman" w:cs="Times New Roman"/>
          <w:sz w:val="24"/>
          <w:szCs w:val="24"/>
        </w:rPr>
        <w:t xml:space="preserve"> Správ</w:t>
      </w:r>
      <w:r w:rsidRPr="00507E84">
        <w:rPr>
          <w:rFonts w:ascii="Times New Roman" w:hAnsi="Times New Roman" w:cs="Times New Roman"/>
          <w:sz w:val="24"/>
          <w:szCs w:val="24"/>
        </w:rPr>
        <w:t>a</w:t>
      </w:r>
      <w:r w:rsidR="004948B6" w:rsidRPr="00507E84">
        <w:rPr>
          <w:rFonts w:ascii="Times New Roman" w:hAnsi="Times New Roman" w:cs="Times New Roman"/>
          <w:sz w:val="24"/>
          <w:szCs w:val="24"/>
        </w:rPr>
        <w:t xml:space="preserve"> štátnych hmotných rezerv Slovenskej republiky medzi orgány verejnej moci, ktoré majú na účel zákona</w:t>
      </w:r>
      <w:r w:rsidRPr="00507E84">
        <w:rPr>
          <w:rFonts w:ascii="Times New Roman" w:hAnsi="Times New Roman" w:cs="Times New Roman"/>
          <w:sz w:val="24"/>
          <w:szCs w:val="24"/>
        </w:rPr>
        <w:t xml:space="preserve"> č.</w:t>
      </w:r>
      <w:r w:rsidR="00B25A87" w:rsidRPr="00507E84">
        <w:rPr>
          <w:rFonts w:ascii="Times New Roman" w:hAnsi="Times New Roman" w:cs="Times New Roman"/>
          <w:sz w:val="24"/>
          <w:szCs w:val="24"/>
        </w:rPr>
        <w:t xml:space="preserve"> </w:t>
      </w:r>
      <w:r w:rsidRPr="00507E84">
        <w:rPr>
          <w:rFonts w:ascii="Times New Roman" w:hAnsi="Times New Roman" w:cs="Times New Roman"/>
          <w:sz w:val="24"/>
          <w:szCs w:val="24"/>
        </w:rPr>
        <w:t>69/2018 Z. z.</w:t>
      </w:r>
      <w:r w:rsidR="004948B6" w:rsidRPr="00507E84">
        <w:rPr>
          <w:rFonts w:ascii="Times New Roman" w:hAnsi="Times New Roman" w:cs="Times New Roman"/>
          <w:sz w:val="24"/>
          <w:szCs w:val="24"/>
        </w:rPr>
        <w:t xml:space="preserve"> zavedenú legislatívnu skratku „ústredný orgán“ z dôvodu, že Správa štátnych hmotných rezerv Slovenskej republiky bola identifikovaná v sektore energetika, v podsektore ropa ako ústredný orgán pre subjekt správy zásob ropy, teda pre Agentúru pre núdzové zásoby ropy a ropných výrobkov.</w:t>
      </w:r>
    </w:p>
    <w:p w14:paraId="4547700B" w14:textId="77777777" w:rsidR="004948B6" w:rsidRPr="00507E84" w:rsidRDefault="004948B6" w:rsidP="004948B6">
      <w:pPr>
        <w:spacing w:after="0"/>
        <w:jc w:val="both"/>
        <w:rPr>
          <w:rFonts w:ascii="Times New Roman" w:hAnsi="Times New Roman" w:cs="Times New Roman"/>
          <w:sz w:val="24"/>
          <w:szCs w:val="24"/>
        </w:rPr>
      </w:pPr>
    </w:p>
    <w:p w14:paraId="60A235FA" w14:textId="59A5E7F3" w:rsidR="00796AFF" w:rsidRPr="00507E84" w:rsidRDefault="004948B6"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7B0E01" w:rsidRPr="00507E84">
        <w:rPr>
          <w:rFonts w:ascii="Times New Roman" w:hAnsi="Times New Roman" w:cs="Times New Roman"/>
          <w:b/>
          <w:sz w:val="24"/>
          <w:szCs w:val="24"/>
        </w:rPr>
        <w:t>11</w:t>
      </w:r>
    </w:p>
    <w:p w14:paraId="49FDABCF" w14:textId="1E8A14D0" w:rsidR="000743BB" w:rsidRPr="00507E84" w:rsidRDefault="000743BB" w:rsidP="000743BB">
      <w:pPr>
        <w:spacing w:after="0"/>
        <w:jc w:val="both"/>
        <w:rPr>
          <w:rFonts w:ascii="Times New Roman" w:hAnsi="Times New Roman" w:cs="Times New Roman"/>
          <w:color w:val="000000"/>
          <w:sz w:val="24"/>
          <w:szCs w:val="24"/>
        </w:rPr>
      </w:pPr>
      <w:r w:rsidRPr="00507E84">
        <w:rPr>
          <w:rFonts w:ascii="Times New Roman" w:hAnsi="Times New Roman" w:cs="Times New Roman"/>
          <w:sz w:val="24"/>
          <w:szCs w:val="24"/>
        </w:rPr>
        <w:t>Z čl. 9 smernice NIS 2 vyplynula požiadavka, aby každý členský štát prijal národný plán reakcie na rozsiahle kybernetické incidenty a krízy. V Slovenskej republike bude tento strategický dokument vypracovávať Národný bezpečnostný úrad</w:t>
      </w:r>
      <w:r w:rsidRPr="00507E84">
        <w:rPr>
          <w:rFonts w:ascii="Times New Roman" w:hAnsi="Times New Roman" w:cs="Times New Roman"/>
          <w:color w:val="000000"/>
          <w:sz w:val="24"/>
          <w:szCs w:val="24"/>
        </w:rPr>
        <w:t xml:space="preserve"> v spolupráci s príslušnými štátnymi orgánmi.</w:t>
      </w:r>
      <w:r w:rsidR="00277300" w:rsidRPr="00507E84">
        <w:rPr>
          <w:rFonts w:ascii="Times New Roman" w:hAnsi="Times New Roman" w:cs="Times New Roman"/>
          <w:color w:val="000000"/>
          <w:sz w:val="24"/>
          <w:szCs w:val="24"/>
        </w:rPr>
        <w:t xml:space="preserve"> Národný bezpečnostný úrad je zároveň určený ako orgán pre riadenie kybernetických kríz, ktorý pln</w:t>
      </w:r>
      <w:r w:rsidR="00EE4AEE" w:rsidRPr="00507E84">
        <w:rPr>
          <w:rFonts w:ascii="Times New Roman" w:hAnsi="Times New Roman" w:cs="Times New Roman"/>
          <w:color w:val="000000"/>
          <w:sz w:val="24"/>
          <w:szCs w:val="24"/>
        </w:rPr>
        <w:t>í</w:t>
      </w:r>
      <w:r w:rsidR="00277300" w:rsidRPr="00507E84">
        <w:rPr>
          <w:rFonts w:ascii="Times New Roman" w:hAnsi="Times New Roman" w:cs="Times New Roman"/>
          <w:color w:val="000000"/>
          <w:sz w:val="24"/>
          <w:szCs w:val="24"/>
        </w:rPr>
        <w:t xml:space="preserve"> úlohy národného koordinátora rozsiahlych kybernetických bezpečnostných incidentov a kybernetických kríz.</w:t>
      </w:r>
    </w:p>
    <w:p w14:paraId="23B504EF" w14:textId="77777777" w:rsidR="00796AFF" w:rsidRPr="00507E84" w:rsidRDefault="00796AFF" w:rsidP="00796AFF">
      <w:pPr>
        <w:spacing w:after="0"/>
        <w:jc w:val="both"/>
        <w:rPr>
          <w:rFonts w:ascii="Times New Roman" w:hAnsi="Times New Roman" w:cs="Times New Roman"/>
          <w:sz w:val="24"/>
          <w:szCs w:val="24"/>
        </w:rPr>
      </w:pPr>
    </w:p>
    <w:p w14:paraId="728B0B67" w14:textId="542669BA"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7B0E01" w:rsidRPr="00507E84">
        <w:rPr>
          <w:rFonts w:ascii="Times New Roman" w:hAnsi="Times New Roman" w:cs="Times New Roman"/>
          <w:b/>
          <w:sz w:val="24"/>
          <w:szCs w:val="24"/>
        </w:rPr>
        <w:t>12</w:t>
      </w:r>
    </w:p>
    <w:p w14:paraId="5B4172AA" w14:textId="4A054891" w:rsidR="004948B6" w:rsidRPr="00507E84" w:rsidRDefault="005A7C3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Národný bezpečnostný úrad je nielen kontaktným miestom pre kybernetickú bezpečnosť pre zahraničie</w:t>
      </w:r>
      <w:r w:rsidR="00B36CEB" w:rsidRPr="00507E84">
        <w:rPr>
          <w:rFonts w:ascii="Times New Roman" w:hAnsi="Times New Roman" w:cs="Times New Roman"/>
          <w:sz w:val="24"/>
          <w:szCs w:val="24"/>
        </w:rPr>
        <w:t xml:space="preserve"> vrátane orgánov Európskej únie</w:t>
      </w:r>
      <w:r w:rsidRPr="00507E84">
        <w:rPr>
          <w:rFonts w:ascii="Times New Roman" w:hAnsi="Times New Roman" w:cs="Times New Roman"/>
          <w:sz w:val="24"/>
          <w:szCs w:val="24"/>
        </w:rPr>
        <w:t xml:space="preserve">, ale aj pre vnútroštátnu spoluprácu. </w:t>
      </w:r>
      <w:r w:rsidR="00B36CEB" w:rsidRPr="00507E84">
        <w:rPr>
          <w:rFonts w:ascii="Times New Roman" w:hAnsi="Times New Roman" w:cs="Times New Roman"/>
          <w:sz w:val="24"/>
          <w:szCs w:val="24"/>
        </w:rPr>
        <w:t xml:space="preserve">Zároveň sa však vypúšťajú orgány Organizácie Severoatlantickej zmluvy, pretože to nie je požiadavka smernice NIS 2 a komunikáciu a notifikačné povinnosti </w:t>
      </w:r>
      <w:r w:rsidR="00EE4AEE" w:rsidRPr="00507E84">
        <w:rPr>
          <w:rFonts w:ascii="Times New Roman" w:hAnsi="Times New Roman" w:cs="Times New Roman"/>
          <w:sz w:val="24"/>
          <w:szCs w:val="24"/>
        </w:rPr>
        <w:t xml:space="preserve">ohľadom kybernetickej obrany, </w:t>
      </w:r>
      <w:r w:rsidR="00B36CEB" w:rsidRPr="00507E84">
        <w:rPr>
          <w:rFonts w:ascii="Times New Roman" w:hAnsi="Times New Roman" w:cs="Times New Roman"/>
          <w:sz w:val="24"/>
          <w:szCs w:val="24"/>
        </w:rPr>
        <w:t>vo vzťahu k Organizácii Severoatlantickej zmluvy</w:t>
      </w:r>
      <w:r w:rsidR="00EE4AEE" w:rsidRPr="00507E84">
        <w:rPr>
          <w:rFonts w:ascii="Times New Roman" w:hAnsi="Times New Roman" w:cs="Times New Roman"/>
          <w:sz w:val="24"/>
          <w:szCs w:val="24"/>
        </w:rPr>
        <w:t>,</w:t>
      </w:r>
      <w:r w:rsidR="00B36CEB" w:rsidRPr="00507E84">
        <w:rPr>
          <w:rFonts w:ascii="Times New Roman" w:hAnsi="Times New Roman" w:cs="Times New Roman"/>
          <w:sz w:val="24"/>
          <w:szCs w:val="24"/>
        </w:rPr>
        <w:t xml:space="preserve"> plní Ministerstvo obrany Slovenskej republiky.</w:t>
      </w:r>
    </w:p>
    <w:p w14:paraId="78D8D486" w14:textId="77777777" w:rsidR="005A7C3F" w:rsidRPr="00507E84" w:rsidRDefault="005A7C3F" w:rsidP="00796AFF">
      <w:pPr>
        <w:spacing w:after="0"/>
        <w:jc w:val="both"/>
        <w:rPr>
          <w:rFonts w:ascii="Times New Roman" w:hAnsi="Times New Roman" w:cs="Times New Roman"/>
          <w:b/>
          <w:sz w:val="24"/>
          <w:szCs w:val="24"/>
        </w:rPr>
      </w:pPr>
    </w:p>
    <w:p w14:paraId="315E00AE" w14:textId="52E7DD4A"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7B0E01" w:rsidRPr="00507E84">
        <w:rPr>
          <w:rFonts w:ascii="Times New Roman" w:hAnsi="Times New Roman" w:cs="Times New Roman"/>
          <w:b/>
          <w:sz w:val="24"/>
          <w:szCs w:val="24"/>
        </w:rPr>
        <w:t>13</w:t>
      </w:r>
    </w:p>
    <w:p w14:paraId="7E4CF18B" w14:textId="5BF7C3D5" w:rsidR="00796AFF" w:rsidRPr="00507E84" w:rsidRDefault="00B36CEB"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Organizácia Severoatlantickej zmluvy je vojensko-politickou medzinárodnou organizáciou, ktorá plní úlohy kolektívnej obrany. </w:t>
      </w:r>
      <w:r w:rsidR="00547C87" w:rsidRPr="00507E84">
        <w:rPr>
          <w:rFonts w:ascii="Times New Roman" w:hAnsi="Times New Roman" w:cs="Times New Roman"/>
          <w:sz w:val="24"/>
          <w:szCs w:val="24"/>
        </w:rPr>
        <w:t xml:space="preserve">Keďže </w:t>
      </w:r>
      <w:r w:rsidRPr="00507E84">
        <w:rPr>
          <w:rFonts w:ascii="Times New Roman" w:hAnsi="Times New Roman" w:cs="Times New Roman"/>
          <w:sz w:val="24"/>
          <w:szCs w:val="24"/>
        </w:rPr>
        <w:t>ide o úlohy vojenskej povahy, v podmienkach kybernetickej domény sú jej aktivity zadefinované ako kybernetická obrana (CYBER DEFENCE). Podľa príslušných ustanovení zákona č. 575/2001 Z. z. o</w:t>
      </w:r>
      <w:r w:rsidR="00D85133" w:rsidRPr="00507E84">
        <w:rPr>
          <w:rFonts w:ascii="Times New Roman" w:hAnsi="Times New Roman" w:cs="Times New Roman"/>
          <w:sz w:val="24"/>
          <w:szCs w:val="24"/>
        </w:rPr>
        <w:t> </w:t>
      </w:r>
      <w:r w:rsidRPr="00507E84">
        <w:rPr>
          <w:rFonts w:ascii="Times New Roman" w:hAnsi="Times New Roman" w:cs="Times New Roman"/>
          <w:sz w:val="24"/>
          <w:szCs w:val="24"/>
        </w:rPr>
        <w:t>organizácii činnosti vlády a organizácii ústrednej štátnej správy</w:t>
      </w:r>
      <w:r w:rsidR="00A34BA6" w:rsidRPr="00507E84">
        <w:rPr>
          <w:rFonts w:ascii="Times New Roman" w:hAnsi="Times New Roman" w:cs="Times New Roman"/>
          <w:sz w:val="24"/>
          <w:szCs w:val="24"/>
        </w:rPr>
        <w:t xml:space="preserve"> v znení neskorších predpisov</w:t>
      </w:r>
      <w:r w:rsidRPr="00507E84">
        <w:rPr>
          <w:rFonts w:ascii="Times New Roman" w:hAnsi="Times New Roman" w:cs="Times New Roman"/>
          <w:sz w:val="24"/>
          <w:szCs w:val="24"/>
        </w:rPr>
        <w:t xml:space="preserve">, zákona č. 319/2002 </w:t>
      </w:r>
      <w:r w:rsidRPr="00507E84">
        <w:rPr>
          <w:rFonts w:ascii="Times New Roman" w:hAnsi="Times New Roman" w:cs="Times New Roman"/>
          <w:sz w:val="24"/>
          <w:szCs w:val="24"/>
        </w:rPr>
        <w:lastRenderedPageBreak/>
        <w:t>Z. z. o</w:t>
      </w:r>
      <w:r w:rsidR="00D85133" w:rsidRPr="00507E84">
        <w:rPr>
          <w:rFonts w:ascii="Times New Roman" w:hAnsi="Times New Roman" w:cs="Times New Roman"/>
          <w:sz w:val="24"/>
          <w:szCs w:val="24"/>
        </w:rPr>
        <w:t> </w:t>
      </w:r>
      <w:r w:rsidRPr="00507E84">
        <w:rPr>
          <w:rFonts w:ascii="Times New Roman" w:hAnsi="Times New Roman" w:cs="Times New Roman"/>
          <w:sz w:val="24"/>
          <w:szCs w:val="24"/>
        </w:rPr>
        <w:t>obrane Slovenskej republiky</w:t>
      </w:r>
      <w:r w:rsidR="00A34BA6" w:rsidRPr="00507E84">
        <w:rPr>
          <w:rFonts w:ascii="Times New Roman" w:hAnsi="Times New Roman" w:cs="Times New Roman"/>
          <w:sz w:val="24"/>
          <w:szCs w:val="24"/>
        </w:rPr>
        <w:t xml:space="preserve">  znení neskorších predpisov</w:t>
      </w:r>
      <w:r w:rsidRPr="00507E84">
        <w:rPr>
          <w:rFonts w:ascii="Times New Roman" w:hAnsi="Times New Roman" w:cs="Times New Roman"/>
          <w:sz w:val="24"/>
          <w:szCs w:val="24"/>
        </w:rPr>
        <w:t xml:space="preserve"> a zákona č. 500/2022 Z. z. o</w:t>
      </w:r>
      <w:r w:rsidR="00B25A87" w:rsidRPr="00507E84">
        <w:rPr>
          <w:rFonts w:ascii="Times New Roman" w:hAnsi="Times New Roman" w:cs="Times New Roman"/>
          <w:sz w:val="24"/>
          <w:szCs w:val="24"/>
        </w:rPr>
        <w:t xml:space="preserve"> </w:t>
      </w:r>
      <w:r w:rsidRPr="00507E84">
        <w:rPr>
          <w:rFonts w:ascii="Times New Roman" w:hAnsi="Times New Roman" w:cs="Times New Roman"/>
          <w:sz w:val="24"/>
          <w:szCs w:val="24"/>
        </w:rPr>
        <w:t>Vojenskom spravodajstve spadá problematika obrany, vrátane spolupráce v oblasti kybernetickej obrany s</w:t>
      </w:r>
      <w:r w:rsidR="00D85133" w:rsidRPr="00507E84">
        <w:rPr>
          <w:rFonts w:ascii="Times New Roman" w:hAnsi="Times New Roman" w:cs="Times New Roman"/>
          <w:sz w:val="24"/>
          <w:szCs w:val="24"/>
        </w:rPr>
        <w:t> Organizáciou Severoatlantickej zmluvy</w:t>
      </w:r>
      <w:r w:rsidRPr="00507E84">
        <w:rPr>
          <w:rFonts w:ascii="Times New Roman" w:hAnsi="Times New Roman" w:cs="Times New Roman"/>
          <w:sz w:val="24"/>
          <w:szCs w:val="24"/>
        </w:rPr>
        <w:t xml:space="preserve">, do kompetencie rezortu </w:t>
      </w:r>
      <w:r w:rsidR="000A2551" w:rsidRPr="00507E84">
        <w:rPr>
          <w:rFonts w:ascii="Times New Roman" w:hAnsi="Times New Roman" w:cs="Times New Roman"/>
          <w:sz w:val="24"/>
          <w:szCs w:val="24"/>
        </w:rPr>
        <w:t>M</w:t>
      </w:r>
      <w:r w:rsidRPr="00507E84">
        <w:rPr>
          <w:rFonts w:ascii="Times New Roman" w:hAnsi="Times New Roman" w:cs="Times New Roman"/>
          <w:sz w:val="24"/>
          <w:szCs w:val="24"/>
        </w:rPr>
        <w:t>inisterstva obrany</w:t>
      </w:r>
      <w:r w:rsidR="000A2551" w:rsidRPr="00507E84">
        <w:rPr>
          <w:rFonts w:ascii="Times New Roman" w:hAnsi="Times New Roman" w:cs="Times New Roman"/>
          <w:sz w:val="24"/>
          <w:szCs w:val="24"/>
        </w:rPr>
        <w:t xml:space="preserve"> Slovenskej republiky</w:t>
      </w:r>
      <w:r w:rsidRPr="00507E84">
        <w:rPr>
          <w:rFonts w:ascii="Times New Roman" w:hAnsi="Times New Roman" w:cs="Times New Roman"/>
          <w:sz w:val="24"/>
          <w:szCs w:val="24"/>
        </w:rPr>
        <w:t>, resp. Vojenského spravodajstva, ktoré vystupuje ako národná autorita pre kybernetickú obranu Slovenskej republiky a zároveň ako hlavná národná autorita na úseku medzinárodnej spolupráce pre oblasť kybernetickej obrany.</w:t>
      </w:r>
    </w:p>
    <w:p w14:paraId="68DB55A2" w14:textId="77777777" w:rsidR="00B36CEB" w:rsidRPr="00507E84" w:rsidRDefault="00B36CEB" w:rsidP="00796AFF">
      <w:pPr>
        <w:spacing w:after="0"/>
        <w:jc w:val="both"/>
        <w:rPr>
          <w:rFonts w:ascii="Times New Roman" w:hAnsi="Times New Roman" w:cs="Times New Roman"/>
          <w:sz w:val="24"/>
          <w:szCs w:val="24"/>
        </w:rPr>
      </w:pPr>
    </w:p>
    <w:p w14:paraId="417116AC" w14:textId="60E2858D"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7B0E01" w:rsidRPr="00507E84">
        <w:rPr>
          <w:rFonts w:ascii="Times New Roman" w:hAnsi="Times New Roman" w:cs="Times New Roman"/>
          <w:b/>
          <w:sz w:val="24"/>
          <w:szCs w:val="24"/>
        </w:rPr>
        <w:t>14</w:t>
      </w:r>
    </w:p>
    <w:p w14:paraId="2A7F90C3" w14:textId="76F5A671" w:rsidR="00796AFF" w:rsidRPr="00507E84" w:rsidRDefault="000504B7"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Pojem „poskytovateľ digitálnych služieb“ sa vypustil</w:t>
      </w:r>
      <w:r w:rsidR="000E66A6" w:rsidRPr="00507E84">
        <w:rPr>
          <w:rFonts w:ascii="Times New Roman" w:hAnsi="Times New Roman" w:cs="Times New Roman"/>
          <w:sz w:val="24"/>
          <w:szCs w:val="24"/>
        </w:rPr>
        <w:t xml:space="preserve"> </w:t>
      </w:r>
      <w:r w:rsidRPr="00507E84">
        <w:rPr>
          <w:rFonts w:ascii="Times New Roman" w:hAnsi="Times New Roman" w:cs="Times New Roman"/>
          <w:sz w:val="24"/>
          <w:szCs w:val="24"/>
        </w:rPr>
        <w:t>a namiesto neho sa doplnili medzi subjekty, s ktorými Národný bezpečnostný úrad spolupracuje pri plnení úloh podľa tohto zákona</w:t>
      </w:r>
      <w:r w:rsidR="00547C87" w:rsidRPr="00507E84">
        <w:rPr>
          <w:rFonts w:ascii="Times New Roman" w:hAnsi="Times New Roman" w:cs="Times New Roman"/>
          <w:sz w:val="24"/>
          <w:szCs w:val="24"/>
        </w:rPr>
        <w:t>,</w:t>
      </w:r>
      <w:r w:rsidRPr="00507E84">
        <w:rPr>
          <w:rFonts w:ascii="Times New Roman" w:hAnsi="Times New Roman" w:cs="Times New Roman"/>
          <w:sz w:val="24"/>
          <w:szCs w:val="24"/>
        </w:rPr>
        <w:t xml:space="preserve"> „vedecké a akademické inštitúcie“ ako dôležitý článok zabezpečujúci pokrok vo vývoji kybernetickej bezpečnosti.</w:t>
      </w:r>
      <w:r w:rsidR="004C1FAF" w:rsidRPr="00507E84">
        <w:rPr>
          <w:rFonts w:ascii="Times New Roman" w:hAnsi="Times New Roman" w:cs="Times New Roman"/>
          <w:sz w:val="24"/>
          <w:szCs w:val="24"/>
        </w:rPr>
        <w:t xml:space="preserve"> </w:t>
      </w:r>
      <w:r w:rsidR="00756CBA" w:rsidRPr="00507E84">
        <w:rPr>
          <w:rFonts w:ascii="Times New Roman" w:hAnsi="Times New Roman" w:cs="Times New Roman"/>
          <w:sz w:val="24"/>
          <w:szCs w:val="24"/>
        </w:rPr>
        <w:t>Smernicou NIS2 sa upustilo od delenia medzi poskytovateľom digitálnej služby a prevádzkovateľom základnej služby a tak ako smernica NIS2, aj návrh zákona operuje už len s pojmom prevádzkovateľ základnej služby.</w:t>
      </w:r>
    </w:p>
    <w:p w14:paraId="7AE15F3B" w14:textId="77777777" w:rsidR="000504B7" w:rsidRPr="00507E84" w:rsidRDefault="000504B7" w:rsidP="00796AFF">
      <w:pPr>
        <w:spacing w:after="0"/>
        <w:jc w:val="both"/>
        <w:rPr>
          <w:rFonts w:ascii="Times New Roman" w:hAnsi="Times New Roman" w:cs="Times New Roman"/>
          <w:color w:val="000000"/>
          <w:sz w:val="24"/>
          <w:szCs w:val="24"/>
        </w:rPr>
      </w:pPr>
    </w:p>
    <w:p w14:paraId="330F44D5" w14:textId="48FF22F4"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color w:val="000000"/>
          <w:sz w:val="24"/>
          <w:szCs w:val="24"/>
        </w:rPr>
        <w:t xml:space="preserve">K bodu </w:t>
      </w:r>
      <w:r w:rsidR="007B0E01" w:rsidRPr="00507E84">
        <w:rPr>
          <w:rFonts w:ascii="Times New Roman" w:hAnsi="Times New Roman" w:cs="Times New Roman"/>
          <w:b/>
          <w:color w:val="000000"/>
          <w:sz w:val="24"/>
          <w:szCs w:val="24"/>
        </w:rPr>
        <w:t>15</w:t>
      </w:r>
    </w:p>
    <w:p w14:paraId="6BD07685" w14:textId="673E10CB" w:rsidR="00796AFF" w:rsidRPr="00507E84" w:rsidRDefault="00B25A87" w:rsidP="00796AFF">
      <w:pPr>
        <w:spacing w:after="0"/>
        <w:jc w:val="both"/>
        <w:rPr>
          <w:rFonts w:ascii="Times New Roman" w:hAnsi="Times New Roman" w:cs="Times New Roman"/>
          <w:b/>
          <w:sz w:val="24"/>
          <w:szCs w:val="24"/>
        </w:rPr>
      </w:pPr>
      <w:r w:rsidRPr="00507E84">
        <w:rPr>
          <w:rFonts w:ascii="Times New Roman" w:hAnsi="Times New Roman" w:cs="Times New Roman"/>
          <w:sz w:val="24"/>
          <w:szCs w:val="24"/>
        </w:rPr>
        <w:t>Vzhľadom na to</w:t>
      </w:r>
      <w:r w:rsidR="00965B53" w:rsidRPr="00507E84">
        <w:rPr>
          <w:rFonts w:ascii="Times New Roman" w:hAnsi="Times New Roman" w:cs="Times New Roman"/>
          <w:sz w:val="24"/>
          <w:szCs w:val="24"/>
        </w:rPr>
        <w:t xml:space="preserve">, že </w:t>
      </w:r>
      <w:r w:rsidRPr="00507E84">
        <w:rPr>
          <w:rFonts w:ascii="Times New Roman" w:hAnsi="Times New Roman" w:cs="Times New Roman"/>
          <w:sz w:val="24"/>
          <w:szCs w:val="24"/>
        </w:rPr>
        <w:t>návrh</w:t>
      </w:r>
      <w:r w:rsidR="00965B53" w:rsidRPr="00507E84">
        <w:rPr>
          <w:rFonts w:ascii="Times New Roman" w:hAnsi="Times New Roman" w:cs="Times New Roman"/>
          <w:sz w:val="24"/>
          <w:szCs w:val="24"/>
        </w:rPr>
        <w:t xml:space="preserve"> zákona už neobsahuje základnú službu, ktorá by mala indikovať zápis jej prevádzkovateľa do registra prevádzkovateľov základnej služby, dochádza k úprave </w:t>
      </w:r>
      <w:r w:rsidR="000E66A6" w:rsidRPr="00507E84">
        <w:rPr>
          <w:rFonts w:ascii="Times New Roman" w:hAnsi="Times New Roman" w:cs="Times New Roman"/>
          <w:sz w:val="24"/>
          <w:szCs w:val="24"/>
        </w:rPr>
        <w:t>konať vo veci určenia prevádzkovateľa základnej služby</w:t>
      </w:r>
      <w:r w:rsidR="00965B53" w:rsidRPr="00507E84">
        <w:rPr>
          <w:rFonts w:ascii="Times New Roman" w:hAnsi="Times New Roman" w:cs="Times New Roman"/>
          <w:sz w:val="24"/>
          <w:szCs w:val="24"/>
        </w:rPr>
        <w:t xml:space="preserve">. </w:t>
      </w:r>
      <w:r w:rsidR="000E66A6" w:rsidRPr="00507E84">
        <w:rPr>
          <w:rFonts w:ascii="Times New Roman" w:hAnsi="Times New Roman" w:cs="Times New Roman"/>
          <w:sz w:val="24"/>
          <w:szCs w:val="24"/>
        </w:rPr>
        <w:t>Národný bezpečnostný úrad nielen zapisuje do registra prevádzkovateľov základn</w:t>
      </w:r>
      <w:r w:rsidR="00E73840" w:rsidRPr="00507E84">
        <w:rPr>
          <w:rFonts w:ascii="Times New Roman" w:hAnsi="Times New Roman" w:cs="Times New Roman"/>
          <w:sz w:val="24"/>
          <w:szCs w:val="24"/>
        </w:rPr>
        <w:t>ej</w:t>
      </w:r>
      <w:r w:rsidR="000E66A6" w:rsidRPr="00507E84">
        <w:rPr>
          <w:rFonts w:ascii="Times New Roman" w:hAnsi="Times New Roman" w:cs="Times New Roman"/>
          <w:sz w:val="24"/>
          <w:szCs w:val="24"/>
        </w:rPr>
        <w:t xml:space="preserve"> služ</w:t>
      </w:r>
      <w:r w:rsidR="00E73840" w:rsidRPr="00507E84">
        <w:rPr>
          <w:rFonts w:ascii="Times New Roman" w:hAnsi="Times New Roman" w:cs="Times New Roman"/>
          <w:sz w:val="24"/>
          <w:szCs w:val="24"/>
        </w:rPr>
        <w:t>by</w:t>
      </w:r>
      <w:r w:rsidR="000E66A6" w:rsidRPr="00507E84">
        <w:rPr>
          <w:rFonts w:ascii="Times New Roman" w:hAnsi="Times New Roman" w:cs="Times New Roman"/>
          <w:sz w:val="24"/>
          <w:szCs w:val="24"/>
        </w:rPr>
        <w:t>, ale zabezpečuje aj výmaz prevádzkovateľa základnej služby z registra prevádzkovateľov základn</w:t>
      </w:r>
      <w:r w:rsidR="00E73840" w:rsidRPr="00507E84">
        <w:rPr>
          <w:rFonts w:ascii="Times New Roman" w:hAnsi="Times New Roman" w:cs="Times New Roman"/>
          <w:sz w:val="24"/>
          <w:szCs w:val="24"/>
        </w:rPr>
        <w:t>ej</w:t>
      </w:r>
      <w:r w:rsidR="000E66A6" w:rsidRPr="00507E84">
        <w:rPr>
          <w:rFonts w:ascii="Times New Roman" w:hAnsi="Times New Roman" w:cs="Times New Roman"/>
          <w:sz w:val="24"/>
          <w:szCs w:val="24"/>
        </w:rPr>
        <w:t xml:space="preserve"> služb</w:t>
      </w:r>
      <w:r w:rsidR="00E73840" w:rsidRPr="00507E84">
        <w:rPr>
          <w:rFonts w:ascii="Times New Roman" w:hAnsi="Times New Roman" w:cs="Times New Roman"/>
          <w:sz w:val="24"/>
          <w:szCs w:val="24"/>
        </w:rPr>
        <w:t>y</w:t>
      </w:r>
      <w:r w:rsidR="000E66A6" w:rsidRPr="00507E84">
        <w:rPr>
          <w:rFonts w:ascii="Times New Roman" w:hAnsi="Times New Roman" w:cs="Times New Roman"/>
          <w:sz w:val="24"/>
          <w:szCs w:val="24"/>
        </w:rPr>
        <w:t>.</w:t>
      </w:r>
    </w:p>
    <w:p w14:paraId="375FAFAC" w14:textId="210D0522" w:rsidR="000E66A6" w:rsidRPr="00507E84" w:rsidRDefault="000E66A6" w:rsidP="000E66A6">
      <w:pPr>
        <w:spacing w:after="0"/>
        <w:jc w:val="both"/>
        <w:rPr>
          <w:rFonts w:ascii="Times New Roman" w:hAnsi="Times New Roman" w:cs="Times New Roman"/>
          <w:sz w:val="24"/>
          <w:szCs w:val="24"/>
        </w:rPr>
      </w:pPr>
      <w:r w:rsidRPr="00507E84">
        <w:rPr>
          <w:rFonts w:ascii="Times New Roman" w:hAnsi="Times New Roman" w:cs="Times New Roman"/>
          <w:sz w:val="24"/>
          <w:szCs w:val="24"/>
        </w:rPr>
        <w:t>Ku kompetencii Národného bezpečnostného úradu viesť a spravovať register prevádzkovateľov základn</w:t>
      </w:r>
      <w:r w:rsidR="00E73840" w:rsidRPr="00507E84">
        <w:rPr>
          <w:rFonts w:ascii="Times New Roman" w:hAnsi="Times New Roman" w:cs="Times New Roman"/>
          <w:sz w:val="24"/>
          <w:szCs w:val="24"/>
        </w:rPr>
        <w:t>ej</w:t>
      </w:r>
      <w:r w:rsidRPr="00507E84">
        <w:rPr>
          <w:rFonts w:ascii="Times New Roman" w:hAnsi="Times New Roman" w:cs="Times New Roman"/>
          <w:sz w:val="24"/>
          <w:szCs w:val="24"/>
        </w:rPr>
        <w:t xml:space="preserve"> služb</w:t>
      </w:r>
      <w:r w:rsidR="00E73840" w:rsidRPr="00507E84">
        <w:rPr>
          <w:rFonts w:ascii="Times New Roman" w:hAnsi="Times New Roman" w:cs="Times New Roman"/>
          <w:sz w:val="24"/>
          <w:szCs w:val="24"/>
        </w:rPr>
        <w:t>y</w:t>
      </w:r>
      <w:r w:rsidRPr="00507E84">
        <w:rPr>
          <w:rFonts w:ascii="Times New Roman" w:hAnsi="Times New Roman" w:cs="Times New Roman"/>
          <w:sz w:val="24"/>
          <w:szCs w:val="24"/>
        </w:rPr>
        <w:t xml:space="preserve"> a zoznam akreditovaných jednotiek CSIRT pribudla kompetencia viesť a spravovať zoznam autorizovaných orgánov posudzovania zhody</w:t>
      </w:r>
      <w:r w:rsidR="000674C5" w:rsidRPr="00507E84">
        <w:rPr>
          <w:rFonts w:ascii="Times New Roman" w:hAnsi="Times New Roman" w:cs="Times New Roman"/>
          <w:sz w:val="24"/>
          <w:szCs w:val="24"/>
        </w:rPr>
        <w:t>,</w:t>
      </w:r>
      <w:r w:rsidRPr="00507E84">
        <w:rPr>
          <w:rFonts w:ascii="Times New Roman" w:hAnsi="Times New Roman" w:cs="Times New Roman"/>
          <w:sz w:val="24"/>
          <w:szCs w:val="24"/>
        </w:rPr>
        <w:t xml:space="preserve"> zoznam vydaných </w:t>
      </w:r>
      <w:r w:rsidR="000674C5" w:rsidRPr="00507E84">
        <w:rPr>
          <w:rFonts w:ascii="Times New Roman" w:hAnsi="Times New Roman" w:cs="Times New Roman"/>
          <w:sz w:val="24"/>
          <w:szCs w:val="24"/>
        </w:rPr>
        <w:t xml:space="preserve">európskych </w:t>
      </w:r>
      <w:r w:rsidRPr="00507E84">
        <w:rPr>
          <w:rFonts w:ascii="Times New Roman" w:hAnsi="Times New Roman" w:cs="Times New Roman"/>
          <w:sz w:val="24"/>
          <w:szCs w:val="24"/>
        </w:rPr>
        <w:t>certifikátov kybernetickej bezpečnosti</w:t>
      </w:r>
      <w:r w:rsidR="000674C5" w:rsidRPr="00507E84">
        <w:rPr>
          <w:rFonts w:ascii="Times New Roman" w:hAnsi="Times New Roman" w:cs="Times New Roman"/>
          <w:sz w:val="24"/>
          <w:szCs w:val="24"/>
        </w:rPr>
        <w:t xml:space="preserve"> a zoznam notifikovaných osôb akreditovaných v rozsahu schémy certifikácie kybernetickej bezpečnosti podľa čl. 49 nariadenia (EÚ) 2019/881</w:t>
      </w:r>
      <w:r w:rsidRPr="00507E84">
        <w:rPr>
          <w:rFonts w:ascii="Times New Roman" w:hAnsi="Times New Roman" w:cs="Times New Roman"/>
          <w:sz w:val="24"/>
          <w:szCs w:val="24"/>
        </w:rPr>
        <w:t>.</w:t>
      </w:r>
    </w:p>
    <w:p w14:paraId="6CE32DED" w14:textId="77777777" w:rsidR="000E66A6" w:rsidRPr="00507E84" w:rsidRDefault="000E66A6" w:rsidP="00796AFF">
      <w:pPr>
        <w:spacing w:after="0"/>
        <w:jc w:val="both"/>
        <w:rPr>
          <w:rFonts w:ascii="Times New Roman" w:hAnsi="Times New Roman" w:cs="Times New Roman"/>
          <w:b/>
          <w:sz w:val="24"/>
          <w:szCs w:val="24"/>
        </w:rPr>
      </w:pPr>
    </w:p>
    <w:p w14:paraId="6265D222" w14:textId="5FC361C8"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7B0E01" w:rsidRPr="00507E84">
        <w:rPr>
          <w:rFonts w:ascii="Times New Roman" w:hAnsi="Times New Roman" w:cs="Times New Roman"/>
          <w:b/>
          <w:sz w:val="24"/>
          <w:szCs w:val="24"/>
        </w:rPr>
        <w:t>16</w:t>
      </w:r>
    </w:p>
    <w:p w14:paraId="6664D19F" w14:textId="34551150" w:rsidR="00432FE8" w:rsidRPr="00507E84" w:rsidRDefault="00432FE8" w:rsidP="00432FE8">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Ide o kompetenciu Národného bezpečnostného úradu určiť ústredný orgán podľa § 4 písm. b) zákona č. 69/2018 Z. z. </w:t>
      </w:r>
      <w:r w:rsidR="00B25A87" w:rsidRPr="00507E84">
        <w:rPr>
          <w:rFonts w:ascii="Times New Roman" w:hAnsi="Times New Roman" w:cs="Times New Roman"/>
          <w:sz w:val="24"/>
          <w:szCs w:val="24"/>
        </w:rPr>
        <w:t>v súlade s oblasťami jeho</w:t>
      </w:r>
      <w:r w:rsidR="007B0E01" w:rsidRPr="00507E84">
        <w:rPr>
          <w:rFonts w:ascii="Times New Roman" w:hAnsi="Times New Roman" w:cs="Times New Roman"/>
          <w:sz w:val="24"/>
          <w:szCs w:val="24"/>
        </w:rPr>
        <w:t xml:space="preserve"> pôsobnosti podľa zákona</w:t>
      </w:r>
      <w:r w:rsidRPr="00507E84">
        <w:rPr>
          <w:rFonts w:ascii="Times New Roman" w:hAnsi="Times New Roman" w:cs="Times New Roman"/>
          <w:sz w:val="24"/>
          <w:szCs w:val="24"/>
        </w:rPr>
        <w:t xml:space="preserve"> č. 575/2001 Z. z.</w:t>
      </w:r>
      <w:r w:rsidR="00307DC5" w:rsidRPr="00507E84">
        <w:rPr>
          <w:rFonts w:ascii="Times New Roman" w:hAnsi="Times New Roman" w:cs="Times New Roman"/>
          <w:sz w:val="24"/>
          <w:szCs w:val="24"/>
        </w:rPr>
        <w:t xml:space="preserve"> o organizácii činnosti vlády a organizácii ústrednej štátnej správy v znení neskorších predpisov</w:t>
      </w:r>
      <w:r w:rsidR="007B0E01" w:rsidRPr="00507E84">
        <w:rPr>
          <w:rFonts w:ascii="Times New Roman" w:hAnsi="Times New Roman" w:cs="Times New Roman"/>
          <w:sz w:val="24"/>
          <w:szCs w:val="24"/>
        </w:rPr>
        <w:t xml:space="preserve"> a plní úlohy ústredného orgánu pre typ subjektu podľa prílohy č. 1 a  prílohy č. 2. Ide o úpravu, </w:t>
      </w:r>
      <w:r w:rsidRPr="00507E84">
        <w:rPr>
          <w:rFonts w:ascii="Times New Roman" w:hAnsi="Times New Roman" w:cs="Times New Roman"/>
          <w:sz w:val="24"/>
          <w:szCs w:val="24"/>
        </w:rPr>
        <w:t xml:space="preserve"> ak by nastala situácia, že pre subjekt nie je mož</w:t>
      </w:r>
      <w:r w:rsidR="007B0E01" w:rsidRPr="00507E84">
        <w:rPr>
          <w:rFonts w:ascii="Times New Roman" w:hAnsi="Times New Roman" w:cs="Times New Roman"/>
          <w:sz w:val="24"/>
          <w:szCs w:val="24"/>
        </w:rPr>
        <w:t>né identifikovať ústredný orgán, napr.</w:t>
      </w:r>
      <w:r w:rsidRPr="00507E84">
        <w:rPr>
          <w:rFonts w:ascii="Times New Roman" w:hAnsi="Times New Roman" w:cs="Times New Roman"/>
          <w:sz w:val="24"/>
          <w:szCs w:val="24"/>
        </w:rPr>
        <w:t> vznik nového subjektu</w:t>
      </w:r>
      <w:r w:rsidR="00965B53" w:rsidRPr="00507E84">
        <w:rPr>
          <w:rFonts w:ascii="Times New Roman" w:hAnsi="Times New Roman" w:cs="Times New Roman"/>
          <w:sz w:val="24"/>
          <w:szCs w:val="24"/>
        </w:rPr>
        <w:t>.</w:t>
      </w:r>
    </w:p>
    <w:p w14:paraId="3AAE455D" w14:textId="77777777" w:rsidR="00107C87" w:rsidRPr="00507E84" w:rsidRDefault="00107C87" w:rsidP="00796AFF">
      <w:pPr>
        <w:spacing w:after="0"/>
        <w:jc w:val="both"/>
        <w:rPr>
          <w:rFonts w:ascii="Times New Roman" w:hAnsi="Times New Roman" w:cs="Times New Roman"/>
          <w:b/>
          <w:sz w:val="24"/>
          <w:szCs w:val="24"/>
        </w:rPr>
      </w:pPr>
    </w:p>
    <w:p w14:paraId="4AA7DBD3" w14:textId="656120C9" w:rsidR="00796AFF" w:rsidRPr="00507E84" w:rsidRDefault="00377D3C"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bodom</w:t>
      </w:r>
      <w:r w:rsidR="00796AFF" w:rsidRPr="00507E84">
        <w:rPr>
          <w:rFonts w:ascii="Times New Roman" w:hAnsi="Times New Roman" w:cs="Times New Roman"/>
          <w:b/>
          <w:sz w:val="24"/>
          <w:szCs w:val="24"/>
        </w:rPr>
        <w:t xml:space="preserve"> </w:t>
      </w:r>
      <w:r w:rsidR="007342D9" w:rsidRPr="00507E84">
        <w:rPr>
          <w:rFonts w:ascii="Times New Roman" w:hAnsi="Times New Roman" w:cs="Times New Roman"/>
          <w:b/>
          <w:sz w:val="24"/>
          <w:szCs w:val="24"/>
        </w:rPr>
        <w:t>17</w:t>
      </w:r>
      <w:r w:rsidRPr="00507E84">
        <w:rPr>
          <w:rFonts w:ascii="Times New Roman" w:hAnsi="Times New Roman" w:cs="Times New Roman"/>
          <w:b/>
          <w:sz w:val="24"/>
          <w:szCs w:val="24"/>
        </w:rPr>
        <w:t xml:space="preserve"> a 18 </w:t>
      </w:r>
    </w:p>
    <w:p w14:paraId="24A8FBBB" w14:textId="688BEA75" w:rsidR="00370003" w:rsidRPr="00507E84" w:rsidRDefault="008A3418" w:rsidP="00370003">
      <w:pPr>
        <w:spacing w:after="0"/>
        <w:jc w:val="both"/>
        <w:rPr>
          <w:rFonts w:ascii="Times New Roman" w:hAnsi="Times New Roman" w:cs="Times New Roman"/>
          <w:sz w:val="24"/>
          <w:szCs w:val="24"/>
        </w:rPr>
      </w:pPr>
      <w:r w:rsidRPr="00507E84">
        <w:rPr>
          <w:rFonts w:ascii="Times New Roman" w:hAnsi="Times New Roman" w:cs="Times New Roman"/>
          <w:sz w:val="24"/>
          <w:szCs w:val="24"/>
        </w:rPr>
        <w:t>Precizovanie textu v súvislosti s</w:t>
      </w:r>
      <w:r w:rsidR="00AD41ED" w:rsidRPr="00507E84">
        <w:rPr>
          <w:rFonts w:ascii="Times New Roman" w:hAnsi="Times New Roman" w:cs="Times New Roman"/>
          <w:sz w:val="24"/>
          <w:szCs w:val="24"/>
        </w:rPr>
        <w:t>o skutočnosťou, že</w:t>
      </w:r>
      <w:r w:rsidRPr="00507E84">
        <w:rPr>
          <w:rFonts w:ascii="Times New Roman" w:hAnsi="Times New Roman" w:cs="Times New Roman"/>
          <w:sz w:val="24"/>
          <w:szCs w:val="24"/>
        </w:rPr>
        <w:t xml:space="preserve"> </w:t>
      </w:r>
      <w:r w:rsidR="00AD41ED" w:rsidRPr="00507E84">
        <w:rPr>
          <w:rFonts w:ascii="Times New Roman" w:hAnsi="Times New Roman" w:cs="Times New Roman"/>
          <w:color w:val="000000"/>
          <w:sz w:val="24"/>
          <w:szCs w:val="24"/>
        </w:rPr>
        <w:t>Národný bezpečnostný úrad je určený ako orgán pre riadenie kybernetických kríz, ktorý pln</w:t>
      </w:r>
      <w:r w:rsidR="008654F3" w:rsidRPr="00507E84">
        <w:rPr>
          <w:rFonts w:ascii="Times New Roman" w:hAnsi="Times New Roman" w:cs="Times New Roman"/>
          <w:color w:val="000000"/>
          <w:sz w:val="24"/>
          <w:szCs w:val="24"/>
        </w:rPr>
        <w:t>í</w:t>
      </w:r>
      <w:r w:rsidR="00AD41ED" w:rsidRPr="00507E84">
        <w:rPr>
          <w:rFonts w:ascii="Times New Roman" w:hAnsi="Times New Roman" w:cs="Times New Roman"/>
          <w:color w:val="000000"/>
          <w:sz w:val="24"/>
          <w:szCs w:val="24"/>
        </w:rPr>
        <w:t xml:space="preserve"> úlohy národného koordinátora rozsiahlych kybernetických bezpečnostných incidentov a kybernetických kríz</w:t>
      </w:r>
      <w:r w:rsidR="00370003" w:rsidRPr="00507E84">
        <w:rPr>
          <w:rFonts w:ascii="Times New Roman" w:hAnsi="Times New Roman" w:cs="Times New Roman"/>
          <w:color w:val="000000"/>
          <w:sz w:val="24"/>
          <w:szCs w:val="24"/>
        </w:rPr>
        <w:t xml:space="preserve">. </w:t>
      </w:r>
      <w:r w:rsidR="00C16868" w:rsidRPr="00507E84">
        <w:rPr>
          <w:rFonts w:ascii="Times New Roman" w:hAnsi="Times New Roman" w:cs="Times New Roman"/>
          <w:sz w:val="24"/>
          <w:szCs w:val="24"/>
        </w:rPr>
        <w:t xml:space="preserve">Ide o rozšírenie </w:t>
      </w:r>
      <w:r w:rsidR="00370003" w:rsidRPr="00507E84">
        <w:rPr>
          <w:rFonts w:ascii="Times New Roman" w:hAnsi="Times New Roman" w:cs="Times New Roman"/>
          <w:sz w:val="24"/>
          <w:szCs w:val="24"/>
        </w:rPr>
        <w:t>kompetencie Národného bezpečnostného úradu v oblasti kybernetickej bezpečnosti na účely plnenia úloh z národného rámca pre riadenie kybernetických kríz. Vzhľadom na skutočnosť, že Národný bezpečnostný úrad systematicky získava, sústreďuje, analyzuje a vyhodnocuje informácie o stave kybernetickej bezpečnosti v Slovenskej republike, ďalej  spolupracuje s ústrednými orgánmi podľa § 4 písm. b) zákona</w:t>
      </w:r>
      <w:r w:rsidR="00582149" w:rsidRPr="00507E84">
        <w:rPr>
          <w:rFonts w:ascii="Times New Roman" w:hAnsi="Times New Roman" w:cs="Times New Roman"/>
          <w:sz w:val="24"/>
          <w:szCs w:val="24"/>
        </w:rPr>
        <w:t xml:space="preserve"> č. 69/2018 Z. z.</w:t>
      </w:r>
      <w:r w:rsidR="00370003" w:rsidRPr="00507E84">
        <w:rPr>
          <w:rFonts w:ascii="Times New Roman" w:hAnsi="Times New Roman" w:cs="Times New Roman"/>
          <w:sz w:val="24"/>
          <w:szCs w:val="24"/>
        </w:rPr>
        <w:t>, s inými orgánmi štátnej správy podľa § 4 písm. c)  zákona</w:t>
      </w:r>
      <w:r w:rsidR="00582149" w:rsidRPr="00507E84">
        <w:rPr>
          <w:rFonts w:ascii="Times New Roman" w:hAnsi="Times New Roman" w:cs="Times New Roman"/>
          <w:sz w:val="24"/>
          <w:szCs w:val="24"/>
        </w:rPr>
        <w:t xml:space="preserve"> č. 69/2018  Z. z.</w:t>
      </w:r>
      <w:r w:rsidR="00370003" w:rsidRPr="00507E84">
        <w:rPr>
          <w:rFonts w:ascii="Times New Roman" w:hAnsi="Times New Roman" w:cs="Times New Roman"/>
          <w:sz w:val="24"/>
          <w:szCs w:val="24"/>
        </w:rPr>
        <w:t>, s jednotkami CSIRT a prevádzkovateľmi základných služieb pri plnení úloh podľa</w:t>
      </w:r>
      <w:r w:rsidR="00582149" w:rsidRPr="00507E84">
        <w:rPr>
          <w:rFonts w:ascii="Times New Roman" w:hAnsi="Times New Roman" w:cs="Times New Roman"/>
          <w:sz w:val="24"/>
          <w:szCs w:val="24"/>
        </w:rPr>
        <w:t xml:space="preserve"> </w:t>
      </w:r>
      <w:r w:rsidR="00370003" w:rsidRPr="00507E84">
        <w:rPr>
          <w:rFonts w:ascii="Times New Roman" w:hAnsi="Times New Roman" w:cs="Times New Roman"/>
          <w:sz w:val="24"/>
          <w:szCs w:val="24"/>
        </w:rPr>
        <w:t>zákona</w:t>
      </w:r>
      <w:r w:rsidR="00377D3C" w:rsidRPr="00507E84">
        <w:rPr>
          <w:rFonts w:ascii="Times New Roman" w:hAnsi="Times New Roman" w:cs="Times New Roman"/>
          <w:sz w:val="24"/>
          <w:szCs w:val="24"/>
        </w:rPr>
        <w:t xml:space="preserve"> č. </w:t>
      </w:r>
      <w:r w:rsidR="00582149" w:rsidRPr="00507E84">
        <w:rPr>
          <w:rFonts w:ascii="Times New Roman" w:hAnsi="Times New Roman" w:cs="Times New Roman"/>
          <w:sz w:val="24"/>
          <w:szCs w:val="24"/>
        </w:rPr>
        <w:t>69/2018 Z. z.</w:t>
      </w:r>
      <w:r w:rsidR="00370003" w:rsidRPr="00507E84">
        <w:rPr>
          <w:rFonts w:ascii="Times New Roman" w:hAnsi="Times New Roman" w:cs="Times New Roman"/>
          <w:sz w:val="24"/>
          <w:szCs w:val="24"/>
        </w:rPr>
        <w:t xml:space="preserve">, a taktiež prijíma vnútroštátne hlásenia </w:t>
      </w:r>
      <w:r w:rsidR="00370003" w:rsidRPr="00507E84">
        <w:rPr>
          <w:rFonts w:ascii="Times New Roman" w:hAnsi="Times New Roman" w:cs="Times New Roman"/>
          <w:sz w:val="24"/>
          <w:szCs w:val="24"/>
        </w:rPr>
        <w:lastRenderedPageBreak/>
        <w:t xml:space="preserve">o kybernetických bezpečnostných incidentoch, o kybernetických hrozbách, o udalostiach odvrátených v poslednej chvíli a o zraniteľnostiach, má Národný bezpečnostný úrad </w:t>
      </w:r>
      <w:r w:rsidR="00965B53" w:rsidRPr="00507E84">
        <w:rPr>
          <w:rFonts w:ascii="Times New Roman" w:hAnsi="Times New Roman" w:cs="Times New Roman"/>
          <w:sz w:val="24"/>
          <w:szCs w:val="24"/>
        </w:rPr>
        <w:t xml:space="preserve">spôsobilosť </w:t>
      </w:r>
      <w:r w:rsidR="00370003" w:rsidRPr="00507E84">
        <w:rPr>
          <w:rFonts w:ascii="Times New Roman" w:hAnsi="Times New Roman" w:cs="Times New Roman"/>
          <w:sz w:val="24"/>
          <w:szCs w:val="24"/>
        </w:rPr>
        <w:t xml:space="preserve"> na určenie a vyhlásenie </w:t>
      </w:r>
      <w:r w:rsidR="006316C3" w:rsidRPr="00507E84">
        <w:rPr>
          <w:rFonts w:ascii="Times New Roman" w:hAnsi="Times New Roman" w:cs="Times New Roman"/>
          <w:sz w:val="24"/>
          <w:szCs w:val="24"/>
        </w:rPr>
        <w:t xml:space="preserve">výstrah alebo </w:t>
      </w:r>
      <w:r w:rsidR="00370003" w:rsidRPr="00507E84">
        <w:rPr>
          <w:rFonts w:ascii="Times New Roman" w:hAnsi="Times New Roman" w:cs="Times New Roman"/>
          <w:sz w:val="24"/>
          <w:szCs w:val="24"/>
        </w:rPr>
        <w:t xml:space="preserve">stavu </w:t>
      </w:r>
      <w:r w:rsidR="006316C3" w:rsidRPr="00507E84">
        <w:rPr>
          <w:rFonts w:ascii="Times New Roman" w:hAnsi="Times New Roman" w:cs="Times New Roman"/>
          <w:sz w:val="24"/>
          <w:szCs w:val="24"/>
        </w:rPr>
        <w:t>kybernetickej krízy</w:t>
      </w:r>
      <w:r w:rsidR="00370003" w:rsidRPr="00507E84">
        <w:rPr>
          <w:rFonts w:ascii="Times New Roman" w:hAnsi="Times New Roman" w:cs="Times New Roman"/>
          <w:sz w:val="24"/>
          <w:szCs w:val="24"/>
        </w:rPr>
        <w:t>.</w:t>
      </w:r>
    </w:p>
    <w:p w14:paraId="01CDF2C1" w14:textId="77777777" w:rsidR="00796AFF" w:rsidRPr="00507E84" w:rsidRDefault="00796AFF" w:rsidP="00796AFF">
      <w:pPr>
        <w:spacing w:after="0"/>
        <w:jc w:val="both"/>
        <w:rPr>
          <w:rFonts w:ascii="Times New Roman" w:hAnsi="Times New Roman" w:cs="Times New Roman"/>
          <w:sz w:val="24"/>
          <w:szCs w:val="24"/>
        </w:rPr>
      </w:pPr>
    </w:p>
    <w:p w14:paraId="54E683F8" w14:textId="32C2040D"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w:t>
      </w:r>
      <w:r w:rsidR="00377D3C" w:rsidRPr="00507E84">
        <w:rPr>
          <w:rFonts w:ascii="Times New Roman" w:hAnsi="Times New Roman" w:cs="Times New Roman"/>
          <w:b/>
          <w:sz w:val="24"/>
          <w:szCs w:val="24"/>
        </w:rPr>
        <w:t xml:space="preserve"> bodu </w:t>
      </w:r>
      <w:r w:rsidR="00DF4D5D" w:rsidRPr="00507E84">
        <w:rPr>
          <w:rFonts w:ascii="Times New Roman" w:hAnsi="Times New Roman" w:cs="Times New Roman"/>
          <w:b/>
          <w:sz w:val="24"/>
          <w:szCs w:val="24"/>
        </w:rPr>
        <w:t>19</w:t>
      </w:r>
    </w:p>
    <w:p w14:paraId="2A61A13B" w14:textId="6A5EFAED" w:rsidR="00FF54E1" w:rsidRPr="00507E84" w:rsidRDefault="00FF54E1" w:rsidP="00FF54E1">
      <w:pPr>
        <w:spacing w:after="0"/>
        <w:jc w:val="both"/>
        <w:rPr>
          <w:rFonts w:ascii="Times New Roman" w:hAnsi="Times New Roman" w:cs="Times New Roman"/>
          <w:sz w:val="24"/>
          <w:szCs w:val="24"/>
        </w:rPr>
      </w:pPr>
      <w:r w:rsidRPr="00507E84">
        <w:rPr>
          <w:rFonts w:ascii="Times New Roman" w:hAnsi="Times New Roman" w:cs="Times New Roman"/>
          <w:sz w:val="24"/>
          <w:szCs w:val="24"/>
        </w:rPr>
        <w:t>Precizovanie textu</w:t>
      </w:r>
      <w:r w:rsidR="009D72B6" w:rsidRPr="00507E84">
        <w:rPr>
          <w:rFonts w:ascii="Times New Roman" w:hAnsi="Times New Roman" w:cs="Times New Roman"/>
          <w:sz w:val="24"/>
          <w:szCs w:val="24"/>
        </w:rPr>
        <w:t xml:space="preserve"> v súvislosti so zmenou terminológie vyplývajúcou zo smernice NIS 2.</w:t>
      </w:r>
    </w:p>
    <w:p w14:paraId="7E7320A2" w14:textId="77777777" w:rsidR="00796AFF" w:rsidRPr="00507E84" w:rsidRDefault="00796AFF" w:rsidP="00796AFF">
      <w:pPr>
        <w:spacing w:after="0"/>
        <w:jc w:val="both"/>
        <w:rPr>
          <w:rFonts w:ascii="Times New Roman" w:hAnsi="Times New Roman" w:cs="Times New Roman"/>
          <w:sz w:val="24"/>
          <w:szCs w:val="24"/>
        </w:rPr>
      </w:pPr>
    </w:p>
    <w:p w14:paraId="796222B0" w14:textId="19F31812"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DF4D5D" w:rsidRPr="00507E84">
        <w:rPr>
          <w:rFonts w:ascii="Times New Roman" w:hAnsi="Times New Roman" w:cs="Times New Roman"/>
          <w:b/>
          <w:sz w:val="24"/>
          <w:szCs w:val="24"/>
        </w:rPr>
        <w:t>20</w:t>
      </w:r>
    </w:p>
    <w:p w14:paraId="4EE62941" w14:textId="0BD776CC" w:rsidR="00DD2263"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Ide o precizovanie textu</w:t>
      </w:r>
      <w:r w:rsidR="00B6206A" w:rsidRPr="00507E84">
        <w:rPr>
          <w:rFonts w:ascii="Times New Roman" w:hAnsi="Times New Roman" w:cs="Times New Roman"/>
          <w:sz w:val="24"/>
          <w:szCs w:val="24"/>
        </w:rPr>
        <w:t xml:space="preserve">, </w:t>
      </w:r>
      <w:r w:rsidR="00377D3C" w:rsidRPr="00507E84">
        <w:rPr>
          <w:rFonts w:ascii="Times New Roman" w:hAnsi="Times New Roman" w:cs="Times New Roman"/>
          <w:sz w:val="24"/>
          <w:szCs w:val="24"/>
        </w:rPr>
        <w:t xml:space="preserve">Národný bezpečnostný </w:t>
      </w:r>
      <w:r w:rsidR="00B6206A" w:rsidRPr="00507E84">
        <w:rPr>
          <w:rFonts w:ascii="Times New Roman" w:hAnsi="Times New Roman" w:cs="Times New Roman"/>
          <w:sz w:val="24"/>
          <w:szCs w:val="24"/>
        </w:rPr>
        <w:t>úrad doteraz dohľad ako taký nevykonával, pričom smernica NIS</w:t>
      </w:r>
      <w:r w:rsidR="00377D3C" w:rsidRPr="00507E84">
        <w:rPr>
          <w:rFonts w:ascii="Times New Roman" w:hAnsi="Times New Roman" w:cs="Times New Roman"/>
          <w:sz w:val="24"/>
          <w:szCs w:val="24"/>
        </w:rPr>
        <w:t xml:space="preserve"> </w:t>
      </w:r>
      <w:r w:rsidR="00B6206A" w:rsidRPr="00507E84">
        <w:rPr>
          <w:rFonts w:ascii="Times New Roman" w:hAnsi="Times New Roman" w:cs="Times New Roman"/>
          <w:sz w:val="24"/>
          <w:szCs w:val="24"/>
        </w:rPr>
        <w:t>2 nabáda na efektívnejší spôsob dohliadania a kontroly plnenia povinností.</w:t>
      </w:r>
      <w:r w:rsidR="00A40AA4" w:rsidRPr="00507E84">
        <w:rPr>
          <w:rFonts w:ascii="Times New Roman" w:hAnsi="Times New Roman" w:cs="Times New Roman"/>
          <w:sz w:val="24"/>
          <w:szCs w:val="24"/>
        </w:rPr>
        <w:t>.</w:t>
      </w:r>
      <w:r w:rsidR="00582149" w:rsidRPr="00507E84">
        <w:rPr>
          <w:rFonts w:ascii="Times New Roman" w:hAnsi="Times New Roman" w:cs="Times New Roman"/>
        </w:rPr>
        <w:t xml:space="preserve"> </w:t>
      </w:r>
      <w:r w:rsidR="00582149" w:rsidRPr="00507E84">
        <w:rPr>
          <w:rFonts w:ascii="Times New Roman" w:hAnsi="Times New Roman" w:cs="Times New Roman"/>
          <w:sz w:val="24"/>
          <w:szCs w:val="24"/>
        </w:rPr>
        <w:t>Dohľadom je dohľad nad plnením povinností prevádzkovateľa základnej služby podľa tohto zákona alebo povinností uložených na základe tohto zákona (ďalej len „dohľad“).“</w:t>
      </w:r>
    </w:p>
    <w:p w14:paraId="6C48D0F8" w14:textId="77777777" w:rsidR="00796AFF" w:rsidRPr="00507E84" w:rsidRDefault="00796AFF" w:rsidP="00796AFF">
      <w:pPr>
        <w:spacing w:after="0"/>
        <w:jc w:val="both"/>
        <w:rPr>
          <w:rFonts w:ascii="Times New Roman" w:hAnsi="Times New Roman" w:cs="Times New Roman"/>
          <w:sz w:val="24"/>
          <w:szCs w:val="24"/>
        </w:rPr>
      </w:pPr>
    </w:p>
    <w:p w14:paraId="4085A325" w14:textId="7D9C0F6E"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DF4D5D" w:rsidRPr="00507E84">
        <w:rPr>
          <w:rFonts w:ascii="Times New Roman" w:hAnsi="Times New Roman" w:cs="Times New Roman"/>
          <w:b/>
          <w:sz w:val="24"/>
          <w:szCs w:val="24"/>
        </w:rPr>
        <w:t>21</w:t>
      </w:r>
    </w:p>
    <w:p w14:paraId="61D08F64" w14:textId="5BCEFB62"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Zosúladenie názvu </w:t>
      </w:r>
      <w:r w:rsidR="00D85133" w:rsidRPr="00507E84">
        <w:rPr>
          <w:rFonts w:ascii="Times New Roman" w:hAnsi="Times New Roman" w:cs="Times New Roman"/>
          <w:sz w:val="24"/>
          <w:szCs w:val="24"/>
        </w:rPr>
        <w:t xml:space="preserve">dotknutého </w:t>
      </w:r>
      <w:r w:rsidRPr="00507E84">
        <w:rPr>
          <w:rFonts w:ascii="Times New Roman" w:hAnsi="Times New Roman" w:cs="Times New Roman"/>
          <w:sz w:val="24"/>
          <w:szCs w:val="24"/>
        </w:rPr>
        <w:t>ministerstva so zmenou vykonanou zákonom č. 7/2024 Z. z.</w:t>
      </w:r>
      <w:r w:rsidR="006632E3" w:rsidRPr="00507E84">
        <w:rPr>
          <w:rFonts w:ascii="Times New Roman" w:hAnsi="Times New Roman" w:cs="Times New Roman"/>
          <w:sz w:val="24"/>
          <w:szCs w:val="24"/>
        </w:rPr>
        <w:t xml:space="preserve">, </w:t>
      </w:r>
      <w:r w:rsidR="006632E3" w:rsidRPr="00507E84">
        <w:rPr>
          <w:rFonts w:ascii="Times New Roman" w:hAnsi="Times New Roman" w:cs="Times New Roman"/>
        </w:rPr>
        <w:t xml:space="preserve"> </w:t>
      </w:r>
      <w:r w:rsidR="006632E3" w:rsidRPr="00507E84">
        <w:rPr>
          <w:rFonts w:ascii="Times New Roman" w:hAnsi="Times New Roman" w:cs="Times New Roman"/>
          <w:sz w:val="24"/>
          <w:szCs w:val="24"/>
        </w:rPr>
        <w:t>ktorým sa mení a dopĺňa zákon č. 575/2001 Z. z. o organizácii činnosti vlády a organizácii ústrednej štátnej správy v znení neskorších predpisov a ktorým sa menia a dopĺňajú niektoré zákony.</w:t>
      </w:r>
    </w:p>
    <w:p w14:paraId="1919DE13" w14:textId="77777777" w:rsidR="00796AFF" w:rsidRPr="00507E84" w:rsidRDefault="00796AFF" w:rsidP="00796AFF">
      <w:pPr>
        <w:spacing w:after="0"/>
        <w:jc w:val="both"/>
        <w:rPr>
          <w:rFonts w:ascii="Times New Roman" w:hAnsi="Times New Roman" w:cs="Times New Roman"/>
          <w:b/>
          <w:sz w:val="24"/>
          <w:szCs w:val="24"/>
        </w:rPr>
      </w:pPr>
    </w:p>
    <w:p w14:paraId="10694437" w14:textId="37DB8F78"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DF4D5D" w:rsidRPr="00507E84">
        <w:rPr>
          <w:rFonts w:ascii="Times New Roman" w:hAnsi="Times New Roman" w:cs="Times New Roman"/>
          <w:b/>
          <w:sz w:val="24"/>
          <w:szCs w:val="24"/>
        </w:rPr>
        <w:t>22</w:t>
      </w:r>
    </w:p>
    <w:p w14:paraId="316AA622" w14:textId="77777777" w:rsidR="00CD43FE" w:rsidRPr="00507E84" w:rsidRDefault="00ED30AD"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Legislatívnotechnická úprava.</w:t>
      </w:r>
    </w:p>
    <w:p w14:paraId="63742A03" w14:textId="77777777" w:rsidR="00ED30AD" w:rsidRPr="00507E84" w:rsidRDefault="00ED30AD" w:rsidP="00ED30AD">
      <w:pPr>
        <w:spacing w:after="0"/>
        <w:jc w:val="both"/>
        <w:rPr>
          <w:rFonts w:ascii="Times New Roman" w:hAnsi="Times New Roman" w:cs="Times New Roman"/>
          <w:b/>
          <w:sz w:val="24"/>
          <w:szCs w:val="24"/>
        </w:rPr>
      </w:pPr>
    </w:p>
    <w:p w14:paraId="7A7C8FC0" w14:textId="7D1BBDB7" w:rsidR="00ED30AD" w:rsidRPr="00507E84" w:rsidRDefault="00ED30AD" w:rsidP="00ED30AD">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DF4D5D" w:rsidRPr="00507E84">
        <w:rPr>
          <w:rFonts w:ascii="Times New Roman" w:hAnsi="Times New Roman" w:cs="Times New Roman"/>
          <w:b/>
          <w:sz w:val="24"/>
          <w:szCs w:val="24"/>
        </w:rPr>
        <w:t>23</w:t>
      </w:r>
    </w:p>
    <w:p w14:paraId="17A3B0B7" w14:textId="58DA469D" w:rsidR="00796AFF" w:rsidRPr="00507E84" w:rsidRDefault="00377D3C"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Precizuje sa pôsobnosť Národného bezpečnostného</w:t>
      </w:r>
      <w:r w:rsidR="00796AFF" w:rsidRPr="00507E84">
        <w:rPr>
          <w:rFonts w:ascii="Times New Roman" w:hAnsi="Times New Roman" w:cs="Times New Roman"/>
          <w:sz w:val="24"/>
          <w:szCs w:val="24"/>
        </w:rPr>
        <w:t xml:space="preserve"> úrad</w:t>
      </w:r>
      <w:r w:rsidRPr="00507E84">
        <w:rPr>
          <w:rFonts w:ascii="Times New Roman" w:hAnsi="Times New Roman" w:cs="Times New Roman"/>
          <w:sz w:val="24"/>
          <w:szCs w:val="24"/>
        </w:rPr>
        <w:t>u</w:t>
      </w:r>
      <w:r w:rsidR="00796AFF" w:rsidRPr="00507E84">
        <w:rPr>
          <w:rFonts w:ascii="Times New Roman" w:hAnsi="Times New Roman" w:cs="Times New Roman"/>
          <w:sz w:val="24"/>
          <w:szCs w:val="24"/>
        </w:rPr>
        <w:t xml:space="preserve"> v súvislosti s plnením jeho úlohy </w:t>
      </w:r>
      <w:r w:rsidR="00DD2263" w:rsidRPr="00507E84">
        <w:rPr>
          <w:rFonts w:ascii="Times New Roman" w:hAnsi="Times New Roman" w:cs="Times New Roman"/>
          <w:sz w:val="24"/>
          <w:szCs w:val="24"/>
        </w:rPr>
        <w:t xml:space="preserve">ako </w:t>
      </w:r>
      <w:r w:rsidR="00796AFF" w:rsidRPr="00507E84">
        <w:rPr>
          <w:rFonts w:ascii="Times New Roman" w:hAnsi="Times New Roman" w:cs="Times New Roman"/>
          <w:sz w:val="24"/>
          <w:szCs w:val="24"/>
        </w:rPr>
        <w:t>vnútroštátneho orgánu pre certifikáciu kybernetickej bezpečnosti podľa nariadenia (EÚ) 2019/881. Právomoc vykonávať kontrol</w:t>
      </w:r>
      <w:r w:rsidR="00DD2263" w:rsidRPr="00507E84">
        <w:rPr>
          <w:rFonts w:ascii="Times New Roman" w:hAnsi="Times New Roman" w:cs="Times New Roman"/>
          <w:sz w:val="24"/>
          <w:szCs w:val="24"/>
        </w:rPr>
        <w:t>u</w:t>
      </w:r>
      <w:r w:rsidR="00796AFF" w:rsidRPr="00507E84">
        <w:rPr>
          <w:rFonts w:ascii="Times New Roman" w:hAnsi="Times New Roman" w:cs="Times New Roman"/>
          <w:sz w:val="24"/>
          <w:szCs w:val="24"/>
        </w:rPr>
        <w:t xml:space="preserve"> a dozor vyplýva priamo z čl. 58 </w:t>
      </w:r>
      <w:r w:rsidR="00BC0153" w:rsidRPr="00507E84">
        <w:rPr>
          <w:rFonts w:ascii="Times New Roman" w:hAnsi="Times New Roman" w:cs="Times New Roman"/>
          <w:sz w:val="24"/>
          <w:szCs w:val="24"/>
        </w:rPr>
        <w:t xml:space="preserve"> ods. 7 písm. a) a b) </w:t>
      </w:r>
      <w:r w:rsidR="00796AFF" w:rsidRPr="00507E84">
        <w:rPr>
          <w:rFonts w:ascii="Times New Roman" w:hAnsi="Times New Roman" w:cs="Times New Roman"/>
          <w:sz w:val="24"/>
          <w:szCs w:val="24"/>
        </w:rPr>
        <w:t>nariadenia (EÚ) 2019/881</w:t>
      </w:r>
      <w:r w:rsidR="00BC0153" w:rsidRPr="00507E84">
        <w:rPr>
          <w:rFonts w:ascii="Times New Roman" w:hAnsi="Times New Roman" w:cs="Times New Roman"/>
          <w:sz w:val="24"/>
          <w:szCs w:val="24"/>
        </w:rPr>
        <w:t>. Súčasne sa ustanovuje kompetencia prijímať opatrenia podľa čl. 58 ods. 8 písm. c) nariadenia (EÚ) 2019/881</w:t>
      </w:r>
      <w:r w:rsidR="00796AFF" w:rsidRPr="00507E84">
        <w:rPr>
          <w:rFonts w:ascii="Times New Roman" w:hAnsi="Times New Roman" w:cs="Times New Roman"/>
          <w:sz w:val="24"/>
          <w:szCs w:val="24"/>
        </w:rPr>
        <w:t>.</w:t>
      </w:r>
      <w:r w:rsidR="00BC0153" w:rsidRPr="00507E84">
        <w:rPr>
          <w:rFonts w:ascii="Times New Roman" w:hAnsi="Times New Roman" w:cs="Times New Roman"/>
          <w:sz w:val="24"/>
          <w:szCs w:val="24"/>
        </w:rPr>
        <w:t xml:space="preserve"> Ide o nevyhnutné vykonanie predmetného nariadenia v oblasti určenia a stanovenia kompetencií vnútroštátneho orgánu pre certifikáciu kybernetickej bezpečnosti. </w:t>
      </w:r>
    </w:p>
    <w:p w14:paraId="7DBF089C" w14:textId="77777777" w:rsidR="00796AFF" w:rsidRPr="00507E84" w:rsidRDefault="00796AFF" w:rsidP="00796AFF">
      <w:pPr>
        <w:spacing w:after="0"/>
        <w:jc w:val="both"/>
        <w:rPr>
          <w:rFonts w:ascii="Times New Roman" w:hAnsi="Times New Roman" w:cs="Times New Roman"/>
          <w:sz w:val="24"/>
          <w:szCs w:val="24"/>
        </w:rPr>
      </w:pPr>
    </w:p>
    <w:p w14:paraId="24BA485A" w14:textId="5975B671" w:rsidR="00D14C5A" w:rsidRPr="00507E84" w:rsidRDefault="00D14C5A" w:rsidP="00D14C5A">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DF4D5D" w:rsidRPr="00507E84">
        <w:rPr>
          <w:rFonts w:ascii="Times New Roman" w:hAnsi="Times New Roman" w:cs="Times New Roman"/>
          <w:b/>
          <w:sz w:val="24"/>
          <w:szCs w:val="24"/>
        </w:rPr>
        <w:t>24</w:t>
      </w:r>
    </w:p>
    <w:p w14:paraId="19766BF4" w14:textId="0C68DD4D" w:rsidR="00796AFF" w:rsidRPr="00507E84" w:rsidRDefault="001C0494"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Návrh zákona v súlade so smernicou NIS 2 ustanovuje ú</w:t>
      </w:r>
      <w:r w:rsidR="00E256F4" w:rsidRPr="00507E84">
        <w:rPr>
          <w:rFonts w:ascii="Times New Roman" w:hAnsi="Times New Roman" w:cs="Times New Roman"/>
          <w:sz w:val="24"/>
          <w:szCs w:val="24"/>
        </w:rPr>
        <w:t>stredné orgány v prílohe č. 1 a v prílohe č. 2.</w:t>
      </w:r>
      <w:r w:rsidRPr="00507E84">
        <w:rPr>
          <w:rFonts w:ascii="Times New Roman" w:hAnsi="Times New Roman" w:cs="Times New Roman"/>
          <w:sz w:val="24"/>
          <w:szCs w:val="24"/>
        </w:rPr>
        <w:t xml:space="preserve"> Z tohto dôvodu sa vypúšťa ustanovenie § 5 ods. 1 písm. ac)</w:t>
      </w:r>
      <w:r w:rsidR="002A0433" w:rsidRPr="00507E84">
        <w:rPr>
          <w:rFonts w:ascii="Times New Roman" w:hAnsi="Times New Roman" w:cs="Times New Roman"/>
          <w:sz w:val="24"/>
          <w:szCs w:val="24"/>
        </w:rPr>
        <w:t xml:space="preserve"> zákona č. 69/2018 Z. z</w:t>
      </w:r>
      <w:r w:rsidRPr="00507E84">
        <w:rPr>
          <w:rFonts w:ascii="Times New Roman" w:hAnsi="Times New Roman" w:cs="Times New Roman"/>
          <w:sz w:val="24"/>
          <w:szCs w:val="24"/>
        </w:rPr>
        <w:t>.</w:t>
      </w:r>
    </w:p>
    <w:p w14:paraId="6F183F83" w14:textId="77777777" w:rsidR="00796AFF" w:rsidRPr="00507E84" w:rsidRDefault="00796AFF" w:rsidP="00796AFF">
      <w:pPr>
        <w:spacing w:after="0"/>
        <w:jc w:val="both"/>
        <w:rPr>
          <w:rFonts w:ascii="Times New Roman" w:hAnsi="Times New Roman" w:cs="Times New Roman"/>
          <w:sz w:val="24"/>
          <w:szCs w:val="24"/>
        </w:rPr>
      </w:pPr>
    </w:p>
    <w:p w14:paraId="1049768F" w14:textId="2DFE8FD1"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DF4D5D" w:rsidRPr="00507E84">
        <w:rPr>
          <w:rFonts w:ascii="Times New Roman" w:hAnsi="Times New Roman" w:cs="Times New Roman"/>
          <w:b/>
          <w:sz w:val="24"/>
          <w:szCs w:val="24"/>
        </w:rPr>
        <w:t>25</w:t>
      </w:r>
    </w:p>
    <w:p w14:paraId="6D560A10" w14:textId="0041C7C7" w:rsidR="00796AFF" w:rsidRPr="00507E84" w:rsidRDefault="00796AFF" w:rsidP="00620204">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Ide o zosúladenie systému certifikácie kybernetickej bezpečnosti s nariadením (EÚ) 2019/881, v ktorom sa upravil rámec, </w:t>
      </w:r>
      <w:r w:rsidR="00620204" w:rsidRPr="00507E84">
        <w:rPr>
          <w:rFonts w:ascii="Times New Roman" w:hAnsi="Times New Roman" w:cs="Times New Roman"/>
          <w:sz w:val="24"/>
          <w:szCs w:val="24"/>
        </w:rPr>
        <w:t xml:space="preserve">spôsob prijímania európskych schém certifikácie kybernetickej bezpečnosti  </w:t>
      </w:r>
      <w:r w:rsidRPr="00507E84">
        <w:rPr>
          <w:rFonts w:ascii="Times New Roman" w:hAnsi="Times New Roman" w:cs="Times New Roman"/>
          <w:sz w:val="24"/>
          <w:szCs w:val="24"/>
        </w:rPr>
        <w:t xml:space="preserve">a proces certifikácie kybernetickej bezpečnosti informačných a komunikačných technológií. V období prijímania zákona </w:t>
      </w:r>
      <w:r w:rsidR="001C0494" w:rsidRPr="00507E84">
        <w:rPr>
          <w:rFonts w:ascii="Times New Roman" w:hAnsi="Times New Roman" w:cs="Times New Roman"/>
          <w:sz w:val="24"/>
          <w:szCs w:val="24"/>
        </w:rPr>
        <w:t>č.</w:t>
      </w:r>
      <w:r w:rsidR="00377D3C" w:rsidRPr="00507E84">
        <w:rPr>
          <w:rFonts w:ascii="Times New Roman" w:hAnsi="Times New Roman" w:cs="Times New Roman"/>
          <w:sz w:val="24"/>
          <w:szCs w:val="24"/>
        </w:rPr>
        <w:t xml:space="preserve"> </w:t>
      </w:r>
      <w:r w:rsidR="001C0494" w:rsidRPr="00507E84">
        <w:rPr>
          <w:rFonts w:ascii="Times New Roman" w:hAnsi="Times New Roman" w:cs="Times New Roman"/>
          <w:sz w:val="24"/>
          <w:szCs w:val="24"/>
        </w:rPr>
        <w:t>69/2018 Z. z.</w:t>
      </w:r>
      <w:r w:rsidRPr="00507E84">
        <w:rPr>
          <w:rFonts w:ascii="Times New Roman" w:hAnsi="Times New Roman" w:cs="Times New Roman"/>
          <w:sz w:val="24"/>
          <w:szCs w:val="24"/>
        </w:rPr>
        <w:t xml:space="preserve"> (január 2018) ešte nebolo prijaté nariadenie (EÚ) 2019/881 (apríl 2019).</w:t>
      </w:r>
      <w:r w:rsidR="001C0494" w:rsidRPr="00507E84">
        <w:rPr>
          <w:rFonts w:ascii="Times New Roman" w:hAnsi="Times New Roman" w:cs="Times New Roman"/>
          <w:sz w:val="24"/>
          <w:szCs w:val="24"/>
        </w:rPr>
        <w:t xml:space="preserve">  Na účely certifikácie kybernetickej bezpečnosti návrh zákona ustanovuje, že systémom ce</w:t>
      </w:r>
      <w:r w:rsidR="00620204" w:rsidRPr="00507E84">
        <w:rPr>
          <w:rFonts w:ascii="Times New Roman" w:hAnsi="Times New Roman" w:cs="Times New Roman"/>
          <w:sz w:val="24"/>
          <w:szCs w:val="24"/>
        </w:rPr>
        <w:t>r</w:t>
      </w:r>
      <w:r w:rsidR="001C0494" w:rsidRPr="00507E84">
        <w:rPr>
          <w:rFonts w:ascii="Times New Roman" w:hAnsi="Times New Roman" w:cs="Times New Roman"/>
          <w:sz w:val="24"/>
          <w:szCs w:val="24"/>
        </w:rPr>
        <w:t xml:space="preserve">tifikácie je súbor pravidiel a postupov na riadenie jednotlivých schém certifikácie kybernetickej bezpečnosti. Ďalej sa definuje schéma certifikácie kybernetickej bezpečnosti s tým, že predkladateľ zámerne v súlade s </w:t>
      </w:r>
      <w:r w:rsidR="00316762" w:rsidRPr="00507E84">
        <w:rPr>
          <w:rFonts w:ascii="Times New Roman" w:hAnsi="Times New Roman" w:cs="Times New Roman"/>
          <w:sz w:val="24"/>
          <w:szCs w:val="24"/>
        </w:rPr>
        <w:t>technickou normou ISO/IEC 17000:</w:t>
      </w:r>
      <w:r w:rsidR="00377D3C" w:rsidRPr="00507E84">
        <w:rPr>
          <w:rFonts w:ascii="Times New Roman" w:hAnsi="Times New Roman" w:cs="Times New Roman"/>
          <w:sz w:val="24"/>
          <w:szCs w:val="24"/>
        </w:rPr>
        <w:t xml:space="preserve"> </w:t>
      </w:r>
      <w:r w:rsidR="00316762" w:rsidRPr="00507E84">
        <w:rPr>
          <w:rFonts w:ascii="Times New Roman" w:hAnsi="Times New Roman" w:cs="Times New Roman"/>
          <w:sz w:val="24"/>
          <w:szCs w:val="24"/>
        </w:rPr>
        <w:t>2020 (definičná norma) definuje systém a schému a nepo</w:t>
      </w:r>
      <w:r w:rsidR="00377D3C" w:rsidRPr="00507E84">
        <w:rPr>
          <w:rFonts w:ascii="Times New Roman" w:hAnsi="Times New Roman" w:cs="Times New Roman"/>
          <w:sz w:val="24"/>
          <w:szCs w:val="24"/>
        </w:rPr>
        <w:t>u</w:t>
      </w:r>
      <w:r w:rsidR="00316762" w:rsidRPr="00507E84">
        <w:rPr>
          <w:rFonts w:ascii="Times New Roman" w:hAnsi="Times New Roman" w:cs="Times New Roman"/>
          <w:sz w:val="24"/>
          <w:szCs w:val="24"/>
        </w:rPr>
        <w:t xml:space="preserve">žíva pojem </w:t>
      </w:r>
      <w:r w:rsidR="00377D3C" w:rsidRPr="00507E84">
        <w:rPr>
          <w:rFonts w:ascii="Times New Roman" w:hAnsi="Times New Roman" w:cs="Times New Roman"/>
          <w:sz w:val="24"/>
          <w:szCs w:val="24"/>
        </w:rPr>
        <w:t>„</w:t>
      </w:r>
      <w:r w:rsidR="00316762" w:rsidRPr="00507E84">
        <w:rPr>
          <w:rFonts w:ascii="Times New Roman" w:hAnsi="Times New Roman" w:cs="Times New Roman"/>
          <w:sz w:val="24"/>
          <w:szCs w:val="24"/>
        </w:rPr>
        <w:t>rámec</w:t>
      </w:r>
      <w:r w:rsidR="00377D3C" w:rsidRPr="00507E84">
        <w:rPr>
          <w:rFonts w:ascii="Times New Roman" w:hAnsi="Times New Roman" w:cs="Times New Roman"/>
          <w:sz w:val="24"/>
          <w:szCs w:val="24"/>
        </w:rPr>
        <w:t>“</w:t>
      </w:r>
      <w:r w:rsidR="00316762" w:rsidRPr="00507E84">
        <w:rPr>
          <w:rFonts w:ascii="Times New Roman" w:hAnsi="Times New Roman" w:cs="Times New Roman"/>
          <w:sz w:val="24"/>
          <w:szCs w:val="24"/>
        </w:rPr>
        <w:t xml:space="preserve"> ako sa uvádza v oficiálnom preklade nariadenia (EÚ) 2019/881, ktorý nie je súladný s vyššie uvedenou normou. Ustanovuje sa podmienka, že certifikáciu kybernetickej bezpečnosti </w:t>
      </w:r>
      <w:r w:rsidR="00316762" w:rsidRPr="00507E84">
        <w:rPr>
          <w:rFonts w:ascii="Times New Roman" w:hAnsi="Times New Roman" w:cs="Times New Roman"/>
          <w:sz w:val="24"/>
          <w:szCs w:val="24"/>
        </w:rPr>
        <w:lastRenderedPageBreak/>
        <w:t>pre úrovne záruky základná, významná a vysoká vykonáva</w:t>
      </w:r>
      <w:r w:rsidR="00620204" w:rsidRPr="00507E84">
        <w:rPr>
          <w:rFonts w:ascii="Times New Roman" w:hAnsi="Times New Roman" w:cs="Times New Roman"/>
          <w:sz w:val="24"/>
          <w:szCs w:val="24"/>
        </w:rPr>
        <w:t xml:space="preserve"> len akreditovaná osoba, teda os</w:t>
      </w:r>
      <w:r w:rsidR="00316762" w:rsidRPr="00507E84">
        <w:rPr>
          <w:rFonts w:ascii="Times New Roman" w:hAnsi="Times New Roman" w:cs="Times New Roman"/>
          <w:sz w:val="24"/>
          <w:szCs w:val="24"/>
        </w:rPr>
        <w:t>oba podľa čl. 60 nariadenia (EÚ) 2019/881 a § 19 ods. 2 zákona č. 53/2023 Z. z. o akreditácii orgánov posudzovania zhody</w:t>
      </w:r>
      <w:r w:rsidR="00620204" w:rsidRPr="00507E84">
        <w:rPr>
          <w:rFonts w:ascii="Times New Roman" w:hAnsi="Times New Roman" w:cs="Times New Roman"/>
          <w:sz w:val="24"/>
          <w:szCs w:val="24"/>
        </w:rPr>
        <w:t xml:space="preserve">. Zároveň sa v súlade s článkom 56 ods. 6 </w:t>
      </w:r>
      <w:r w:rsidR="002A0433" w:rsidRPr="00507E84">
        <w:rPr>
          <w:rFonts w:ascii="Times New Roman" w:hAnsi="Times New Roman" w:cs="Times New Roman"/>
          <w:sz w:val="24"/>
          <w:szCs w:val="24"/>
        </w:rPr>
        <w:t>nariadenia (EÚ) 2019/881</w:t>
      </w:r>
      <w:r w:rsidR="00620204" w:rsidRPr="00507E84">
        <w:rPr>
          <w:rFonts w:ascii="Times New Roman" w:hAnsi="Times New Roman" w:cs="Times New Roman"/>
          <w:sz w:val="24"/>
          <w:szCs w:val="24"/>
        </w:rPr>
        <w:t>ustanovuje</w:t>
      </w:r>
      <w:r w:rsidR="00316762" w:rsidRPr="00507E84">
        <w:rPr>
          <w:rFonts w:ascii="Times New Roman" w:hAnsi="Times New Roman" w:cs="Times New Roman"/>
          <w:sz w:val="24"/>
          <w:szCs w:val="24"/>
        </w:rPr>
        <w:t>,</w:t>
      </w:r>
      <w:r w:rsidR="00620204" w:rsidRPr="00507E84">
        <w:rPr>
          <w:rFonts w:ascii="Times New Roman" w:hAnsi="Times New Roman" w:cs="Times New Roman"/>
          <w:sz w:val="24"/>
          <w:szCs w:val="24"/>
        </w:rPr>
        <w:t xml:space="preserve"> </w:t>
      </w:r>
      <w:r w:rsidR="00316762" w:rsidRPr="00507E84">
        <w:rPr>
          <w:rFonts w:ascii="Times New Roman" w:hAnsi="Times New Roman" w:cs="Times New Roman"/>
          <w:sz w:val="24"/>
          <w:szCs w:val="24"/>
        </w:rPr>
        <w:t xml:space="preserve"> že akreditovanou osobou pre certifikáciu kybernetickej bezpečnosti pre úroveň záruky vysoká, môže byť len Národný bezpečnostný úrad </w:t>
      </w:r>
      <w:r w:rsidR="00620204" w:rsidRPr="00507E84">
        <w:rPr>
          <w:rFonts w:ascii="Times New Roman" w:hAnsi="Times New Roman" w:cs="Times New Roman"/>
          <w:sz w:val="24"/>
          <w:szCs w:val="24"/>
        </w:rPr>
        <w:t>ako národná autorita pre certifikáciu kybernetickej bezpečnosti zriadená podľa článku 58 ods. 1</w:t>
      </w:r>
      <w:r w:rsidR="002A0433" w:rsidRPr="00507E84">
        <w:rPr>
          <w:rFonts w:ascii="Times New Roman" w:hAnsi="Times New Roman" w:cs="Times New Roman"/>
          <w:sz w:val="24"/>
          <w:szCs w:val="24"/>
        </w:rPr>
        <w:t xml:space="preserve"> nariadenia (EÚ) 2019/881</w:t>
      </w:r>
      <w:r w:rsidR="00620204" w:rsidRPr="00507E84">
        <w:rPr>
          <w:rFonts w:ascii="Times New Roman" w:hAnsi="Times New Roman" w:cs="Times New Roman"/>
          <w:sz w:val="24"/>
          <w:szCs w:val="24"/>
        </w:rPr>
        <w:t>.</w:t>
      </w:r>
    </w:p>
    <w:p w14:paraId="18CCF7E8" w14:textId="77777777" w:rsidR="00796AFF" w:rsidRPr="00507E84" w:rsidRDefault="00796AFF" w:rsidP="00796AFF">
      <w:pPr>
        <w:spacing w:after="0"/>
        <w:jc w:val="both"/>
        <w:rPr>
          <w:rFonts w:ascii="Times New Roman" w:hAnsi="Times New Roman" w:cs="Times New Roman"/>
          <w:sz w:val="24"/>
          <w:szCs w:val="24"/>
        </w:rPr>
      </w:pPr>
    </w:p>
    <w:p w14:paraId="0A4F4EEF" w14:textId="7DBE1A40"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DF4D5D" w:rsidRPr="00507E84">
        <w:rPr>
          <w:rFonts w:ascii="Times New Roman" w:hAnsi="Times New Roman" w:cs="Times New Roman"/>
          <w:b/>
          <w:sz w:val="24"/>
          <w:szCs w:val="24"/>
        </w:rPr>
        <w:t>26</w:t>
      </w:r>
    </w:p>
    <w:p w14:paraId="1F93DD86" w14:textId="77777777"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Legislatívnotechnická úprava súvisiaca s </w:t>
      </w:r>
      <w:r w:rsidR="001719A3" w:rsidRPr="00507E84">
        <w:rPr>
          <w:rFonts w:ascii="Times New Roman" w:hAnsi="Times New Roman" w:cs="Times New Roman"/>
          <w:sz w:val="24"/>
          <w:szCs w:val="24"/>
        </w:rPr>
        <w:t>vypustením</w:t>
      </w:r>
      <w:r w:rsidRPr="00507E84">
        <w:rPr>
          <w:rFonts w:ascii="Times New Roman" w:hAnsi="Times New Roman" w:cs="Times New Roman"/>
          <w:sz w:val="24"/>
          <w:szCs w:val="24"/>
        </w:rPr>
        <w:t xml:space="preserve"> pojmu „digitálna služba“.</w:t>
      </w:r>
    </w:p>
    <w:p w14:paraId="06A62816" w14:textId="77777777" w:rsidR="00796AFF" w:rsidRPr="00507E84" w:rsidRDefault="00796AFF" w:rsidP="00796AFF">
      <w:pPr>
        <w:spacing w:after="0"/>
        <w:jc w:val="both"/>
        <w:rPr>
          <w:rFonts w:ascii="Times New Roman" w:hAnsi="Times New Roman" w:cs="Times New Roman"/>
          <w:sz w:val="24"/>
          <w:szCs w:val="24"/>
        </w:rPr>
      </w:pPr>
    </w:p>
    <w:p w14:paraId="2F5C95A1" w14:textId="46FD8FC8"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DF4D5D" w:rsidRPr="00507E84">
        <w:rPr>
          <w:rFonts w:ascii="Times New Roman" w:hAnsi="Times New Roman" w:cs="Times New Roman"/>
          <w:b/>
          <w:sz w:val="24"/>
          <w:szCs w:val="24"/>
        </w:rPr>
        <w:t>27</w:t>
      </w:r>
    </w:p>
    <w:p w14:paraId="0DE51FD4" w14:textId="49A33B2D"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Na účely koordinovaného zverejňovania zraniteľností sa Národným bezpečnostným úradom zriadená národná jednotka CSIRT – Národné centrum kybernetickej bezpečnosti</w:t>
      </w:r>
      <w:r w:rsidR="00DD2263" w:rsidRPr="00507E84">
        <w:rPr>
          <w:rFonts w:ascii="Times New Roman" w:hAnsi="Times New Roman" w:cs="Times New Roman"/>
          <w:sz w:val="24"/>
          <w:szCs w:val="24"/>
        </w:rPr>
        <w:t>,</w:t>
      </w:r>
      <w:r w:rsidRPr="00507E84">
        <w:rPr>
          <w:rFonts w:ascii="Times New Roman" w:hAnsi="Times New Roman" w:cs="Times New Roman"/>
          <w:sz w:val="24"/>
          <w:szCs w:val="24"/>
        </w:rPr>
        <w:t xml:space="preserve"> určuje ako koordinátor vo veciach komunikácie o zistených alebo nahlásených zraniteľnostiach medzi prevádzkovateľom základnej služby, výrobcom alebo dodávateľom produktu IKT alebo služby IKT a inými dotknutými osobami. Zo smernice NIS</w:t>
      </w:r>
      <w:r w:rsidR="00454460" w:rsidRPr="00507E84">
        <w:rPr>
          <w:rFonts w:ascii="Times New Roman" w:hAnsi="Times New Roman" w:cs="Times New Roman"/>
          <w:sz w:val="24"/>
          <w:szCs w:val="24"/>
        </w:rPr>
        <w:t xml:space="preserve"> </w:t>
      </w:r>
      <w:r w:rsidRPr="00507E84">
        <w:rPr>
          <w:rFonts w:ascii="Times New Roman" w:hAnsi="Times New Roman" w:cs="Times New Roman"/>
          <w:sz w:val="24"/>
          <w:szCs w:val="24"/>
        </w:rPr>
        <w:t>2 vyplynula pre koordinátora povinnosť zabezpečiť, aby oznamovateľ mohol oznamovať zraniteľnosti aj anonymne (ak o to požiada oznamovateľ). Koordinátor zabezpečuje aj postupovanie informácií o zraniteľnostiach základných služieb, ku ktorým vykonáva služby jednotka CSIRT iného č</w:t>
      </w:r>
      <w:r w:rsidR="00011FD9" w:rsidRPr="00507E84">
        <w:rPr>
          <w:rFonts w:ascii="Times New Roman" w:hAnsi="Times New Roman" w:cs="Times New Roman"/>
          <w:sz w:val="24"/>
          <w:szCs w:val="24"/>
        </w:rPr>
        <w:t>lenského štátu Európskej únie, tzn. o</w:t>
      </w:r>
      <w:r w:rsidRPr="00507E84">
        <w:rPr>
          <w:rFonts w:ascii="Times New Roman" w:hAnsi="Times New Roman" w:cs="Times New Roman"/>
          <w:sz w:val="24"/>
          <w:szCs w:val="24"/>
        </w:rPr>
        <w:t>známi zraniteľnosť jednotke CSIRT iného členského štátu Európskej únie a informuje o tom oznamovateľa tejto zraniteľnosti.</w:t>
      </w:r>
    </w:p>
    <w:p w14:paraId="2A02AF6E" w14:textId="77777777" w:rsidR="00796AFF" w:rsidRPr="00507E84" w:rsidRDefault="00796AFF" w:rsidP="00796AFF">
      <w:pPr>
        <w:spacing w:after="0"/>
        <w:jc w:val="both"/>
        <w:rPr>
          <w:rFonts w:ascii="Times New Roman" w:hAnsi="Times New Roman" w:cs="Times New Roman"/>
          <w:sz w:val="24"/>
          <w:szCs w:val="24"/>
        </w:rPr>
      </w:pPr>
    </w:p>
    <w:p w14:paraId="4410D744" w14:textId="73ED2881"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DF4D5D" w:rsidRPr="00507E84">
        <w:rPr>
          <w:rFonts w:ascii="Times New Roman" w:hAnsi="Times New Roman" w:cs="Times New Roman"/>
          <w:b/>
          <w:sz w:val="24"/>
          <w:szCs w:val="24"/>
        </w:rPr>
        <w:t>28</w:t>
      </w:r>
    </w:p>
    <w:p w14:paraId="551F3068" w14:textId="77777777"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Podľa smernice NIS</w:t>
      </w:r>
      <w:r w:rsidR="00454460" w:rsidRPr="00507E84">
        <w:rPr>
          <w:rFonts w:ascii="Times New Roman" w:hAnsi="Times New Roman" w:cs="Times New Roman"/>
          <w:sz w:val="24"/>
          <w:szCs w:val="24"/>
        </w:rPr>
        <w:t xml:space="preserve"> </w:t>
      </w:r>
      <w:r w:rsidRPr="00507E84">
        <w:rPr>
          <w:rFonts w:ascii="Times New Roman" w:hAnsi="Times New Roman" w:cs="Times New Roman"/>
          <w:sz w:val="24"/>
          <w:szCs w:val="24"/>
        </w:rPr>
        <w:t>2 každý členský štát prijme národnú stratégiu kybernetickej bezpečnosti, v ktorej stanoví strategické ciele, zdroje potrebné na dosiahnutie týchto cieľov a vhodné politické a regulačné opatrenia na dosiahnutie a zachovanie vysokej úrovne kybernetickej bezpečnosti. Súčasťou národnej stratégie kybernetickej bezpečnosti sú politiky a akčný plán, ako konkrétny plán čiastkových úloh a zdrojov.</w:t>
      </w:r>
    </w:p>
    <w:p w14:paraId="5997A028" w14:textId="6C37DA37"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V druhom odseku sa vymedzujú obsahové náležitosti </w:t>
      </w:r>
      <w:r w:rsidR="00DF4D5D" w:rsidRPr="00507E84">
        <w:rPr>
          <w:rFonts w:ascii="Times New Roman" w:hAnsi="Times New Roman" w:cs="Times New Roman"/>
          <w:sz w:val="24"/>
          <w:szCs w:val="24"/>
        </w:rPr>
        <w:t>n</w:t>
      </w:r>
      <w:r w:rsidRPr="00507E84">
        <w:rPr>
          <w:rFonts w:ascii="Times New Roman" w:hAnsi="Times New Roman" w:cs="Times New Roman"/>
          <w:sz w:val="24"/>
          <w:szCs w:val="24"/>
        </w:rPr>
        <w:t xml:space="preserve">árodnej stratégie kybernetickej bezpečnosti. </w:t>
      </w:r>
    </w:p>
    <w:p w14:paraId="66D6DEAE" w14:textId="77194DD2"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V treťom odseku sa upravuje zameranie politík, ktoré sa prijímajú v rámci národnej stratégie kybernetickej bezpečnosti.</w:t>
      </w:r>
      <w:r w:rsidR="00911DFC" w:rsidRPr="00507E84">
        <w:rPr>
          <w:rFonts w:ascii="Times New Roman" w:hAnsi="Times New Roman" w:cs="Times New Roman"/>
          <w:sz w:val="24"/>
          <w:szCs w:val="24"/>
        </w:rPr>
        <w:t xml:space="preserve"> V rámci národnej stratégie kybernetickej bezpečnosti sa prijímajú politiky okrem iného aj podpory aktívnej kybernetickej ochrany</w:t>
      </w:r>
      <w:r w:rsidR="000415F6" w:rsidRPr="00507E84">
        <w:rPr>
          <w:rFonts w:ascii="Times New Roman" w:hAnsi="Times New Roman" w:cs="Times New Roman"/>
          <w:sz w:val="24"/>
          <w:szCs w:val="24"/>
        </w:rPr>
        <w:t xml:space="preserve"> za ktoré sa považuje. Podľa bodu 57 recitálu</w:t>
      </w:r>
      <w:r w:rsidR="00310FF2" w:rsidRPr="00507E84">
        <w:rPr>
          <w:rFonts w:ascii="Times New Roman" w:hAnsi="Times New Roman" w:cs="Times New Roman"/>
          <w:sz w:val="24"/>
          <w:szCs w:val="24"/>
        </w:rPr>
        <w:t xml:space="preserve"> smernice</w:t>
      </w:r>
      <w:r w:rsidR="000415F6" w:rsidRPr="00507E84">
        <w:rPr>
          <w:rFonts w:ascii="Times New Roman" w:hAnsi="Times New Roman" w:cs="Times New Roman"/>
          <w:sz w:val="24"/>
          <w:szCs w:val="24"/>
        </w:rPr>
        <w:t xml:space="preserve"> NIS2 členské štáty by mali v rámci svojich národných stratégií kybernetickej bezpečnosti prijať politiky na podporu aktívnej kybernetickej ochrany ako súčasti širšej obrannej stratégie. Aktívna kybernetická ochrana je aktívna prevencia, odhaľovanie, monitorovanie, analýza a zmierňovanie narušení bezpečnosti siete v spojení s využitím spôsobilostí nasadených v zasiahnutej sieti a mimo nej, a nie reaktívne reagovanie. Mohla by zahŕňať poskytovanie bezplatných služieb alebo nástrojov určitým subjektom zo strany členských štátov, a to vrátane samoobslužných kontrol, detekčných nástrojov a služieb odstraňovania. Schopnosť rýchlo a automaticky si vymieňať a pochopiť informácie a analýzy týkajúce sa hrozieb, varovaní pred kybernetickou činnosťou a opatrení reakcie je zásadne dôležitá pre umožnenie jednotného úsilia o úspešnú prevenciu, odhaľovanie, riešenie a blokovanie útokov proti sieťam a informačným systémom. Aktívna kybernetická ochrana je založená na obrannej stratégii, ktorá vylučuje ofenzívne opatrenia.</w:t>
      </w:r>
    </w:p>
    <w:p w14:paraId="46567937" w14:textId="77777777"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lastRenderedPageBreak/>
        <w:t>Vo štvrtom odseku sa vymedzuje spolupráca ústredných orgánov podľa § 4 písm. b) a iných orgánov štátnej správy podľa § 4 písm. c) s Národným bezpečnostným úradom pri vypracovávaní národnej stratégie kybernetickej bezpečnosti. Uvedené orgány sú povinné poskytnúť súčinnosť Národnému bezpečnostnému úradu v podobe poskytovania informácií v potrebnom rozsahu.</w:t>
      </w:r>
    </w:p>
    <w:p w14:paraId="6D3FD186" w14:textId="09F236FE"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Podľa piateho odseku národnú stratégiu kybernetickej bezpečnosti na návrh Národného bezpečnostného úradu schvaľuje vláda Slovenskej republiky,  na obdobie</w:t>
      </w:r>
      <w:r w:rsidR="006E4CDF" w:rsidRPr="00507E84">
        <w:rPr>
          <w:rFonts w:ascii="Times New Roman" w:hAnsi="Times New Roman" w:cs="Times New Roman"/>
          <w:sz w:val="24"/>
          <w:szCs w:val="24"/>
        </w:rPr>
        <w:t xml:space="preserve"> </w:t>
      </w:r>
      <w:r w:rsidRPr="00507E84">
        <w:rPr>
          <w:rFonts w:ascii="Times New Roman" w:hAnsi="Times New Roman" w:cs="Times New Roman"/>
          <w:sz w:val="24"/>
          <w:szCs w:val="24"/>
        </w:rPr>
        <w:t xml:space="preserve">piatich rokov. </w:t>
      </w:r>
    </w:p>
    <w:p w14:paraId="32AA0BD1" w14:textId="77777777"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Podľa smernice NIS</w:t>
      </w:r>
      <w:r w:rsidR="00454460" w:rsidRPr="00507E84">
        <w:rPr>
          <w:rFonts w:ascii="Times New Roman" w:hAnsi="Times New Roman" w:cs="Times New Roman"/>
          <w:sz w:val="24"/>
          <w:szCs w:val="24"/>
        </w:rPr>
        <w:t xml:space="preserve"> </w:t>
      </w:r>
      <w:r w:rsidRPr="00507E84">
        <w:rPr>
          <w:rFonts w:ascii="Times New Roman" w:hAnsi="Times New Roman" w:cs="Times New Roman"/>
          <w:sz w:val="24"/>
          <w:szCs w:val="24"/>
        </w:rPr>
        <w:t xml:space="preserve">2 každý členský štát prijme národný plán reakcie na rozsiahle kybernetické incidenty a krízy, v ktorom sa stanovia ciele a spôsoby riadenia rozsiahlych kybernetických incidentov a kríz. </w:t>
      </w:r>
    </w:p>
    <w:p w14:paraId="0B42C088" w14:textId="77777777"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V šiestom odseku sa vymedzujú obsahové náležitosti národného plánu reakcie na rozsiahle kybernetické bezpečnostné incidenty a kybernetické krízy.</w:t>
      </w:r>
    </w:p>
    <w:p w14:paraId="3DCC99DA" w14:textId="330F3E98"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Podľa siedmeho odseku národný plán reakcie na rozsiahle kybernetické bezpečnostné incidenty a kybernetické krízy </w:t>
      </w:r>
      <w:r w:rsidR="0024599B" w:rsidRPr="00507E84">
        <w:rPr>
          <w:rFonts w:ascii="Times New Roman" w:hAnsi="Times New Roman" w:cs="Times New Roman"/>
          <w:sz w:val="24"/>
          <w:szCs w:val="24"/>
        </w:rPr>
        <w:t xml:space="preserve">a jeho zmenu </w:t>
      </w:r>
      <w:r w:rsidRPr="00507E84">
        <w:rPr>
          <w:rFonts w:ascii="Times New Roman" w:hAnsi="Times New Roman" w:cs="Times New Roman"/>
          <w:sz w:val="24"/>
          <w:szCs w:val="24"/>
        </w:rPr>
        <w:t>na návrh Národného bezpečnostného úradu schvaľuje vláda Slovenskej republiky</w:t>
      </w:r>
      <w:r w:rsidR="00065690" w:rsidRPr="00507E84">
        <w:rPr>
          <w:rFonts w:ascii="Times New Roman" w:hAnsi="Times New Roman" w:cs="Times New Roman"/>
          <w:sz w:val="24"/>
          <w:szCs w:val="24"/>
        </w:rPr>
        <w:t>.</w:t>
      </w:r>
      <w:r w:rsidR="00E50269" w:rsidRPr="00507E84">
        <w:rPr>
          <w:rFonts w:ascii="Times New Roman" w:hAnsi="Times New Roman" w:cs="Times New Roman"/>
          <w:sz w:val="24"/>
          <w:szCs w:val="24"/>
        </w:rPr>
        <w:t xml:space="preserve"> Tomuto procesu predchádza riadne pripomie</w:t>
      </w:r>
      <w:r w:rsidR="00011FD9" w:rsidRPr="00507E84">
        <w:rPr>
          <w:rFonts w:ascii="Times New Roman" w:hAnsi="Times New Roman" w:cs="Times New Roman"/>
          <w:sz w:val="24"/>
          <w:szCs w:val="24"/>
        </w:rPr>
        <w:t>nkové konanie v rámci Slov-Lexu</w:t>
      </w:r>
      <w:r w:rsidR="00E50269" w:rsidRPr="00507E84">
        <w:rPr>
          <w:rFonts w:ascii="Times New Roman" w:hAnsi="Times New Roman" w:cs="Times New Roman"/>
          <w:sz w:val="24"/>
          <w:szCs w:val="24"/>
        </w:rPr>
        <w:t>, keďže ide o nelegislatívne materiály, ktoré sa predkladajú na rokovanie vlády Slovenskej republiky.</w:t>
      </w:r>
    </w:p>
    <w:p w14:paraId="76253A7B" w14:textId="77777777"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V ôsmom odseku sa vymedzuje spolupráca ústredných orgánov podľa § 4 písm. b) a iných orgánov štátnej správy podľa § 4 písm. c) s Národným bezpečnostným úradom pri vypracovávaní národného plánu reakcie na rozsiahle kybernetické bezpečnostné incidenty a kybernetické krízy. Uvedené orgány sú povinné poskytnúť súčinnosť Národnému bezpečnostnému úradu v podobe poskytovania informácií v potrebnom rozsahu.</w:t>
      </w:r>
    </w:p>
    <w:p w14:paraId="0D417EF1" w14:textId="77777777" w:rsidR="00796AFF" w:rsidRPr="00507E84" w:rsidRDefault="00796AFF" w:rsidP="00796AFF">
      <w:pPr>
        <w:spacing w:after="0"/>
        <w:jc w:val="both"/>
        <w:rPr>
          <w:rFonts w:ascii="Times New Roman" w:hAnsi="Times New Roman" w:cs="Times New Roman"/>
          <w:sz w:val="24"/>
          <w:szCs w:val="24"/>
        </w:rPr>
      </w:pPr>
    </w:p>
    <w:p w14:paraId="24AF9993" w14:textId="70B952DE"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231CC9" w:rsidRPr="00507E84">
        <w:rPr>
          <w:rFonts w:ascii="Times New Roman" w:hAnsi="Times New Roman" w:cs="Times New Roman"/>
          <w:b/>
          <w:sz w:val="24"/>
          <w:szCs w:val="24"/>
        </w:rPr>
        <w:t>29</w:t>
      </w:r>
    </w:p>
    <w:p w14:paraId="2731E6D5" w14:textId="279AA13C"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V súlade so zmenami sa upravuje </w:t>
      </w:r>
      <w:r w:rsidR="006E4CDF" w:rsidRPr="00507E84">
        <w:rPr>
          <w:rFonts w:ascii="Times New Roman" w:hAnsi="Times New Roman" w:cs="Times New Roman"/>
          <w:sz w:val="24"/>
          <w:szCs w:val="24"/>
        </w:rPr>
        <w:t xml:space="preserve">aj </w:t>
      </w:r>
      <w:r w:rsidRPr="00507E84">
        <w:rPr>
          <w:rFonts w:ascii="Times New Roman" w:hAnsi="Times New Roman" w:cs="Times New Roman"/>
          <w:sz w:val="24"/>
          <w:szCs w:val="24"/>
        </w:rPr>
        <w:t xml:space="preserve">obsah verejnej časti jednotného informačného systému kybernetickej bezpečnosti. </w:t>
      </w:r>
      <w:r w:rsidR="006E4CDF" w:rsidRPr="00507E84">
        <w:rPr>
          <w:rFonts w:ascii="Times New Roman" w:hAnsi="Times New Roman" w:cs="Times New Roman"/>
          <w:sz w:val="24"/>
          <w:szCs w:val="24"/>
        </w:rPr>
        <w:t xml:space="preserve">Keďže sa upúšťa od </w:t>
      </w:r>
      <w:r w:rsidR="00011FD9" w:rsidRPr="00507E84">
        <w:rPr>
          <w:rFonts w:ascii="Times New Roman" w:hAnsi="Times New Roman" w:cs="Times New Roman"/>
          <w:sz w:val="24"/>
          <w:szCs w:val="24"/>
        </w:rPr>
        <w:t>pojmu „základná služba“</w:t>
      </w:r>
      <w:r w:rsidR="006E4CDF" w:rsidRPr="00507E84">
        <w:rPr>
          <w:rFonts w:ascii="Times New Roman" w:hAnsi="Times New Roman" w:cs="Times New Roman"/>
          <w:sz w:val="24"/>
          <w:szCs w:val="24"/>
        </w:rPr>
        <w:t xml:space="preserve"> a aj </w:t>
      </w:r>
      <w:r w:rsidR="00011FD9" w:rsidRPr="00507E84">
        <w:rPr>
          <w:rFonts w:ascii="Times New Roman" w:hAnsi="Times New Roman" w:cs="Times New Roman"/>
          <w:sz w:val="24"/>
          <w:szCs w:val="24"/>
        </w:rPr>
        <w:t>„poskytovateľ</w:t>
      </w:r>
      <w:r w:rsidR="006E4CDF" w:rsidRPr="00507E84">
        <w:rPr>
          <w:rFonts w:ascii="Times New Roman" w:hAnsi="Times New Roman" w:cs="Times New Roman"/>
          <w:sz w:val="24"/>
          <w:szCs w:val="24"/>
        </w:rPr>
        <w:t xml:space="preserve"> digitálnych služieb</w:t>
      </w:r>
      <w:r w:rsidR="00011FD9" w:rsidRPr="00507E84">
        <w:rPr>
          <w:rFonts w:ascii="Times New Roman" w:hAnsi="Times New Roman" w:cs="Times New Roman"/>
          <w:sz w:val="24"/>
          <w:szCs w:val="24"/>
        </w:rPr>
        <w:t>“</w:t>
      </w:r>
      <w:r w:rsidR="006E4CDF" w:rsidRPr="00507E84">
        <w:rPr>
          <w:rFonts w:ascii="Times New Roman" w:hAnsi="Times New Roman" w:cs="Times New Roman"/>
          <w:sz w:val="24"/>
          <w:szCs w:val="24"/>
        </w:rPr>
        <w:t xml:space="preserve">, jednotný informačný systém kybernetickej bezpečnosti už takéto registre neobsahuje. </w:t>
      </w:r>
      <w:r w:rsidRPr="00507E84">
        <w:rPr>
          <w:rFonts w:ascii="Times New Roman" w:hAnsi="Times New Roman" w:cs="Times New Roman"/>
          <w:sz w:val="24"/>
          <w:szCs w:val="24"/>
        </w:rPr>
        <w:t>K obsahu vyplývajúcemu zo smernice NIS</w:t>
      </w:r>
      <w:r w:rsidR="00564D49" w:rsidRPr="00507E84">
        <w:rPr>
          <w:rFonts w:ascii="Times New Roman" w:hAnsi="Times New Roman" w:cs="Times New Roman"/>
          <w:sz w:val="24"/>
          <w:szCs w:val="24"/>
        </w:rPr>
        <w:t xml:space="preserve"> </w:t>
      </w:r>
      <w:r w:rsidRPr="00507E84">
        <w:rPr>
          <w:rFonts w:ascii="Times New Roman" w:hAnsi="Times New Roman" w:cs="Times New Roman"/>
          <w:sz w:val="24"/>
          <w:szCs w:val="24"/>
        </w:rPr>
        <w:t xml:space="preserve">1 [písmená a) až g)], sa doplnil nástroj na registráciu </w:t>
      </w:r>
      <w:r w:rsidR="008E604E" w:rsidRPr="00507E84">
        <w:rPr>
          <w:rFonts w:ascii="Times New Roman" w:hAnsi="Times New Roman" w:cs="Times New Roman"/>
          <w:sz w:val="24"/>
          <w:szCs w:val="24"/>
        </w:rPr>
        <w:t xml:space="preserve">zmien, </w:t>
      </w:r>
      <w:r w:rsidRPr="00507E84">
        <w:rPr>
          <w:rFonts w:ascii="Times New Roman" w:hAnsi="Times New Roman" w:cs="Times New Roman"/>
          <w:sz w:val="24"/>
          <w:szCs w:val="24"/>
        </w:rPr>
        <w:t xml:space="preserve"> hlásenie zmien a</w:t>
      </w:r>
      <w:r w:rsidR="00231CC9" w:rsidRPr="00507E84">
        <w:rPr>
          <w:rFonts w:ascii="Times New Roman" w:hAnsi="Times New Roman" w:cs="Times New Roman"/>
          <w:sz w:val="24"/>
          <w:szCs w:val="24"/>
        </w:rPr>
        <w:t> </w:t>
      </w:r>
      <w:r w:rsidRPr="00507E84">
        <w:rPr>
          <w:rFonts w:ascii="Times New Roman" w:hAnsi="Times New Roman" w:cs="Times New Roman"/>
          <w:sz w:val="24"/>
          <w:szCs w:val="24"/>
        </w:rPr>
        <w:t>ostatné</w:t>
      </w:r>
      <w:r w:rsidR="00A15DA0" w:rsidRPr="00507E84">
        <w:rPr>
          <w:rFonts w:ascii="Times New Roman" w:hAnsi="Times New Roman" w:cs="Times New Roman"/>
          <w:sz w:val="24"/>
          <w:szCs w:val="24"/>
        </w:rPr>
        <w:t xml:space="preserve"> súvi</w:t>
      </w:r>
      <w:r w:rsidR="00231CC9" w:rsidRPr="00507E84">
        <w:rPr>
          <w:rFonts w:ascii="Times New Roman" w:hAnsi="Times New Roman" w:cs="Times New Roman"/>
          <w:sz w:val="24"/>
          <w:szCs w:val="24"/>
        </w:rPr>
        <w:t>siace</w:t>
      </w:r>
      <w:r w:rsidRPr="00507E84">
        <w:rPr>
          <w:rFonts w:ascii="Times New Roman" w:hAnsi="Times New Roman" w:cs="Times New Roman"/>
          <w:sz w:val="24"/>
          <w:szCs w:val="24"/>
        </w:rPr>
        <w:t xml:space="preserve"> nástroje. Ide o nástroje, ktoré sú primárne určené prevádzkovateľom základnej služby na účely ich registrácie do registra prevádzkovateľov základn</w:t>
      </w:r>
      <w:r w:rsidR="008E604E" w:rsidRPr="00507E84">
        <w:rPr>
          <w:rFonts w:ascii="Times New Roman" w:hAnsi="Times New Roman" w:cs="Times New Roman"/>
          <w:sz w:val="24"/>
          <w:szCs w:val="24"/>
        </w:rPr>
        <w:t xml:space="preserve">ej </w:t>
      </w:r>
      <w:r w:rsidRPr="00507E84">
        <w:rPr>
          <w:rFonts w:ascii="Times New Roman" w:hAnsi="Times New Roman" w:cs="Times New Roman"/>
          <w:sz w:val="24"/>
          <w:szCs w:val="24"/>
        </w:rPr>
        <w:t>služb</w:t>
      </w:r>
      <w:r w:rsidR="008E604E" w:rsidRPr="00507E84">
        <w:rPr>
          <w:rFonts w:ascii="Times New Roman" w:hAnsi="Times New Roman" w:cs="Times New Roman"/>
          <w:sz w:val="24"/>
          <w:szCs w:val="24"/>
        </w:rPr>
        <w:t>y</w:t>
      </w:r>
      <w:r w:rsidRPr="00507E84">
        <w:rPr>
          <w:rFonts w:ascii="Times New Roman" w:hAnsi="Times New Roman" w:cs="Times New Roman"/>
          <w:sz w:val="24"/>
          <w:szCs w:val="24"/>
        </w:rPr>
        <w:t xml:space="preserve"> a s tým súvisiacich hlásení zmien</w:t>
      </w:r>
      <w:r w:rsidR="006E4CDF" w:rsidRPr="00507E84">
        <w:rPr>
          <w:rFonts w:ascii="Times New Roman" w:hAnsi="Times New Roman" w:cs="Times New Roman"/>
          <w:sz w:val="24"/>
          <w:szCs w:val="24"/>
        </w:rPr>
        <w:t xml:space="preserve">, ako aj nástroje na vykonanie samohodnotenia, pomôcky a návody. </w:t>
      </w:r>
      <w:r w:rsidRPr="00507E84">
        <w:rPr>
          <w:rFonts w:ascii="Times New Roman" w:hAnsi="Times New Roman" w:cs="Times New Roman"/>
          <w:sz w:val="24"/>
          <w:szCs w:val="24"/>
        </w:rPr>
        <w:t>Komunikačný systém pre hlásenie a riešenie kybernetických bezpečnostných incidentov je komunikačný systém, ktorý zaisťuje systematický zber a vyhodnocovanie informácií o</w:t>
      </w:r>
      <w:r w:rsidR="007503ED" w:rsidRPr="00507E84">
        <w:rPr>
          <w:rFonts w:ascii="Times New Roman" w:hAnsi="Times New Roman" w:cs="Times New Roman"/>
          <w:sz w:val="24"/>
          <w:szCs w:val="24"/>
        </w:rPr>
        <w:t> </w:t>
      </w:r>
      <w:r w:rsidRPr="00507E84">
        <w:rPr>
          <w:rFonts w:ascii="Times New Roman" w:hAnsi="Times New Roman" w:cs="Times New Roman"/>
          <w:sz w:val="24"/>
          <w:szCs w:val="24"/>
        </w:rPr>
        <w:t>kybernetických bezpečnostných incidentoch a ich analýzu. Dopĺňa sa jeho funkcia zabezpečovať komunikáciu medzi národnou jednotkou CSIRT, vládnou jednotkou CSIRT a akreditovanými jednotkami CSIRT v Slovenskej republike a takýmito jednotkami CSIRT v iných členských štátoch Európskej únie.</w:t>
      </w:r>
    </w:p>
    <w:p w14:paraId="40713758" w14:textId="77777777" w:rsidR="00796AFF" w:rsidRPr="00507E84" w:rsidRDefault="00796AFF" w:rsidP="00796AFF">
      <w:pPr>
        <w:spacing w:after="0"/>
        <w:jc w:val="both"/>
        <w:rPr>
          <w:rFonts w:ascii="Times New Roman" w:hAnsi="Times New Roman" w:cs="Times New Roman"/>
          <w:sz w:val="24"/>
          <w:szCs w:val="24"/>
        </w:rPr>
      </w:pPr>
    </w:p>
    <w:p w14:paraId="52650D20" w14:textId="3D1AB6B9"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231CC9" w:rsidRPr="00507E84">
        <w:rPr>
          <w:rFonts w:ascii="Times New Roman" w:hAnsi="Times New Roman" w:cs="Times New Roman"/>
          <w:b/>
          <w:sz w:val="24"/>
          <w:szCs w:val="24"/>
        </w:rPr>
        <w:t>30</w:t>
      </w:r>
    </w:p>
    <w:p w14:paraId="09B55C85" w14:textId="77777777"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Legislatívnotechnická úprava súvisiaca s prebratím terminológie z čl. 6 bodu 10 smernice NIS</w:t>
      </w:r>
      <w:r w:rsidR="00454460" w:rsidRPr="00507E84">
        <w:rPr>
          <w:rFonts w:ascii="Times New Roman" w:hAnsi="Times New Roman" w:cs="Times New Roman"/>
          <w:sz w:val="24"/>
          <w:szCs w:val="24"/>
        </w:rPr>
        <w:t xml:space="preserve"> </w:t>
      </w:r>
      <w:r w:rsidRPr="00507E84">
        <w:rPr>
          <w:rFonts w:ascii="Times New Roman" w:hAnsi="Times New Roman" w:cs="Times New Roman"/>
          <w:sz w:val="24"/>
          <w:szCs w:val="24"/>
        </w:rPr>
        <w:t>2.</w:t>
      </w:r>
    </w:p>
    <w:p w14:paraId="0DAB1045" w14:textId="77777777" w:rsidR="00796AFF" w:rsidRPr="00507E84" w:rsidRDefault="00796AFF" w:rsidP="00796AFF">
      <w:pPr>
        <w:spacing w:after="0"/>
        <w:jc w:val="both"/>
        <w:rPr>
          <w:rFonts w:ascii="Times New Roman" w:hAnsi="Times New Roman" w:cs="Times New Roman"/>
          <w:sz w:val="24"/>
          <w:szCs w:val="24"/>
        </w:rPr>
      </w:pPr>
    </w:p>
    <w:p w14:paraId="769BD226" w14:textId="7A009605"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231CC9" w:rsidRPr="00507E84">
        <w:rPr>
          <w:rFonts w:ascii="Times New Roman" w:hAnsi="Times New Roman" w:cs="Times New Roman"/>
          <w:b/>
          <w:sz w:val="24"/>
          <w:szCs w:val="24"/>
        </w:rPr>
        <w:t>31</w:t>
      </w:r>
    </w:p>
    <w:p w14:paraId="52D9E6A7" w14:textId="77777777"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Legislatívnotechnická úprava súvisiaca s </w:t>
      </w:r>
      <w:r w:rsidR="005D4EEC" w:rsidRPr="00507E84">
        <w:rPr>
          <w:rFonts w:ascii="Times New Roman" w:hAnsi="Times New Roman" w:cs="Times New Roman"/>
          <w:sz w:val="24"/>
          <w:szCs w:val="24"/>
        </w:rPr>
        <w:t>vypustením</w:t>
      </w:r>
      <w:r w:rsidRPr="00507E84">
        <w:rPr>
          <w:rFonts w:ascii="Times New Roman" w:hAnsi="Times New Roman" w:cs="Times New Roman"/>
          <w:sz w:val="24"/>
          <w:szCs w:val="24"/>
        </w:rPr>
        <w:t xml:space="preserve"> pojmu „</w:t>
      </w:r>
      <w:r w:rsidR="005D4EEC" w:rsidRPr="00507E84">
        <w:rPr>
          <w:rFonts w:ascii="Times New Roman" w:hAnsi="Times New Roman" w:cs="Times New Roman"/>
          <w:sz w:val="24"/>
          <w:szCs w:val="24"/>
        </w:rPr>
        <w:t>poskytovateľ digitálnej služby“</w:t>
      </w:r>
      <w:r w:rsidRPr="00507E84">
        <w:rPr>
          <w:rFonts w:ascii="Times New Roman" w:hAnsi="Times New Roman" w:cs="Times New Roman"/>
          <w:sz w:val="24"/>
          <w:szCs w:val="24"/>
        </w:rPr>
        <w:t>.</w:t>
      </w:r>
    </w:p>
    <w:p w14:paraId="0C726F69" w14:textId="77777777" w:rsidR="00796AFF" w:rsidRPr="00507E84" w:rsidRDefault="00796AFF" w:rsidP="00796AFF">
      <w:pPr>
        <w:spacing w:after="0"/>
        <w:jc w:val="both"/>
        <w:rPr>
          <w:rFonts w:ascii="Times New Roman" w:hAnsi="Times New Roman" w:cs="Times New Roman"/>
          <w:sz w:val="24"/>
          <w:szCs w:val="24"/>
        </w:rPr>
      </w:pPr>
    </w:p>
    <w:p w14:paraId="1D28C159" w14:textId="1D6F6F9A"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231CC9" w:rsidRPr="00507E84">
        <w:rPr>
          <w:rFonts w:ascii="Times New Roman" w:hAnsi="Times New Roman" w:cs="Times New Roman"/>
          <w:b/>
          <w:sz w:val="24"/>
          <w:szCs w:val="24"/>
        </w:rPr>
        <w:t>32</w:t>
      </w:r>
    </w:p>
    <w:p w14:paraId="3F8E41A2" w14:textId="472A5BE9"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Legislatívnotechnická úprava v súvislosti s novým obsahom prílohy č. 1 a prílohy č.</w:t>
      </w:r>
      <w:r w:rsidR="008E604E" w:rsidRPr="00507E84">
        <w:rPr>
          <w:rFonts w:ascii="Times New Roman" w:hAnsi="Times New Roman" w:cs="Times New Roman"/>
          <w:sz w:val="24"/>
          <w:szCs w:val="24"/>
        </w:rPr>
        <w:t xml:space="preserve"> </w:t>
      </w:r>
      <w:r w:rsidRPr="00507E84">
        <w:rPr>
          <w:rFonts w:ascii="Times New Roman" w:hAnsi="Times New Roman" w:cs="Times New Roman"/>
          <w:sz w:val="24"/>
          <w:szCs w:val="24"/>
        </w:rPr>
        <w:t>2.</w:t>
      </w:r>
    </w:p>
    <w:p w14:paraId="4F78B692" w14:textId="77777777" w:rsidR="00796AFF" w:rsidRPr="00507E84" w:rsidRDefault="00796AFF" w:rsidP="00796AFF">
      <w:pPr>
        <w:spacing w:after="0"/>
        <w:jc w:val="both"/>
        <w:rPr>
          <w:rFonts w:ascii="Times New Roman" w:hAnsi="Times New Roman" w:cs="Times New Roman"/>
          <w:b/>
          <w:sz w:val="24"/>
          <w:szCs w:val="24"/>
        </w:rPr>
      </w:pPr>
    </w:p>
    <w:p w14:paraId="6500ED42" w14:textId="7B987610"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231CC9" w:rsidRPr="00507E84">
        <w:rPr>
          <w:rFonts w:ascii="Times New Roman" w:hAnsi="Times New Roman" w:cs="Times New Roman"/>
          <w:b/>
          <w:sz w:val="24"/>
          <w:szCs w:val="24"/>
        </w:rPr>
        <w:t>33</w:t>
      </w:r>
    </w:p>
    <w:p w14:paraId="6F9ADE3B" w14:textId="17E82C9D" w:rsidR="00796AFF" w:rsidRPr="00507E84" w:rsidRDefault="007F0C36" w:rsidP="00320BDA">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Ustanovenia o kritériách základnej služby sa vypúšťajú, keďže </w:t>
      </w:r>
      <w:r w:rsidR="00011FD9" w:rsidRPr="00507E84">
        <w:rPr>
          <w:rFonts w:ascii="Times New Roman" w:hAnsi="Times New Roman" w:cs="Times New Roman"/>
          <w:sz w:val="24"/>
          <w:szCs w:val="24"/>
        </w:rPr>
        <w:t>návrh</w:t>
      </w:r>
      <w:r w:rsidRPr="00507E84">
        <w:rPr>
          <w:rFonts w:ascii="Times New Roman" w:hAnsi="Times New Roman" w:cs="Times New Roman"/>
          <w:sz w:val="24"/>
          <w:szCs w:val="24"/>
        </w:rPr>
        <w:t xml:space="preserve"> zákona na základe ustanovení</w:t>
      </w:r>
      <w:r w:rsidR="00011FD9" w:rsidRPr="00507E84">
        <w:rPr>
          <w:rFonts w:ascii="Times New Roman" w:hAnsi="Times New Roman" w:cs="Times New Roman"/>
          <w:sz w:val="24"/>
          <w:szCs w:val="24"/>
        </w:rPr>
        <w:t xml:space="preserve"> smernice</w:t>
      </w:r>
      <w:r w:rsidRPr="00507E84">
        <w:rPr>
          <w:rFonts w:ascii="Times New Roman" w:hAnsi="Times New Roman" w:cs="Times New Roman"/>
          <w:sz w:val="24"/>
          <w:szCs w:val="24"/>
        </w:rPr>
        <w:t xml:space="preserve"> NIS</w:t>
      </w:r>
      <w:r w:rsidR="00011FD9" w:rsidRPr="00507E84">
        <w:rPr>
          <w:rFonts w:ascii="Times New Roman" w:hAnsi="Times New Roman" w:cs="Times New Roman"/>
          <w:sz w:val="24"/>
          <w:szCs w:val="24"/>
        </w:rPr>
        <w:t xml:space="preserve"> </w:t>
      </w:r>
      <w:r w:rsidRPr="00507E84">
        <w:rPr>
          <w:rFonts w:ascii="Times New Roman" w:hAnsi="Times New Roman" w:cs="Times New Roman"/>
          <w:sz w:val="24"/>
          <w:szCs w:val="24"/>
        </w:rPr>
        <w:t>2, kde je podstatný subjekt, nie jeho služba, už tento pojem nepozná.</w:t>
      </w:r>
    </w:p>
    <w:p w14:paraId="234C74CC" w14:textId="77777777" w:rsidR="00320BDA" w:rsidRPr="00507E84" w:rsidRDefault="00320BDA" w:rsidP="00796AFF">
      <w:pPr>
        <w:spacing w:after="0"/>
        <w:jc w:val="both"/>
        <w:rPr>
          <w:rFonts w:ascii="Times New Roman" w:hAnsi="Times New Roman" w:cs="Times New Roman"/>
          <w:sz w:val="24"/>
          <w:szCs w:val="24"/>
        </w:rPr>
      </w:pPr>
    </w:p>
    <w:p w14:paraId="47297739" w14:textId="7D603A31"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231CC9" w:rsidRPr="00507E84">
        <w:rPr>
          <w:rFonts w:ascii="Times New Roman" w:hAnsi="Times New Roman" w:cs="Times New Roman"/>
          <w:b/>
          <w:sz w:val="24"/>
          <w:szCs w:val="24"/>
        </w:rPr>
        <w:t>34</w:t>
      </w:r>
    </w:p>
    <w:p w14:paraId="1CCF99A1" w14:textId="77777777" w:rsidR="00F37D8B" w:rsidRPr="00507E84" w:rsidRDefault="00F37D8B" w:rsidP="00F37D8B">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Legislatívnotechnická úprava v súvislosti so zmenou prístupu k identifikácii povinných subjektov, tzv. prevádzkovateľov základnej služby. </w:t>
      </w:r>
    </w:p>
    <w:p w14:paraId="634579BF" w14:textId="77777777" w:rsidR="00796AFF" w:rsidRPr="00507E84" w:rsidRDefault="00796AFF" w:rsidP="00796AFF">
      <w:pPr>
        <w:spacing w:after="0"/>
        <w:jc w:val="both"/>
        <w:rPr>
          <w:rFonts w:ascii="Times New Roman" w:hAnsi="Times New Roman" w:cs="Times New Roman"/>
          <w:sz w:val="24"/>
          <w:szCs w:val="24"/>
        </w:rPr>
      </w:pPr>
    </w:p>
    <w:p w14:paraId="7D657B55" w14:textId="5B8C287A" w:rsidR="00616C89" w:rsidRPr="00507E84" w:rsidRDefault="00231CC9"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bodu 35</w:t>
      </w:r>
    </w:p>
    <w:p w14:paraId="6583DC50" w14:textId="2056C62D" w:rsidR="00616C89" w:rsidRPr="00507E84" w:rsidRDefault="00623E04"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Legislatívnotechnická úprava. Ide o precizovanie textu</w:t>
      </w:r>
      <w:r w:rsidR="00202F2C" w:rsidRPr="00507E84">
        <w:rPr>
          <w:rFonts w:ascii="Times New Roman" w:hAnsi="Times New Roman" w:cs="Times New Roman"/>
          <w:sz w:val="24"/>
          <w:szCs w:val="24"/>
        </w:rPr>
        <w:t xml:space="preserve"> v súvislosti s</w:t>
      </w:r>
      <w:r w:rsidR="00011FD9" w:rsidRPr="00507E84">
        <w:rPr>
          <w:rFonts w:ascii="Times New Roman" w:hAnsi="Times New Roman" w:cs="Times New Roman"/>
          <w:sz w:val="24"/>
          <w:szCs w:val="24"/>
        </w:rPr>
        <w:t> </w:t>
      </w:r>
      <w:r w:rsidR="00202F2C" w:rsidRPr="00507E84">
        <w:rPr>
          <w:rFonts w:ascii="Times New Roman" w:hAnsi="Times New Roman" w:cs="Times New Roman"/>
          <w:sz w:val="24"/>
          <w:szCs w:val="24"/>
        </w:rPr>
        <w:t>vypustením</w:t>
      </w:r>
      <w:r w:rsidR="00011FD9" w:rsidRPr="00507E84">
        <w:rPr>
          <w:rFonts w:ascii="Times New Roman" w:hAnsi="Times New Roman" w:cs="Times New Roman"/>
          <w:sz w:val="24"/>
          <w:szCs w:val="24"/>
        </w:rPr>
        <w:t xml:space="preserve"> pojmu</w:t>
      </w:r>
      <w:r w:rsidR="00202F2C" w:rsidRPr="00507E84">
        <w:rPr>
          <w:rFonts w:ascii="Times New Roman" w:hAnsi="Times New Roman" w:cs="Times New Roman"/>
          <w:sz w:val="24"/>
          <w:szCs w:val="24"/>
        </w:rPr>
        <w:t xml:space="preserve"> </w:t>
      </w:r>
      <w:r w:rsidR="00011FD9" w:rsidRPr="00507E84">
        <w:rPr>
          <w:rFonts w:ascii="Times New Roman" w:hAnsi="Times New Roman" w:cs="Times New Roman"/>
          <w:sz w:val="24"/>
          <w:szCs w:val="24"/>
        </w:rPr>
        <w:t>„základná služba“</w:t>
      </w:r>
      <w:r w:rsidR="00202F2C" w:rsidRPr="00507E84">
        <w:rPr>
          <w:rFonts w:ascii="Times New Roman" w:hAnsi="Times New Roman" w:cs="Times New Roman"/>
          <w:sz w:val="24"/>
          <w:szCs w:val="24"/>
        </w:rPr>
        <w:t>.</w:t>
      </w:r>
    </w:p>
    <w:p w14:paraId="69FFDE71" w14:textId="77777777" w:rsidR="00616C89" w:rsidRPr="00507E84" w:rsidRDefault="00616C89" w:rsidP="00796AFF">
      <w:pPr>
        <w:spacing w:after="0"/>
        <w:jc w:val="both"/>
        <w:rPr>
          <w:rFonts w:ascii="Times New Roman" w:hAnsi="Times New Roman" w:cs="Times New Roman"/>
          <w:b/>
          <w:sz w:val="24"/>
          <w:szCs w:val="24"/>
        </w:rPr>
      </w:pPr>
    </w:p>
    <w:p w14:paraId="7B5C806E" w14:textId="1AF3E677"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w:t>
      </w:r>
      <w:r w:rsidR="00BB4009" w:rsidRPr="00507E84">
        <w:rPr>
          <w:rFonts w:ascii="Times New Roman" w:hAnsi="Times New Roman" w:cs="Times New Roman"/>
          <w:b/>
          <w:sz w:val="24"/>
          <w:szCs w:val="24"/>
        </w:rPr>
        <w:t xml:space="preserve">bodom </w:t>
      </w:r>
      <w:r w:rsidR="00231CC9" w:rsidRPr="00507E84">
        <w:rPr>
          <w:rFonts w:ascii="Times New Roman" w:hAnsi="Times New Roman" w:cs="Times New Roman"/>
          <w:b/>
          <w:sz w:val="24"/>
          <w:szCs w:val="24"/>
        </w:rPr>
        <w:t>36</w:t>
      </w:r>
      <w:r w:rsidR="001800B3" w:rsidRPr="00507E84">
        <w:rPr>
          <w:rFonts w:ascii="Times New Roman" w:hAnsi="Times New Roman" w:cs="Times New Roman"/>
          <w:b/>
          <w:sz w:val="24"/>
          <w:szCs w:val="24"/>
        </w:rPr>
        <w:t xml:space="preserve">, </w:t>
      </w:r>
      <w:r w:rsidR="00231CC9" w:rsidRPr="00507E84">
        <w:rPr>
          <w:rFonts w:ascii="Times New Roman" w:hAnsi="Times New Roman" w:cs="Times New Roman"/>
          <w:b/>
          <w:sz w:val="24"/>
          <w:szCs w:val="24"/>
        </w:rPr>
        <w:t>38</w:t>
      </w:r>
      <w:r w:rsidR="00AF5DD9" w:rsidRPr="00507E84">
        <w:rPr>
          <w:rFonts w:ascii="Times New Roman" w:hAnsi="Times New Roman" w:cs="Times New Roman"/>
          <w:b/>
          <w:sz w:val="24"/>
          <w:szCs w:val="24"/>
        </w:rPr>
        <w:t xml:space="preserve"> </w:t>
      </w:r>
      <w:r w:rsidR="001800B3" w:rsidRPr="00507E84">
        <w:rPr>
          <w:rFonts w:ascii="Times New Roman" w:hAnsi="Times New Roman" w:cs="Times New Roman"/>
          <w:b/>
          <w:sz w:val="24"/>
          <w:szCs w:val="24"/>
        </w:rPr>
        <w:t xml:space="preserve">a </w:t>
      </w:r>
      <w:r w:rsidR="00231CC9" w:rsidRPr="00507E84">
        <w:rPr>
          <w:rFonts w:ascii="Times New Roman" w:hAnsi="Times New Roman" w:cs="Times New Roman"/>
          <w:b/>
          <w:sz w:val="24"/>
          <w:szCs w:val="24"/>
        </w:rPr>
        <w:t>41</w:t>
      </w:r>
    </w:p>
    <w:p w14:paraId="26B7F951" w14:textId="77777777" w:rsidR="00DA27EF" w:rsidRPr="00507E84" w:rsidRDefault="00DA27EF" w:rsidP="00DA27EF">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Legislatívnotechnická úprava súvisiaca s vypustením pojmu „poskytovateľ digitálnej služby“.</w:t>
      </w:r>
    </w:p>
    <w:p w14:paraId="7AE46DEA" w14:textId="77777777" w:rsidR="00796AFF" w:rsidRPr="00507E84" w:rsidRDefault="00796AFF" w:rsidP="00796AFF">
      <w:pPr>
        <w:spacing w:after="0"/>
        <w:jc w:val="both"/>
        <w:rPr>
          <w:rFonts w:ascii="Times New Roman" w:hAnsi="Times New Roman" w:cs="Times New Roman"/>
          <w:sz w:val="24"/>
          <w:szCs w:val="24"/>
        </w:rPr>
      </w:pPr>
    </w:p>
    <w:p w14:paraId="2859B3E1" w14:textId="675A6253"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w:t>
      </w:r>
      <w:r w:rsidR="00011FD9" w:rsidRPr="00507E84">
        <w:rPr>
          <w:rFonts w:ascii="Times New Roman" w:hAnsi="Times New Roman" w:cs="Times New Roman"/>
          <w:b/>
          <w:sz w:val="24"/>
          <w:szCs w:val="24"/>
        </w:rPr>
        <w:t xml:space="preserve"> bodu </w:t>
      </w:r>
      <w:r w:rsidR="00231CC9" w:rsidRPr="00507E84">
        <w:rPr>
          <w:rFonts w:ascii="Times New Roman" w:hAnsi="Times New Roman" w:cs="Times New Roman"/>
          <w:b/>
          <w:sz w:val="24"/>
          <w:szCs w:val="24"/>
        </w:rPr>
        <w:t xml:space="preserve">37 </w:t>
      </w:r>
    </w:p>
    <w:p w14:paraId="14567A9C" w14:textId="1495302F" w:rsidR="001800B3" w:rsidRPr="00507E84" w:rsidRDefault="001800B3" w:rsidP="001800B3">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Legislatívnotechnická úprava. Ide o precizovanie textu.</w:t>
      </w:r>
      <w:r w:rsidR="00424DB3" w:rsidRPr="00507E84">
        <w:rPr>
          <w:rFonts w:ascii="Times New Roman" w:hAnsi="Times New Roman" w:cs="Times New Roman"/>
          <w:sz w:val="24"/>
          <w:szCs w:val="24"/>
        </w:rPr>
        <w:t xml:space="preserve"> Nie je porušením povinnosti zachovávať mlčanlivosť</w:t>
      </w:r>
      <w:r w:rsidR="008E604E" w:rsidRPr="00507E84">
        <w:rPr>
          <w:rFonts w:ascii="Times New Roman" w:hAnsi="Times New Roman" w:cs="Times New Roman"/>
          <w:sz w:val="24"/>
          <w:szCs w:val="24"/>
        </w:rPr>
        <w:t xml:space="preserve"> </w:t>
      </w:r>
      <w:r w:rsidR="00424DB3" w:rsidRPr="00507E84">
        <w:rPr>
          <w:rFonts w:ascii="Times New Roman" w:hAnsi="Times New Roman" w:cs="Times New Roman"/>
          <w:sz w:val="24"/>
          <w:szCs w:val="24"/>
        </w:rPr>
        <w:t xml:space="preserve">v prípadoch vyhlasovania kybernetickej krízy ako novej kompetencie úradu v zmysle </w:t>
      </w:r>
      <w:r w:rsidR="00011FD9" w:rsidRPr="00507E84">
        <w:rPr>
          <w:rFonts w:ascii="Times New Roman" w:hAnsi="Times New Roman" w:cs="Times New Roman"/>
          <w:sz w:val="24"/>
          <w:szCs w:val="24"/>
        </w:rPr>
        <w:t xml:space="preserve">smernice </w:t>
      </w:r>
      <w:r w:rsidR="00424DB3" w:rsidRPr="00507E84">
        <w:rPr>
          <w:rFonts w:ascii="Times New Roman" w:hAnsi="Times New Roman" w:cs="Times New Roman"/>
          <w:sz w:val="24"/>
          <w:szCs w:val="24"/>
        </w:rPr>
        <w:t>NIS</w:t>
      </w:r>
      <w:r w:rsidR="00011FD9" w:rsidRPr="00507E84">
        <w:rPr>
          <w:rFonts w:ascii="Times New Roman" w:hAnsi="Times New Roman" w:cs="Times New Roman"/>
          <w:sz w:val="24"/>
          <w:szCs w:val="24"/>
        </w:rPr>
        <w:t xml:space="preserve"> </w:t>
      </w:r>
      <w:r w:rsidR="00424DB3" w:rsidRPr="00507E84">
        <w:rPr>
          <w:rFonts w:ascii="Times New Roman" w:hAnsi="Times New Roman" w:cs="Times New Roman"/>
          <w:sz w:val="24"/>
          <w:szCs w:val="24"/>
        </w:rPr>
        <w:t xml:space="preserve">2. </w:t>
      </w:r>
    </w:p>
    <w:p w14:paraId="54AA6B2B" w14:textId="77777777" w:rsidR="001800B3" w:rsidRPr="00507E84" w:rsidRDefault="001800B3" w:rsidP="001800B3">
      <w:pPr>
        <w:spacing w:after="0"/>
        <w:jc w:val="both"/>
        <w:rPr>
          <w:rFonts w:ascii="Times New Roman" w:hAnsi="Times New Roman" w:cs="Times New Roman"/>
          <w:b/>
          <w:sz w:val="24"/>
          <w:szCs w:val="24"/>
        </w:rPr>
      </w:pPr>
    </w:p>
    <w:p w14:paraId="0E1F8D6D" w14:textId="38DE5A82" w:rsidR="00011FD9" w:rsidRPr="00507E84" w:rsidRDefault="00011FD9" w:rsidP="001800B3">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bodu 39</w:t>
      </w:r>
    </w:p>
    <w:p w14:paraId="1FA387E9" w14:textId="77777777" w:rsidR="00817127" w:rsidRPr="00507E84" w:rsidRDefault="00817127" w:rsidP="00817127">
      <w:pPr>
        <w:spacing w:after="0"/>
        <w:jc w:val="both"/>
        <w:rPr>
          <w:rFonts w:ascii="Times New Roman" w:hAnsi="Times New Roman" w:cs="Times New Roman"/>
          <w:sz w:val="24"/>
          <w:szCs w:val="24"/>
        </w:rPr>
      </w:pPr>
      <w:r w:rsidRPr="00507E84">
        <w:rPr>
          <w:rFonts w:ascii="Times New Roman" w:hAnsi="Times New Roman" w:cs="Times New Roman"/>
          <w:sz w:val="24"/>
          <w:szCs w:val="24"/>
        </w:rPr>
        <w:t>Precizovanie textu v súvislosti so zmenou terminológie vyplývajúcou zo smernice NIS 2.</w:t>
      </w:r>
    </w:p>
    <w:p w14:paraId="45431108" w14:textId="24CC649F" w:rsidR="00011FD9" w:rsidRPr="00507E84" w:rsidRDefault="00011FD9" w:rsidP="001800B3">
      <w:pPr>
        <w:spacing w:after="0"/>
        <w:jc w:val="both"/>
        <w:rPr>
          <w:rFonts w:ascii="Times New Roman" w:hAnsi="Times New Roman" w:cs="Times New Roman"/>
          <w:b/>
          <w:sz w:val="24"/>
          <w:szCs w:val="24"/>
        </w:rPr>
      </w:pPr>
    </w:p>
    <w:p w14:paraId="503CF53D" w14:textId="77777777" w:rsidR="00011FD9" w:rsidRPr="00507E84" w:rsidRDefault="00011FD9" w:rsidP="001800B3">
      <w:pPr>
        <w:spacing w:after="0"/>
        <w:jc w:val="both"/>
        <w:rPr>
          <w:rFonts w:ascii="Times New Roman" w:hAnsi="Times New Roman" w:cs="Times New Roman"/>
          <w:b/>
          <w:sz w:val="24"/>
          <w:szCs w:val="24"/>
        </w:rPr>
      </w:pPr>
    </w:p>
    <w:p w14:paraId="28DE28D0" w14:textId="3DDE2433" w:rsidR="001800B3" w:rsidRPr="00507E84" w:rsidRDefault="001800B3" w:rsidP="001800B3">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231CC9" w:rsidRPr="00507E84">
        <w:rPr>
          <w:rFonts w:ascii="Times New Roman" w:hAnsi="Times New Roman" w:cs="Times New Roman"/>
          <w:b/>
          <w:sz w:val="24"/>
          <w:szCs w:val="24"/>
        </w:rPr>
        <w:t>40</w:t>
      </w:r>
    </w:p>
    <w:p w14:paraId="6DD08562" w14:textId="77777777"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Preventívne služby poskytované jednotnou CSIRT sa zameriavajú na prevenciu, predchádzanie vzniku kybernetických bezpečnostných incidentov. Do preventívnych služieb sa dopĺňajú ďalšie úlohy jednotiek CSIRT podľa požiadaviek smernice NIS</w:t>
      </w:r>
      <w:r w:rsidR="00454460" w:rsidRPr="00507E84">
        <w:rPr>
          <w:rFonts w:ascii="Times New Roman" w:hAnsi="Times New Roman" w:cs="Times New Roman"/>
          <w:sz w:val="24"/>
          <w:szCs w:val="24"/>
        </w:rPr>
        <w:t xml:space="preserve"> </w:t>
      </w:r>
      <w:r w:rsidRPr="00507E84">
        <w:rPr>
          <w:rFonts w:ascii="Times New Roman" w:hAnsi="Times New Roman" w:cs="Times New Roman"/>
          <w:sz w:val="24"/>
          <w:szCs w:val="24"/>
        </w:rPr>
        <w:t>2.</w:t>
      </w:r>
    </w:p>
    <w:p w14:paraId="7399E7ED" w14:textId="77777777" w:rsidR="00796AFF" w:rsidRPr="00507E84" w:rsidRDefault="00796AFF" w:rsidP="00796AFF">
      <w:pPr>
        <w:spacing w:after="0"/>
        <w:jc w:val="both"/>
        <w:rPr>
          <w:rFonts w:ascii="Times New Roman" w:hAnsi="Times New Roman" w:cs="Times New Roman"/>
          <w:sz w:val="24"/>
          <w:szCs w:val="24"/>
        </w:rPr>
      </w:pPr>
    </w:p>
    <w:p w14:paraId="72635B84" w14:textId="40FF8D16" w:rsidR="004B069E" w:rsidRPr="00507E84" w:rsidRDefault="004B069E"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231CC9" w:rsidRPr="00507E84">
        <w:rPr>
          <w:rFonts w:ascii="Times New Roman" w:hAnsi="Times New Roman" w:cs="Times New Roman"/>
          <w:b/>
          <w:sz w:val="24"/>
          <w:szCs w:val="24"/>
        </w:rPr>
        <w:t>42</w:t>
      </w:r>
    </w:p>
    <w:p w14:paraId="68BAD0DC" w14:textId="77777777"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Jednotky CSIRT môžu pri výkone svojich úloh podľa § 15 ods. 2 a 3 zákona uprednostňovať konkrétne úlohy na základe prístupu založeného na rizikách.</w:t>
      </w:r>
    </w:p>
    <w:p w14:paraId="61EB7624" w14:textId="77777777" w:rsidR="00796AFF" w:rsidRPr="00507E84" w:rsidRDefault="00796AFF" w:rsidP="00796AFF">
      <w:pPr>
        <w:spacing w:after="0"/>
        <w:jc w:val="both"/>
        <w:rPr>
          <w:rFonts w:ascii="Times New Roman" w:hAnsi="Times New Roman" w:cs="Times New Roman"/>
          <w:sz w:val="24"/>
          <w:szCs w:val="24"/>
        </w:rPr>
      </w:pPr>
    </w:p>
    <w:p w14:paraId="21202456" w14:textId="3CDF3C32"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231CC9" w:rsidRPr="00507E84">
        <w:rPr>
          <w:rFonts w:ascii="Times New Roman" w:hAnsi="Times New Roman" w:cs="Times New Roman"/>
          <w:b/>
          <w:sz w:val="24"/>
          <w:szCs w:val="24"/>
        </w:rPr>
        <w:t>43</w:t>
      </w:r>
    </w:p>
    <w:p w14:paraId="691EC83D" w14:textId="77777777"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Pre toho</w:t>
      </w:r>
      <w:r w:rsidRPr="00507E84">
        <w:rPr>
          <w:rFonts w:ascii="Times New Roman" w:hAnsi="Times New Roman" w:cs="Times New Roman"/>
          <w:color w:val="000000"/>
          <w:sz w:val="24"/>
          <w:szCs w:val="24"/>
        </w:rPr>
        <w:t xml:space="preserve">, kto plní úlohy jednotky CSIRT, sa dopĺňa povinnosť zabezpečovať vnútroštátnu spoluprácu (medzi ním, Národným bezpečnostným úradom, ústrednými orgánmi podľa zákona, ostatnými jednotkami CSIRT). Okrem toho </w:t>
      </w:r>
      <w:r w:rsidRPr="00507E84">
        <w:rPr>
          <w:rFonts w:ascii="Times New Roman" w:hAnsi="Times New Roman" w:cs="Times New Roman"/>
          <w:sz w:val="24"/>
          <w:szCs w:val="24"/>
        </w:rPr>
        <w:t>ten</w:t>
      </w:r>
      <w:r w:rsidRPr="00507E84">
        <w:rPr>
          <w:rFonts w:ascii="Times New Roman" w:hAnsi="Times New Roman" w:cs="Times New Roman"/>
          <w:color w:val="000000"/>
          <w:sz w:val="24"/>
          <w:szCs w:val="24"/>
        </w:rPr>
        <w:t>, kto plní úlohy jednotky CSIRT, zabezpečuje účasť na partnerských preskúmaniach organizovaných v rámci spolupráce medzi členskými štátmi Európskej únie, Európskou komisiou a Agentúrou Európskej únie pre kybernetickú bezpečnosť (ENISA).</w:t>
      </w:r>
    </w:p>
    <w:p w14:paraId="5CF4B38F" w14:textId="77777777" w:rsidR="00796AFF" w:rsidRPr="00507E84" w:rsidRDefault="00796AFF" w:rsidP="00796AFF">
      <w:pPr>
        <w:spacing w:after="0"/>
        <w:jc w:val="both"/>
        <w:rPr>
          <w:rFonts w:ascii="Times New Roman" w:hAnsi="Times New Roman" w:cs="Times New Roman"/>
          <w:sz w:val="24"/>
          <w:szCs w:val="24"/>
        </w:rPr>
      </w:pPr>
    </w:p>
    <w:p w14:paraId="32996844" w14:textId="56C51881"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231CC9" w:rsidRPr="00507E84">
        <w:rPr>
          <w:rFonts w:ascii="Times New Roman" w:hAnsi="Times New Roman" w:cs="Times New Roman"/>
          <w:b/>
          <w:sz w:val="24"/>
          <w:szCs w:val="24"/>
        </w:rPr>
        <w:t>44</w:t>
      </w:r>
    </w:p>
    <w:p w14:paraId="733A4F3A" w14:textId="5C860F38" w:rsidR="006632E3" w:rsidRPr="00507E84" w:rsidRDefault="00796AFF" w:rsidP="006632E3">
      <w:pPr>
        <w:spacing w:after="0"/>
        <w:jc w:val="both"/>
        <w:rPr>
          <w:rFonts w:ascii="Times New Roman" w:hAnsi="Times New Roman" w:cs="Times New Roman"/>
          <w:sz w:val="24"/>
          <w:szCs w:val="24"/>
        </w:rPr>
      </w:pPr>
      <w:r w:rsidRPr="00507E84">
        <w:rPr>
          <w:rFonts w:ascii="Times New Roman" w:hAnsi="Times New Roman" w:cs="Times New Roman"/>
          <w:sz w:val="24"/>
          <w:szCs w:val="24"/>
        </w:rPr>
        <w:t>Mechanizmus identifikácie prevádzkovateľa základnej služby sa smernicou NIS</w:t>
      </w:r>
      <w:r w:rsidR="00454460" w:rsidRPr="00507E84">
        <w:rPr>
          <w:rFonts w:ascii="Times New Roman" w:hAnsi="Times New Roman" w:cs="Times New Roman"/>
          <w:sz w:val="24"/>
          <w:szCs w:val="24"/>
        </w:rPr>
        <w:t xml:space="preserve"> </w:t>
      </w:r>
      <w:r w:rsidRPr="00507E84">
        <w:rPr>
          <w:rFonts w:ascii="Times New Roman" w:hAnsi="Times New Roman" w:cs="Times New Roman"/>
          <w:sz w:val="24"/>
          <w:szCs w:val="24"/>
        </w:rPr>
        <w:t>2 mení oproti právnej úprave vyplývajúcej zo smernice NIS</w:t>
      </w:r>
      <w:r w:rsidR="00564D49" w:rsidRPr="00507E84">
        <w:rPr>
          <w:rFonts w:ascii="Times New Roman" w:hAnsi="Times New Roman" w:cs="Times New Roman"/>
          <w:sz w:val="24"/>
          <w:szCs w:val="24"/>
        </w:rPr>
        <w:t xml:space="preserve"> </w:t>
      </w:r>
      <w:r w:rsidRPr="00507E84">
        <w:rPr>
          <w:rFonts w:ascii="Times New Roman" w:hAnsi="Times New Roman" w:cs="Times New Roman"/>
          <w:sz w:val="24"/>
          <w:szCs w:val="24"/>
        </w:rPr>
        <w:t xml:space="preserve">1. Pôvodný mechanizmus identifikácie podľa prílohy č. 1 v spojení s prekročením identifikačných kritérií uvedených v § 18 zákona sa nahrádza taxatívnym vymenovaním subjektov v § 17 ods. 1 zákona, teda podniky, ktoré možno </w:t>
      </w:r>
      <w:r w:rsidRPr="00507E84">
        <w:rPr>
          <w:rFonts w:ascii="Times New Roman" w:hAnsi="Times New Roman" w:cs="Times New Roman"/>
          <w:sz w:val="24"/>
          <w:szCs w:val="24"/>
        </w:rPr>
        <w:lastRenderedPageBreak/>
        <w:t>zapísať do registra prevádzkovateľov základnej služby sú priamo identifikovateľné zo zákona bez potreby vydania ďalšieho usmerňujúceho vykonávacieho predpisu.</w:t>
      </w:r>
      <w:r w:rsidR="006632E3" w:rsidRPr="00507E84">
        <w:rPr>
          <w:rFonts w:ascii="Times New Roman" w:hAnsi="Times New Roman" w:cs="Times New Roman"/>
          <w:sz w:val="24"/>
          <w:szCs w:val="24"/>
        </w:rPr>
        <w:t xml:space="preserve"> Pri identifikovaní prevádzkovateľa základnej služby Národný bezpečnostný úrad nevylučuje, že </w:t>
      </w:r>
      <w:r w:rsidR="0087008D" w:rsidRPr="00507E84">
        <w:rPr>
          <w:rFonts w:ascii="Times New Roman" w:hAnsi="Times New Roman" w:cs="Times New Roman"/>
          <w:sz w:val="24"/>
          <w:szCs w:val="24"/>
        </w:rPr>
        <w:t>môžu</w:t>
      </w:r>
      <w:r w:rsidR="006632E3" w:rsidRPr="00507E84">
        <w:rPr>
          <w:rFonts w:ascii="Times New Roman" w:hAnsi="Times New Roman" w:cs="Times New Roman"/>
          <w:sz w:val="24"/>
          <w:szCs w:val="24"/>
        </w:rPr>
        <w:t xml:space="preserve"> vnikať anomálie z dôvodu, že zákon musí byť všeobecný, aby v príslušnej oblasti upravoval všetky základné spoločenské vzťahy. Základná služba (a teda ani jej rozsah) sa nedefinuje, upustila od toho smernica NIS 2, definuje sa iba prevádzkovateľ základnej služby a kritická základná služba. Pri posudzovaní, či subjekt spadá pod reguláciu zákona č. 69/2018 Z. z. sa bude brať do úvahy aj to, či podniky spadajú do niektorého sektora iba okrajovo (ako napríklad pri elektroenergetike, ak si podnik vyrába elektrickú energiu iba pre seba a príležitostne predáva iba prebytky, ktoré nespotreboval). </w:t>
      </w:r>
    </w:p>
    <w:p w14:paraId="1EFE6027" w14:textId="77777777" w:rsidR="006632E3" w:rsidRPr="00507E84" w:rsidRDefault="006632E3" w:rsidP="006632E3">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Ak pôjde o prepojený podnik, pričom jeden podnik nespadá pod reguláciu smernice NIS 2, ale je prepojený k podniku, ktorý spadá pod reguláciu smernice NIS 2, tak sa bude prihliadať na každý podnik samostatne. </w:t>
      </w:r>
    </w:p>
    <w:p w14:paraId="1FBB8A37" w14:textId="36E1B0ED" w:rsidR="006632E3" w:rsidRPr="00507E84" w:rsidRDefault="006632E3" w:rsidP="006632E3">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Do registra prevádzkovateľov základnej služby sa zapisuje okrem iných taxatívne vymedzených subjektov aj  subjekt hospodárskej mobilizácie, ktorému bolo uložené opatrenie podľa osobitného predpisu, tzn. Nemá ísť o každý subjekt hospodárskej mobilizácie ale ten, ktorému bola uložená povinnosť napr. počas </w:t>
      </w:r>
      <w:r w:rsidR="00817127" w:rsidRPr="00507E84">
        <w:rPr>
          <w:rFonts w:ascii="Times New Roman" w:hAnsi="Times New Roman" w:cs="Times New Roman"/>
          <w:sz w:val="24"/>
          <w:szCs w:val="24"/>
        </w:rPr>
        <w:t>krízovej situácie alebo mimoriadnej situácie</w:t>
      </w:r>
      <w:r w:rsidRPr="00507E84">
        <w:rPr>
          <w:rFonts w:ascii="Times New Roman" w:hAnsi="Times New Roman" w:cs="Times New Roman"/>
          <w:sz w:val="24"/>
          <w:szCs w:val="24"/>
        </w:rPr>
        <w:t xml:space="preserve"> niečo plniť. Cieľom tejto úpravy je aby sa za prevádzkovateľa základnej služby nepovažovali napr. domovy sociálnych služieb, ktoré sú síce subjektom hospodárskej mobilizácie ale neplnia opatrenia uložené podľa osobitného predpisu.</w:t>
      </w:r>
    </w:p>
    <w:p w14:paraId="0B4D3CDB" w14:textId="260FA9F8" w:rsidR="00232E7D" w:rsidRPr="00507E84" w:rsidRDefault="00232E7D" w:rsidP="00232E7D">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Stredný podnik </w:t>
      </w:r>
      <w:r w:rsidR="00BD695B" w:rsidRPr="00507E84">
        <w:rPr>
          <w:rFonts w:ascii="Times New Roman" w:hAnsi="Times New Roman" w:cs="Times New Roman"/>
          <w:sz w:val="24"/>
          <w:szCs w:val="24"/>
        </w:rPr>
        <w:t>sa posudzuje</w:t>
      </w:r>
      <w:r w:rsidRPr="00507E84">
        <w:rPr>
          <w:rFonts w:ascii="Times New Roman" w:hAnsi="Times New Roman" w:cs="Times New Roman"/>
          <w:sz w:val="24"/>
          <w:szCs w:val="24"/>
        </w:rPr>
        <w:t xml:space="preserve"> podľa </w:t>
      </w:r>
      <w:r w:rsidRPr="00507E84">
        <w:rPr>
          <w:rFonts w:ascii="Times New Roman" w:hAnsi="Times New Roman" w:cs="Times New Roman"/>
        </w:rPr>
        <w:t>Odporúčania Komisie zo 6. mája 2003 o vymedzení pojmu mikro, malých a stredných podnikov [oznámené v dokumente číslo C(2003) 1422] (Ú. v. EÚ L 124, 20.5.2003, S. 36 – 41).</w:t>
      </w:r>
    </w:p>
    <w:p w14:paraId="2D9AB36A" w14:textId="77777777" w:rsidR="00232E7D" w:rsidRPr="00507E84" w:rsidRDefault="00232E7D" w:rsidP="006632E3">
      <w:pPr>
        <w:spacing w:after="0"/>
        <w:jc w:val="both"/>
        <w:rPr>
          <w:rFonts w:ascii="Times New Roman" w:hAnsi="Times New Roman" w:cs="Times New Roman"/>
          <w:sz w:val="24"/>
          <w:szCs w:val="24"/>
        </w:rPr>
      </w:pPr>
    </w:p>
    <w:p w14:paraId="62921A7C" w14:textId="57CA1CF8"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V § 17 ods. </w:t>
      </w:r>
      <w:r w:rsidR="00F34032" w:rsidRPr="00507E84">
        <w:rPr>
          <w:rFonts w:ascii="Times New Roman" w:hAnsi="Times New Roman" w:cs="Times New Roman"/>
          <w:sz w:val="24"/>
          <w:szCs w:val="24"/>
        </w:rPr>
        <w:t>2</w:t>
      </w:r>
      <w:r w:rsidRPr="00507E84">
        <w:rPr>
          <w:rFonts w:ascii="Times New Roman" w:hAnsi="Times New Roman" w:cs="Times New Roman"/>
          <w:sz w:val="24"/>
          <w:szCs w:val="24"/>
        </w:rPr>
        <w:t xml:space="preserve"> zákona sa ustanovuje oznamovacia povinnosť pre toho, kto vykonáva činnos</w:t>
      </w:r>
      <w:r w:rsidR="000D7B51" w:rsidRPr="00507E84">
        <w:rPr>
          <w:rFonts w:ascii="Times New Roman" w:hAnsi="Times New Roman" w:cs="Times New Roman"/>
          <w:sz w:val="24"/>
          <w:szCs w:val="24"/>
        </w:rPr>
        <w:t xml:space="preserve">ť </w:t>
      </w:r>
      <w:r w:rsidR="00AD1DAA" w:rsidRPr="00507E84">
        <w:rPr>
          <w:rFonts w:ascii="Times New Roman" w:hAnsi="Times New Roman" w:cs="Times New Roman"/>
          <w:sz w:val="24"/>
          <w:szCs w:val="24"/>
        </w:rPr>
        <w:t>podľa odseku 1</w:t>
      </w:r>
      <w:r w:rsidRPr="00507E84">
        <w:rPr>
          <w:rFonts w:ascii="Times New Roman" w:hAnsi="Times New Roman" w:cs="Times New Roman"/>
          <w:sz w:val="24"/>
          <w:szCs w:val="24"/>
        </w:rPr>
        <w:t>. Oznámenie sú povinní adresovať Národnému bezpečnostnému úradu do 60 dní odo dňa, kedy začali vykonávať relevantnú činnosť. Na realizáciu oznámenia sa využíva jednotný informačný systém kybernetickej bezpečnosti (§ 8 ods. 2 písm. i) zákona). Toto ustanovenie upravuje aj obsahové n</w:t>
      </w:r>
      <w:r w:rsidR="00A15DA0" w:rsidRPr="00507E84">
        <w:rPr>
          <w:rFonts w:ascii="Times New Roman" w:hAnsi="Times New Roman" w:cs="Times New Roman"/>
          <w:sz w:val="24"/>
          <w:szCs w:val="24"/>
        </w:rPr>
        <w:t>á</w:t>
      </w:r>
      <w:r w:rsidRPr="00507E84">
        <w:rPr>
          <w:rFonts w:ascii="Times New Roman" w:hAnsi="Times New Roman" w:cs="Times New Roman"/>
          <w:sz w:val="24"/>
          <w:szCs w:val="24"/>
        </w:rPr>
        <w:t>ležitosti oznámenia.</w:t>
      </w:r>
    </w:p>
    <w:p w14:paraId="1A0EF113" w14:textId="77777777" w:rsidR="00796AFF" w:rsidRPr="00507E84" w:rsidRDefault="00796AFF" w:rsidP="00796AFF">
      <w:pPr>
        <w:spacing w:after="0"/>
        <w:jc w:val="both"/>
        <w:rPr>
          <w:rFonts w:ascii="Times New Roman" w:hAnsi="Times New Roman" w:cs="Times New Roman"/>
          <w:sz w:val="24"/>
          <w:szCs w:val="24"/>
        </w:rPr>
      </w:pPr>
    </w:p>
    <w:p w14:paraId="184429B8" w14:textId="0D23525E" w:rsidR="0087008D" w:rsidRPr="00507E84" w:rsidRDefault="0087008D" w:rsidP="00F92574">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Podľa § 17 ods. 3 zákona Národný bezpečnostný úrad zapisuje do registra prevádzkovateľov základnej služby osobu uvedenú v odseku 1 </w:t>
      </w:r>
      <w:r w:rsidR="000D7B51" w:rsidRPr="00507E84">
        <w:rPr>
          <w:rFonts w:ascii="Times New Roman" w:hAnsi="Times New Roman" w:cs="Times New Roman"/>
        </w:rPr>
        <w:t>po predchádzajúcej konzultácii s príslušným ústredným orgánom</w:t>
      </w:r>
      <w:r w:rsidR="000D7B51" w:rsidRPr="00507E84">
        <w:rPr>
          <w:rFonts w:ascii="Times New Roman" w:hAnsi="Times New Roman" w:cs="Times New Roman"/>
          <w:sz w:val="24"/>
          <w:szCs w:val="24"/>
        </w:rPr>
        <w:t xml:space="preserve">, a to z </w:t>
      </w:r>
      <w:r w:rsidR="00D54873" w:rsidRPr="00507E84">
        <w:rPr>
          <w:rFonts w:ascii="Times New Roman" w:hAnsi="Times New Roman" w:cs="Times New Roman"/>
          <w:sz w:val="24"/>
          <w:szCs w:val="24"/>
        </w:rPr>
        <w:t>vlastnej iniciatívy,</w:t>
      </w:r>
      <w:r w:rsidRPr="00507E84">
        <w:rPr>
          <w:rFonts w:ascii="Times New Roman" w:hAnsi="Times New Roman" w:cs="Times New Roman"/>
          <w:sz w:val="24"/>
          <w:szCs w:val="24"/>
        </w:rPr>
        <w:t xml:space="preserve"> pričom sa vždy postupuje tak, aby bol každý takýto zápis odôvodený a</w:t>
      </w:r>
      <w:r w:rsidR="000D7B51" w:rsidRPr="00507E84">
        <w:rPr>
          <w:rFonts w:ascii="Times New Roman" w:hAnsi="Times New Roman" w:cs="Times New Roman"/>
          <w:sz w:val="24"/>
          <w:szCs w:val="24"/>
        </w:rPr>
        <w:t> </w:t>
      </w:r>
      <w:r w:rsidRPr="00507E84">
        <w:rPr>
          <w:rFonts w:ascii="Times New Roman" w:hAnsi="Times New Roman" w:cs="Times New Roman"/>
          <w:sz w:val="24"/>
          <w:szCs w:val="24"/>
        </w:rPr>
        <w:t>primeraný</w:t>
      </w:r>
      <w:r w:rsidR="000D7B51" w:rsidRPr="00507E84">
        <w:rPr>
          <w:rFonts w:ascii="Times New Roman" w:hAnsi="Times New Roman" w:cs="Times New Roman"/>
          <w:sz w:val="24"/>
          <w:szCs w:val="24"/>
        </w:rPr>
        <w:t xml:space="preserve">, </w:t>
      </w:r>
      <w:r w:rsidRPr="00507E84">
        <w:rPr>
          <w:rFonts w:ascii="Times New Roman" w:hAnsi="Times New Roman" w:cs="Times New Roman"/>
          <w:sz w:val="24"/>
          <w:szCs w:val="24"/>
        </w:rPr>
        <w:t>a</w:t>
      </w:r>
      <w:r w:rsidR="000D7B51" w:rsidRPr="00507E84">
        <w:rPr>
          <w:rFonts w:ascii="Times New Roman" w:hAnsi="Times New Roman" w:cs="Times New Roman"/>
          <w:sz w:val="24"/>
          <w:szCs w:val="24"/>
        </w:rPr>
        <w:t>lebo</w:t>
      </w:r>
      <w:r w:rsidRPr="00507E84">
        <w:rPr>
          <w:rFonts w:ascii="Times New Roman" w:hAnsi="Times New Roman" w:cs="Times New Roman"/>
          <w:sz w:val="24"/>
          <w:szCs w:val="24"/>
        </w:rPr>
        <w:t xml:space="preserve"> na návrh </w:t>
      </w:r>
      <w:r w:rsidR="00AD1DAA" w:rsidRPr="00507E84">
        <w:rPr>
          <w:rFonts w:ascii="Times New Roman" w:hAnsi="Times New Roman" w:cs="Times New Roman"/>
          <w:sz w:val="24"/>
          <w:szCs w:val="24"/>
        </w:rPr>
        <w:t xml:space="preserve">príslušného </w:t>
      </w:r>
      <w:r w:rsidRPr="00507E84">
        <w:rPr>
          <w:rFonts w:ascii="Times New Roman" w:hAnsi="Times New Roman" w:cs="Times New Roman"/>
          <w:sz w:val="24"/>
          <w:szCs w:val="24"/>
        </w:rPr>
        <w:t>ústredné</w:t>
      </w:r>
      <w:r w:rsidR="00D54873" w:rsidRPr="00507E84">
        <w:rPr>
          <w:rFonts w:ascii="Times New Roman" w:hAnsi="Times New Roman" w:cs="Times New Roman"/>
          <w:sz w:val="24"/>
          <w:szCs w:val="24"/>
        </w:rPr>
        <w:t>ho orgánu (§ 4 písm. b) zákona).</w:t>
      </w:r>
    </w:p>
    <w:p w14:paraId="0B510E7E" w14:textId="77777777" w:rsidR="00BD5378" w:rsidRPr="00507E84" w:rsidRDefault="00BD5378" w:rsidP="00BD5378">
      <w:pPr>
        <w:spacing w:after="0"/>
        <w:jc w:val="both"/>
        <w:rPr>
          <w:rFonts w:ascii="Times New Roman" w:hAnsi="Times New Roman" w:cs="Times New Roman"/>
          <w:sz w:val="24"/>
          <w:szCs w:val="24"/>
        </w:rPr>
      </w:pPr>
    </w:p>
    <w:p w14:paraId="3FA5A3D5" w14:textId="3FB0595A" w:rsidR="00BD5378" w:rsidRPr="00507E84" w:rsidRDefault="00BD5378" w:rsidP="00BD5378">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Ustanovenia § 17 ods. 4 až </w:t>
      </w:r>
      <w:r w:rsidR="00AB0963" w:rsidRPr="00507E84">
        <w:rPr>
          <w:rFonts w:ascii="Times New Roman" w:hAnsi="Times New Roman" w:cs="Times New Roman"/>
          <w:sz w:val="24"/>
          <w:szCs w:val="24"/>
        </w:rPr>
        <w:t>6</w:t>
      </w:r>
      <w:r w:rsidRPr="00507E84">
        <w:rPr>
          <w:rFonts w:ascii="Times New Roman" w:hAnsi="Times New Roman" w:cs="Times New Roman"/>
          <w:sz w:val="24"/>
          <w:szCs w:val="24"/>
        </w:rPr>
        <w:t xml:space="preserve">  sa prijímajú za účelom transpozície článku 3 ods. 3 a 4 smernice NIS 2, pričom sa má zabezpečiť jasný prehľad o subjektoch, ktoré patria do rozsahu pôsobnosti tejto smernice, kde členské štáty majú zostaviť zoznam kľúčových a dôležitých subjektov (prevádzkovateľov základných služieb) ako aj subjektov poskytujúcich služby registrácie názvov domén. Na tento účel by členské štáty mali od subjektov vyžadovať, aby príslušným orgánom predložili aspoň tieto informácie, t. j. názov, adresu a aktuálne kontaktné údaje vrátane e-mailových adries, rozsahov IP adries a telefónnych čísel subjektu, a podľa potreby príslušné odvetvie a pododvetvie uvedené v prílohách smernice NIS</w:t>
      </w:r>
      <w:r w:rsidR="00410412" w:rsidRPr="00507E84">
        <w:rPr>
          <w:rFonts w:ascii="Times New Roman" w:hAnsi="Times New Roman" w:cs="Times New Roman"/>
          <w:sz w:val="24"/>
          <w:szCs w:val="24"/>
        </w:rPr>
        <w:t xml:space="preserve"> </w:t>
      </w:r>
      <w:r w:rsidRPr="00507E84">
        <w:rPr>
          <w:rFonts w:ascii="Times New Roman" w:hAnsi="Times New Roman" w:cs="Times New Roman"/>
          <w:sz w:val="24"/>
          <w:szCs w:val="24"/>
        </w:rPr>
        <w:t>2, ako aj prípadne zoznam členských štátov, v ktorých poskytujú služby patriace do rozsahu jej pôsobnosti.</w:t>
      </w:r>
    </w:p>
    <w:p w14:paraId="508AF4B9" w14:textId="77777777" w:rsidR="00BD5378" w:rsidRPr="00507E84" w:rsidRDefault="00BD5378" w:rsidP="00BD5378">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 </w:t>
      </w:r>
    </w:p>
    <w:p w14:paraId="7DDB4EF2" w14:textId="2C449DEF" w:rsidR="00BD5378" w:rsidRPr="00507E84" w:rsidRDefault="00BD5378" w:rsidP="00BD5378">
      <w:pPr>
        <w:spacing w:after="0"/>
        <w:jc w:val="both"/>
        <w:rPr>
          <w:rFonts w:ascii="Times New Roman" w:hAnsi="Times New Roman" w:cs="Times New Roman"/>
          <w:sz w:val="24"/>
          <w:szCs w:val="24"/>
        </w:rPr>
      </w:pPr>
      <w:r w:rsidRPr="00507E84">
        <w:rPr>
          <w:rFonts w:ascii="Times New Roman" w:hAnsi="Times New Roman" w:cs="Times New Roman"/>
          <w:sz w:val="24"/>
          <w:szCs w:val="24"/>
        </w:rPr>
        <w:t>Zároveň je potrebné zabezpečiť jednoznačný prehľad poskytovateľov služieb DNS, správcov</w:t>
      </w:r>
      <w:r w:rsidR="004C1FAF" w:rsidRPr="00507E84">
        <w:rPr>
          <w:rFonts w:ascii="Times New Roman" w:hAnsi="Times New Roman" w:cs="Times New Roman"/>
          <w:sz w:val="24"/>
          <w:szCs w:val="24"/>
        </w:rPr>
        <w:t xml:space="preserve"> </w:t>
      </w:r>
      <w:r w:rsidRPr="00507E84">
        <w:rPr>
          <w:rFonts w:ascii="Times New Roman" w:hAnsi="Times New Roman" w:cs="Times New Roman"/>
          <w:sz w:val="24"/>
          <w:szCs w:val="24"/>
        </w:rPr>
        <w:t xml:space="preserve"> TLD, subjektov poskytu</w:t>
      </w:r>
      <w:r w:rsidR="004C1FAF" w:rsidRPr="00507E84">
        <w:rPr>
          <w:rFonts w:ascii="Times New Roman" w:hAnsi="Times New Roman" w:cs="Times New Roman"/>
          <w:sz w:val="24"/>
          <w:szCs w:val="24"/>
        </w:rPr>
        <w:t>júcich služby registrácie</w:t>
      </w:r>
      <w:r w:rsidRPr="00507E84">
        <w:rPr>
          <w:rFonts w:ascii="Times New Roman" w:hAnsi="Times New Roman" w:cs="Times New Roman"/>
          <w:sz w:val="24"/>
          <w:szCs w:val="24"/>
        </w:rPr>
        <w:t xml:space="preserve"> domén pre TLD, poskytovateľov služieb </w:t>
      </w:r>
      <w:r w:rsidRPr="00507E84">
        <w:rPr>
          <w:rFonts w:ascii="Times New Roman" w:hAnsi="Times New Roman" w:cs="Times New Roman"/>
          <w:sz w:val="24"/>
          <w:szCs w:val="24"/>
        </w:rPr>
        <w:lastRenderedPageBreak/>
        <w:t>cloud computingu, poskytovateľov služieb dátových centier, poskytovateľov sietí na sprístupňovanie obsahu, poskytovateľov riadených služieb, poskytovateľova riadených bezpečnostných služieb, ako aj o poskytovateľov online trhov, internetových vyhľadávačov a platforiem služieb sociálnych sietí, ktorí poskytujú služby v celej Únii a patria do pôsobnosti smernice, tak aby agentúra ENISA mohla zriadiť a viesť register takýchto subjektov na základe informácií poskytnutých členským štátom.</w:t>
      </w:r>
    </w:p>
    <w:p w14:paraId="61708FC6" w14:textId="77777777" w:rsidR="00796AFF" w:rsidRPr="00507E84" w:rsidRDefault="00796AFF" w:rsidP="00796AFF">
      <w:pPr>
        <w:spacing w:after="0"/>
        <w:jc w:val="both"/>
        <w:rPr>
          <w:rFonts w:ascii="Times New Roman" w:hAnsi="Times New Roman" w:cs="Times New Roman"/>
          <w:sz w:val="24"/>
          <w:szCs w:val="24"/>
        </w:rPr>
      </w:pPr>
    </w:p>
    <w:p w14:paraId="3648947E" w14:textId="77777777"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Vykonanie zápisu do registra prevádzkovateľov základnej služby oznamuje Národný bezpečnostný úrad prostredníctvom jednotného informačného systému kybernetickej bezpečnosti a zároveň toto oznámenie o zápise doručuje do elektronickej schránky podľa osobitného predpisu</w:t>
      </w:r>
      <w:r w:rsidR="007F41AD" w:rsidRPr="00507E84">
        <w:rPr>
          <w:rFonts w:ascii="Times New Roman" w:hAnsi="Times New Roman" w:cs="Times New Roman"/>
          <w:sz w:val="24"/>
          <w:szCs w:val="24"/>
        </w:rPr>
        <w:t>, ktorým je zákon o e-Governmente</w:t>
      </w:r>
      <w:r w:rsidRPr="00507E84">
        <w:rPr>
          <w:rFonts w:ascii="Times New Roman" w:hAnsi="Times New Roman" w:cs="Times New Roman"/>
          <w:sz w:val="24"/>
          <w:szCs w:val="24"/>
        </w:rPr>
        <w:t xml:space="preserve">. Osobitné rozhodnutie o vykonaní zápisu sa nevyhotovuje. Práva a povinnosti prevádzkovateľa základnej služby vznikajú konkrétnemu prevádzkovateľovi základnej služby dňom uvedeným v oznámení o zápise do registra prevádzkovateľov základnej služby. Tento deň nemôže byť určený skôr ako </w:t>
      </w:r>
      <w:r w:rsidR="00B91020" w:rsidRPr="00507E84">
        <w:rPr>
          <w:rFonts w:ascii="Times New Roman" w:hAnsi="Times New Roman" w:cs="Times New Roman"/>
          <w:sz w:val="24"/>
          <w:szCs w:val="24"/>
        </w:rPr>
        <w:t>tridsiaty</w:t>
      </w:r>
      <w:r w:rsidRPr="00507E84">
        <w:rPr>
          <w:rFonts w:ascii="Times New Roman" w:hAnsi="Times New Roman" w:cs="Times New Roman"/>
          <w:sz w:val="24"/>
          <w:szCs w:val="24"/>
        </w:rPr>
        <w:t xml:space="preserve"> deň nasledujúci po dni zápisu.</w:t>
      </w:r>
    </w:p>
    <w:p w14:paraId="19757F64" w14:textId="77777777" w:rsidR="00796AFF" w:rsidRPr="00507E84" w:rsidRDefault="00796AFF" w:rsidP="00796AFF">
      <w:pPr>
        <w:spacing w:after="0"/>
        <w:jc w:val="both"/>
        <w:rPr>
          <w:rFonts w:ascii="Times New Roman" w:hAnsi="Times New Roman" w:cs="Times New Roman"/>
          <w:sz w:val="24"/>
          <w:szCs w:val="24"/>
        </w:rPr>
      </w:pPr>
    </w:p>
    <w:p w14:paraId="4BA4DC18" w14:textId="77777777"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Národný bezpečnostný úrad vykonáva zmeny v zapísaných skutočnostiach v registri prevádzkovateľov základnej služby aj bez návrhu. Na tento účel má prevádzkovateľ základnej služby povinnosť </w:t>
      </w:r>
      <w:r w:rsidR="00EA5056" w:rsidRPr="00507E84">
        <w:rPr>
          <w:rFonts w:ascii="Times New Roman" w:hAnsi="Times New Roman" w:cs="Times New Roman"/>
          <w:sz w:val="24"/>
          <w:szCs w:val="24"/>
        </w:rPr>
        <w:t xml:space="preserve">najneskôr do 14 dní </w:t>
      </w:r>
      <w:r w:rsidRPr="00507E84">
        <w:rPr>
          <w:rFonts w:ascii="Times New Roman" w:hAnsi="Times New Roman" w:cs="Times New Roman"/>
          <w:sz w:val="24"/>
          <w:szCs w:val="24"/>
        </w:rPr>
        <w:t>písomne oznamovať zmeny zapísaných údajov (okrem referenčných údajov) prostredníctvom jednotného informačného systému kybernetickej bezpečnosti Národnému bezpečnostnému úradu.</w:t>
      </w:r>
    </w:p>
    <w:p w14:paraId="0E9C6A7A" w14:textId="77777777" w:rsidR="00796AFF" w:rsidRPr="00507E84" w:rsidRDefault="00796AFF" w:rsidP="00796AFF">
      <w:pPr>
        <w:spacing w:after="0"/>
        <w:jc w:val="both"/>
        <w:rPr>
          <w:rFonts w:ascii="Times New Roman" w:hAnsi="Times New Roman" w:cs="Times New Roman"/>
          <w:sz w:val="24"/>
          <w:szCs w:val="24"/>
        </w:rPr>
      </w:pPr>
    </w:p>
    <w:p w14:paraId="21AD710F" w14:textId="7D22366A"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V § 17 ods. </w:t>
      </w:r>
      <w:r w:rsidR="00C53B55" w:rsidRPr="00507E84">
        <w:rPr>
          <w:rFonts w:ascii="Times New Roman" w:hAnsi="Times New Roman" w:cs="Times New Roman"/>
          <w:sz w:val="24"/>
          <w:szCs w:val="24"/>
        </w:rPr>
        <w:t>7</w:t>
      </w:r>
      <w:r w:rsidRPr="00507E84">
        <w:rPr>
          <w:rFonts w:ascii="Times New Roman" w:hAnsi="Times New Roman" w:cs="Times New Roman"/>
          <w:sz w:val="24"/>
          <w:szCs w:val="24"/>
        </w:rPr>
        <w:t xml:space="preserve"> zákona sa dopĺňa kompetencia </w:t>
      </w:r>
      <w:r w:rsidR="00AB0963" w:rsidRPr="00507E84">
        <w:rPr>
          <w:rFonts w:ascii="Times New Roman" w:hAnsi="Times New Roman" w:cs="Times New Roman"/>
          <w:sz w:val="24"/>
          <w:szCs w:val="24"/>
        </w:rPr>
        <w:t xml:space="preserve">Národného bezpečnostného </w:t>
      </w:r>
      <w:r w:rsidRPr="00507E84">
        <w:rPr>
          <w:rFonts w:ascii="Times New Roman" w:hAnsi="Times New Roman" w:cs="Times New Roman"/>
          <w:sz w:val="24"/>
          <w:szCs w:val="24"/>
        </w:rPr>
        <w:t>úradu vymazať prevádzkovateľa základnej služby z registra prevádzkovateľov základnej služby,</w:t>
      </w:r>
    </w:p>
    <w:p w14:paraId="15D722C5" w14:textId="77777777" w:rsidR="00796AFF" w:rsidRPr="00507E84" w:rsidRDefault="00796AFF" w:rsidP="00796AFF">
      <w:pPr>
        <w:pStyle w:val="Odsekzoznamu"/>
        <w:numPr>
          <w:ilvl w:val="0"/>
          <w:numId w:val="2"/>
        </w:numPr>
        <w:spacing w:after="0" w:line="240" w:lineRule="auto"/>
        <w:jc w:val="both"/>
        <w:rPr>
          <w:rFonts w:ascii="Times New Roman" w:hAnsi="Times New Roman" w:cs="Times New Roman"/>
          <w:sz w:val="24"/>
          <w:szCs w:val="24"/>
        </w:rPr>
      </w:pPr>
      <w:r w:rsidRPr="00507E84">
        <w:rPr>
          <w:rFonts w:ascii="Times New Roman" w:hAnsi="Times New Roman" w:cs="Times New Roman"/>
          <w:sz w:val="24"/>
          <w:szCs w:val="24"/>
        </w:rPr>
        <w:t>na základe odôvodnenej žiadosti prevádzkovateľa základnej služby,</w:t>
      </w:r>
      <w:r w:rsidR="00617A93" w:rsidRPr="00507E84">
        <w:rPr>
          <w:rFonts w:ascii="Times New Roman" w:hAnsi="Times New Roman" w:cs="Times New Roman"/>
          <w:sz w:val="24"/>
          <w:szCs w:val="24"/>
        </w:rPr>
        <w:t xml:space="preserve"> po predchádzajúcej konzultácií s príslušným ústredným orgánom, najneskôr do 60 dní odo dňa doručenia odôvodnenej žiadosti,</w:t>
      </w:r>
    </w:p>
    <w:p w14:paraId="795D9CA1" w14:textId="77777777" w:rsidR="00796AFF" w:rsidRPr="00507E84" w:rsidRDefault="00796AFF" w:rsidP="00796AFF">
      <w:pPr>
        <w:pStyle w:val="Odsekzoznamu"/>
        <w:numPr>
          <w:ilvl w:val="0"/>
          <w:numId w:val="2"/>
        </w:numPr>
        <w:spacing w:after="0" w:line="240" w:lineRule="auto"/>
        <w:jc w:val="both"/>
        <w:rPr>
          <w:rFonts w:ascii="Times New Roman" w:hAnsi="Times New Roman" w:cs="Times New Roman"/>
          <w:sz w:val="24"/>
          <w:szCs w:val="24"/>
        </w:rPr>
      </w:pPr>
      <w:r w:rsidRPr="00507E84">
        <w:rPr>
          <w:rFonts w:ascii="Times New Roman" w:hAnsi="Times New Roman" w:cs="Times New Roman"/>
          <w:sz w:val="24"/>
          <w:szCs w:val="24"/>
        </w:rPr>
        <w:t>na základe oznámenia ústredného orgánu (§ 4 písm. b) zákona), alebo</w:t>
      </w:r>
    </w:p>
    <w:p w14:paraId="174ECE1E" w14:textId="09289C88" w:rsidR="00796AFF" w:rsidRPr="00507E84" w:rsidRDefault="00796AFF" w:rsidP="00796AFF">
      <w:pPr>
        <w:pStyle w:val="Odsekzoznamu"/>
        <w:numPr>
          <w:ilvl w:val="0"/>
          <w:numId w:val="2"/>
        </w:numPr>
        <w:spacing w:after="0" w:line="240" w:lineRule="auto"/>
        <w:jc w:val="both"/>
        <w:rPr>
          <w:rFonts w:ascii="Times New Roman" w:hAnsi="Times New Roman" w:cs="Times New Roman"/>
          <w:sz w:val="24"/>
          <w:szCs w:val="24"/>
        </w:rPr>
      </w:pPr>
      <w:r w:rsidRPr="00507E84">
        <w:rPr>
          <w:rFonts w:ascii="Times New Roman" w:hAnsi="Times New Roman" w:cs="Times New Roman"/>
          <w:sz w:val="24"/>
          <w:szCs w:val="24"/>
        </w:rPr>
        <w:t>z vlastnej iniciatívy</w:t>
      </w:r>
      <w:r w:rsidR="00882A83" w:rsidRPr="00507E84">
        <w:rPr>
          <w:rFonts w:ascii="Times New Roman" w:hAnsi="Times New Roman" w:cs="Times New Roman"/>
          <w:sz w:val="24"/>
          <w:szCs w:val="24"/>
        </w:rPr>
        <w:t xml:space="preserve"> v odôvodnených prípadoch</w:t>
      </w:r>
      <w:r w:rsidRPr="00507E84">
        <w:rPr>
          <w:rFonts w:ascii="Times New Roman" w:hAnsi="Times New Roman" w:cs="Times New Roman"/>
          <w:sz w:val="24"/>
          <w:szCs w:val="24"/>
        </w:rPr>
        <w:t xml:space="preserve">. </w:t>
      </w:r>
    </w:p>
    <w:p w14:paraId="454611AA" w14:textId="77777777" w:rsidR="00617A93" w:rsidRPr="00507E84" w:rsidRDefault="00617A93" w:rsidP="00617A93">
      <w:pPr>
        <w:spacing w:after="0"/>
        <w:jc w:val="both"/>
        <w:rPr>
          <w:rFonts w:ascii="Times New Roman" w:hAnsi="Times New Roman" w:cs="Times New Roman"/>
          <w:sz w:val="24"/>
          <w:szCs w:val="24"/>
        </w:rPr>
      </w:pPr>
    </w:p>
    <w:p w14:paraId="2C208C83" w14:textId="06FE59B2" w:rsidR="00796AFF" w:rsidRPr="00507E84" w:rsidRDefault="00617A93" w:rsidP="00617A93">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V § 17 ods. 8 zákona sa dopĺňa povinnosť </w:t>
      </w:r>
      <w:r w:rsidR="00EB55E8" w:rsidRPr="00507E84">
        <w:rPr>
          <w:rFonts w:ascii="Times New Roman" w:hAnsi="Times New Roman" w:cs="Times New Roman"/>
          <w:sz w:val="24"/>
          <w:szCs w:val="24"/>
        </w:rPr>
        <w:t xml:space="preserve">Národného bezpečnostného </w:t>
      </w:r>
      <w:r w:rsidRPr="00507E84">
        <w:rPr>
          <w:rFonts w:ascii="Times New Roman" w:hAnsi="Times New Roman" w:cs="Times New Roman"/>
          <w:sz w:val="24"/>
          <w:szCs w:val="24"/>
        </w:rPr>
        <w:t>úradu informovať prevádzkovateľa základnej služby o tom, že bol vymazaný z registra prevádzkovateľov základnej služby.</w:t>
      </w:r>
    </w:p>
    <w:p w14:paraId="77BB4AB0" w14:textId="77777777" w:rsidR="00617A93" w:rsidRPr="00507E84" w:rsidRDefault="00617A93" w:rsidP="00796AFF">
      <w:pPr>
        <w:spacing w:after="0"/>
        <w:jc w:val="both"/>
        <w:rPr>
          <w:rFonts w:ascii="Times New Roman" w:hAnsi="Times New Roman" w:cs="Times New Roman"/>
          <w:sz w:val="24"/>
          <w:szCs w:val="24"/>
        </w:rPr>
      </w:pPr>
    </w:p>
    <w:p w14:paraId="672D3E9E" w14:textId="4CCDB08C" w:rsidR="00796AFF" w:rsidRPr="00507E84" w:rsidRDefault="00796AFF" w:rsidP="00796AFF">
      <w:pPr>
        <w:spacing w:after="0"/>
        <w:jc w:val="both"/>
        <w:rPr>
          <w:rFonts w:ascii="Times New Roman" w:hAnsi="Times New Roman" w:cs="Times New Roman"/>
          <w:sz w:val="24"/>
          <w:szCs w:val="24"/>
        </w:rPr>
      </w:pPr>
      <w:r w:rsidRPr="00507E84">
        <w:rPr>
          <w:rFonts w:ascii="Times New Roman" w:hAnsi="Times New Roman" w:cs="Times New Roman"/>
          <w:sz w:val="24"/>
          <w:szCs w:val="24"/>
        </w:rPr>
        <w:t>V § 18 sa identifikuje kritická základná služba taxatívnym vymenovaním základných služieb, ktoré sú kritickými základnými službami. Ak prevádzkovateľ základnej služby vykonáva aspoň jednu z kritických základných služieb, vzniká mu povinnosť túto skutočnosť oznámiť Národnému bezpečnostnému úradu. Národný bezpečnostný úrad zapisuje do registra prevádzkovateľov základných služieb informácie o kritických základných službách, o zmenách v týchto skutočnostiach a o ich prevádzkovateľoch.</w:t>
      </w:r>
    </w:p>
    <w:p w14:paraId="4DC816D4" w14:textId="6878F85A" w:rsidR="00796AFF" w:rsidRPr="00507E84" w:rsidRDefault="00796AFF" w:rsidP="00796AFF">
      <w:pPr>
        <w:spacing w:after="0"/>
        <w:jc w:val="both"/>
        <w:rPr>
          <w:rFonts w:ascii="Times New Roman" w:hAnsi="Times New Roman" w:cs="Times New Roman"/>
          <w:sz w:val="24"/>
          <w:szCs w:val="24"/>
        </w:rPr>
      </w:pPr>
    </w:p>
    <w:p w14:paraId="4E64ECC6" w14:textId="5031BEB2" w:rsidR="00796AFF" w:rsidRPr="00507E84" w:rsidRDefault="00796AFF" w:rsidP="00796AFF">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800A80" w:rsidRPr="00507E84">
        <w:rPr>
          <w:rFonts w:ascii="Times New Roman" w:hAnsi="Times New Roman" w:cs="Times New Roman"/>
          <w:b/>
          <w:sz w:val="24"/>
          <w:szCs w:val="24"/>
        </w:rPr>
        <w:t>45</w:t>
      </w:r>
    </w:p>
    <w:p w14:paraId="3C421B3F" w14:textId="00904C2E" w:rsidR="00424DB3" w:rsidRPr="00507E84" w:rsidRDefault="00796AFF" w:rsidP="00A15DA0">
      <w:pPr>
        <w:jc w:val="both"/>
        <w:rPr>
          <w:rFonts w:ascii="Times New Roman" w:hAnsi="Times New Roman" w:cs="Times New Roman"/>
          <w:iCs/>
          <w:sz w:val="24"/>
          <w:szCs w:val="24"/>
        </w:rPr>
      </w:pPr>
      <w:r w:rsidRPr="00507E84">
        <w:rPr>
          <w:rFonts w:ascii="Times New Roman" w:hAnsi="Times New Roman" w:cs="Times New Roman"/>
          <w:sz w:val="24"/>
          <w:szCs w:val="24"/>
        </w:rPr>
        <w:t xml:space="preserve">Ide o precizovanie textu </w:t>
      </w:r>
      <w:r w:rsidR="00543696" w:rsidRPr="00507E84">
        <w:rPr>
          <w:rFonts w:ascii="Times New Roman" w:hAnsi="Times New Roman" w:cs="Times New Roman"/>
          <w:sz w:val="24"/>
          <w:szCs w:val="24"/>
        </w:rPr>
        <w:t xml:space="preserve">pôvodného § 19 ods. 1. Ide o odstránenie duplicity pri prijímaní bezpečnostných opatrení </w:t>
      </w:r>
      <w:r w:rsidR="004D68C9" w:rsidRPr="00507E84">
        <w:rPr>
          <w:rFonts w:ascii="Times New Roman" w:hAnsi="Times New Roman" w:cs="Times New Roman"/>
          <w:sz w:val="24"/>
          <w:szCs w:val="24"/>
        </w:rPr>
        <w:t>(</w:t>
      </w:r>
      <w:r w:rsidR="00543696" w:rsidRPr="00507E84">
        <w:rPr>
          <w:rFonts w:ascii="Times New Roman" w:hAnsi="Times New Roman" w:cs="Times New Roman"/>
          <w:sz w:val="24"/>
          <w:szCs w:val="24"/>
        </w:rPr>
        <w:t>§ 20 zákona</w:t>
      </w:r>
      <w:r w:rsidR="004D68C9" w:rsidRPr="00507E84">
        <w:rPr>
          <w:rFonts w:ascii="Times New Roman" w:hAnsi="Times New Roman" w:cs="Times New Roman"/>
          <w:sz w:val="24"/>
          <w:szCs w:val="24"/>
        </w:rPr>
        <w:t>)</w:t>
      </w:r>
      <w:r w:rsidR="00543696" w:rsidRPr="00507E84">
        <w:rPr>
          <w:rFonts w:ascii="Times New Roman" w:hAnsi="Times New Roman" w:cs="Times New Roman"/>
          <w:sz w:val="24"/>
          <w:szCs w:val="24"/>
        </w:rPr>
        <w:t xml:space="preserve">. </w:t>
      </w:r>
      <w:r w:rsidR="004D68C9" w:rsidRPr="00507E84">
        <w:rPr>
          <w:rFonts w:ascii="Times New Roman" w:hAnsi="Times New Roman" w:cs="Times New Roman"/>
          <w:sz w:val="24"/>
          <w:szCs w:val="24"/>
        </w:rPr>
        <w:t>Aby prevádzkovateľ základnej služby nemusel prijímať všeobecné bezpečnostné opatrenia a ešte následne aj duplicitne sektorové bezpečnostné opatrenia, pristúpilo sa k právnej úprave, že a</w:t>
      </w:r>
      <w:r w:rsidR="00543696" w:rsidRPr="00507E84">
        <w:rPr>
          <w:rFonts w:ascii="Times New Roman" w:hAnsi="Times New Roman" w:cs="Times New Roman"/>
          <w:sz w:val="24"/>
          <w:szCs w:val="24"/>
        </w:rPr>
        <w:t xml:space="preserve">k sú osobitným predpisom </w:t>
      </w:r>
      <w:r w:rsidR="004D68C9" w:rsidRPr="00507E84">
        <w:rPr>
          <w:rFonts w:ascii="Times New Roman" w:hAnsi="Times New Roman" w:cs="Times New Roman"/>
          <w:sz w:val="24"/>
          <w:szCs w:val="24"/>
        </w:rPr>
        <w:t xml:space="preserve">ustanovené </w:t>
      </w:r>
      <w:r w:rsidR="00543696" w:rsidRPr="00507E84">
        <w:rPr>
          <w:rFonts w:ascii="Times New Roman" w:hAnsi="Times New Roman" w:cs="Times New Roman"/>
          <w:sz w:val="24"/>
          <w:szCs w:val="24"/>
        </w:rPr>
        <w:t xml:space="preserve">sektorové bezpečnostné opatrenia, prevádzkovateľ základnej služby má povinnosť </w:t>
      </w:r>
      <w:r w:rsidR="00543696" w:rsidRPr="00507E84">
        <w:rPr>
          <w:rFonts w:ascii="Times New Roman" w:hAnsi="Times New Roman" w:cs="Times New Roman"/>
          <w:sz w:val="24"/>
          <w:szCs w:val="24"/>
        </w:rPr>
        <w:lastRenderedPageBreak/>
        <w:t xml:space="preserve">ich </w:t>
      </w:r>
      <w:r w:rsidR="009D447C" w:rsidRPr="00507E84">
        <w:rPr>
          <w:rFonts w:ascii="Times New Roman" w:hAnsi="Times New Roman" w:cs="Times New Roman"/>
          <w:sz w:val="24"/>
          <w:szCs w:val="24"/>
        </w:rPr>
        <w:t xml:space="preserve">(sektorové bezpečnostné opatrenia) </w:t>
      </w:r>
      <w:r w:rsidR="00543696" w:rsidRPr="00507E84">
        <w:rPr>
          <w:rFonts w:ascii="Times New Roman" w:hAnsi="Times New Roman" w:cs="Times New Roman"/>
          <w:sz w:val="24"/>
          <w:szCs w:val="24"/>
        </w:rPr>
        <w:t>prijať, dodržiavať a vykonávať.</w:t>
      </w:r>
      <w:r w:rsidR="00A30CF2" w:rsidRPr="00507E84">
        <w:rPr>
          <w:rFonts w:ascii="Times New Roman" w:hAnsi="Times New Roman" w:cs="Times New Roman"/>
          <w:sz w:val="24"/>
          <w:szCs w:val="24"/>
        </w:rPr>
        <w:t xml:space="preserve"> </w:t>
      </w:r>
      <w:r w:rsidR="009D447C" w:rsidRPr="00507E84">
        <w:rPr>
          <w:rFonts w:ascii="Times New Roman" w:hAnsi="Times New Roman" w:cs="Times New Roman"/>
          <w:iCs/>
          <w:sz w:val="24"/>
          <w:szCs w:val="24"/>
        </w:rPr>
        <w:t>Prevádzkovateľ základne služby v takom prípade nemá povinnosť prijať, dodržiavať a vykonávať všeobecné bezpečnostné opatrenia; povinnosť prijímať opatrenia podľa § 20 ods. 4 tým nie je dotknutá</w:t>
      </w:r>
      <w:r w:rsidR="009D447C" w:rsidRPr="00507E84">
        <w:rPr>
          <w:rFonts w:ascii="Times New Roman" w:hAnsi="Times New Roman" w:cs="Times New Roman"/>
          <w:i/>
          <w:iCs/>
        </w:rPr>
        <w:t>.</w:t>
      </w:r>
      <w:r w:rsidR="009D447C" w:rsidRPr="00507E84">
        <w:rPr>
          <w:rFonts w:ascii="Times New Roman" w:hAnsi="Times New Roman" w:cs="Times New Roman"/>
          <w:i/>
          <w:iCs/>
          <w:sz w:val="24"/>
          <w:szCs w:val="24"/>
        </w:rPr>
        <w:t xml:space="preserve"> </w:t>
      </w:r>
      <w:r w:rsidR="00A07D6F" w:rsidRPr="00507E84">
        <w:rPr>
          <w:rFonts w:ascii="Times New Roman" w:hAnsi="Times New Roman" w:cs="Times New Roman"/>
          <w:sz w:val="24"/>
          <w:szCs w:val="24"/>
        </w:rPr>
        <w:t>Ako príklady osobitných predpisov, ktoré upravujú sektorové bezpečnostné opatrenia</w:t>
      </w:r>
      <w:r w:rsidR="00A30CF2" w:rsidRPr="00507E84">
        <w:rPr>
          <w:rFonts w:ascii="Times New Roman" w:hAnsi="Times New Roman" w:cs="Times New Roman"/>
          <w:sz w:val="24"/>
          <w:szCs w:val="24"/>
        </w:rPr>
        <w:t xml:space="preserve"> sú uvedené </w:t>
      </w:r>
      <w:r w:rsidR="00A07D6F" w:rsidRPr="00507E84">
        <w:rPr>
          <w:rFonts w:ascii="Times New Roman" w:hAnsi="Times New Roman" w:cs="Times New Roman"/>
          <w:sz w:val="24"/>
          <w:szCs w:val="24"/>
        </w:rPr>
        <w:t>nariadenie</w:t>
      </w:r>
      <w:r w:rsidR="00E01D0E" w:rsidRPr="00507E84">
        <w:rPr>
          <w:rFonts w:ascii="Times New Roman" w:hAnsi="Times New Roman" w:cs="Times New Roman"/>
          <w:sz w:val="24"/>
          <w:szCs w:val="24"/>
        </w:rPr>
        <w:t xml:space="preserve"> Európskeho parlamentu a Rady</w:t>
      </w:r>
      <w:r w:rsidR="00A07D6F" w:rsidRPr="00507E84">
        <w:rPr>
          <w:rFonts w:ascii="Times New Roman" w:hAnsi="Times New Roman" w:cs="Times New Roman"/>
          <w:sz w:val="24"/>
          <w:szCs w:val="24"/>
        </w:rPr>
        <w:t xml:space="preserve"> (EÚ) 2022/2554</w:t>
      </w:r>
      <w:r w:rsidR="00E01D0E" w:rsidRPr="00507E84">
        <w:rPr>
          <w:rFonts w:ascii="Times New Roman" w:hAnsi="Times New Roman" w:cs="Times New Roman"/>
          <w:sz w:val="24"/>
          <w:szCs w:val="24"/>
        </w:rPr>
        <w:t xml:space="preserve"> zo 14. decembra 2022 o digitálnej prevádzkovej odolnosti finančného sektora a o zmene nariadení (ES) č. 1060/2009, (EÚ) č. 648/2012, (EÚ) č. 600/2014, (EÚ) č. 909/2014 a (EÚ) 2016/1011 (Ú. v. EÚ L 333, 27.12.2022) (ďalej len „nariadenie (EÚ) 2022/2554“)</w:t>
      </w:r>
      <w:r w:rsidR="00A07D6F" w:rsidRPr="00507E84">
        <w:rPr>
          <w:rFonts w:ascii="Times New Roman" w:hAnsi="Times New Roman" w:cs="Times New Roman"/>
          <w:sz w:val="24"/>
          <w:szCs w:val="24"/>
        </w:rPr>
        <w:t>, zákon č. 95/2019 Z.</w:t>
      </w:r>
      <w:r w:rsidR="00C31B80" w:rsidRPr="00507E84">
        <w:rPr>
          <w:rFonts w:ascii="Times New Roman" w:hAnsi="Times New Roman" w:cs="Times New Roman"/>
          <w:sz w:val="24"/>
          <w:szCs w:val="24"/>
        </w:rPr>
        <w:t> </w:t>
      </w:r>
      <w:r w:rsidR="00A07D6F" w:rsidRPr="00507E84">
        <w:rPr>
          <w:rFonts w:ascii="Times New Roman" w:hAnsi="Times New Roman" w:cs="Times New Roman"/>
          <w:sz w:val="24"/>
          <w:szCs w:val="24"/>
        </w:rPr>
        <w:t>z., zákon č. 541/2004 Z. z., vyhláška Úradu jadrového dozoru Slovenskej republiky č.</w:t>
      </w:r>
      <w:r w:rsidR="00C31B80" w:rsidRPr="00507E84">
        <w:rPr>
          <w:rFonts w:ascii="Times New Roman" w:hAnsi="Times New Roman" w:cs="Times New Roman"/>
          <w:sz w:val="24"/>
          <w:szCs w:val="24"/>
        </w:rPr>
        <w:t> </w:t>
      </w:r>
      <w:r w:rsidR="00A07D6F" w:rsidRPr="00507E84">
        <w:rPr>
          <w:rFonts w:ascii="Times New Roman" w:hAnsi="Times New Roman" w:cs="Times New Roman"/>
          <w:sz w:val="24"/>
          <w:szCs w:val="24"/>
        </w:rPr>
        <w:t>430/2011 Z. z. o požiadavkách na jadrovú bezpečnosť v znení vyhlášky č. 103/2016 Z. z.</w:t>
      </w:r>
      <w:r w:rsidR="009D447C" w:rsidRPr="00507E84">
        <w:rPr>
          <w:rFonts w:ascii="Times New Roman" w:hAnsi="Times New Roman" w:cs="Times New Roman"/>
          <w:sz w:val="24"/>
          <w:szCs w:val="24"/>
        </w:rPr>
        <w:t xml:space="preserve"> </w:t>
      </w:r>
      <w:r w:rsidR="009D447C" w:rsidRPr="00507E84">
        <w:rPr>
          <w:rFonts w:ascii="Times New Roman" w:hAnsi="Times New Roman" w:cs="Times New Roman"/>
          <w:iCs/>
          <w:sz w:val="24"/>
          <w:szCs w:val="24"/>
        </w:rPr>
        <w:t>Uvedené platí a sa vzťahuje aj na prevádzkovateľa kritickej základnej služby, keďže systematika celého z</w:t>
      </w:r>
      <w:r w:rsidR="007F2BD8" w:rsidRPr="00507E84">
        <w:rPr>
          <w:rFonts w:ascii="Times New Roman" w:hAnsi="Times New Roman" w:cs="Times New Roman"/>
          <w:iCs/>
          <w:sz w:val="24"/>
          <w:szCs w:val="24"/>
        </w:rPr>
        <w:t xml:space="preserve">ákona je navrhnutá tak, že všade, </w:t>
      </w:r>
      <w:r w:rsidR="009D447C" w:rsidRPr="00507E84">
        <w:rPr>
          <w:rFonts w:ascii="Times New Roman" w:hAnsi="Times New Roman" w:cs="Times New Roman"/>
          <w:iCs/>
          <w:sz w:val="24"/>
          <w:szCs w:val="24"/>
        </w:rPr>
        <w:t>kde sa hovorí o „prevádzkovateľovi základnej služby“ myslí sa tým aj prevádzkovateľ kritickej základnej služby“ ak zákon neustanovuje výnimku, že nejde o prevádzkovateľa základnej služby, ktorý prevádzkuje kritickú základnú službu</w:t>
      </w:r>
      <w:r w:rsidR="007F2BD8" w:rsidRPr="00507E84">
        <w:rPr>
          <w:rFonts w:ascii="Times New Roman" w:hAnsi="Times New Roman" w:cs="Times New Roman"/>
          <w:iCs/>
          <w:sz w:val="24"/>
          <w:szCs w:val="24"/>
        </w:rPr>
        <w:t xml:space="preserve">. </w:t>
      </w:r>
      <w:r w:rsidR="00D54873" w:rsidRPr="00507E84">
        <w:rPr>
          <w:rFonts w:ascii="Times New Roman" w:hAnsi="Times New Roman" w:cs="Times New Roman"/>
          <w:iCs/>
          <w:sz w:val="24"/>
          <w:szCs w:val="24"/>
        </w:rPr>
        <w:t>Osoba poskytujúca niektorú zo služieb alebo vykonávajúcu niektorú z činností podľa § 2 ods. 2 plní bezpečnostné opatrenia ustanovené vykonávacím nariadením Komisie. Ide o nariadenie EÚ, ktoré upravuje pravidlá pre uplatňovanie smernice (EÚ) 2022/2555, pokiaľ ide o technické a metodologické požiadavky na opatrenia na riadenie rizík v oblasti kybernetickej bezpečnosti a ďalšie špecifikácie prípadov, v ktorých sa incident považuje za významný s ohľadom na poskytovateľov služieb DNS, registre TLD, poskytovateľov cloudových služieb, poskytovateľov služieb dátových centier, poskytovateľov sietí na doručovanie obsahu, poskytovateľov riadených služieb, poskytovateľov riadených bezpečnostných služieb, poskytovateľov online trhovísk, online vyhľadávačov a platforiem sociálnych sietí a poskytovateľov dôveryhodných služieb.</w:t>
      </w:r>
    </w:p>
    <w:p w14:paraId="78E07680" w14:textId="438719B7"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6632E3" w:rsidRPr="00507E84">
        <w:rPr>
          <w:rFonts w:ascii="Times New Roman" w:hAnsi="Times New Roman" w:cs="Times New Roman"/>
          <w:b/>
          <w:sz w:val="24"/>
          <w:szCs w:val="24"/>
        </w:rPr>
        <w:t>46</w:t>
      </w:r>
    </w:p>
    <w:p w14:paraId="562EF71F" w14:textId="7EB86321" w:rsidR="007132A2" w:rsidRPr="00507E84" w:rsidRDefault="00EE7A4E"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V súlade so smernicou NIS2 sa posilňuje bezpečnosť a kontrola celého dodávateľského reťazca. V praxi totiž dochádzalo k neželaným situáciám, kedy dodávateľ nebol prevádzkovateľom základnej služby nijako kontrolovaný a prevádzkovateľ základnej služby si nemohol plnenie bezpečnostných opatrení prostredníctvom dodávateľa overiť.</w:t>
      </w:r>
      <w:r w:rsidR="007132A2" w:rsidRPr="00507E84">
        <w:rPr>
          <w:rFonts w:ascii="Times New Roman" w:hAnsi="Times New Roman" w:cs="Times New Roman"/>
        </w:rPr>
        <w:t xml:space="preserve"> </w:t>
      </w:r>
      <w:r w:rsidR="007132A2" w:rsidRPr="00507E84">
        <w:rPr>
          <w:rFonts w:ascii="Times New Roman" w:hAnsi="Times New Roman" w:cs="Times New Roman"/>
          <w:sz w:val="24"/>
          <w:szCs w:val="24"/>
        </w:rPr>
        <w:t xml:space="preserve">Tretia strana </w:t>
      </w:r>
      <w:r w:rsidRPr="00507E84">
        <w:rPr>
          <w:rFonts w:ascii="Times New Roman" w:hAnsi="Times New Roman" w:cs="Times New Roman"/>
          <w:sz w:val="24"/>
          <w:szCs w:val="24"/>
        </w:rPr>
        <w:t xml:space="preserve">-  dodávateľ, </w:t>
      </w:r>
      <w:r w:rsidR="007132A2" w:rsidRPr="00507E84">
        <w:rPr>
          <w:rFonts w:ascii="Times New Roman" w:hAnsi="Times New Roman" w:cs="Times New Roman"/>
          <w:sz w:val="24"/>
          <w:szCs w:val="24"/>
        </w:rPr>
        <w:t>je počas trvania zmluvného vzťahu  povinná vykonávať a realizovať bezpečnostné opatrenia v súlade s písomnou zmluvou a týmto zákonom a je povinná podrobiť sa kontrole plnenia týchto opatrení zo strany prevádzkovateľa základnej služby</w:t>
      </w:r>
      <w:r w:rsidRPr="00507E84">
        <w:rPr>
          <w:rFonts w:ascii="Times New Roman" w:hAnsi="Times New Roman" w:cs="Times New Roman"/>
          <w:sz w:val="24"/>
          <w:szCs w:val="24"/>
        </w:rPr>
        <w:t xml:space="preserve"> ako aj úradu, ak ide o prevádzkovateľa kritickej základnej služby.</w:t>
      </w:r>
    </w:p>
    <w:p w14:paraId="62CB4C62" w14:textId="77777777" w:rsidR="007132A2" w:rsidRPr="00507E84" w:rsidRDefault="007132A2" w:rsidP="007132A2">
      <w:pPr>
        <w:spacing w:after="0"/>
        <w:jc w:val="both"/>
        <w:rPr>
          <w:rFonts w:ascii="Times New Roman" w:hAnsi="Times New Roman" w:cs="Times New Roman"/>
          <w:sz w:val="24"/>
          <w:szCs w:val="24"/>
        </w:rPr>
      </w:pPr>
    </w:p>
    <w:p w14:paraId="220992FE" w14:textId="1D99A6B0" w:rsidR="005B2F16" w:rsidRPr="00507E84" w:rsidRDefault="006632E3"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bodu 47</w:t>
      </w:r>
    </w:p>
    <w:p w14:paraId="4215BFAB" w14:textId="21AE2A95" w:rsidR="005B2F16" w:rsidRPr="00507E84" w:rsidRDefault="00623E04" w:rsidP="007132A2">
      <w:pPr>
        <w:spacing w:after="0"/>
        <w:jc w:val="both"/>
        <w:rPr>
          <w:rFonts w:ascii="Times New Roman" w:hAnsi="Times New Roman" w:cs="Times New Roman"/>
          <w:b/>
          <w:sz w:val="24"/>
          <w:szCs w:val="24"/>
        </w:rPr>
      </w:pPr>
      <w:r w:rsidRPr="00507E84">
        <w:rPr>
          <w:rFonts w:ascii="Times New Roman" w:hAnsi="Times New Roman" w:cs="Times New Roman"/>
          <w:sz w:val="24"/>
          <w:szCs w:val="24"/>
        </w:rPr>
        <w:t>Legislatívnotechnická úprava súvisiaca s vypustením pojmu „poskytovateľ digitálnej služby“</w:t>
      </w:r>
      <w:r w:rsidR="007F2BD8" w:rsidRPr="00507E84">
        <w:rPr>
          <w:rFonts w:ascii="Times New Roman" w:hAnsi="Times New Roman" w:cs="Times New Roman"/>
          <w:sz w:val="24"/>
          <w:szCs w:val="24"/>
        </w:rPr>
        <w:t>. Výnimka pre tretiu stranu, ak nejde o prevádzkovateľa základnej služby, ktorý prevádzkuje kritickú základnú službu je už obsiahnutá v zák</w:t>
      </w:r>
      <w:r w:rsidR="006632E3" w:rsidRPr="00507E84">
        <w:rPr>
          <w:rFonts w:ascii="Times New Roman" w:hAnsi="Times New Roman" w:cs="Times New Roman"/>
          <w:sz w:val="24"/>
          <w:szCs w:val="24"/>
        </w:rPr>
        <w:t>o</w:t>
      </w:r>
      <w:r w:rsidR="007F2BD8" w:rsidRPr="00507E84">
        <w:rPr>
          <w:rFonts w:ascii="Times New Roman" w:hAnsi="Times New Roman" w:cs="Times New Roman"/>
          <w:sz w:val="24"/>
          <w:szCs w:val="24"/>
        </w:rPr>
        <w:t xml:space="preserve">ne č. 69/2018 Z. z., a to povinnosť uzatvoriť zmluvu podľa odseku 2 neplatí, ak je tretia strana prevádzkovateľom základnej služby. Pod pojmom „prevádzkovateľ základnej služby“ sa rozumie aj prevádzkovateľ základnej služby, </w:t>
      </w:r>
      <w:r w:rsidR="00424DB3" w:rsidRPr="00507E84">
        <w:rPr>
          <w:rFonts w:ascii="Times New Roman" w:hAnsi="Times New Roman" w:cs="Times New Roman"/>
          <w:sz w:val="24"/>
          <w:szCs w:val="24"/>
        </w:rPr>
        <w:t xml:space="preserve"> ktorý </w:t>
      </w:r>
      <w:r w:rsidR="007F2BD8" w:rsidRPr="00507E84">
        <w:rPr>
          <w:rFonts w:ascii="Times New Roman" w:hAnsi="Times New Roman" w:cs="Times New Roman"/>
          <w:sz w:val="24"/>
          <w:szCs w:val="24"/>
        </w:rPr>
        <w:t>prevádzkuje kritickú základnú službu</w:t>
      </w:r>
      <w:r w:rsidR="00112CDE" w:rsidRPr="00507E84">
        <w:rPr>
          <w:rFonts w:ascii="Times New Roman" w:hAnsi="Times New Roman" w:cs="Times New Roman"/>
          <w:sz w:val="24"/>
          <w:szCs w:val="24"/>
        </w:rPr>
        <w:t>.</w:t>
      </w:r>
    </w:p>
    <w:p w14:paraId="4F24C22E" w14:textId="77777777" w:rsidR="00623E04" w:rsidRPr="00507E84" w:rsidRDefault="00623E04" w:rsidP="007132A2">
      <w:pPr>
        <w:spacing w:after="0"/>
        <w:jc w:val="both"/>
        <w:rPr>
          <w:rFonts w:ascii="Times New Roman" w:hAnsi="Times New Roman" w:cs="Times New Roman"/>
          <w:b/>
          <w:sz w:val="24"/>
          <w:szCs w:val="24"/>
        </w:rPr>
      </w:pPr>
    </w:p>
    <w:p w14:paraId="2C3E2990" w14:textId="02BFE200"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bodom </w:t>
      </w:r>
      <w:r w:rsidR="00B80AA2" w:rsidRPr="00507E84">
        <w:rPr>
          <w:rFonts w:ascii="Times New Roman" w:hAnsi="Times New Roman" w:cs="Times New Roman"/>
          <w:b/>
          <w:sz w:val="24"/>
          <w:szCs w:val="24"/>
        </w:rPr>
        <w:t>48 a 49</w:t>
      </w:r>
    </w:p>
    <w:p w14:paraId="67CD4A9C" w14:textId="25CFE56B"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Ustanovujú sa ďalšie povinnosti prevádzkovateľovi základnej služby vyplývajúce zo smernice NIS</w:t>
      </w:r>
      <w:r w:rsidR="005B2F16" w:rsidRPr="00507E84">
        <w:rPr>
          <w:rFonts w:ascii="Times New Roman" w:hAnsi="Times New Roman" w:cs="Times New Roman"/>
          <w:sz w:val="24"/>
          <w:szCs w:val="24"/>
        </w:rPr>
        <w:t xml:space="preserve"> </w:t>
      </w:r>
      <w:r w:rsidRPr="00507E84">
        <w:rPr>
          <w:rFonts w:ascii="Times New Roman" w:hAnsi="Times New Roman" w:cs="Times New Roman"/>
          <w:sz w:val="24"/>
          <w:szCs w:val="24"/>
        </w:rPr>
        <w:t>2</w:t>
      </w:r>
      <w:r w:rsidR="00EE7A4E" w:rsidRPr="00507E84">
        <w:rPr>
          <w:rFonts w:ascii="Times New Roman" w:hAnsi="Times New Roman" w:cs="Times New Roman"/>
          <w:sz w:val="24"/>
          <w:szCs w:val="24"/>
        </w:rPr>
        <w:t xml:space="preserve"> ako aj bezpečnostných štandardov v oblasti kybernetickej bezpečnosti</w:t>
      </w:r>
      <w:r w:rsidR="0018130D" w:rsidRPr="00507E84">
        <w:rPr>
          <w:rFonts w:ascii="Times New Roman" w:hAnsi="Times New Roman" w:cs="Times New Roman"/>
          <w:sz w:val="24"/>
          <w:szCs w:val="24"/>
        </w:rPr>
        <w:t xml:space="preserve"> s cieľom vytvoriť efektívny systém riadenia kybernetickej bezpečnosti, pri ktorej nechýba efektívna výmena </w:t>
      </w:r>
      <w:r w:rsidR="0018130D" w:rsidRPr="00507E84">
        <w:rPr>
          <w:rFonts w:ascii="Times New Roman" w:hAnsi="Times New Roman" w:cs="Times New Roman"/>
          <w:sz w:val="24"/>
          <w:szCs w:val="24"/>
        </w:rPr>
        <w:lastRenderedPageBreak/>
        <w:t>informácii a podpora analýzy rizík a závislostí v rámci dodávateľského reťazca. Ide o doplnenie elementárnych a nevyhnutných povinností prevádzkovateľa základnej služby v zmysle požiadaviek smernice</w:t>
      </w:r>
      <w:r w:rsidR="00817127" w:rsidRPr="00507E84">
        <w:rPr>
          <w:rFonts w:ascii="Times New Roman" w:hAnsi="Times New Roman" w:cs="Times New Roman"/>
          <w:sz w:val="24"/>
          <w:szCs w:val="24"/>
        </w:rPr>
        <w:t xml:space="preserve"> NIS 2.</w:t>
      </w:r>
    </w:p>
    <w:p w14:paraId="49B41F95" w14:textId="77777777" w:rsidR="007132A2" w:rsidRPr="00507E84" w:rsidRDefault="007132A2" w:rsidP="007132A2">
      <w:pPr>
        <w:spacing w:after="0"/>
        <w:jc w:val="both"/>
        <w:rPr>
          <w:rFonts w:ascii="Times New Roman" w:hAnsi="Times New Roman" w:cs="Times New Roman"/>
          <w:b/>
          <w:sz w:val="24"/>
          <w:szCs w:val="24"/>
        </w:rPr>
      </w:pPr>
    </w:p>
    <w:p w14:paraId="1E2C79F6" w14:textId="76E26BC6"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B80AA2" w:rsidRPr="00507E84">
        <w:rPr>
          <w:rFonts w:ascii="Times New Roman" w:hAnsi="Times New Roman" w:cs="Times New Roman"/>
          <w:b/>
          <w:sz w:val="24"/>
          <w:szCs w:val="24"/>
        </w:rPr>
        <w:t>50</w:t>
      </w:r>
    </w:p>
    <w:p w14:paraId="2B4F9C40" w14:textId="53C648E6" w:rsidR="007132A2" w:rsidRPr="00507E84" w:rsidRDefault="00817127"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w:t>
      </w:r>
      <w:r w:rsidR="007132A2" w:rsidRPr="00507E84">
        <w:rPr>
          <w:rFonts w:ascii="Times New Roman" w:hAnsi="Times New Roman" w:cs="Times New Roman"/>
          <w:sz w:val="24"/>
          <w:szCs w:val="24"/>
        </w:rPr>
        <w:t>technická úprava.</w:t>
      </w:r>
    </w:p>
    <w:p w14:paraId="2829FA79" w14:textId="77777777" w:rsidR="007132A2" w:rsidRPr="00507E84" w:rsidRDefault="007132A2" w:rsidP="007132A2">
      <w:pPr>
        <w:spacing w:after="0"/>
        <w:jc w:val="both"/>
        <w:rPr>
          <w:rFonts w:ascii="Times New Roman" w:hAnsi="Times New Roman" w:cs="Times New Roman"/>
          <w:b/>
          <w:sz w:val="24"/>
          <w:szCs w:val="24"/>
        </w:rPr>
      </w:pPr>
    </w:p>
    <w:p w14:paraId="1A754573" w14:textId="02C66FA2" w:rsidR="00BD5378"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b/>
          <w:sz w:val="24"/>
          <w:szCs w:val="24"/>
        </w:rPr>
        <w:t xml:space="preserve">K bodu </w:t>
      </w:r>
      <w:r w:rsidR="00B80AA2" w:rsidRPr="00507E84">
        <w:rPr>
          <w:rFonts w:ascii="Times New Roman" w:hAnsi="Times New Roman" w:cs="Times New Roman"/>
          <w:b/>
          <w:sz w:val="24"/>
          <w:szCs w:val="24"/>
        </w:rPr>
        <w:t>51</w:t>
      </w:r>
    </w:p>
    <w:p w14:paraId="1FF60773" w14:textId="31364183" w:rsidR="00C562C3" w:rsidRPr="00507E84" w:rsidRDefault="00C562C3" w:rsidP="00C562C3">
      <w:pPr>
        <w:spacing w:after="0"/>
        <w:jc w:val="both"/>
        <w:rPr>
          <w:rFonts w:ascii="Times New Roman" w:hAnsi="Times New Roman" w:cs="Times New Roman"/>
          <w:sz w:val="24"/>
          <w:szCs w:val="24"/>
        </w:rPr>
      </w:pPr>
      <w:r w:rsidRPr="00507E84">
        <w:rPr>
          <w:rFonts w:ascii="Times New Roman" w:hAnsi="Times New Roman" w:cs="Times New Roman"/>
          <w:sz w:val="24"/>
          <w:szCs w:val="24"/>
        </w:rPr>
        <w:t>V návrhu zákona sa upravujú a precizujú bezpečnostné opatrenia tak, aby reflektovali nové bezpečnostné štandardy, vrátane kladenia dôrazu na</w:t>
      </w:r>
      <w:r w:rsidR="005B2F16" w:rsidRPr="00507E84">
        <w:rPr>
          <w:rFonts w:ascii="Times New Roman" w:hAnsi="Times New Roman" w:cs="Times New Roman"/>
          <w:sz w:val="24"/>
          <w:szCs w:val="24"/>
        </w:rPr>
        <w:t xml:space="preserve"> riešenie rizík vyplývajúcich z </w:t>
      </w:r>
      <w:r w:rsidRPr="00507E84">
        <w:rPr>
          <w:rFonts w:ascii="Times New Roman" w:hAnsi="Times New Roman" w:cs="Times New Roman"/>
          <w:sz w:val="24"/>
          <w:szCs w:val="24"/>
        </w:rPr>
        <w:t>dodávateľského reťazca subjektu a jeho vzťahu s dodávateľmi, pretože sa vyskytli incidenty, keď sa subjekty stali obeťami kybernetických útokov spôsobom, že páchatelia dokázali ohroziť bezpečnosť sietí a informačných systémov subjektu využit</w:t>
      </w:r>
      <w:r w:rsidR="005B2F16" w:rsidRPr="00507E84">
        <w:rPr>
          <w:rFonts w:ascii="Times New Roman" w:hAnsi="Times New Roman" w:cs="Times New Roman"/>
          <w:sz w:val="24"/>
          <w:szCs w:val="24"/>
        </w:rPr>
        <w:t>ím zraniteľností v produktoch a </w:t>
      </w:r>
      <w:r w:rsidRPr="00507E84">
        <w:rPr>
          <w:rFonts w:ascii="Times New Roman" w:hAnsi="Times New Roman" w:cs="Times New Roman"/>
          <w:sz w:val="24"/>
          <w:szCs w:val="24"/>
        </w:rPr>
        <w:t>službách tretích strán.</w:t>
      </w:r>
    </w:p>
    <w:p w14:paraId="3DACFF28" w14:textId="35C0956B" w:rsidR="00112CDE" w:rsidRPr="00507E84" w:rsidRDefault="00BD5378"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V § 20 ods. 1 zákona sa precizuje definícia bezpečnostných opatrení. V § 20 ods. 2 zákona sú vymenované minimálne požadované oblasti, ktoré by </w:t>
      </w:r>
      <w:r w:rsidR="00B80AA2" w:rsidRPr="00507E84">
        <w:rPr>
          <w:rFonts w:ascii="Times New Roman" w:hAnsi="Times New Roman" w:cs="Times New Roman"/>
          <w:sz w:val="24"/>
          <w:szCs w:val="24"/>
        </w:rPr>
        <w:t xml:space="preserve">sa </w:t>
      </w:r>
      <w:r w:rsidRPr="00507E84">
        <w:rPr>
          <w:rFonts w:ascii="Times New Roman" w:hAnsi="Times New Roman" w:cs="Times New Roman"/>
          <w:sz w:val="24"/>
          <w:szCs w:val="24"/>
        </w:rPr>
        <w:t xml:space="preserve">mali </w:t>
      </w:r>
      <w:r w:rsidR="00A15DA0" w:rsidRPr="00507E84">
        <w:rPr>
          <w:rFonts w:ascii="Times New Roman" w:hAnsi="Times New Roman" w:cs="Times New Roman"/>
          <w:sz w:val="24"/>
          <w:szCs w:val="24"/>
        </w:rPr>
        <w:t>pri</w:t>
      </w:r>
      <w:r w:rsidR="00B80AA2" w:rsidRPr="00507E84">
        <w:rPr>
          <w:rFonts w:ascii="Times New Roman" w:hAnsi="Times New Roman" w:cs="Times New Roman"/>
          <w:sz w:val="24"/>
          <w:szCs w:val="24"/>
        </w:rPr>
        <w:t>jímať</w:t>
      </w:r>
      <w:r w:rsidRPr="00507E84">
        <w:rPr>
          <w:rFonts w:ascii="Times New Roman" w:hAnsi="Times New Roman" w:cs="Times New Roman"/>
          <w:sz w:val="24"/>
          <w:szCs w:val="24"/>
        </w:rPr>
        <w:t xml:space="preserve"> v bezpečnostných opatreniach a rovnako tak toto ustanovenie reflektuje požiadavky ustanovené v článku 20 smernice NIS 2. Bezpečnostné opatrenia by sa mali zaoberať aj fyzickou a environmentálnou bezpečnosťou sietí a informačných systémov tým, že budú zahŕňať opatrenia na ochranu takýchto systémov pred systémovými zlyhaniami, ľudskými chybami, zlomyseľným konaním alebo prírodnými javmi v súlade s európskymi a medzinárodnými normami, ako sú normy uvedené v sérii ISO/IEC 27000. V tejto súvislosti by sa prevádzkovatelia základných služieb mali v rámci svojich opatrení na riadenie kybernetických rizík zaoberať aj bezpečnosťou ľudských zdrojov a mali by mať zavedené vhodné postupy kontroly prístupu. Predpokladá sa, že bezpečnostné opatrenia budú v súlade aj so smernicou (EÚ) 2022/2557. </w:t>
      </w:r>
    </w:p>
    <w:p w14:paraId="3C8882DF" w14:textId="114D6B43" w:rsidR="00BD5378" w:rsidRPr="00507E84" w:rsidRDefault="00BD5378"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V § 20 ods. 3 zákona </w:t>
      </w:r>
      <w:r w:rsidR="00112CDE" w:rsidRPr="00507E84">
        <w:rPr>
          <w:rFonts w:ascii="Times New Roman" w:hAnsi="Times New Roman" w:cs="Times New Roman"/>
          <w:sz w:val="24"/>
          <w:szCs w:val="24"/>
        </w:rPr>
        <w:t xml:space="preserve">sa konštatuje, že bezpečnostné opatrenia sa prijímajú a realizujú v rozsahu a spôsobom podľa vyhlášky č. </w:t>
      </w:r>
      <w:r w:rsidR="006877C2" w:rsidRPr="00507E84">
        <w:rPr>
          <w:rFonts w:ascii="Times New Roman" w:hAnsi="Times New Roman" w:cs="Times New Roman"/>
          <w:sz w:val="24"/>
          <w:szCs w:val="24"/>
        </w:rPr>
        <w:t xml:space="preserve">362/2018 Z. z. alebo podľa osobitného predpisu, ak je vydaný. Týmto ustanovením má zákonodarca za cieľ pokryť sektorovú úpravu, ktorá môže byť prijatá a vtedy platí, že sa prijímajú a realizujú bezpečnostné opatrenia záväzné pre daný sektor.  </w:t>
      </w:r>
    </w:p>
    <w:p w14:paraId="5C117269" w14:textId="77777777" w:rsidR="007132A2" w:rsidRPr="00507E84" w:rsidRDefault="007132A2" w:rsidP="007132A2">
      <w:pPr>
        <w:spacing w:after="0"/>
        <w:jc w:val="both"/>
        <w:rPr>
          <w:rFonts w:ascii="Times New Roman" w:hAnsi="Times New Roman" w:cs="Times New Roman"/>
          <w:b/>
          <w:sz w:val="24"/>
          <w:szCs w:val="24"/>
        </w:rPr>
      </w:pPr>
    </w:p>
    <w:p w14:paraId="245F1856" w14:textId="11B55BDE"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B80AA2" w:rsidRPr="00507E84">
        <w:rPr>
          <w:rFonts w:ascii="Times New Roman" w:hAnsi="Times New Roman" w:cs="Times New Roman"/>
          <w:b/>
          <w:sz w:val="24"/>
          <w:szCs w:val="24"/>
        </w:rPr>
        <w:t>52</w:t>
      </w:r>
    </w:p>
    <w:p w14:paraId="6F356E2F" w14:textId="55E167A1"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Rozširuje sa minimálne požadovaný obsah bezpečnostných opatrení. Každý prevádzkovateľ základnej služby si má určiť a prideliť úlohy, role a ich zodpovednosť podľa svojich podmienok a zároveň má pre tieto u neho zavedené role zabezpečiť primerané vzdelávanie a preškoľovanie. Prevádzkovateľ základnej služby si má určiť osobu, ktorá mu bude zodpovedať za schvaľovanie bezpečnostných opatrení, za dohľad, za kontrolu, za audit, za zabezpečenie primeranosti zdrojov na riadenie kybernetickej bezpečnosti a za vzdelávanie. Ako minimálny požadovaný štandard z pohľadu bezpečnostných opatrení sa určuje aspoň dodržiavanie základnej kybernetickej hygieny. Z pohľadu bezpečnosti sa odporúča prevádzkovateľom základnej služby využívať, a teda aj obstarávať certifikované produkty IKT, služby IKT a procesy IKT. V súvislosti s bezpečnostnými opatreniami je potrebné klásť dôraz aj na riešenie rizík vyplývajúcich z dodávateľského reťazca subjektu a jeho vzťahu s dodávateľmi, ako sú poskytovatelia služieb ukladania a spracúvania údajov alebo poskytovatelia riadených bezpečnostných služieb a vydavatelia softvéru. Toto je obzvlášť dôležité vzhľadom na výskyt incidentov, keď sa subjekty stali obeťami kybernetických útokov, pri ktorých páchatelia dokázali ohroziť bezpečnosť sietí a informačných systémov subjektu využitím zraniteľností v produktoch a službách tretích strán. Aj malé a stredné podniky sa čoraz viac stávajú terčom </w:t>
      </w:r>
      <w:r w:rsidRPr="00507E84">
        <w:rPr>
          <w:rFonts w:ascii="Times New Roman" w:hAnsi="Times New Roman" w:cs="Times New Roman"/>
          <w:sz w:val="24"/>
          <w:szCs w:val="24"/>
        </w:rPr>
        <w:lastRenderedPageBreak/>
        <w:t>útokov na dodávateľské reťazce z dôvodu ich menej prísnych opatrení na riadenie kybernetických rizík a zvládanie útokov a skutočnosti, že majú obmedzené bezpečnostné zdroje. Takéto útoky na dodávateľské reťazce majú vplyv nielen na samotné malé a stredné podniky a ich izolovanú činnosť, ale môžu mať aj kaskádový účinok na väčšie útoky na subjekty, ktorým poskytli dodávky. Kľúčové subjekty a dôležité subjekty by preto mali posúdiť a zohľadniť celkovú kvalitu a odolnosť produktov a služieb, opatrenia na riadenie kybernetických rizík, ktoré zahŕňajú, a tiež postupy svojich dodávateľov a poskytovateľov služieb v oblasti kybernetickej bezpečnosti vrátane ich bezpečných vývojových postupov.</w:t>
      </w:r>
      <w:r w:rsidR="0051408B" w:rsidRPr="00507E84">
        <w:rPr>
          <w:rFonts w:ascii="Times New Roman" w:hAnsi="Times New Roman" w:cs="Times New Roman"/>
          <w:sz w:val="24"/>
          <w:szCs w:val="24"/>
        </w:rPr>
        <w:t xml:space="preserve"> Ustanovenie § 20 ods. 4 sa dopĺňa o ďalšie minimálne požiadavky bezpečnostných opatrení. Ide o výpočet, ktorý je, tak ako doteraz taxatívny, a teda ide o výpočet opatrení, ktoré všetky musí spĺňať každý prevádzkovateľ základnej služby.</w:t>
      </w:r>
    </w:p>
    <w:p w14:paraId="6FD10432" w14:textId="77777777" w:rsidR="007132A2" w:rsidRPr="00507E84" w:rsidRDefault="007132A2" w:rsidP="007132A2">
      <w:pPr>
        <w:spacing w:after="0"/>
        <w:jc w:val="both"/>
        <w:rPr>
          <w:rFonts w:ascii="Times New Roman" w:hAnsi="Times New Roman" w:cs="Times New Roman"/>
          <w:b/>
          <w:sz w:val="24"/>
          <w:szCs w:val="24"/>
        </w:rPr>
      </w:pPr>
    </w:p>
    <w:p w14:paraId="409AED92" w14:textId="75920819"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B80AA2" w:rsidRPr="00507E84">
        <w:rPr>
          <w:rFonts w:ascii="Times New Roman" w:hAnsi="Times New Roman" w:cs="Times New Roman"/>
          <w:b/>
          <w:sz w:val="24"/>
          <w:szCs w:val="24"/>
        </w:rPr>
        <w:t>53</w:t>
      </w:r>
    </w:p>
    <w:p w14:paraId="1298DA2D" w14:textId="30431B13" w:rsidR="007132A2" w:rsidRPr="00507E84" w:rsidRDefault="00817127"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w:t>
      </w:r>
      <w:r w:rsidR="007132A2" w:rsidRPr="00507E84">
        <w:rPr>
          <w:rFonts w:ascii="Times New Roman" w:hAnsi="Times New Roman" w:cs="Times New Roman"/>
          <w:sz w:val="24"/>
          <w:szCs w:val="24"/>
        </w:rPr>
        <w:t>technická úprava.</w:t>
      </w:r>
    </w:p>
    <w:p w14:paraId="0CF6A58D" w14:textId="77777777" w:rsidR="007132A2" w:rsidRPr="00507E84" w:rsidRDefault="007132A2" w:rsidP="007132A2">
      <w:pPr>
        <w:spacing w:after="0"/>
        <w:jc w:val="both"/>
        <w:rPr>
          <w:rFonts w:ascii="Times New Roman" w:hAnsi="Times New Roman" w:cs="Times New Roman"/>
          <w:b/>
          <w:sz w:val="24"/>
          <w:szCs w:val="24"/>
        </w:rPr>
      </w:pPr>
    </w:p>
    <w:p w14:paraId="6D39C459" w14:textId="7E4D9D9D"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B80AA2" w:rsidRPr="00507E84">
        <w:rPr>
          <w:rFonts w:ascii="Times New Roman" w:hAnsi="Times New Roman" w:cs="Times New Roman"/>
          <w:b/>
          <w:sz w:val="24"/>
          <w:szCs w:val="24"/>
        </w:rPr>
        <w:t>54</w:t>
      </w:r>
    </w:p>
    <w:p w14:paraId="5C2E7807" w14:textId="004F2E1D"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Ustanovenia upravujú pôsobnosť tohto zákona na niektoré subjekty, u ktorých dochádza k cezhraničnému poskytovaniu niektorých služieb. V § 21 ods. 1 zákona sa ustanovuje osobitná povinnosť pre osobu, ktorá poskytuje niektorú zo služieb alebo vykonávajúcu niektorú z činností podľa § 2 ods. </w:t>
      </w:r>
      <w:r w:rsidR="00141E7B" w:rsidRPr="00507E84">
        <w:rPr>
          <w:rFonts w:ascii="Times New Roman" w:hAnsi="Times New Roman" w:cs="Times New Roman"/>
          <w:sz w:val="24"/>
          <w:szCs w:val="24"/>
        </w:rPr>
        <w:t>2</w:t>
      </w:r>
      <w:r w:rsidRPr="00507E84">
        <w:rPr>
          <w:rFonts w:ascii="Times New Roman" w:hAnsi="Times New Roman" w:cs="Times New Roman"/>
          <w:sz w:val="24"/>
          <w:szCs w:val="24"/>
        </w:rPr>
        <w:t xml:space="preserve"> zákona, alebo pre osobu, ktorá je treťou stranou, a ktorá nemá sídlo, </w:t>
      </w:r>
      <w:r w:rsidR="006877C2" w:rsidRPr="00507E84">
        <w:rPr>
          <w:rFonts w:ascii="Times New Roman" w:hAnsi="Times New Roman" w:cs="Times New Roman"/>
          <w:sz w:val="24"/>
          <w:szCs w:val="24"/>
        </w:rPr>
        <w:t xml:space="preserve">trvalý </w:t>
      </w:r>
      <w:r w:rsidRPr="00507E84">
        <w:rPr>
          <w:rFonts w:ascii="Times New Roman" w:hAnsi="Times New Roman" w:cs="Times New Roman"/>
          <w:sz w:val="24"/>
          <w:szCs w:val="24"/>
        </w:rPr>
        <w:t>pobyt alebo miesto podnikania na území členského štátu Európskej únie a poskytuje tieto služby alebo vykonáva tieto činnosti na území Slovenskej republiky určiť si zástupcu na území Slovenskej republiky alebo na území členského štátu Európskej únie, v ktorom tiež poskytuje služby alebo vykonáva činnosti. Taktiež sa upravuje spolupráca Národného bezpečnostného úradu s príslušnými orgánmi členských štátov Európskej únie vo vzťahu ku subjektom, u ktorých dochádza k cezhraničnému poskytovaniu niektorých služieb. Takéto subjekty majú povinnosť hlásiť prostredníctvom jednotného informačného systému kybernetickej bezpečnosti určité požadované údaje a taktiež hlásiť zmeny týchto údajov. Národný bezpečnostný úrad následne oznamuje vybrané údaje Agentúre Európskej únie pre kybernetickú bezpečnosť na účely vedenia registra poskytovateľov služieb DNS, správcov TLD, subjektov poskytujúcich služby registrácie názvov domén, poskytovateľov služieb cloud computingu, poskytovateľov služieb dátového centra, poskytovateľov sietí na sprístupňovanie obsahu, poskytovateľov riadených služieb, poskytovateľov riadených bezpečnostných služieb, ako aj poskytovateľov online trhov, internetových vyhľadávačov a platforiem služieb sociálnych sietí.</w:t>
      </w:r>
    </w:p>
    <w:p w14:paraId="7DBF7B62" w14:textId="78A8D185"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V § 22 zákona sa ustanovuje pre osoby, ktoré zabezpečujú správu TLD a pre osoby, ktoré poskytujú služby registrácie názvov domén povinnosť viesť osobitnú evidenciu registračných údajov názvu domény, povinnosť prijať vnútorné predpisy a zaviesť osobitné postupy na zabezpečenie overovania údajov predkladaných pri registrácii názvov domén, povinnosť vybrané údaje zverejňovať a povinnosti v súvislosti s poskytovaním vybraných údajov orgánom verejnej moci</w:t>
      </w:r>
    </w:p>
    <w:p w14:paraId="35ED4C73" w14:textId="77777777" w:rsidR="007132A2" w:rsidRPr="00507E84" w:rsidRDefault="007132A2" w:rsidP="007132A2">
      <w:pPr>
        <w:spacing w:after="0"/>
        <w:jc w:val="both"/>
        <w:rPr>
          <w:rFonts w:ascii="Times New Roman" w:hAnsi="Times New Roman" w:cs="Times New Roman"/>
          <w:b/>
          <w:sz w:val="24"/>
          <w:szCs w:val="24"/>
        </w:rPr>
      </w:pPr>
    </w:p>
    <w:p w14:paraId="6B9A9657" w14:textId="7F7ADAFC"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141E7B" w:rsidRPr="00507E84">
        <w:rPr>
          <w:rFonts w:ascii="Times New Roman" w:hAnsi="Times New Roman" w:cs="Times New Roman"/>
          <w:b/>
          <w:sz w:val="24"/>
          <w:szCs w:val="24"/>
        </w:rPr>
        <w:t>55</w:t>
      </w:r>
    </w:p>
    <w:p w14:paraId="24867B26" w14:textId="0E07A69B" w:rsidR="007132A2" w:rsidRPr="00507E84" w:rsidRDefault="00817127"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w:t>
      </w:r>
      <w:r w:rsidR="007132A2" w:rsidRPr="00507E84">
        <w:rPr>
          <w:rFonts w:ascii="Times New Roman" w:hAnsi="Times New Roman" w:cs="Times New Roman"/>
          <w:sz w:val="24"/>
          <w:szCs w:val="24"/>
        </w:rPr>
        <w:t>technická úprava súvisiaca s vypustením poskytovateľa digitálnej služby.</w:t>
      </w:r>
    </w:p>
    <w:p w14:paraId="562F17E0" w14:textId="77777777" w:rsidR="007132A2" w:rsidRPr="00507E84" w:rsidRDefault="007132A2" w:rsidP="007132A2">
      <w:pPr>
        <w:spacing w:after="0"/>
        <w:jc w:val="both"/>
        <w:rPr>
          <w:rFonts w:ascii="Times New Roman" w:hAnsi="Times New Roman" w:cs="Times New Roman"/>
          <w:b/>
          <w:sz w:val="24"/>
          <w:szCs w:val="24"/>
        </w:rPr>
      </w:pPr>
    </w:p>
    <w:p w14:paraId="67B3D99E" w14:textId="272FF959"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141E7B" w:rsidRPr="00507E84">
        <w:rPr>
          <w:rFonts w:ascii="Times New Roman" w:hAnsi="Times New Roman" w:cs="Times New Roman"/>
          <w:b/>
          <w:sz w:val="24"/>
          <w:szCs w:val="24"/>
        </w:rPr>
        <w:t>56</w:t>
      </w:r>
    </w:p>
    <w:p w14:paraId="79B07C27" w14:textId="09917D11"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Povinnosť prevádzkovateľa základnej služby hlásiť všetky závažné kybernetické incidenty zostáva nezmenená oproti predchádzajúcej právnej úprave. V § 24 ods. 2 zákona sa však mení </w:t>
      </w:r>
      <w:r w:rsidRPr="00507E84">
        <w:rPr>
          <w:rFonts w:ascii="Times New Roman" w:hAnsi="Times New Roman" w:cs="Times New Roman"/>
          <w:sz w:val="24"/>
          <w:szCs w:val="24"/>
        </w:rPr>
        <w:lastRenderedPageBreak/>
        <w:t>definícia závažného kybernetického incidentu. Zrušilo sa delenie závažných kybernetických incidentov na kategórie. V § 24 ods. 3 sa ustanovuje spôsob hlásenia kybernetického bezpečnostného incidentu, prostredníctvom jednotného informačného systému kybernetickej bezpečnosti, pričom sa určujú lehoty na hlásenie kybernetického bezpečnostného incidentu v súlade so smernicou NIS2. Dopĺňa sa prevádzkovateľovi základnej služby povinnosť hlásiť okrem závažných kybernetických incidentov aj povinnosť hlásiť významnú kybernetickú hrozbu, udalosť odvrátenú na poslednú chvíľu, ktorá mohla spôsobiť závažný kybernetický incident a zraniteľnosť ním prevádzkovaných verejne dostupných sietí a informačných systémov, ktorá podľa dostupných informácií a technických znalostí by mohla byť zneužitá na spôsobenie závažného kybernetického incidentu a prevádzkovateľ základnej služby nemohol v primeranom čase prijať opatrenia na jej odstránenie alebo zníženie rizika. Prevádzkovateľovi základnej služby a iným osobám, a to aj nad rozsah povinného hlásenia, sa umožňuje dobrovoľne hlásiť kybernetické bezpečnostné incidenty, kybernetické hrozby a udalosti odvrátené na poslednú chvíľu.</w:t>
      </w:r>
    </w:p>
    <w:p w14:paraId="2D77A6B4" w14:textId="7A7C36B0" w:rsidR="00C31C8A" w:rsidRPr="00507E84" w:rsidRDefault="00C31C8A"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Navrhovaná povinnosť </w:t>
      </w:r>
      <w:r w:rsidR="004C1FAF" w:rsidRPr="00507E84">
        <w:rPr>
          <w:rFonts w:ascii="Times New Roman" w:hAnsi="Times New Roman" w:cs="Times New Roman"/>
          <w:sz w:val="24"/>
          <w:szCs w:val="24"/>
        </w:rPr>
        <w:t xml:space="preserve">podľa odseku 8 </w:t>
      </w:r>
      <w:r w:rsidRPr="00507E84">
        <w:rPr>
          <w:rFonts w:ascii="Times New Roman" w:hAnsi="Times New Roman" w:cs="Times New Roman"/>
          <w:sz w:val="24"/>
          <w:szCs w:val="24"/>
        </w:rPr>
        <w:t xml:space="preserve">prevádzkovateľa základnej služby, na ktorého sa vzťahuje nariadenie (EÚ) 2022/2554, plní povinnosť podľa odseku 1, prostredníctvom príslušného orgánu, za ktorý sa považuje Národná banka Slovenska, úradu v rozsahu a v lehotách ustanovených v nariadení (EÚ) 2022/2554. Cieľom tohto ustanovenia je akceptovať, že nariadenie (EÚ) 2022/2554 je lex specialis voči smernici NIS 2 a ak si prevádzkovateľ základnej služby plní povinnosť podľa tohto nariadenia, plní si túto povinnosť len raz prostredníctvom Národnej banky Slovenska, ktorej skutočnosti prevádzkovateľ základnej služby hlási. Cieľom navrhovanej úpravy je, aby si prevádzkovateľ plnil túto povinnosť len raz, ale </w:t>
      </w:r>
      <w:r w:rsidR="00513D83" w:rsidRPr="00507E84">
        <w:rPr>
          <w:rFonts w:ascii="Times New Roman" w:hAnsi="Times New Roman" w:cs="Times New Roman"/>
          <w:sz w:val="24"/>
          <w:szCs w:val="24"/>
        </w:rPr>
        <w:t>zároveň, a</w:t>
      </w:r>
      <w:r w:rsidRPr="00507E84">
        <w:rPr>
          <w:rFonts w:ascii="Times New Roman" w:hAnsi="Times New Roman" w:cs="Times New Roman"/>
          <w:sz w:val="24"/>
          <w:szCs w:val="24"/>
        </w:rPr>
        <w:t>by Národný bezpečnostný úrad, ako regulátor v oblasti kybernetickej bezpečnosti, mal relevantné informácie v danej oblasti</w:t>
      </w:r>
      <w:r w:rsidR="00513D83" w:rsidRPr="00507E84">
        <w:rPr>
          <w:rFonts w:ascii="Times New Roman" w:hAnsi="Times New Roman" w:cs="Times New Roman"/>
          <w:sz w:val="24"/>
          <w:szCs w:val="24"/>
        </w:rPr>
        <w:t xml:space="preserve"> nevyhnutné pre riešenie kybernetického bezpečnostného incidentu</w:t>
      </w:r>
      <w:r w:rsidRPr="00507E84">
        <w:rPr>
          <w:rFonts w:ascii="Times New Roman" w:hAnsi="Times New Roman" w:cs="Times New Roman"/>
          <w:sz w:val="24"/>
          <w:szCs w:val="24"/>
        </w:rPr>
        <w:t>. Cieľom návrhu zá</w:t>
      </w:r>
      <w:r w:rsidR="004C1FAF" w:rsidRPr="00507E84">
        <w:rPr>
          <w:rFonts w:ascii="Times New Roman" w:hAnsi="Times New Roman" w:cs="Times New Roman"/>
          <w:sz w:val="24"/>
          <w:szCs w:val="24"/>
        </w:rPr>
        <w:t>kona je odstránenie duplicity</w:t>
      </w:r>
      <w:r w:rsidRPr="00507E84">
        <w:rPr>
          <w:rFonts w:ascii="Times New Roman" w:hAnsi="Times New Roman" w:cs="Times New Roman"/>
          <w:sz w:val="24"/>
          <w:szCs w:val="24"/>
        </w:rPr>
        <w:t xml:space="preserve"> podľa nariadenia (EÚ) 2022/2554 a smernice NIS 2. </w:t>
      </w:r>
    </w:p>
    <w:p w14:paraId="780E4BCC" w14:textId="77777777" w:rsidR="00C31C8A" w:rsidRPr="00507E84" w:rsidRDefault="00C31C8A" w:rsidP="007132A2">
      <w:pPr>
        <w:spacing w:after="0"/>
        <w:jc w:val="both"/>
        <w:rPr>
          <w:rFonts w:ascii="Times New Roman" w:hAnsi="Times New Roman" w:cs="Times New Roman"/>
          <w:sz w:val="24"/>
          <w:szCs w:val="24"/>
        </w:rPr>
      </w:pPr>
    </w:p>
    <w:p w14:paraId="19153732" w14:textId="3DDD4A51"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w:t>
      </w:r>
      <w:r w:rsidR="00141E7B" w:rsidRPr="00507E84">
        <w:rPr>
          <w:rFonts w:ascii="Times New Roman" w:hAnsi="Times New Roman" w:cs="Times New Roman"/>
          <w:b/>
          <w:sz w:val="24"/>
          <w:szCs w:val="24"/>
        </w:rPr>
        <w:t> </w:t>
      </w:r>
      <w:r w:rsidRPr="00507E84">
        <w:rPr>
          <w:rFonts w:ascii="Times New Roman" w:hAnsi="Times New Roman" w:cs="Times New Roman"/>
          <w:b/>
          <w:sz w:val="24"/>
          <w:szCs w:val="24"/>
        </w:rPr>
        <w:t>bodom</w:t>
      </w:r>
      <w:r w:rsidR="00141E7B" w:rsidRPr="00507E84">
        <w:rPr>
          <w:rFonts w:ascii="Times New Roman" w:hAnsi="Times New Roman" w:cs="Times New Roman"/>
          <w:b/>
          <w:sz w:val="24"/>
          <w:szCs w:val="24"/>
        </w:rPr>
        <w:t xml:space="preserve"> 57 a 58</w:t>
      </w:r>
      <w:r w:rsidRPr="00507E84">
        <w:rPr>
          <w:rFonts w:ascii="Times New Roman" w:hAnsi="Times New Roman" w:cs="Times New Roman"/>
          <w:b/>
          <w:sz w:val="24"/>
          <w:szCs w:val="24"/>
        </w:rPr>
        <w:t xml:space="preserve"> </w:t>
      </w:r>
    </w:p>
    <w:p w14:paraId="5DF3272C" w14:textId="06D0F2BA"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Legislatívnotechnická úprava.</w:t>
      </w:r>
    </w:p>
    <w:p w14:paraId="5432A1B1" w14:textId="77777777" w:rsidR="007132A2" w:rsidRPr="00507E84" w:rsidRDefault="007132A2" w:rsidP="007132A2">
      <w:pPr>
        <w:spacing w:after="0"/>
        <w:jc w:val="both"/>
        <w:rPr>
          <w:rFonts w:ascii="Times New Roman" w:hAnsi="Times New Roman" w:cs="Times New Roman"/>
          <w:b/>
          <w:sz w:val="24"/>
          <w:szCs w:val="24"/>
        </w:rPr>
      </w:pPr>
    </w:p>
    <w:p w14:paraId="3571F3EB" w14:textId="18FC715C"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141E7B" w:rsidRPr="00507E84">
        <w:rPr>
          <w:rFonts w:ascii="Times New Roman" w:hAnsi="Times New Roman" w:cs="Times New Roman"/>
          <w:b/>
          <w:sz w:val="24"/>
          <w:szCs w:val="24"/>
        </w:rPr>
        <w:t>59</w:t>
      </w:r>
    </w:p>
    <w:p w14:paraId="6FA7586F" w14:textId="01CCA04F"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Vypustenie ustanovení </w:t>
      </w:r>
      <w:r w:rsidR="00C351BA" w:rsidRPr="00507E84">
        <w:rPr>
          <w:rFonts w:ascii="Times New Roman" w:hAnsi="Times New Roman" w:cs="Times New Roman"/>
          <w:sz w:val="24"/>
          <w:szCs w:val="24"/>
        </w:rPr>
        <w:t xml:space="preserve">§ 25 a 26 vyplýva </w:t>
      </w:r>
      <w:r w:rsidRPr="00507E84">
        <w:rPr>
          <w:rFonts w:ascii="Times New Roman" w:hAnsi="Times New Roman" w:cs="Times New Roman"/>
          <w:sz w:val="24"/>
          <w:szCs w:val="24"/>
        </w:rPr>
        <w:t>z dôvodu transpozície smernice NIS</w:t>
      </w:r>
      <w:r w:rsidR="00C632F1" w:rsidRPr="00507E84">
        <w:rPr>
          <w:rFonts w:ascii="Times New Roman" w:hAnsi="Times New Roman" w:cs="Times New Roman"/>
          <w:sz w:val="24"/>
          <w:szCs w:val="24"/>
        </w:rPr>
        <w:t xml:space="preserve"> </w:t>
      </w:r>
      <w:r w:rsidRPr="00507E84">
        <w:rPr>
          <w:rFonts w:ascii="Times New Roman" w:hAnsi="Times New Roman" w:cs="Times New Roman"/>
          <w:sz w:val="24"/>
          <w:szCs w:val="24"/>
        </w:rPr>
        <w:t>2.</w:t>
      </w:r>
    </w:p>
    <w:p w14:paraId="01F880E8" w14:textId="77777777" w:rsidR="007132A2" w:rsidRPr="00507E84" w:rsidRDefault="007132A2" w:rsidP="007132A2">
      <w:pPr>
        <w:spacing w:after="0"/>
        <w:jc w:val="both"/>
        <w:rPr>
          <w:rFonts w:ascii="Times New Roman" w:hAnsi="Times New Roman" w:cs="Times New Roman"/>
          <w:b/>
          <w:sz w:val="24"/>
          <w:szCs w:val="24"/>
        </w:rPr>
      </w:pPr>
    </w:p>
    <w:p w14:paraId="3575EB05" w14:textId="33302D34"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bodom </w:t>
      </w:r>
      <w:r w:rsidR="00141E7B" w:rsidRPr="00507E84">
        <w:rPr>
          <w:rFonts w:ascii="Times New Roman" w:hAnsi="Times New Roman" w:cs="Times New Roman"/>
          <w:b/>
          <w:sz w:val="24"/>
          <w:szCs w:val="24"/>
        </w:rPr>
        <w:t>60 až 64</w:t>
      </w:r>
    </w:p>
    <w:p w14:paraId="07C5F524" w14:textId="5A42FBEE"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Úprava problematiky reakcie na kybernetické bezpečnostné incidenty a kybernetické hrozby a</w:t>
      </w:r>
      <w:r w:rsidR="00D63126" w:rsidRPr="00507E84">
        <w:rPr>
          <w:rFonts w:ascii="Times New Roman" w:hAnsi="Times New Roman" w:cs="Times New Roman"/>
          <w:sz w:val="24"/>
          <w:szCs w:val="24"/>
        </w:rPr>
        <w:t> </w:t>
      </w:r>
      <w:r w:rsidRPr="00507E84">
        <w:rPr>
          <w:rFonts w:ascii="Times New Roman" w:hAnsi="Times New Roman" w:cs="Times New Roman"/>
          <w:sz w:val="24"/>
          <w:szCs w:val="24"/>
        </w:rPr>
        <w:t>ich riešenie v súlade so smernicou NIS</w:t>
      </w:r>
      <w:r w:rsidR="00C632F1" w:rsidRPr="00507E84">
        <w:rPr>
          <w:rFonts w:ascii="Times New Roman" w:hAnsi="Times New Roman" w:cs="Times New Roman"/>
          <w:sz w:val="24"/>
          <w:szCs w:val="24"/>
        </w:rPr>
        <w:t xml:space="preserve"> </w:t>
      </w:r>
      <w:r w:rsidRPr="00507E84">
        <w:rPr>
          <w:rFonts w:ascii="Times New Roman" w:hAnsi="Times New Roman" w:cs="Times New Roman"/>
          <w:sz w:val="24"/>
          <w:szCs w:val="24"/>
        </w:rPr>
        <w:t>2.</w:t>
      </w:r>
    </w:p>
    <w:p w14:paraId="505A13C9" w14:textId="07A48A15" w:rsidR="007132A2" w:rsidRPr="00507E84" w:rsidRDefault="007132A2" w:rsidP="007132A2">
      <w:pPr>
        <w:spacing w:after="0"/>
        <w:jc w:val="both"/>
        <w:rPr>
          <w:rFonts w:ascii="Times New Roman" w:hAnsi="Times New Roman" w:cs="Times New Roman"/>
          <w:b/>
          <w:sz w:val="24"/>
          <w:szCs w:val="24"/>
        </w:rPr>
      </w:pPr>
    </w:p>
    <w:p w14:paraId="4E51EDD7" w14:textId="309B8053" w:rsidR="00FE1E94" w:rsidRPr="00507E84" w:rsidRDefault="00141E7B"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bodom 65 a 66</w:t>
      </w:r>
    </w:p>
    <w:p w14:paraId="42888402" w14:textId="4639E95F" w:rsidR="00980B8A" w:rsidRPr="00507E84" w:rsidRDefault="00980B8A" w:rsidP="007132A2">
      <w:pPr>
        <w:spacing w:after="0"/>
        <w:jc w:val="both"/>
        <w:rPr>
          <w:rFonts w:ascii="Times New Roman" w:hAnsi="Times New Roman" w:cs="Times New Roman"/>
          <w:bCs/>
          <w:sz w:val="24"/>
          <w:szCs w:val="24"/>
        </w:rPr>
      </w:pPr>
      <w:r w:rsidRPr="00507E84">
        <w:rPr>
          <w:rFonts w:ascii="Times New Roman" w:hAnsi="Times New Roman" w:cs="Times New Roman"/>
          <w:bCs/>
          <w:sz w:val="24"/>
          <w:szCs w:val="24"/>
        </w:rPr>
        <w:t>Keďže došlo k zrušeniu jednotlivých kategórií závažného kybernetického bezpečnostného incidentu, je potrebné upraviť aj príslušné ustanovenia týkajúce sa spolupráce s orgánmi, ktoré majú v regulácii obranu kybernetického priestoru, konkrétne s Ministerstvom obrany Slovenskej republiky, resp. Vojenským spravodajstvom. V texte dochádza k vypusteniu kybernetického bezpečnostného incidentu kategórie tretieho (III) stupňa a poskytovateľa digitálnej služby.</w:t>
      </w:r>
    </w:p>
    <w:p w14:paraId="4882DA9F" w14:textId="77777777" w:rsidR="00980B8A" w:rsidRPr="00507E84" w:rsidRDefault="00980B8A" w:rsidP="007132A2">
      <w:pPr>
        <w:spacing w:after="0"/>
        <w:jc w:val="both"/>
        <w:rPr>
          <w:rFonts w:ascii="Times New Roman" w:hAnsi="Times New Roman" w:cs="Times New Roman"/>
          <w:bCs/>
          <w:sz w:val="24"/>
          <w:szCs w:val="24"/>
        </w:rPr>
      </w:pPr>
    </w:p>
    <w:p w14:paraId="2DBE8D8E" w14:textId="29A8ED94" w:rsidR="00980B8A" w:rsidRPr="00507E84" w:rsidRDefault="00980B8A" w:rsidP="007132A2">
      <w:pPr>
        <w:spacing w:after="0"/>
        <w:jc w:val="both"/>
        <w:rPr>
          <w:rFonts w:ascii="Times New Roman" w:hAnsi="Times New Roman" w:cs="Times New Roman"/>
          <w:bCs/>
          <w:sz w:val="24"/>
          <w:szCs w:val="24"/>
        </w:rPr>
      </w:pPr>
      <w:r w:rsidRPr="00507E84">
        <w:rPr>
          <w:rFonts w:ascii="Times New Roman" w:hAnsi="Times New Roman" w:cs="Times New Roman"/>
          <w:bCs/>
          <w:sz w:val="24"/>
          <w:szCs w:val="24"/>
        </w:rPr>
        <w:t xml:space="preserve">V rámci novej kompetencie úradu v oblasti vyhlasovania stavu kybernetickej krízy je nutné upraviť celý proces tak, aby nedochádzalo k zamieňaniu tohto stavu s vyhlasovaním ústavného </w:t>
      </w:r>
      <w:r w:rsidRPr="00507E84">
        <w:rPr>
          <w:rFonts w:ascii="Times New Roman" w:hAnsi="Times New Roman" w:cs="Times New Roman"/>
          <w:bCs/>
          <w:sz w:val="24"/>
          <w:szCs w:val="24"/>
        </w:rPr>
        <w:lastRenderedPageBreak/>
        <w:t>stavu</w:t>
      </w:r>
      <w:r w:rsidR="00F94BE4" w:rsidRPr="00507E84">
        <w:rPr>
          <w:rFonts w:ascii="Times New Roman" w:hAnsi="Times New Roman" w:cs="Times New Roman"/>
          <w:bCs/>
          <w:sz w:val="24"/>
          <w:szCs w:val="24"/>
        </w:rPr>
        <w:t>. Ustanovujú sa postupy pred samotným vyhlásením stavu kybernetickej krízy, informačná povinnosť zo strany úradu voči zainteresovaným subjektom ako aj postupy jeho odvolania. Všetky opatrenia a činnosti vykonávané v stave kybernetickej krízy vychádzajú z dokumentu, ktorý schvaľuje vláda Slovenskej republiky – Národný plán reakcie na kybernetické bezpečnostné incidenty a krízy.</w:t>
      </w:r>
    </w:p>
    <w:p w14:paraId="456502DB" w14:textId="77777777" w:rsidR="00980B8A" w:rsidRPr="00507E84" w:rsidRDefault="00980B8A" w:rsidP="007132A2">
      <w:pPr>
        <w:spacing w:after="0"/>
        <w:jc w:val="both"/>
        <w:rPr>
          <w:rFonts w:ascii="Times New Roman" w:hAnsi="Times New Roman" w:cs="Times New Roman"/>
          <w:b/>
          <w:sz w:val="24"/>
          <w:szCs w:val="24"/>
        </w:rPr>
      </w:pPr>
    </w:p>
    <w:p w14:paraId="2AB5D838" w14:textId="682AB14F"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w:t>
      </w:r>
      <w:r w:rsidR="0028073E" w:rsidRPr="00507E84">
        <w:rPr>
          <w:rFonts w:ascii="Times New Roman" w:hAnsi="Times New Roman" w:cs="Times New Roman"/>
          <w:b/>
          <w:sz w:val="24"/>
          <w:szCs w:val="24"/>
        </w:rPr>
        <w:t>om</w:t>
      </w:r>
      <w:r w:rsidRPr="00507E84">
        <w:rPr>
          <w:rFonts w:ascii="Times New Roman" w:hAnsi="Times New Roman" w:cs="Times New Roman"/>
          <w:b/>
          <w:sz w:val="24"/>
          <w:szCs w:val="24"/>
        </w:rPr>
        <w:t xml:space="preserve"> </w:t>
      </w:r>
      <w:r w:rsidR="00141E7B" w:rsidRPr="00507E84">
        <w:rPr>
          <w:rFonts w:ascii="Times New Roman" w:hAnsi="Times New Roman" w:cs="Times New Roman"/>
          <w:b/>
          <w:sz w:val="24"/>
          <w:szCs w:val="24"/>
        </w:rPr>
        <w:t>67</w:t>
      </w:r>
      <w:r w:rsidR="0028073E" w:rsidRPr="00507E84">
        <w:rPr>
          <w:rFonts w:ascii="Times New Roman" w:hAnsi="Times New Roman" w:cs="Times New Roman"/>
          <w:b/>
          <w:sz w:val="24"/>
          <w:szCs w:val="24"/>
        </w:rPr>
        <w:t xml:space="preserve"> a 69</w:t>
      </w:r>
    </w:p>
    <w:p w14:paraId="1BF08CBB" w14:textId="27C499E8" w:rsidR="0028073E" w:rsidRPr="00507E84" w:rsidRDefault="0028073E" w:rsidP="0028073E">
      <w:pPr>
        <w:spacing w:after="0"/>
        <w:jc w:val="both"/>
        <w:rPr>
          <w:rFonts w:ascii="Times New Roman" w:hAnsi="Times New Roman" w:cs="Times New Roman"/>
          <w:b/>
          <w:sz w:val="24"/>
          <w:szCs w:val="24"/>
        </w:rPr>
      </w:pPr>
      <w:r w:rsidRPr="00507E84">
        <w:rPr>
          <w:rFonts w:ascii="Times New Roman" w:hAnsi="Times New Roman" w:cs="Times New Roman"/>
          <w:sz w:val="24"/>
          <w:szCs w:val="24"/>
        </w:rPr>
        <w:t>Legislatívnotechnická úprava súvisiaca s vypustením pojmu „základná služba“ zo zákona, ktorá vyplýva zo smernice NIS 2.</w:t>
      </w:r>
    </w:p>
    <w:p w14:paraId="696C0607" w14:textId="5D7C075C" w:rsidR="0028073E" w:rsidRPr="00507E84" w:rsidRDefault="0028073E" w:rsidP="007132A2">
      <w:pPr>
        <w:spacing w:after="0"/>
        <w:jc w:val="both"/>
        <w:rPr>
          <w:rFonts w:ascii="Times New Roman" w:hAnsi="Times New Roman" w:cs="Times New Roman"/>
          <w:b/>
          <w:sz w:val="24"/>
          <w:szCs w:val="24"/>
        </w:rPr>
      </w:pPr>
    </w:p>
    <w:p w14:paraId="7A333C7E" w14:textId="3E9FF3B9" w:rsidR="0028073E" w:rsidRPr="00507E84" w:rsidRDefault="0028073E"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bodu 68</w:t>
      </w:r>
    </w:p>
    <w:p w14:paraId="1D3499CA" w14:textId="77777777"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Vypustenie ustanovenia z dôvodu aplikačnej praxe.</w:t>
      </w:r>
    </w:p>
    <w:p w14:paraId="05FC8BC4" w14:textId="77777777" w:rsidR="007132A2" w:rsidRPr="00507E84" w:rsidRDefault="007132A2" w:rsidP="007132A2">
      <w:pPr>
        <w:spacing w:after="0"/>
        <w:jc w:val="both"/>
        <w:rPr>
          <w:rFonts w:ascii="Times New Roman" w:hAnsi="Times New Roman" w:cs="Times New Roman"/>
          <w:sz w:val="24"/>
          <w:szCs w:val="24"/>
        </w:rPr>
      </w:pPr>
    </w:p>
    <w:p w14:paraId="448A8637" w14:textId="48E10601"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28073E" w:rsidRPr="00507E84">
        <w:rPr>
          <w:rFonts w:ascii="Times New Roman" w:hAnsi="Times New Roman" w:cs="Times New Roman"/>
          <w:b/>
          <w:sz w:val="24"/>
          <w:szCs w:val="24"/>
        </w:rPr>
        <w:t>70</w:t>
      </w:r>
    </w:p>
    <w:p w14:paraId="114BC5AC" w14:textId="01291594"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Legislatívnotechnická úprava súvisiaca so zmenou</w:t>
      </w:r>
      <w:r w:rsidR="00FE1E94" w:rsidRPr="00507E84">
        <w:rPr>
          <w:rFonts w:ascii="Times New Roman" w:hAnsi="Times New Roman" w:cs="Times New Roman"/>
          <w:sz w:val="24"/>
          <w:szCs w:val="24"/>
        </w:rPr>
        <w:t xml:space="preserve"> návrhu zákona spočívajúca v skutočnosti,</w:t>
      </w:r>
      <w:r w:rsidRPr="00507E84">
        <w:rPr>
          <w:rFonts w:ascii="Times New Roman" w:hAnsi="Times New Roman" w:cs="Times New Roman"/>
          <w:sz w:val="24"/>
          <w:szCs w:val="24"/>
        </w:rPr>
        <w:t xml:space="preserve"> že kontrola je upravená v rámci dohľadu.</w:t>
      </w:r>
    </w:p>
    <w:p w14:paraId="22EB1B39" w14:textId="77777777" w:rsidR="007132A2" w:rsidRPr="00507E84" w:rsidRDefault="007132A2" w:rsidP="007132A2">
      <w:pPr>
        <w:spacing w:after="0"/>
        <w:jc w:val="both"/>
        <w:rPr>
          <w:rFonts w:ascii="Times New Roman" w:hAnsi="Times New Roman" w:cs="Times New Roman"/>
          <w:b/>
          <w:sz w:val="24"/>
          <w:szCs w:val="24"/>
        </w:rPr>
      </w:pPr>
    </w:p>
    <w:p w14:paraId="420CABC7" w14:textId="32B53DDF" w:rsidR="0004086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w:t>
      </w:r>
      <w:r w:rsidR="00141E7B" w:rsidRPr="00507E84">
        <w:rPr>
          <w:rFonts w:ascii="Times New Roman" w:hAnsi="Times New Roman" w:cs="Times New Roman"/>
          <w:b/>
          <w:sz w:val="24"/>
          <w:szCs w:val="24"/>
        </w:rPr>
        <w:t> </w:t>
      </w:r>
      <w:r w:rsidRPr="00507E84">
        <w:rPr>
          <w:rFonts w:ascii="Times New Roman" w:hAnsi="Times New Roman" w:cs="Times New Roman"/>
          <w:b/>
          <w:sz w:val="24"/>
          <w:szCs w:val="24"/>
        </w:rPr>
        <w:t>bod</w:t>
      </w:r>
      <w:r w:rsidR="00040862" w:rsidRPr="00507E84">
        <w:rPr>
          <w:rFonts w:ascii="Times New Roman" w:hAnsi="Times New Roman" w:cs="Times New Roman"/>
          <w:b/>
          <w:sz w:val="24"/>
          <w:szCs w:val="24"/>
        </w:rPr>
        <w:t>u</w:t>
      </w:r>
      <w:r w:rsidR="00141E7B" w:rsidRPr="00507E84">
        <w:rPr>
          <w:rFonts w:ascii="Times New Roman" w:hAnsi="Times New Roman" w:cs="Times New Roman"/>
          <w:b/>
          <w:sz w:val="24"/>
          <w:szCs w:val="24"/>
        </w:rPr>
        <w:t xml:space="preserve"> </w:t>
      </w:r>
      <w:r w:rsidR="0028073E" w:rsidRPr="00507E84">
        <w:rPr>
          <w:rFonts w:ascii="Times New Roman" w:hAnsi="Times New Roman" w:cs="Times New Roman"/>
          <w:b/>
          <w:sz w:val="24"/>
          <w:szCs w:val="24"/>
        </w:rPr>
        <w:t>71</w:t>
      </w:r>
    </w:p>
    <w:p w14:paraId="1CB2CD5A" w14:textId="2C870077" w:rsidR="00040862" w:rsidRPr="00507E84" w:rsidRDefault="002238AD" w:rsidP="007132A2">
      <w:pPr>
        <w:spacing w:after="0"/>
        <w:jc w:val="both"/>
        <w:rPr>
          <w:rFonts w:ascii="Times New Roman" w:hAnsi="Times New Roman" w:cs="Times New Roman"/>
          <w:b/>
          <w:sz w:val="24"/>
          <w:szCs w:val="24"/>
        </w:rPr>
      </w:pPr>
      <w:r w:rsidRPr="00507E84">
        <w:rPr>
          <w:rFonts w:ascii="Times New Roman" w:hAnsi="Times New Roman" w:cs="Times New Roman"/>
          <w:bCs/>
          <w:sz w:val="24"/>
          <w:szCs w:val="24"/>
        </w:rPr>
        <w:t xml:space="preserve">Samohodnotenie, ako spôsob preverenia účinnosti prijatých bezpečnostných opatrení pre </w:t>
      </w:r>
      <w:r w:rsidR="0078265B" w:rsidRPr="00507E84">
        <w:rPr>
          <w:rFonts w:ascii="Times New Roman" w:hAnsi="Times New Roman" w:cs="Times New Roman"/>
          <w:bCs/>
          <w:sz w:val="24"/>
          <w:szCs w:val="24"/>
        </w:rPr>
        <w:t>určené</w:t>
      </w:r>
      <w:r w:rsidRPr="00507E84">
        <w:rPr>
          <w:rFonts w:ascii="Times New Roman" w:hAnsi="Times New Roman" w:cs="Times New Roman"/>
          <w:bCs/>
          <w:sz w:val="24"/>
          <w:szCs w:val="24"/>
        </w:rPr>
        <w:t xml:space="preserve"> siete a informačné systémy sa počas prechodného obdobia, do konca roka 2023, osvedčilo a tento inštitút sa tak zavádza natrvalo. Podmienkou je, aby išlo o prevádzkovateľa základnej služby, ktorý neprevádzkuje kritickú základnú službu. </w:t>
      </w:r>
    </w:p>
    <w:p w14:paraId="199A041B" w14:textId="77777777" w:rsidR="00A15DA0" w:rsidRPr="00507E84" w:rsidRDefault="00A15DA0" w:rsidP="007132A2">
      <w:pPr>
        <w:spacing w:after="0"/>
        <w:jc w:val="both"/>
        <w:rPr>
          <w:rFonts w:ascii="Times New Roman" w:hAnsi="Times New Roman" w:cs="Times New Roman"/>
          <w:b/>
          <w:sz w:val="24"/>
          <w:szCs w:val="24"/>
        </w:rPr>
      </w:pPr>
    </w:p>
    <w:p w14:paraId="5764BED3" w14:textId="6E13665B" w:rsidR="00040862" w:rsidRPr="00507E84" w:rsidRDefault="00141E7B"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bodu 7</w:t>
      </w:r>
      <w:r w:rsidR="0028073E" w:rsidRPr="00507E84">
        <w:rPr>
          <w:rFonts w:ascii="Times New Roman" w:hAnsi="Times New Roman" w:cs="Times New Roman"/>
          <w:b/>
          <w:sz w:val="24"/>
          <w:szCs w:val="24"/>
        </w:rPr>
        <w:t>2</w:t>
      </w:r>
    </w:p>
    <w:p w14:paraId="135E8910" w14:textId="31D84209" w:rsidR="00040862" w:rsidRPr="00507E84" w:rsidRDefault="00817127" w:rsidP="007132A2">
      <w:pPr>
        <w:spacing w:after="0"/>
        <w:jc w:val="both"/>
        <w:rPr>
          <w:rFonts w:ascii="Times New Roman" w:hAnsi="Times New Roman" w:cs="Times New Roman"/>
          <w:bCs/>
          <w:sz w:val="24"/>
          <w:szCs w:val="24"/>
        </w:rPr>
      </w:pPr>
      <w:r w:rsidRPr="00507E84">
        <w:rPr>
          <w:rFonts w:ascii="Times New Roman" w:hAnsi="Times New Roman" w:cs="Times New Roman"/>
          <w:bCs/>
          <w:sz w:val="24"/>
          <w:szCs w:val="24"/>
        </w:rPr>
        <w:t>Legislatívno</w:t>
      </w:r>
      <w:r w:rsidR="0078265B" w:rsidRPr="00507E84">
        <w:rPr>
          <w:rFonts w:ascii="Times New Roman" w:hAnsi="Times New Roman" w:cs="Times New Roman"/>
          <w:bCs/>
          <w:sz w:val="24"/>
          <w:szCs w:val="24"/>
        </w:rPr>
        <w:t xml:space="preserve">technická úprava, z dôvodu vypustenia klasifikácie informácií a kategorizácie sietí a informačného systému zo zákona. Uvedené je plnohodnotne nahradené povinnosťou vykonať analýzu rizík. </w:t>
      </w:r>
    </w:p>
    <w:p w14:paraId="3767A0B2" w14:textId="1D8CAD06" w:rsidR="00040862" w:rsidRPr="00507E84" w:rsidRDefault="00040862" w:rsidP="007132A2">
      <w:pPr>
        <w:spacing w:after="0"/>
        <w:jc w:val="both"/>
        <w:rPr>
          <w:rFonts w:ascii="Times New Roman" w:hAnsi="Times New Roman" w:cs="Times New Roman"/>
          <w:b/>
          <w:sz w:val="24"/>
          <w:szCs w:val="24"/>
        </w:rPr>
      </w:pPr>
    </w:p>
    <w:p w14:paraId="38D68949" w14:textId="794AA2CC" w:rsidR="00040862" w:rsidRPr="00507E84" w:rsidRDefault="00141E7B"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bodu 7</w:t>
      </w:r>
      <w:r w:rsidR="0028073E" w:rsidRPr="00507E84">
        <w:rPr>
          <w:rFonts w:ascii="Times New Roman" w:hAnsi="Times New Roman" w:cs="Times New Roman"/>
          <w:b/>
          <w:sz w:val="24"/>
          <w:szCs w:val="24"/>
        </w:rPr>
        <w:t>3</w:t>
      </w:r>
    </w:p>
    <w:p w14:paraId="3CC1BA50" w14:textId="725021A2" w:rsidR="00040862" w:rsidRPr="00507E84" w:rsidRDefault="00FE1E94" w:rsidP="00040862">
      <w:pPr>
        <w:spacing w:after="0"/>
        <w:jc w:val="both"/>
        <w:rPr>
          <w:rFonts w:ascii="Times New Roman" w:hAnsi="Times New Roman" w:cs="Times New Roman"/>
          <w:sz w:val="24"/>
          <w:szCs w:val="24"/>
        </w:rPr>
      </w:pPr>
      <w:r w:rsidRPr="00507E84">
        <w:rPr>
          <w:rFonts w:ascii="Times New Roman" w:hAnsi="Times New Roman" w:cs="Times New Roman"/>
          <w:sz w:val="24"/>
          <w:szCs w:val="24"/>
        </w:rPr>
        <w:t>U</w:t>
      </w:r>
      <w:r w:rsidR="00040862" w:rsidRPr="00507E84">
        <w:rPr>
          <w:rFonts w:ascii="Times New Roman" w:hAnsi="Times New Roman" w:cs="Times New Roman"/>
          <w:sz w:val="24"/>
          <w:szCs w:val="24"/>
        </w:rPr>
        <w:t>stanovuje</w:t>
      </w:r>
      <w:r w:rsidRPr="00507E84">
        <w:rPr>
          <w:rFonts w:ascii="Times New Roman" w:hAnsi="Times New Roman" w:cs="Times New Roman"/>
          <w:sz w:val="24"/>
          <w:szCs w:val="24"/>
        </w:rPr>
        <w:t xml:space="preserve"> sa</w:t>
      </w:r>
      <w:r w:rsidR="00040862" w:rsidRPr="00507E84">
        <w:rPr>
          <w:rFonts w:ascii="Times New Roman" w:hAnsi="Times New Roman" w:cs="Times New Roman"/>
          <w:sz w:val="24"/>
          <w:szCs w:val="24"/>
        </w:rPr>
        <w:t xml:space="preserve"> podmienka, že certifikačný orgán certifikujúci audítora kybernetickej bezpečnosti je výlučne subjekt verejnej správy akreditovaný spôsobom ako doteraz, teda </w:t>
      </w:r>
      <w:r w:rsidR="00C55586" w:rsidRPr="00507E84">
        <w:rPr>
          <w:rFonts w:ascii="Times New Roman" w:hAnsi="Times New Roman" w:cs="Times New Roman"/>
          <w:sz w:val="24"/>
          <w:szCs w:val="24"/>
        </w:rPr>
        <w:t>akreditovaný podľa zákona č. 505/2009 Z. z.  ako orgán certifikujúci osoby v oblasti kybernetickej bezpečnosti</w:t>
      </w:r>
      <w:r w:rsidRPr="00507E84">
        <w:rPr>
          <w:rFonts w:ascii="Times New Roman" w:hAnsi="Times New Roman" w:cs="Times New Roman"/>
          <w:sz w:val="24"/>
          <w:szCs w:val="24"/>
        </w:rPr>
        <w:t>. Zmena vyplýva z aplikačnej praxi</w:t>
      </w:r>
      <w:r w:rsidR="0078265B" w:rsidRPr="00507E84">
        <w:rPr>
          <w:rFonts w:ascii="Times New Roman" w:hAnsi="Times New Roman" w:cs="Times New Roman"/>
          <w:sz w:val="24"/>
          <w:szCs w:val="24"/>
        </w:rPr>
        <w:t xml:space="preserve"> a z nutnosti podporiť a vytvoriť dôveryhodný systém.</w:t>
      </w:r>
    </w:p>
    <w:p w14:paraId="57FD10D6" w14:textId="77777777" w:rsidR="00040862" w:rsidRPr="00507E84" w:rsidRDefault="00040862" w:rsidP="007132A2">
      <w:pPr>
        <w:spacing w:after="0"/>
        <w:jc w:val="both"/>
        <w:rPr>
          <w:rFonts w:ascii="Times New Roman" w:hAnsi="Times New Roman" w:cs="Times New Roman"/>
          <w:b/>
          <w:sz w:val="24"/>
          <w:szCs w:val="24"/>
        </w:rPr>
      </w:pPr>
    </w:p>
    <w:p w14:paraId="308014FA" w14:textId="3F54621F" w:rsidR="007132A2" w:rsidRPr="00507E84" w:rsidRDefault="0004086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141E7B" w:rsidRPr="00507E84">
        <w:rPr>
          <w:rFonts w:ascii="Times New Roman" w:hAnsi="Times New Roman" w:cs="Times New Roman"/>
          <w:b/>
          <w:sz w:val="24"/>
          <w:szCs w:val="24"/>
        </w:rPr>
        <w:t>7</w:t>
      </w:r>
      <w:r w:rsidR="0028073E" w:rsidRPr="00507E84">
        <w:rPr>
          <w:rFonts w:ascii="Times New Roman" w:hAnsi="Times New Roman" w:cs="Times New Roman"/>
          <w:b/>
          <w:sz w:val="24"/>
          <w:szCs w:val="24"/>
        </w:rPr>
        <w:t>4</w:t>
      </w:r>
    </w:p>
    <w:p w14:paraId="3CB1884C" w14:textId="2E9A3B84"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Prevádzkovateľovi základnej služby (okrem prevádzkovateľa kritickej základnej služby) sa umožňuje zabezpečiť splnenie povinnosti vykonať audit kybernetickej bezpečnosti v lehote do dvoch rokov odo dňa zaradenia prevádzkovateľa základnej služby do registra prevádzkovateľov základných služieb vykonaním preverenia účinnosti prijatých bezpečnostných opatrení a</w:t>
      </w:r>
      <w:r w:rsidR="007F6353" w:rsidRPr="00507E84">
        <w:rPr>
          <w:rFonts w:ascii="Times New Roman" w:hAnsi="Times New Roman" w:cs="Times New Roman"/>
          <w:sz w:val="24"/>
          <w:szCs w:val="24"/>
        </w:rPr>
        <w:t> </w:t>
      </w:r>
      <w:r w:rsidRPr="00507E84">
        <w:rPr>
          <w:rFonts w:ascii="Times New Roman" w:hAnsi="Times New Roman" w:cs="Times New Roman"/>
          <w:sz w:val="24"/>
          <w:szCs w:val="24"/>
        </w:rPr>
        <w:t>plnenia požiadaviek ustanovených týmto zákonom funkcionalitou jednotného informačného systému kybernetickej bezpečnosti spôsobom podľa odseku 8, t. j. preverenie účinnosti podľa predchádzajúcej vety vykonáva audítor kybernetickej bezpečnosti (tzv. samohodnotenie). Ďalej sa navrhuje sa, aby subjekt, ktorý sa podrobí samohodnoteniu bol povinný vykonať audit minimálne raz za šesť rokov (teda každé tretie samohodnotenie bude musieť byť nahradené auditom v zmysle zákona).</w:t>
      </w:r>
      <w:r w:rsidR="00C55586" w:rsidRPr="00507E84">
        <w:rPr>
          <w:rFonts w:ascii="Times New Roman" w:hAnsi="Times New Roman" w:cs="Times New Roman"/>
          <w:sz w:val="24"/>
          <w:szCs w:val="24"/>
        </w:rPr>
        <w:t xml:space="preserve"> Pravidlá samohodnotenia a </w:t>
      </w:r>
      <w:r w:rsidR="00FE1E94" w:rsidRPr="00507E84">
        <w:rPr>
          <w:rFonts w:ascii="Times New Roman" w:hAnsi="Times New Roman" w:cs="Times New Roman"/>
          <w:sz w:val="24"/>
          <w:szCs w:val="24"/>
        </w:rPr>
        <w:t>periodicita</w:t>
      </w:r>
      <w:r w:rsidR="00C55586" w:rsidRPr="00507E84">
        <w:rPr>
          <w:rFonts w:ascii="Times New Roman" w:hAnsi="Times New Roman" w:cs="Times New Roman"/>
          <w:sz w:val="24"/>
          <w:szCs w:val="24"/>
        </w:rPr>
        <w:t xml:space="preserve"> </w:t>
      </w:r>
      <w:r w:rsidR="00FE1E94" w:rsidRPr="00507E84">
        <w:rPr>
          <w:rFonts w:ascii="Times New Roman" w:hAnsi="Times New Roman" w:cs="Times New Roman"/>
          <w:sz w:val="24"/>
          <w:szCs w:val="24"/>
        </w:rPr>
        <w:t xml:space="preserve">samohodnotenia budú </w:t>
      </w:r>
      <w:r w:rsidR="00FE1E94" w:rsidRPr="00507E84">
        <w:rPr>
          <w:rFonts w:ascii="Times New Roman" w:hAnsi="Times New Roman" w:cs="Times New Roman"/>
          <w:sz w:val="24"/>
          <w:szCs w:val="24"/>
        </w:rPr>
        <w:lastRenderedPageBreak/>
        <w:t>upravené</w:t>
      </w:r>
      <w:r w:rsidR="00C55586" w:rsidRPr="00507E84">
        <w:rPr>
          <w:rFonts w:ascii="Times New Roman" w:hAnsi="Times New Roman" w:cs="Times New Roman"/>
          <w:sz w:val="24"/>
          <w:szCs w:val="24"/>
        </w:rPr>
        <w:t xml:space="preserve"> vo vyhláške č. 493/2022 Z. z. v súlade s navrhovanou zmenou splnomocňovacieho ustanovenia § 32 návrhu zákona.</w:t>
      </w:r>
    </w:p>
    <w:p w14:paraId="5C1DB623" w14:textId="6DE9F72A" w:rsidR="00FB15AC" w:rsidRPr="00507E84" w:rsidRDefault="00FB15AC" w:rsidP="007132A2">
      <w:pPr>
        <w:spacing w:after="0"/>
        <w:jc w:val="both"/>
        <w:rPr>
          <w:rFonts w:ascii="Times New Roman" w:hAnsi="Times New Roman" w:cs="Times New Roman"/>
          <w:b/>
          <w:sz w:val="24"/>
          <w:szCs w:val="24"/>
        </w:rPr>
      </w:pPr>
      <w:r w:rsidRPr="00507E84">
        <w:rPr>
          <w:rFonts w:ascii="Times New Roman" w:hAnsi="Times New Roman" w:cs="Times New Roman"/>
          <w:sz w:val="24"/>
          <w:szCs w:val="24"/>
        </w:rPr>
        <w:t>V § 29 ods. 9 sa ustanovuje, že</w:t>
      </w:r>
      <w:r w:rsidRPr="00507E84">
        <w:rPr>
          <w:rFonts w:ascii="Times New Roman" w:hAnsi="Times New Roman" w:cs="Times New Roman"/>
        </w:rPr>
        <w:t xml:space="preserve"> </w:t>
      </w:r>
      <w:r w:rsidRPr="00507E84">
        <w:rPr>
          <w:rFonts w:ascii="Times New Roman" w:hAnsi="Times New Roman" w:cs="Times New Roman"/>
          <w:sz w:val="24"/>
          <w:szCs w:val="24"/>
        </w:rPr>
        <w:t xml:space="preserve">prevádzkovateľ základnej služby, na ktorého sa vzťahuje nariadenie (EÚ) 2022/2554, vykonáva preverenie účinnosti prijatých bezpečnostných opatrení podľa nariadenia (EÚ) 2022/2554 </w:t>
      </w:r>
      <w:r w:rsidRPr="00507E84">
        <w:rPr>
          <w:rFonts w:ascii="Times New Roman" w:hAnsi="Times New Roman" w:cs="Times New Roman"/>
        </w:rPr>
        <w:t>osobou podľa odseku 3.</w:t>
      </w:r>
      <w:r w:rsidRPr="00507E84">
        <w:rPr>
          <w:rFonts w:ascii="Times New Roman" w:hAnsi="Times New Roman" w:cs="Times New Roman"/>
          <w:sz w:val="24"/>
          <w:szCs w:val="24"/>
        </w:rPr>
        <w:t xml:space="preserve">  </w:t>
      </w:r>
      <w:r w:rsidR="003E53EA" w:rsidRPr="00507E84">
        <w:rPr>
          <w:rFonts w:ascii="Times New Roman" w:hAnsi="Times New Roman" w:cs="Times New Roman"/>
          <w:sz w:val="24"/>
          <w:szCs w:val="24"/>
        </w:rPr>
        <w:t xml:space="preserve">Osoba podľa odseku 3 je subjekt verejnej správy akreditovaný ako orgán certifikujúci osoby v oblasti kybernetickej bezpečnosti. Znalostné štandardy sú ustanovené vo vyhláške č. 492/2022 Z. z. a pravidlá auditu kybernetickej bezpečnosti vo vyhláške č. 493/2022 Z. z. Na úrovni týchto vykonávacích právnych predpisov sa bude riešiť situácia, keď napr. nariadenie (EÚ) 2022/2554 alebo iné predpisy ustanovia </w:t>
      </w:r>
      <w:r w:rsidR="00040862" w:rsidRPr="00507E84">
        <w:rPr>
          <w:rFonts w:ascii="Times New Roman" w:hAnsi="Times New Roman" w:cs="Times New Roman"/>
          <w:sz w:val="24"/>
          <w:szCs w:val="24"/>
        </w:rPr>
        <w:t xml:space="preserve">nové </w:t>
      </w:r>
      <w:r w:rsidR="003E53EA" w:rsidRPr="00507E84">
        <w:rPr>
          <w:rFonts w:ascii="Times New Roman" w:hAnsi="Times New Roman" w:cs="Times New Roman"/>
          <w:sz w:val="24"/>
          <w:szCs w:val="24"/>
        </w:rPr>
        <w:t>štandardy</w:t>
      </w:r>
      <w:r w:rsidR="00040862" w:rsidRPr="00507E84">
        <w:rPr>
          <w:rFonts w:ascii="Times New Roman" w:hAnsi="Times New Roman" w:cs="Times New Roman"/>
          <w:sz w:val="24"/>
          <w:szCs w:val="24"/>
        </w:rPr>
        <w:t xml:space="preserve"> na osobu audítora v sektorovej oblasti</w:t>
      </w:r>
      <w:r w:rsidR="003E53EA" w:rsidRPr="00507E84">
        <w:rPr>
          <w:rFonts w:ascii="Times New Roman" w:hAnsi="Times New Roman" w:cs="Times New Roman"/>
          <w:sz w:val="24"/>
          <w:szCs w:val="24"/>
        </w:rPr>
        <w:t>, tak sa upraví resp. rozšíri subjekt, kto sa považuje za certifikovaného audítora</w:t>
      </w:r>
      <w:r w:rsidR="00040862" w:rsidRPr="00507E84">
        <w:rPr>
          <w:rFonts w:ascii="Times New Roman" w:hAnsi="Times New Roman" w:cs="Times New Roman"/>
          <w:sz w:val="24"/>
          <w:szCs w:val="24"/>
        </w:rPr>
        <w:t xml:space="preserve"> na účely auditu kybernetickej bezpečnosti</w:t>
      </w:r>
      <w:r w:rsidR="003E53EA" w:rsidRPr="00507E84">
        <w:rPr>
          <w:rFonts w:ascii="Times New Roman" w:hAnsi="Times New Roman" w:cs="Times New Roman"/>
          <w:sz w:val="24"/>
          <w:szCs w:val="24"/>
        </w:rPr>
        <w:t xml:space="preserve">. </w:t>
      </w:r>
      <w:r w:rsidR="00040862" w:rsidRPr="00507E84">
        <w:rPr>
          <w:rFonts w:ascii="Times New Roman" w:hAnsi="Times New Roman" w:cs="Times New Roman"/>
          <w:sz w:val="24"/>
          <w:szCs w:val="24"/>
        </w:rPr>
        <w:t xml:space="preserve">Táto formulácia opäť priznáva, že nariadenie (EÚ) 2022/2554 je lex specialis vo vzťahu k NIS 2 a potvrdzuje systematiku návrhu zákona, že ak existuje sektorová regulácia, prevádzkovateľ základnej služby postupuje v zmysle tejto regulatívy. </w:t>
      </w:r>
    </w:p>
    <w:p w14:paraId="1C13F2CB" w14:textId="77777777" w:rsidR="007132A2" w:rsidRPr="00507E84" w:rsidRDefault="007132A2" w:rsidP="007132A2">
      <w:pPr>
        <w:spacing w:after="0"/>
        <w:jc w:val="both"/>
        <w:rPr>
          <w:rFonts w:ascii="Times New Roman" w:hAnsi="Times New Roman" w:cs="Times New Roman"/>
          <w:b/>
          <w:sz w:val="24"/>
          <w:szCs w:val="24"/>
        </w:rPr>
      </w:pPr>
    </w:p>
    <w:p w14:paraId="44560A32" w14:textId="23451C66"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141E7B" w:rsidRPr="00507E84">
        <w:rPr>
          <w:rFonts w:ascii="Times New Roman" w:hAnsi="Times New Roman" w:cs="Times New Roman"/>
          <w:b/>
          <w:sz w:val="24"/>
          <w:szCs w:val="24"/>
        </w:rPr>
        <w:t>7</w:t>
      </w:r>
      <w:r w:rsidR="0028073E" w:rsidRPr="00507E84">
        <w:rPr>
          <w:rFonts w:ascii="Times New Roman" w:hAnsi="Times New Roman" w:cs="Times New Roman"/>
          <w:b/>
          <w:sz w:val="24"/>
          <w:szCs w:val="24"/>
        </w:rPr>
        <w:t>5</w:t>
      </w:r>
    </w:p>
    <w:p w14:paraId="33D1FFB3" w14:textId="7C402F52"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Smernica NIS</w:t>
      </w:r>
      <w:r w:rsidR="00817127" w:rsidRPr="00507E84">
        <w:rPr>
          <w:rFonts w:ascii="Times New Roman" w:hAnsi="Times New Roman" w:cs="Times New Roman"/>
          <w:sz w:val="24"/>
          <w:szCs w:val="24"/>
        </w:rPr>
        <w:t xml:space="preserve"> </w:t>
      </w:r>
      <w:r w:rsidRPr="00507E84">
        <w:rPr>
          <w:rFonts w:ascii="Times New Roman" w:hAnsi="Times New Roman" w:cs="Times New Roman"/>
          <w:sz w:val="24"/>
          <w:szCs w:val="24"/>
        </w:rPr>
        <w:t>2 určila pre členské štáty povinnosť zabezpečiť dohľad nad kybernetickou bezpečnosťou a nad plnením povinností z nej vyplývajúcich.</w:t>
      </w:r>
    </w:p>
    <w:p w14:paraId="1A4B4035" w14:textId="77777777" w:rsidR="009D281A" w:rsidRPr="00507E84" w:rsidRDefault="009D281A" w:rsidP="007132A2">
      <w:pPr>
        <w:spacing w:after="0"/>
        <w:jc w:val="both"/>
        <w:rPr>
          <w:rFonts w:ascii="Times New Roman" w:hAnsi="Times New Roman" w:cs="Times New Roman"/>
          <w:sz w:val="24"/>
          <w:szCs w:val="24"/>
        </w:rPr>
      </w:pPr>
    </w:p>
    <w:p w14:paraId="53EB0459" w14:textId="1E77E8D4"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V § 29a zákona sa ustanovujú pre Národný bezpečnostný úrad formy dohľadu, konkrétne ide o</w:t>
      </w:r>
      <w:r w:rsidR="006E788A" w:rsidRPr="00507E84">
        <w:rPr>
          <w:rFonts w:ascii="Times New Roman" w:hAnsi="Times New Roman" w:cs="Times New Roman"/>
          <w:sz w:val="24"/>
          <w:szCs w:val="24"/>
        </w:rPr>
        <w:t> </w:t>
      </w:r>
      <w:r w:rsidRPr="00507E84">
        <w:rPr>
          <w:rFonts w:ascii="Times New Roman" w:hAnsi="Times New Roman" w:cs="Times New Roman"/>
          <w:sz w:val="24"/>
          <w:szCs w:val="24"/>
        </w:rPr>
        <w:t>dohľad v podobe vybavovania sťažností, dohľad v podobe vykonávania kontrol, dohľad v</w:t>
      </w:r>
      <w:r w:rsidR="006E788A" w:rsidRPr="00507E84">
        <w:rPr>
          <w:rFonts w:ascii="Times New Roman" w:hAnsi="Times New Roman" w:cs="Times New Roman"/>
          <w:sz w:val="24"/>
          <w:szCs w:val="24"/>
        </w:rPr>
        <w:t> </w:t>
      </w:r>
      <w:r w:rsidRPr="00507E84">
        <w:rPr>
          <w:rFonts w:ascii="Times New Roman" w:hAnsi="Times New Roman" w:cs="Times New Roman"/>
          <w:sz w:val="24"/>
          <w:szCs w:val="24"/>
        </w:rPr>
        <w:t xml:space="preserve">podobe ukladania opatrení na zastavenie porušovania povinností a na nápravu nezákonného stavu, dohľad v podobe schvaľovania dohody o náprave a dohľad v podobe ukladania sankcií za porušenie tohto zákona. Zároveň sa tu vymedzuje pôsobnosť dohľadu Národného bezpečnostného úradu, t. j. že sa vykonáva dohľad vo vzťahu k prevádzkovateľom základnej služby, ktorí majú sídlo na území Slovenskej republiky alebo na ktorého sa vzťahuje tento zákon podľa § 2 ods. </w:t>
      </w:r>
      <w:r w:rsidR="00141E7B" w:rsidRPr="00507E84">
        <w:rPr>
          <w:rFonts w:ascii="Times New Roman" w:hAnsi="Times New Roman" w:cs="Times New Roman"/>
          <w:sz w:val="24"/>
          <w:szCs w:val="24"/>
        </w:rPr>
        <w:t>2</w:t>
      </w:r>
      <w:r w:rsidRPr="00507E84">
        <w:rPr>
          <w:rFonts w:ascii="Times New Roman" w:hAnsi="Times New Roman" w:cs="Times New Roman"/>
          <w:sz w:val="24"/>
          <w:szCs w:val="24"/>
        </w:rPr>
        <w:t xml:space="preserve"> tohto zákona</w:t>
      </w:r>
      <w:r w:rsidR="00C725B1" w:rsidRPr="00507E84">
        <w:rPr>
          <w:rFonts w:ascii="Times New Roman" w:hAnsi="Times New Roman" w:cs="Times New Roman"/>
          <w:sz w:val="24"/>
          <w:szCs w:val="24"/>
        </w:rPr>
        <w:t>.</w:t>
      </w:r>
      <w:r w:rsidR="00C725B1" w:rsidRPr="00507E84">
        <w:rPr>
          <w:rFonts w:ascii="Times New Roman" w:hAnsi="Times New Roman" w:cs="Times New Roman"/>
        </w:rPr>
        <w:t xml:space="preserve"> </w:t>
      </w:r>
      <w:r w:rsidR="00C725B1" w:rsidRPr="00507E84">
        <w:rPr>
          <w:rFonts w:ascii="Times New Roman" w:hAnsi="Times New Roman" w:cs="Times New Roman"/>
          <w:sz w:val="24"/>
          <w:szCs w:val="24"/>
        </w:rPr>
        <w:t xml:space="preserve">Ustanovenie definuje základné princípy výkonu dohľadu nad prevádzkovateľmi základnej služby a taktiež negatívnym vymedzením určuje úlohu dohľadu.  </w:t>
      </w:r>
      <w:r w:rsidR="004147CE" w:rsidRPr="00507E84">
        <w:rPr>
          <w:rFonts w:ascii="Times New Roman" w:hAnsi="Times New Roman" w:cs="Times New Roman"/>
          <w:sz w:val="24"/>
          <w:szCs w:val="24"/>
        </w:rPr>
        <w:t>Dohľad je neverejný</w:t>
      </w:r>
      <w:r w:rsidR="00360D99" w:rsidRPr="00507E84">
        <w:rPr>
          <w:rFonts w:ascii="Times New Roman" w:hAnsi="Times New Roman" w:cs="Times New Roman"/>
          <w:sz w:val="24"/>
          <w:szCs w:val="24"/>
        </w:rPr>
        <w:t>,</w:t>
      </w:r>
      <w:r w:rsidR="004147CE" w:rsidRPr="00507E84">
        <w:rPr>
          <w:rFonts w:ascii="Times New Roman" w:hAnsi="Times New Roman" w:cs="Times New Roman"/>
          <w:sz w:val="24"/>
          <w:szCs w:val="24"/>
        </w:rPr>
        <w:t xml:space="preserve"> s cieľom</w:t>
      </w:r>
      <w:r w:rsidR="00C725B1" w:rsidRPr="00507E84">
        <w:rPr>
          <w:rFonts w:ascii="Times New Roman" w:hAnsi="Times New Roman" w:cs="Times New Roman"/>
          <w:sz w:val="24"/>
          <w:szCs w:val="24"/>
        </w:rPr>
        <w:t xml:space="preserve"> zabezpečiť</w:t>
      </w:r>
      <w:r w:rsidR="004147CE" w:rsidRPr="00507E84">
        <w:rPr>
          <w:rFonts w:ascii="Times New Roman" w:hAnsi="Times New Roman" w:cs="Times New Roman"/>
          <w:sz w:val="24"/>
          <w:szCs w:val="24"/>
        </w:rPr>
        <w:t>,</w:t>
      </w:r>
      <w:r w:rsidR="00C725B1" w:rsidRPr="00507E84">
        <w:rPr>
          <w:rFonts w:ascii="Times New Roman" w:hAnsi="Times New Roman" w:cs="Times New Roman"/>
          <w:sz w:val="24"/>
          <w:szCs w:val="24"/>
        </w:rPr>
        <w:t xml:space="preserve"> aby informácie získané pri dohľade Národným bezpečnostným úradom</w:t>
      </w:r>
      <w:r w:rsidR="004147CE" w:rsidRPr="00507E84">
        <w:rPr>
          <w:rFonts w:ascii="Times New Roman" w:hAnsi="Times New Roman" w:cs="Times New Roman"/>
          <w:sz w:val="24"/>
          <w:szCs w:val="24"/>
        </w:rPr>
        <w:t>,</w:t>
      </w:r>
      <w:r w:rsidR="00C725B1" w:rsidRPr="00507E84">
        <w:rPr>
          <w:rFonts w:ascii="Times New Roman" w:hAnsi="Times New Roman" w:cs="Times New Roman"/>
          <w:sz w:val="24"/>
          <w:szCs w:val="24"/>
        </w:rPr>
        <w:t xml:space="preserve"> nemoh</w:t>
      </w:r>
      <w:r w:rsidR="004147CE" w:rsidRPr="00507E84">
        <w:rPr>
          <w:rFonts w:ascii="Times New Roman" w:hAnsi="Times New Roman" w:cs="Times New Roman"/>
          <w:sz w:val="24"/>
          <w:szCs w:val="24"/>
        </w:rPr>
        <w:t>li byť nijakým spôsobom zneužité</w:t>
      </w:r>
      <w:r w:rsidR="00C725B1" w:rsidRPr="00507E84">
        <w:rPr>
          <w:rFonts w:ascii="Times New Roman" w:hAnsi="Times New Roman" w:cs="Times New Roman"/>
          <w:sz w:val="24"/>
          <w:szCs w:val="24"/>
        </w:rPr>
        <w:t xml:space="preserve"> a nemohli spôsobiť zníženie úrovne kybernetickej bezpečnosti dohliadaného u prevádzkovateľa základnej služby.</w:t>
      </w:r>
    </w:p>
    <w:p w14:paraId="7A12B507" w14:textId="792BC8E1" w:rsidR="00C725B1" w:rsidRPr="00507E84" w:rsidRDefault="007132A2" w:rsidP="00C725B1">
      <w:pPr>
        <w:spacing w:after="0"/>
        <w:jc w:val="both"/>
        <w:rPr>
          <w:rFonts w:ascii="Times New Roman" w:hAnsi="Times New Roman" w:cs="Times New Roman"/>
          <w:sz w:val="24"/>
          <w:szCs w:val="24"/>
        </w:rPr>
      </w:pPr>
      <w:r w:rsidRPr="00507E84">
        <w:rPr>
          <w:rFonts w:ascii="Times New Roman" w:hAnsi="Times New Roman" w:cs="Times New Roman"/>
          <w:sz w:val="24"/>
          <w:szCs w:val="24"/>
        </w:rPr>
        <w:t>V § 29b zákona je upravený dohľad v podobe vybavovania sťažností, pri ktorom sa aplikuje zákon č. 9/2010 Z. z. o sťažnostiach v znení neskorších predpisov. Národný bezpečnostný úrad rieši sťažnosti týkajúce sa porušenia povinností prevádzkovateľa základnej služby, ak ich podá odberateľ základnej služby alebo osoba, ktorej hlavným predmetom činnosti je ochrana a</w:t>
      </w:r>
      <w:r w:rsidR="004147CE" w:rsidRPr="00507E84">
        <w:rPr>
          <w:rFonts w:ascii="Times New Roman" w:hAnsi="Times New Roman" w:cs="Times New Roman"/>
          <w:sz w:val="24"/>
          <w:szCs w:val="24"/>
        </w:rPr>
        <w:t> </w:t>
      </w:r>
      <w:r w:rsidRPr="00507E84">
        <w:rPr>
          <w:rFonts w:ascii="Times New Roman" w:hAnsi="Times New Roman" w:cs="Times New Roman"/>
          <w:sz w:val="24"/>
          <w:szCs w:val="24"/>
        </w:rPr>
        <w:t>presadzovanie práv a právom chránených záujmov odberateľov základnej služby alebo oblasť kybernetickej bezpečnosti.</w:t>
      </w:r>
      <w:r w:rsidR="00C725B1" w:rsidRPr="00507E84">
        <w:rPr>
          <w:rFonts w:ascii="Times New Roman" w:hAnsi="Times New Roman" w:cs="Times New Roman"/>
          <w:sz w:val="24"/>
          <w:szCs w:val="24"/>
        </w:rPr>
        <w:t xml:space="preserve"> Národný bezpečnostný úrad nebude vybavovať sťažnosti, ktoré vyplynuli zo sporov medzi dvoma alebo viacerými prevádzkovateľmi základnej služby alebo ich dodávateľmi, pokiaľ títo nie sú v postavení odberateľa služby a nesúvisia s odberaním tejto služby. V prípade ak prevádzkovateľ základnej služby, proti ktorému je sťažnosť podaná nespadá do jurisdikcie Slovenskej republiky, Národný bezpečnostný úrad nie je oprávnený proti takémuto prevádzkovateľovi základnej služby konať ale je povinný sťažnosť odstúpiť príslušnému orgánu iného členského štátu Európskej únie.  </w:t>
      </w:r>
    </w:p>
    <w:p w14:paraId="3AB7C08F" w14:textId="77777777" w:rsidR="007132A2" w:rsidRPr="00507E84" w:rsidRDefault="007132A2" w:rsidP="007132A2">
      <w:pPr>
        <w:spacing w:after="0"/>
        <w:jc w:val="both"/>
        <w:rPr>
          <w:rFonts w:ascii="Times New Roman" w:hAnsi="Times New Roman" w:cs="Times New Roman"/>
          <w:sz w:val="24"/>
          <w:szCs w:val="24"/>
        </w:rPr>
      </w:pPr>
    </w:p>
    <w:p w14:paraId="366300E5" w14:textId="63AD4483" w:rsidR="00C725B1" w:rsidRPr="00507E84" w:rsidRDefault="007132A2" w:rsidP="00C725B1">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V § 29c až §29h zákona sa upravuje kontrola. Na rozdiel od predchádzajúcej právnej úpravy sa už neaplikuje zákon NR SR č. 10/1996 Z. z. o kontrole v štátnej správe v znení neskorších </w:t>
      </w:r>
      <w:r w:rsidRPr="00507E84">
        <w:rPr>
          <w:rFonts w:ascii="Times New Roman" w:hAnsi="Times New Roman" w:cs="Times New Roman"/>
          <w:sz w:val="24"/>
          <w:szCs w:val="24"/>
        </w:rPr>
        <w:lastRenderedPageBreak/>
        <w:t xml:space="preserve">predpisov, v jednotlivých ustanoveniach je upravený celý proces kontrol. Vykonávať kontrolu plnenia povinností prevádzkovateľa základnej služby podľa tohto zákona alebo </w:t>
      </w:r>
      <w:r w:rsidR="004147CE" w:rsidRPr="00507E84">
        <w:rPr>
          <w:rFonts w:ascii="Times New Roman" w:hAnsi="Times New Roman" w:cs="Times New Roman"/>
          <w:sz w:val="24"/>
          <w:szCs w:val="24"/>
        </w:rPr>
        <w:t xml:space="preserve">povinností uložených prevádzkovateľovi základnej služby na základe tohto zákona </w:t>
      </w:r>
      <w:r w:rsidRPr="00507E84">
        <w:rPr>
          <w:rFonts w:ascii="Times New Roman" w:hAnsi="Times New Roman" w:cs="Times New Roman"/>
          <w:sz w:val="24"/>
          <w:szCs w:val="24"/>
        </w:rPr>
        <w:t>je príslušný Národný bezpečnostný úrad.</w:t>
      </w:r>
      <w:r w:rsidR="00C725B1" w:rsidRPr="00507E84">
        <w:rPr>
          <w:rFonts w:ascii="Times New Roman" w:hAnsi="Times New Roman" w:cs="Times New Roman"/>
          <w:sz w:val="24"/>
          <w:szCs w:val="24"/>
        </w:rPr>
        <w:t xml:space="preserve"> Zákonnou úpravou sa zefektívňuje a modernizuje výkon kontrolnej činnosti v oblasti kybernetickej bezpečnosti na základe poznatkov z praxe.  </w:t>
      </w:r>
    </w:p>
    <w:p w14:paraId="0F262DF5" w14:textId="77777777" w:rsidR="007132A2" w:rsidRPr="00507E84" w:rsidRDefault="007132A2" w:rsidP="007132A2">
      <w:pPr>
        <w:spacing w:after="0"/>
        <w:jc w:val="both"/>
        <w:rPr>
          <w:rFonts w:ascii="Times New Roman" w:hAnsi="Times New Roman" w:cs="Times New Roman"/>
          <w:sz w:val="24"/>
          <w:szCs w:val="24"/>
        </w:rPr>
      </w:pPr>
    </w:p>
    <w:p w14:paraId="46BDBE89" w14:textId="77777777" w:rsidR="00C725B1" w:rsidRPr="00507E84" w:rsidRDefault="007132A2" w:rsidP="00C725B1">
      <w:pPr>
        <w:spacing w:after="0"/>
        <w:jc w:val="both"/>
        <w:rPr>
          <w:rFonts w:ascii="Times New Roman" w:hAnsi="Times New Roman" w:cs="Times New Roman"/>
          <w:sz w:val="24"/>
          <w:szCs w:val="24"/>
        </w:rPr>
      </w:pPr>
      <w:r w:rsidRPr="00507E84">
        <w:rPr>
          <w:rFonts w:ascii="Times New Roman" w:hAnsi="Times New Roman" w:cs="Times New Roman"/>
          <w:sz w:val="24"/>
          <w:szCs w:val="24"/>
        </w:rPr>
        <w:t>V § 29c zákona sa vymedzuje predmet kontroly</w:t>
      </w:r>
      <w:r w:rsidR="00C725B1" w:rsidRPr="00507E84">
        <w:rPr>
          <w:rFonts w:ascii="Times New Roman" w:hAnsi="Times New Roman" w:cs="Times New Roman"/>
          <w:sz w:val="24"/>
          <w:szCs w:val="24"/>
        </w:rPr>
        <w:t xml:space="preserve"> a rozsah subjektov, nad ktorými je Národný bezpečnostný úrad oprávnený vykonať kontrolu. Národný bezpečnostný úrad je oprávnený vykonať kontrolu nielen u prevádzkovateľa základnej služby, ale aj nad skupinou osôb alebo účelových združení majetku, ktorých súčasťou je prevádzkovateľ základnej služby. Kontrolu na konsolidovanom základe nad skupinou osôb alebo účelových združení majetku, ktorých súčasťou je prevádzkovateľ základnej služby možno vykonať iba v rozsahu, v ktorom tieto subjekty majú vplyv alebo spôsobilosť mať vplyv na kybernetickú bezpečnosť u prevádzkovateľa základnej služby. Požiadavka rozšíriť možnosť na výkon kontroly na konsolidovanom základe vychádza z aplikačnej praxe, kedy doterajšia právna úprava neumožňovala vykonať kontrolu v inom subjekte ako u prevádzkovateľa základnej služby alebo jeho dodávateľa ani v prípade, ak by tento subjekt mal priamy vplyv nad úrovňou kybernetickej bezpečnosti u prevádzkovateľa základnej služby, čo spôsobovalo neúplný dohľad a skresľovalo získanie informácií o komplexnej úrovní kybernetickej bezpečnosti. Kontrolu je možno vykonať na mieste, čím sa zabezpečuje objektívny hodnoverné zistenie skutkového stavu kontrolovaného subjektu. </w:t>
      </w:r>
    </w:p>
    <w:p w14:paraId="78435FE3" w14:textId="092A34AD" w:rsidR="007132A2" w:rsidRPr="00507E84" w:rsidRDefault="007132A2" w:rsidP="007132A2">
      <w:pPr>
        <w:spacing w:after="0"/>
        <w:jc w:val="both"/>
        <w:rPr>
          <w:rFonts w:ascii="Times New Roman" w:hAnsi="Times New Roman" w:cs="Times New Roman"/>
          <w:sz w:val="24"/>
          <w:szCs w:val="24"/>
        </w:rPr>
      </w:pPr>
    </w:p>
    <w:p w14:paraId="4BC28AAA" w14:textId="397AA94F" w:rsidR="00C725B1" w:rsidRPr="00507E84" w:rsidRDefault="007132A2" w:rsidP="00C725B1">
      <w:pPr>
        <w:spacing w:after="0"/>
        <w:jc w:val="both"/>
        <w:rPr>
          <w:rFonts w:ascii="Times New Roman" w:hAnsi="Times New Roman" w:cs="Times New Roman"/>
          <w:sz w:val="24"/>
          <w:szCs w:val="24"/>
        </w:rPr>
      </w:pPr>
      <w:r w:rsidRPr="00507E84">
        <w:rPr>
          <w:rFonts w:ascii="Times New Roman" w:hAnsi="Times New Roman" w:cs="Times New Roman"/>
          <w:sz w:val="24"/>
          <w:szCs w:val="24"/>
        </w:rPr>
        <w:t>V § 29d zákona sa upravuje proces kontroly, akým úkonom sa kontrola začína, obsahové náležitosti poverenia na vykonanie kontroly, ustanovujú sa oprávnenia a povinnosti Národného bezpečnostného úradu v súvislosti s výkonom kontroly.</w:t>
      </w:r>
      <w:r w:rsidR="00C725B1" w:rsidRPr="00507E84">
        <w:rPr>
          <w:rFonts w:ascii="Times New Roman" w:hAnsi="Times New Roman" w:cs="Times New Roman"/>
          <w:sz w:val="24"/>
          <w:szCs w:val="24"/>
        </w:rPr>
        <w:t xml:space="preserve"> Národný bezpečnostný úrad je pri kontrole oprávnený vyžadovať a odoberať informácie, doklady a iné podklady, čím však nemôže byť ohrozená alebo obmedzená poskytovaná služba prevádzkovateľa základnej služby</w:t>
      </w:r>
      <w:r w:rsidR="007246C8" w:rsidRPr="00507E84">
        <w:rPr>
          <w:rFonts w:ascii="Times New Roman" w:hAnsi="Times New Roman" w:cs="Times New Roman"/>
          <w:sz w:val="24"/>
          <w:szCs w:val="24"/>
        </w:rPr>
        <w:t>,</w:t>
      </w:r>
      <w:r w:rsidR="00C725B1" w:rsidRPr="00507E84">
        <w:rPr>
          <w:rFonts w:ascii="Times New Roman" w:hAnsi="Times New Roman" w:cs="Times New Roman"/>
          <w:sz w:val="24"/>
          <w:szCs w:val="24"/>
        </w:rPr>
        <w:t xml:space="preserve"> ani tým nemôže byť znížená úroveň kybernetickej bezpečnosti u prevádzkovateľa základnej služby. Zároveň je Národný bezpečnostný úrad oprávnený odoberať záznamy dát na pamäťových médiách prostriedkov výpočtovej techniky alebo prenášaných v sieti a ich výpisy a výstupy, vyjadrenia, informácie, dokumenty a iné podklady súvisiace s kontrolou, vyhotovovať si ich kópie a nakladať s nimi v rozsahu, ktorým nebude zasiahnuté do poskytovanej služby, a ktoré majú priamy súvis s predmetom kontrolnej činnosti. V</w:t>
      </w:r>
      <w:r w:rsidR="007246C8" w:rsidRPr="00507E84">
        <w:rPr>
          <w:rFonts w:ascii="Times New Roman" w:hAnsi="Times New Roman" w:cs="Times New Roman"/>
          <w:sz w:val="24"/>
          <w:szCs w:val="24"/>
        </w:rPr>
        <w:t> </w:t>
      </w:r>
      <w:r w:rsidR="00C725B1" w:rsidRPr="00507E84">
        <w:rPr>
          <w:rFonts w:ascii="Times New Roman" w:hAnsi="Times New Roman" w:cs="Times New Roman"/>
          <w:sz w:val="24"/>
          <w:szCs w:val="24"/>
        </w:rPr>
        <w:t>prípade</w:t>
      </w:r>
      <w:r w:rsidR="007246C8" w:rsidRPr="00507E84">
        <w:rPr>
          <w:rFonts w:ascii="Times New Roman" w:hAnsi="Times New Roman" w:cs="Times New Roman"/>
          <w:sz w:val="24"/>
          <w:szCs w:val="24"/>
        </w:rPr>
        <w:t>,</w:t>
      </w:r>
      <w:r w:rsidR="00C725B1" w:rsidRPr="00507E84">
        <w:rPr>
          <w:rFonts w:ascii="Times New Roman" w:hAnsi="Times New Roman" w:cs="Times New Roman"/>
          <w:sz w:val="24"/>
          <w:szCs w:val="24"/>
        </w:rPr>
        <w:t xml:space="preserve"> ak dôjde k odobratiu techniky alebo originálov či úradne overených dokumentov, sú osoby vykonávajúce kontroly ich odobratie písomne potvrdiť prevádzkovateľovi základnej služby.  Po ukončení potrebnosti je Národný bezpečnostný úrad povinný vrátiť všetky odobraté originály alebo úradne osvedčené kópie dokumentov alebo dát. Na základe zistený</w:t>
      </w:r>
      <w:r w:rsidR="007246C8" w:rsidRPr="00507E84">
        <w:rPr>
          <w:rFonts w:ascii="Times New Roman" w:hAnsi="Times New Roman" w:cs="Times New Roman"/>
          <w:sz w:val="24"/>
          <w:szCs w:val="24"/>
        </w:rPr>
        <w:t>ch</w:t>
      </w:r>
      <w:r w:rsidR="00C725B1" w:rsidRPr="00507E84">
        <w:rPr>
          <w:rFonts w:ascii="Times New Roman" w:hAnsi="Times New Roman" w:cs="Times New Roman"/>
          <w:sz w:val="24"/>
          <w:szCs w:val="24"/>
        </w:rPr>
        <w:t xml:space="preserve"> nedostatkov v priebehu kontroly Národný bezpečnostný úrad bude vyžadovať od prevádzkovateľa základnej služby písomný zoznam opatrení, ktoré sa rozhodol prijať, aby napravil nedostatky, ktoré boli pri kontrole zistené rovnako aj opatrenia, ktoré prijal aby sa do tieto nedostatky opätovne nenastali. V prípade ak Národný bezpečnostný úrad vyhodnotí, že opatrenia, ktoré sa prevádzkovateľ základnej služby rozhodol implementovať sú nedostatočné na zabezpečenie potrebnej úrovne kybernetickej bezpečnosti, môže vyžadovať prepracovanie zoznamu prijatých opatrení, aby bol naplnený ich účel. Zároveň aby bol naplnený účel dohľadu, je Národný bezpečnostný úrad oprávnený overiť splnenie prijatých opatrení a teda preveriť deklarovaný stav s reálnym a či si prevádzkovateľ základnej služby plní svoje zákonné povinnosti. Ustanovenie odseku 6 priamo súvisí s možnosťou vykonávať kontrolu na mieste </w:t>
      </w:r>
      <w:r w:rsidR="00C725B1" w:rsidRPr="00507E84">
        <w:rPr>
          <w:rFonts w:ascii="Times New Roman" w:hAnsi="Times New Roman" w:cs="Times New Roman"/>
          <w:sz w:val="24"/>
          <w:szCs w:val="24"/>
        </w:rPr>
        <w:lastRenderedPageBreak/>
        <w:t>a je nevyhnutné pre naplnenie účelu kontroly. Pri výkone kontroly sa nemôže vstupovať do objektov tretej osoby, ktoré nesúvisia s výkonom činností poskytovania služby prevádzkovateľom základnej služby. Národný bezpečnostný úrad je povinný oboznámiť prevádzkovateľa základnej služby s návrhmi výstupných materiálov z kontroly a umožniť mu voči ním podať písomné námietky, ktorými je povinný sa zaoberať. V prípade akceptovania námietky, zohľadniť túto skutočnosť vo výstupnom materiály z kontroly a v prípade ich neakceptovania sa vyžaduje riadne odôvodnenie, pre ktoré nie je možné námietku akceptovať.</w:t>
      </w:r>
    </w:p>
    <w:p w14:paraId="014E77B3" w14:textId="77777777" w:rsidR="00C725B1" w:rsidRPr="00507E84" w:rsidRDefault="00C725B1" w:rsidP="00C725B1">
      <w:pPr>
        <w:spacing w:after="0"/>
        <w:jc w:val="both"/>
        <w:rPr>
          <w:rFonts w:ascii="Times New Roman" w:hAnsi="Times New Roman" w:cs="Times New Roman"/>
          <w:sz w:val="24"/>
          <w:szCs w:val="24"/>
        </w:rPr>
      </w:pPr>
    </w:p>
    <w:p w14:paraId="131B6BF2" w14:textId="449C3A1A"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V § 29e zákona sa upravujú oprávnenia a povinnosti kontrolovaného subjektu, ktorým je prevádzkovateľ základnej služby</w:t>
      </w:r>
      <w:r w:rsidR="00C725B1" w:rsidRPr="00507E84">
        <w:rPr>
          <w:rFonts w:ascii="Times New Roman" w:hAnsi="Times New Roman" w:cs="Times New Roman"/>
          <w:sz w:val="24"/>
          <w:szCs w:val="24"/>
        </w:rPr>
        <w:t>, ktoré vyplývajú z práv a povinností Národného bezpečnostného úradu pri výkone kontroly</w:t>
      </w:r>
      <w:r w:rsidRPr="00507E84">
        <w:rPr>
          <w:rFonts w:ascii="Times New Roman" w:hAnsi="Times New Roman" w:cs="Times New Roman"/>
          <w:sz w:val="24"/>
          <w:szCs w:val="24"/>
        </w:rPr>
        <w:t>.</w:t>
      </w:r>
    </w:p>
    <w:p w14:paraId="1E08E0BB" w14:textId="77777777" w:rsidR="00C725B1" w:rsidRPr="00507E84" w:rsidRDefault="00C725B1" w:rsidP="007132A2">
      <w:pPr>
        <w:spacing w:after="0"/>
        <w:jc w:val="both"/>
        <w:rPr>
          <w:rFonts w:ascii="Times New Roman" w:hAnsi="Times New Roman" w:cs="Times New Roman"/>
          <w:sz w:val="24"/>
          <w:szCs w:val="24"/>
        </w:rPr>
      </w:pPr>
    </w:p>
    <w:p w14:paraId="55A23A27" w14:textId="77777777"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V § 29f zákona sa upravujú výsledné materiály z kontroly, ktorými môžu byť návrh čiastkovej správy, návrh správy, čiastková správa a správa, ich náležitosti a procesy súvisiace s nimi. Zároveň sa v tomto ustanovení upravuje aj spôsob ukončenia kontroly. Kontrola je ukončená dňom zaslania správy prevádzkovateľovi základnej služby. Zaslaním čiastkovej správy je skončená tá časť kontroly, ktorej sa čiastková správa týka. Ak je kontrola alebo jej časť zastavená z dôvodov hodných osobitného zreteľa, kontrola alebo jej časť je ukončená vyhotovením záznamu s uvedením dôvodu jej zastavenia. Národný bezpečnostný úrad takýto záznam bezodkladne zašle prevádzkovateľovi základnej služby. </w:t>
      </w:r>
    </w:p>
    <w:p w14:paraId="780B34CD" w14:textId="77777777" w:rsidR="00817127" w:rsidRPr="00507E84" w:rsidRDefault="00817127" w:rsidP="007132A2">
      <w:pPr>
        <w:spacing w:after="0"/>
        <w:jc w:val="both"/>
        <w:rPr>
          <w:rFonts w:ascii="Times New Roman" w:hAnsi="Times New Roman" w:cs="Times New Roman"/>
          <w:sz w:val="24"/>
          <w:szCs w:val="24"/>
        </w:rPr>
      </w:pPr>
    </w:p>
    <w:p w14:paraId="4B9DCA4D" w14:textId="3F353A52"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V § 29g zákona sa upravuje inštitút tzv. prizvanej osoby</w:t>
      </w:r>
      <w:r w:rsidR="00C725B1" w:rsidRPr="00507E84">
        <w:rPr>
          <w:rFonts w:ascii="Times New Roman" w:hAnsi="Times New Roman" w:cs="Times New Roman"/>
          <w:sz w:val="24"/>
          <w:szCs w:val="24"/>
        </w:rPr>
        <w:t>,</w:t>
      </w:r>
      <w:r w:rsidR="00C725B1" w:rsidRPr="00507E84">
        <w:rPr>
          <w:rFonts w:ascii="Times New Roman" w:hAnsi="Times New Roman" w:cs="Times New Roman"/>
        </w:rPr>
        <w:t xml:space="preserve"> </w:t>
      </w:r>
      <w:r w:rsidR="00C725B1" w:rsidRPr="00507E84">
        <w:rPr>
          <w:rFonts w:ascii="Times New Roman" w:hAnsi="Times New Roman" w:cs="Times New Roman"/>
          <w:sz w:val="24"/>
          <w:szCs w:val="24"/>
        </w:rPr>
        <w:t xml:space="preserve">kedy je </w:t>
      </w:r>
      <w:r w:rsidR="007246C8" w:rsidRPr="00507E84">
        <w:rPr>
          <w:rFonts w:ascii="Times New Roman" w:hAnsi="Times New Roman" w:cs="Times New Roman"/>
          <w:sz w:val="24"/>
          <w:szCs w:val="24"/>
        </w:rPr>
        <w:t>potrebné,</w:t>
      </w:r>
      <w:r w:rsidR="00C725B1" w:rsidRPr="00507E84">
        <w:rPr>
          <w:rFonts w:ascii="Times New Roman" w:hAnsi="Times New Roman" w:cs="Times New Roman"/>
          <w:sz w:val="24"/>
          <w:szCs w:val="24"/>
        </w:rPr>
        <w:t xml:space="preserve"> vzhľadom na povahu kontroly</w:t>
      </w:r>
      <w:r w:rsidR="007246C8" w:rsidRPr="00507E84">
        <w:rPr>
          <w:rFonts w:ascii="Times New Roman" w:hAnsi="Times New Roman" w:cs="Times New Roman"/>
          <w:sz w:val="24"/>
          <w:szCs w:val="24"/>
        </w:rPr>
        <w:t>,</w:t>
      </w:r>
      <w:r w:rsidR="00C725B1" w:rsidRPr="00507E84">
        <w:rPr>
          <w:rFonts w:ascii="Times New Roman" w:hAnsi="Times New Roman" w:cs="Times New Roman"/>
          <w:sz w:val="24"/>
          <w:szCs w:val="24"/>
        </w:rPr>
        <w:t xml:space="preserve"> rozšíriť spôsobilosť kontrolnej skupiny o osoby so špecifikami znalosťami alebo zručnosťami. Zároveň sa do kontrolnej skupiny prizve osoba určená CSRITom</w:t>
      </w:r>
      <w:r w:rsidR="00BF7A72" w:rsidRPr="00507E84">
        <w:rPr>
          <w:rFonts w:ascii="Times New Roman" w:hAnsi="Times New Roman" w:cs="Times New Roman"/>
          <w:sz w:val="24"/>
          <w:szCs w:val="24"/>
        </w:rPr>
        <w:t xml:space="preserve"> </w:t>
      </w:r>
      <w:r w:rsidR="00C725B1" w:rsidRPr="00507E84">
        <w:rPr>
          <w:rFonts w:ascii="Times New Roman" w:hAnsi="Times New Roman" w:cs="Times New Roman"/>
          <w:sz w:val="24"/>
          <w:szCs w:val="24"/>
        </w:rPr>
        <w:t>iného členského štátu Európskej únie</w:t>
      </w:r>
      <w:r w:rsidR="007246C8" w:rsidRPr="00507E84">
        <w:rPr>
          <w:rFonts w:ascii="Times New Roman" w:hAnsi="Times New Roman" w:cs="Times New Roman"/>
          <w:sz w:val="24"/>
          <w:szCs w:val="24"/>
        </w:rPr>
        <w:t>,</w:t>
      </w:r>
      <w:r w:rsidR="00C725B1" w:rsidRPr="00507E84">
        <w:rPr>
          <w:rFonts w:ascii="Times New Roman" w:hAnsi="Times New Roman" w:cs="Times New Roman"/>
          <w:sz w:val="24"/>
          <w:szCs w:val="24"/>
        </w:rPr>
        <w:t xml:space="preserve"> ak o to požiada</w:t>
      </w:r>
      <w:r w:rsidR="007246C8" w:rsidRPr="00507E84">
        <w:rPr>
          <w:rFonts w:ascii="Times New Roman" w:hAnsi="Times New Roman" w:cs="Times New Roman"/>
          <w:sz w:val="24"/>
          <w:szCs w:val="24"/>
        </w:rPr>
        <w:t>,</w:t>
      </w:r>
      <w:r w:rsidR="00C725B1" w:rsidRPr="00507E84">
        <w:rPr>
          <w:rFonts w:ascii="Times New Roman" w:hAnsi="Times New Roman" w:cs="Times New Roman"/>
          <w:sz w:val="24"/>
          <w:szCs w:val="24"/>
        </w:rPr>
        <w:t xml:space="preserve"> z dôvodu presahu poskytovanej služby prevádzkovateľa základnej služby do jeho pôsobnosti alebo ak je to  v záujme toho členského štátu Európskej únie</w:t>
      </w:r>
      <w:r w:rsidRPr="00507E84">
        <w:rPr>
          <w:rFonts w:ascii="Times New Roman" w:hAnsi="Times New Roman" w:cs="Times New Roman"/>
          <w:sz w:val="24"/>
          <w:szCs w:val="24"/>
        </w:rPr>
        <w:t xml:space="preserve">. </w:t>
      </w:r>
    </w:p>
    <w:p w14:paraId="7F66C788" w14:textId="77777777" w:rsidR="00C725B1" w:rsidRPr="00507E84" w:rsidRDefault="00C725B1" w:rsidP="007132A2">
      <w:pPr>
        <w:spacing w:after="0"/>
        <w:jc w:val="both"/>
        <w:rPr>
          <w:rFonts w:ascii="Times New Roman" w:hAnsi="Times New Roman" w:cs="Times New Roman"/>
          <w:sz w:val="24"/>
          <w:szCs w:val="24"/>
        </w:rPr>
      </w:pPr>
    </w:p>
    <w:p w14:paraId="2501AB43" w14:textId="77777777"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V § 29h zákona sa upravuje nezaujatosť osôb vykonávajúcich kontrolu (zamestnanec alebo príslušník Národného bezpečnostného úradu alebo prizvaná osoba), hlásenie prípadnej zaujatosti zo strany osôb vykonávajúcich kontrolu aj zo strany kontrolovaného subjektu. O ich zaujatosti, resp. nezaujatosti rozhoduje riaditeľ Národného bezpečnostného úradu. Zároveň sa v tomto ustanovení ustanovuje povinnosť zachovávať mlčanlivosť o skutočnostiach, o ktorých sa dozvedeli v súvislosti s výkonom kontroly. Oslobodiť od tejto povinnosti ich môže iba riaditeľ Národného bezpečnostného úradu.</w:t>
      </w:r>
    </w:p>
    <w:p w14:paraId="3BC17B70" w14:textId="77777777" w:rsidR="00017016" w:rsidRPr="00507E84" w:rsidRDefault="00017016" w:rsidP="00C725B1">
      <w:pPr>
        <w:spacing w:after="0"/>
        <w:jc w:val="both"/>
        <w:rPr>
          <w:rFonts w:ascii="Times New Roman" w:hAnsi="Times New Roman" w:cs="Times New Roman"/>
          <w:sz w:val="24"/>
          <w:szCs w:val="24"/>
        </w:rPr>
      </w:pPr>
    </w:p>
    <w:p w14:paraId="4C13F0BF" w14:textId="2036DAD6" w:rsidR="00C725B1" w:rsidRPr="00507E84" w:rsidRDefault="007132A2" w:rsidP="00C725B1">
      <w:pPr>
        <w:spacing w:after="0"/>
        <w:jc w:val="both"/>
        <w:rPr>
          <w:rFonts w:ascii="Times New Roman" w:hAnsi="Times New Roman" w:cs="Times New Roman"/>
          <w:sz w:val="24"/>
          <w:szCs w:val="24"/>
        </w:rPr>
      </w:pPr>
      <w:r w:rsidRPr="00507E84">
        <w:rPr>
          <w:rFonts w:ascii="Times New Roman" w:hAnsi="Times New Roman" w:cs="Times New Roman"/>
          <w:sz w:val="24"/>
          <w:szCs w:val="24"/>
        </w:rPr>
        <w:t>V § 29i zákona sa upravuje možnosť Národného bezpečnostného úradu pred uložením opatrenia na zastavenie porušovania povinností a na nápravu nezákonného stavu vydať predbežné opatrenie, ktorým v rozsahu nevyhnutne potrebnom na predídenie vzniku vážnej škody alebo inej ujmy uloží prevádzkovateľovi základnej služby, aby niečo vykonal, niečoho sa zdržal alebo niečo strpel alebo nariadi zabezpečenie vecí, ktoré sú potrebné na vykonanie dôkazov.</w:t>
      </w:r>
      <w:r w:rsidR="00C725B1" w:rsidRPr="00507E84">
        <w:rPr>
          <w:rFonts w:ascii="Times New Roman" w:hAnsi="Times New Roman" w:cs="Times New Roman"/>
          <w:sz w:val="24"/>
          <w:szCs w:val="24"/>
        </w:rPr>
        <w:t xml:space="preserve"> Cieľom tohto ustanovenia je zamedziť škodám alebo potencionálnym škodám, ktoré by mohli nastať v prípade ak by prevádzkovateľ základnej služby sám nekonal. Pokiaľ prevádzkovateľ základnej služby príjme vhodné opatrenia na zamedzenie škodlivej udalosti, </w:t>
      </w:r>
      <w:r w:rsidR="000A38F4" w:rsidRPr="00507E84">
        <w:rPr>
          <w:rFonts w:ascii="Times New Roman" w:hAnsi="Times New Roman" w:cs="Times New Roman"/>
          <w:sz w:val="24"/>
          <w:szCs w:val="24"/>
        </w:rPr>
        <w:t xml:space="preserve">Národný bezpečnostný </w:t>
      </w:r>
      <w:r w:rsidR="00C725B1" w:rsidRPr="00507E84">
        <w:rPr>
          <w:rFonts w:ascii="Times New Roman" w:hAnsi="Times New Roman" w:cs="Times New Roman"/>
          <w:sz w:val="24"/>
          <w:szCs w:val="24"/>
        </w:rPr>
        <w:t>úrad je povinný predbežné opatrenie zrušiť, čo platí aj v prípade, ak sa už javia ako ne</w:t>
      </w:r>
      <w:r w:rsidR="00175B61">
        <w:rPr>
          <w:rFonts w:ascii="Times New Roman" w:hAnsi="Times New Roman" w:cs="Times New Roman"/>
          <w:sz w:val="24"/>
          <w:szCs w:val="24"/>
        </w:rPr>
        <w:t>účelné.</w:t>
      </w:r>
    </w:p>
    <w:p w14:paraId="3407AD33" w14:textId="77777777" w:rsidR="007132A2" w:rsidRPr="00507E84" w:rsidRDefault="007132A2" w:rsidP="007132A2">
      <w:pPr>
        <w:spacing w:after="0"/>
        <w:jc w:val="both"/>
        <w:rPr>
          <w:rFonts w:ascii="Times New Roman" w:hAnsi="Times New Roman" w:cs="Times New Roman"/>
          <w:sz w:val="24"/>
          <w:szCs w:val="24"/>
        </w:rPr>
      </w:pPr>
    </w:p>
    <w:p w14:paraId="258C40E4" w14:textId="33339795"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lastRenderedPageBreak/>
        <w:t>V § 29j zákona sa upravuje konanie o uložení opatrenia, t. j. právomoc Národného bezpečnostného úradu ukladať prevádzkovateľovi základnej služby taxatívne vymenované povinnosti, ak zistí nedostatky v činnosti prevádzkovateľa základnej služby spočívajúce v</w:t>
      </w:r>
      <w:r w:rsidR="00E46D76" w:rsidRPr="00507E84">
        <w:rPr>
          <w:rFonts w:ascii="Times New Roman" w:hAnsi="Times New Roman" w:cs="Times New Roman"/>
          <w:sz w:val="24"/>
          <w:szCs w:val="24"/>
        </w:rPr>
        <w:t> </w:t>
      </w:r>
      <w:r w:rsidRPr="00507E84">
        <w:rPr>
          <w:rFonts w:ascii="Times New Roman" w:hAnsi="Times New Roman" w:cs="Times New Roman"/>
          <w:sz w:val="24"/>
          <w:szCs w:val="24"/>
        </w:rPr>
        <w:t>plnení povinností prevádzkovateľa základnej služby podľa tohto zákona alebo iných všeobecne záväzných právnych predpisov, ktoré ukladajú povinnosti prevádzkovateľovi základnej služby, ako aj povinností uložených na ich základe, podľa závažnosti, rozsahu, dĺžky trvania, následkov a povahy zistených nedostatkov. Národný bezpečnostný úrad môže uložiť povinnosť vykonať audit kybernetickej bezpečnosti a vykonať odporúčania podľa výsledkov tohto auditu v určenej lehote, povinnosť prijať opatrenia na nápravu, povinnosť informovať dotknuté osoby alebo verejnosť o rizikách alebo následkoch porušenia povinnosti, alebo povinnosť zakázať poskytovať základnú službu do času nápravy nezákonného stavu, ak nejde o prevádzkovateľa základnej služby, ktorý je orgánom verejnej moci alebo ktorý poskytuje základnú službu na základe povinnosti uloženej zákonom alebo na jeho základe. Zároveň môže Národný bezpečnostný úrad spolu s uložením opatrenia na nápravu uložiť aj pokutu za správny delikt, prípadne môže uložiť penále za každý deň omeškania so splnením povinnosti.</w:t>
      </w:r>
    </w:p>
    <w:p w14:paraId="10A2299F" w14:textId="54B862F5" w:rsidR="00C725B1" w:rsidRPr="00507E84" w:rsidRDefault="00C725B1" w:rsidP="00C725B1">
      <w:pPr>
        <w:pStyle w:val="Default"/>
        <w:jc w:val="both"/>
        <w:rPr>
          <w:rFonts w:ascii="Times New Roman" w:hAnsi="Times New Roman" w:cs="Times New Roman"/>
        </w:rPr>
      </w:pPr>
      <w:r w:rsidRPr="00507E84">
        <w:rPr>
          <w:rFonts w:ascii="Times New Roman" w:hAnsi="Times New Roman" w:cs="Times New Roman"/>
        </w:rPr>
        <w:t xml:space="preserve">Národný bezpečnostný úrad ako orgán zabezpečujúci  dohľad nad kybernetickou bezpečnosťou musí mať k dispozícií právomoci a inštitúty na dosiahnutie plnenia zákonných požiadaviek, ktorými sa má zabezpečiť kybernetická bezpečnosť tak, aby sa znížila miera rizika pre poskytovanú službu. Ustanovenia § 29 umožňujú </w:t>
      </w:r>
      <w:r w:rsidR="000A38F4" w:rsidRPr="00507E84">
        <w:rPr>
          <w:rFonts w:ascii="Times New Roman" w:hAnsi="Times New Roman" w:cs="Times New Roman"/>
        </w:rPr>
        <w:t xml:space="preserve">Národnému bezpečnostnému </w:t>
      </w:r>
      <w:r w:rsidRPr="00507E84">
        <w:rPr>
          <w:rFonts w:ascii="Times New Roman" w:hAnsi="Times New Roman" w:cs="Times New Roman"/>
        </w:rPr>
        <w:t xml:space="preserve">úradu docieliť plnenie povinností prevádzkovateľa základnej služby efektívnejším spôsobom čim aj ochrániť odberateľov poskytovanej služby ako aj samotného prevádzkovateľ základnej služby pred incidentmi. </w:t>
      </w:r>
      <w:r w:rsidR="000A38F4" w:rsidRPr="00507E84">
        <w:rPr>
          <w:rFonts w:ascii="Times New Roman" w:hAnsi="Times New Roman" w:cs="Times New Roman"/>
        </w:rPr>
        <w:t>Národný bezpečnostný ú</w:t>
      </w:r>
      <w:r w:rsidRPr="00507E84">
        <w:rPr>
          <w:rFonts w:ascii="Times New Roman" w:hAnsi="Times New Roman" w:cs="Times New Roman"/>
        </w:rPr>
        <w:t xml:space="preserve">rad pri ukladaní povinností podľa odseku 1 musí vždy zvážiť závažnosti, rozsahu, dĺžky trvania, následkov a povahy zistených nedostatkov a primerane k tomu uložiť povinnosť. </w:t>
      </w:r>
      <w:r w:rsidR="000A38F4" w:rsidRPr="00507E84">
        <w:rPr>
          <w:rFonts w:ascii="Times New Roman" w:hAnsi="Times New Roman" w:cs="Times New Roman"/>
        </w:rPr>
        <w:t>Národný bezpečnostný ú</w:t>
      </w:r>
      <w:r w:rsidRPr="00507E84">
        <w:rPr>
          <w:rFonts w:ascii="Times New Roman" w:hAnsi="Times New Roman" w:cs="Times New Roman"/>
        </w:rPr>
        <w:t xml:space="preserve">rad k ukladaniu povinností pristúpi až vtedy, keď prevádzkovateľ základnej služby si neplní svoje zákonom alebo na jeho základe uložené povinnosti. Ustanovenia odseku 4 sú terminálny inštitútom, ak si prevádzkovateľ základnej služby neplní uloženú povinnosť vykonať audit kybernetickej bezpečnosti alebo prijať patrenia, ktoré vplývajú priamo z bodu 133 recitálu  a čl. 32 ods. 5 písm. b) smernice  </w:t>
      </w:r>
      <w:r w:rsidR="00CA7501" w:rsidRPr="00507E84">
        <w:rPr>
          <w:rFonts w:ascii="Times New Roman" w:hAnsi="Times New Roman" w:cs="Times New Roman"/>
        </w:rPr>
        <w:t>NIS 2</w:t>
      </w:r>
      <w:r w:rsidR="000A38F4" w:rsidRPr="00507E84">
        <w:rPr>
          <w:rFonts w:ascii="Times New Roman" w:hAnsi="Times New Roman" w:cs="Times New Roman"/>
        </w:rPr>
        <w:t>.</w:t>
      </w:r>
    </w:p>
    <w:p w14:paraId="3823747B" w14:textId="77777777" w:rsidR="00C725B1" w:rsidRPr="00507E84" w:rsidRDefault="00C725B1" w:rsidP="00C725B1">
      <w:pPr>
        <w:spacing w:after="0"/>
        <w:jc w:val="both"/>
        <w:rPr>
          <w:rFonts w:ascii="Times New Roman" w:hAnsi="Times New Roman" w:cs="Times New Roman"/>
          <w:sz w:val="24"/>
          <w:szCs w:val="24"/>
        </w:rPr>
      </w:pPr>
    </w:p>
    <w:p w14:paraId="4338639B" w14:textId="5D4AF496"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V § 29k zákona sa upravuje možnosť Národného bezpečnostného úradu navrhovať súdu, aby svojím rozhodnutím dočasne obmedzil prístup odberateľov dotknutých nezákonným stavom k</w:t>
      </w:r>
      <w:r w:rsidR="00CA7501" w:rsidRPr="00507E84">
        <w:rPr>
          <w:rFonts w:ascii="Times New Roman" w:hAnsi="Times New Roman" w:cs="Times New Roman"/>
          <w:sz w:val="24"/>
          <w:szCs w:val="24"/>
        </w:rPr>
        <w:t> </w:t>
      </w:r>
      <w:r w:rsidRPr="00507E84">
        <w:rPr>
          <w:rFonts w:ascii="Times New Roman" w:hAnsi="Times New Roman" w:cs="Times New Roman"/>
          <w:sz w:val="24"/>
          <w:szCs w:val="24"/>
        </w:rPr>
        <w:t xml:space="preserve">základnej službe, alebo obmedzil prístup k online rozhraniu, prostredníctvom ktorého dochádza k porušeniu spôsobujúcemu nezákonný stav v prípade, že prevádzkovateľ základnej služby neplní povinnosti uložené podľa § 29j ods. 1 zákona riadne a včas, nezákonný stav pretrváva a spôsobuje vážnu škodu alebo inú ujmu a obsahuje znaky trestného činu proti životu, zdraviu alebo bezpečnosti osôb. </w:t>
      </w:r>
      <w:r w:rsidR="00C725B1" w:rsidRPr="00507E84">
        <w:rPr>
          <w:rFonts w:ascii="Times New Roman" w:hAnsi="Times New Roman" w:cs="Times New Roman"/>
          <w:sz w:val="24"/>
          <w:szCs w:val="24"/>
        </w:rPr>
        <w:t>Pre zabránenie pokračovania stavu spôsobujúceho vážnej škody alebo inej ujmy, ktorý nesie znaky trestného činu je nevyhnutné dať možnosť Národnému bezpečnostnému úradu takémuto stavu zabrániť alebo ho prerušiť. Rozhodovanie o uložení povinnosti dočasne obmedziť prístup sa ustanovuje súdu so zreteľom na závažnosť možného dopadu. Národný bezpečnostný úrad vypracuje odôvodnený návrh na uloženie povinnosti dočasne obmedziť prístup, ktorý bude obsahovať argumentáciu, prečo sú podľa Národného bezpečnostného úradu splnené  zákonné predpoklady na uloženie danej povinnosti o ktorom bude rozhodovať nezávislí a nestranný sú</w:t>
      </w:r>
      <w:r w:rsidR="000A38F4" w:rsidRPr="00507E84">
        <w:rPr>
          <w:rFonts w:ascii="Times New Roman" w:hAnsi="Times New Roman" w:cs="Times New Roman"/>
          <w:sz w:val="24"/>
          <w:szCs w:val="24"/>
        </w:rPr>
        <w:t>d</w:t>
      </w:r>
      <w:r w:rsidR="00C725B1" w:rsidRPr="00507E84">
        <w:rPr>
          <w:rFonts w:ascii="Times New Roman" w:hAnsi="Times New Roman" w:cs="Times New Roman"/>
          <w:sz w:val="24"/>
          <w:szCs w:val="24"/>
        </w:rPr>
        <w:t>, čím sa zabezpečí objektivizácia v rozhodovacom procese a</w:t>
      </w:r>
      <w:r w:rsidR="000A38F4" w:rsidRPr="00507E84">
        <w:rPr>
          <w:rFonts w:ascii="Times New Roman" w:hAnsi="Times New Roman" w:cs="Times New Roman"/>
          <w:sz w:val="24"/>
          <w:szCs w:val="24"/>
        </w:rPr>
        <w:t> zabráni sa</w:t>
      </w:r>
      <w:r w:rsidR="00C725B1" w:rsidRPr="00507E84">
        <w:rPr>
          <w:rFonts w:ascii="Times New Roman" w:hAnsi="Times New Roman" w:cs="Times New Roman"/>
          <w:sz w:val="24"/>
          <w:szCs w:val="24"/>
        </w:rPr>
        <w:t xml:space="preserve"> svojvôli </w:t>
      </w:r>
      <w:r w:rsidR="000A38F4" w:rsidRPr="00507E84">
        <w:rPr>
          <w:rFonts w:ascii="Times New Roman" w:hAnsi="Times New Roman" w:cs="Times New Roman"/>
          <w:sz w:val="24"/>
          <w:szCs w:val="24"/>
        </w:rPr>
        <w:t xml:space="preserve">Národného bezpečnostného </w:t>
      </w:r>
      <w:r w:rsidR="00C725B1" w:rsidRPr="00507E84">
        <w:rPr>
          <w:rFonts w:ascii="Times New Roman" w:hAnsi="Times New Roman" w:cs="Times New Roman"/>
          <w:sz w:val="24"/>
          <w:szCs w:val="24"/>
        </w:rPr>
        <w:t xml:space="preserve">úradu.  </w:t>
      </w:r>
      <w:r w:rsidRPr="00507E84">
        <w:rPr>
          <w:rFonts w:ascii="Times New Roman" w:hAnsi="Times New Roman" w:cs="Times New Roman"/>
          <w:sz w:val="24"/>
          <w:szCs w:val="24"/>
        </w:rPr>
        <w:t xml:space="preserve">Ak takéto obmedzenie prístupu nie je v dispozícii prevádzkovateľa základnej služby, povinnosť obmedziť prístup možno v druhom rade uložiť osobe, ktorá je objektívne spôsobilá takéto obmedzenie vykonať. Ustanovujú sa náležitosti žiadosti Národného bezpečnostného úradu, ktorou súdu navrhujú </w:t>
      </w:r>
      <w:r w:rsidRPr="00507E84">
        <w:rPr>
          <w:rFonts w:ascii="Times New Roman" w:hAnsi="Times New Roman" w:cs="Times New Roman"/>
          <w:sz w:val="24"/>
          <w:szCs w:val="24"/>
        </w:rPr>
        <w:lastRenderedPageBreak/>
        <w:t>uložiť obmedzenie prístupu. Stanovuje sa možnosť súdu v rámci svojho rozhodnutia oprávniť Národný bezpečnostný úrad rozhodnúť na opakované predĺženie doby obmedzenia prístupu. Samotné rozhodnutie súdu doručuje Národný bezpečnostný úrad.</w:t>
      </w:r>
    </w:p>
    <w:p w14:paraId="655211BD" w14:textId="77777777" w:rsidR="00C725B1" w:rsidRPr="00507E84" w:rsidRDefault="00C725B1" w:rsidP="007132A2">
      <w:pPr>
        <w:spacing w:after="0"/>
        <w:jc w:val="both"/>
        <w:rPr>
          <w:rFonts w:ascii="Times New Roman" w:hAnsi="Times New Roman" w:cs="Times New Roman"/>
          <w:sz w:val="24"/>
          <w:szCs w:val="24"/>
        </w:rPr>
      </w:pPr>
    </w:p>
    <w:p w14:paraId="187F7719" w14:textId="77777777"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V § 29l zákona sa upravuje inštitút tzv. rozkazného konania. Ide o oprávnenie Národného bezpečnostného úradu v prípade, ak bolo pri výkone dohľadu podľa § 29a ods. 1 písm. a) až c) zákona spoľahlivo zistené, že prevádzkovateľ základnej služby v jednotlivom prípade porušil povinnosť, bez ďalšieho konania vydať rozkaz o uložení sankcie prevádzkovateľovi základnej služby za zistené porušenie.</w:t>
      </w:r>
      <w:r w:rsidR="00C725B1" w:rsidRPr="00507E84">
        <w:rPr>
          <w:rFonts w:ascii="Times New Roman" w:hAnsi="Times New Roman" w:cs="Times New Roman"/>
        </w:rPr>
        <w:t xml:space="preserve"> </w:t>
      </w:r>
      <w:r w:rsidR="00C725B1" w:rsidRPr="00507E84">
        <w:rPr>
          <w:rFonts w:ascii="Times New Roman" w:hAnsi="Times New Roman" w:cs="Times New Roman"/>
          <w:sz w:val="24"/>
          <w:szCs w:val="24"/>
        </w:rPr>
        <w:t>Tento inštitút sleduje zásadu hospodárnosti a efektívnosti. Pokiaľ sa v priebehu dohľadu preukáže jednoznačné porušenie povinnosti prevádzkovateľa základnej služby, ktorý so zisteniami dohľadu súhlasí a nemá voči nim námietky, je na nápravu postačujúce rozkázané konanie bez potreby ďalšieho konania.</w:t>
      </w:r>
    </w:p>
    <w:p w14:paraId="6D08C216" w14:textId="77777777" w:rsidR="00C725B1" w:rsidRPr="00507E84" w:rsidRDefault="00C725B1" w:rsidP="007132A2">
      <w:pPr>
        <w:spacing w:after="0"/>
        <w:jc w:val="both"/>
        <w:rPr>
          <w:rFonts w:ascii="Times New Roman" w:hAnsi="Times New Roman" w:cs="Times New Roman"/>
          <w:sz w:val="24"/>
          <w:szCs w:val="24"/>
        </w:rPr>
      </w:pPr>
    </w:p>
    <w:p w14:paraId="040AB531" w14:textId="77777777" w:rsidR="007132A2" w:rsidRPr="00507E84" w:rsidRDefault="007132A2" w:rsidP="00C725B1">
      <w:pPr>
        <w:spacing w:after="0"/>
        <w:jc w:val="both"/>
        <w:rPr>
          <w:rFonts w:ascii="Times New Roman" w:hAnsi="Times New Roman" w:cs="Times New Roman"/>
          <w:sz w:val="24"/>
          <w:szCs w:val="24"/>
        </w:rPr>
      </w:pPr>
      <w:r w:rsidRPr="00507E84">
        <w:rPr>
          <w:rFonts w:ascii="Times New Roman" w:hAnsi="Times New Roman" w:cs="Times New Roman"/>
          <w:sz w:val="24"/>
          <w:szCs w:val="24"/>
        </w:rPr>
        <w:t>V § 29m zákona sa upravuje inštitút tzv. dohody o náprave. Ide o nový procesný inštitút, ktorý umožňuje Národnému bezpečnostnému úradu kedykoľvek navrhnúť prevádzkovateľovi základnej služby uzatvoriť dohodu o náprave. Národný bezpečnostný úrad môže uzatvoriť dohodu o náprave s prevádzkovateľom základnej služby, ak opatrenia a náhrada, ktoré sú obsahom dohody</w:t>
      </w:r>
      <w:r w:rsidR="00C60C0D" w:rsidRPr="00507E84">
        <w:rPr>
          <w:rFonts w:ascii="Times New Roman" w:hAnsi="Times New Roman" w:cs="Times New Roman"/>
          <w:sz w:val="24"/>
          <w:szCs w:val="24"/>
        </w:rPr>
        <w:t>,</w:t>
      </w:r>
      <w:r w:rsidRPr="00507E84">
        <w:rPr>
          <w:rFonts w:ascii="Times New Roman" w:hAnsi="Times New Roman" w:cs="Times New Roman"/>
          <w:sz w:val="24"/>
          <w:szCs w:val="24"/>
        </w:rPr>
        <w:t xml:space="preserve"> sú spôsobilé odstrániť nezákonný stav a primerane nahradiť vzniknutú škodu alebo inú ujmu a ak neexistuje iný záujem na pokračovaní vo výkone dohľadu. Ak je uzatvorená dohoda o náprave, Národný bezpečnostný úrad zastaví výkon dohľadu v rozsahu porušení povinností, ktoré sú obsahom dohody o náprave. Zároveň sa ponecháva Národnému bezpečnostnému úradu právo opätovne začať dohľad vo veci porušenia povinností, ktoré sú obsahom dohody o náprave v taxatívne uvedených prípadoch.</w:t>
      </w:r>
      <w:r w:rsidR="00C725B1" w:rsidRPr="00507E84">
        <w:rPr>
          <w:rFonts w:ascii="Times New Roman" w:hAnsi="Times New Roman" w:cs="Times New Roman"/>
        </w:rPr>
        <w:t xml:space="preserve"> </w:t>
      </w:r>
      <w:r w:rsidR="00C725B1" w:rsidRPr="00507E84">
        <w:rPr>
          <w:rFonts w:ascii="Times New Roman" w:hAnsi="Times New Roman" w:cs="Times New Roman"/>
          <w:sz w:val="24"/>
          <w:szCs w:val="24"/>
        </w:rPr>
        <w:t>Dohoda o náprave sa javí ako efektívny nástroj na nápravu zistených nedostatkov u prevádzkovateľa základnej služby tam, kde nie je vysoká závažnosť porušenia povinností a najmä, keď je prevádzkovateľ základnej služby súčinný pri odstránení nedostatkov zistených dohľadom a je schopný tieto nedostatky napraviť tak, aby nedochádzalo k ďalšiemu porušovaniu povinností prevádzkovateľa základnej služby ani nebola ohrozená poskytovaná služba. Dohoda o náprave vzniká ako konsenzus medzi návrhom Národného bezpečnostného úradu a možnosťami prevádzkovateľa základnej služby. Nikoho nemožno do takejto dohody nútiť, rovnako nemôže byť nikomu na škodu, že odmietol uzatvoriť dohodu o náprave.</w:t>
      </w:r>
    </w:p>
    <w:p w14:paraId="29D5BB32" w14:textId="77777777" w:rsidR="00C725B1" w:rsidRPr="00507E84" w:rsidRDefault="00C725B1" w:rsidP="007132A2">
      <w:pPr>
        <w:spacing w:after="0"/>
        <w:jc w:val="both"/>
        <w:rPr>
          <w:rFonts w:ascii="Times New Roman" w:hAnsi="Times New Roman" w:cs="Times New Roman"/>
          <w:sz w:val="24"/>
          <w:szCs w:val="24"/>
        </w:rPr>
      </w:pPr>
    </w:p>
    <w:p w14:paraId="077B2EF4" w14:textId="77777777"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V § 29n sa upravuje inštitút poriadkovej pokuty, ktorá umožňuje Národnému bezpečnostnému úradu  ukladať poriadkovú pokutu kontrolovanému subjektu, ktorý neplní povinnosti podľa tohto zákona a tým znemožňuje priebeh kontroly podľa § 29c až § 29h zákona.</w:t>
      </w:r>
    </w:p>
    <w:p w14:paraId="1BC50C8D" w14:textId="77777777" w:rsidR="007132A2" w:rsidRPr="00507E84" w:rsidRDefault="007132A2" w:rsidP="007132A2">
      <w:pPr>
        <w:spacing w:after="0"/>
        <w:jc w:val="both"/>
        <w:rPr>
          <w:rFonts w:ascii="Times New Roman" w:hAnsi="Times New Roman" w:cs="Times New Roman"/>
          <w:b/>
          <w:sz w:val="24"/>
          <w:szCs w:val="24"/>
        </w:rPr>
      </w:pPr>
    </w:p>
    <w:p w14:paraId="717F42C1" w14:textId="3B1DA77A"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w:t>
      </w:r>
      <w:r w:rsidR="007B5A17" w:rsidRPr="00507E84">
        <w:rPr>
          <w:rFonts w:ascii="Times New Roman" w:hAnsi="Times New Roman" w:cs="Times New Roman"/>
          <w:b/>
          <w:sz w:val="24"/>
          <w:szCs w:val="24"/>
        </w:rPr>
        <w:t> </w:t>
      </w:r>
      <w:r w:rsidRPr="00507E84">
        <w:rPr>
          <w:rFonts w:ascii="Times New Roman" w:hAnsi="Times New Roman" w:cs="Times New Roman"/>
          <w:b/>
          <w:sz w:val="24"/>
          <w:szCs w:val="24"/>
        </w:rPr>
        <w:t>bodom</w:t>
      </w:r>
      <w:r w:rsidR="007B5A17" w:rsidRPr="00507E84">
        <w:rPr>
          <w:rFonts w:ascii="Times New Roman" w:hAnsi="Times New Roman" w:cs="Times New Roman"/>
          <w:b/>
          <w:sz w:val="24"/>
          <w:szCs w:val="24"/>
        </w:rPr>
        <w:t xml:space="preserve"> 7</w:t>
      </w:r>
      <w:r w:rsidR="0028073E" w:rsidRPr="00507E84">
        <w:rPr>
          <w:rFonts w:ascii="Times New Roman" w:hAnsi="Times New Roman" w:cs="Times New Roman"/>
          <w:b/>
          <w:sz w:val="24"/>
          <w:szCs w:val="24"/>
        </w:rPr>
        <w:t>6</w:t>
      </w:r>
      <w:r w:rsidR="007B5A17" w:rsidRPr="00507E84">
        <w:rPr>
          <w:rFonts w:ascii="Times New Roman" w:hAnsi="Times New Roman" w:cs="Times New Roman"/>
          <w:b/>
          <w:sz w:val="24"/>
          <w:szCs w:val="24"/>
        </w:rPr>
        <w:t xml:space="preserve"> až 7</w:t>
      </w:r>
      <w:r w:rsidR="0028073E" w:rsidRPr="00507E84">
        <w:rPr>
          <w:rFonts w:ascii="Times New Roman" w:hAnsi="Times New Roman" w:cs="Times New Roman"/>
          <w:b/>
          <w:sz w:val="24"/>
          <w:szCs w:val="24"/>
        </w:rPr>
        <w:t>8</w:t>
      </w:r>
      <w:r w:rsidRPr="00507E84">
        <w:rPr>
          <w:rFonts w:ascii="Times New Roman" w:hAnsi="Times New Roman" w:cs="Times New Roman"/>
          <w:b/>
          <w:sz w:val="24"/>
          <w:szCs w:val="24"/>
        </w:rPr>
        <w:t xml:space="preserve"> </w:t>
      </w:r>
    </w:p>
    <w:p w14:paraId="3A30D588" w14:textId="363310AF"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Dopĺňajú sa nové skutkové podstaty priestupkov súvisiacich s auditom a preverovaním účinnosti prijatých bezpečnostných opatre</w:t>
      </w:r>
      <w:r w:rsidR="00817127" w:rsidRPr="00507E84">
        <w:rPr>
          <w:rFonts w:ascii="Times New Roman" w:hAnsi="Times New Roman" w:cs="Times New Roman"/>
          <w:sz w:val="24"/>
          <w:szCs w:val="24"/>
        </w:rPr>
        <w:t>ní a vykonávajú sa legislatívno</w:t>
      </w:r>
      <w:r w:rsidRPr="00507E84">
        <w:rPr>
          <w:rFonts w:ascii="Times New Roman" w:hAnsi="Times New Roman" w:cs="Times New Roman"/>
          <w:sz w:val="24"/>
          <w:szCs w:val="24"/>
        </w:rPr>
        <w:t>technické úpravy</w:t>
      </w:r>
      <w:r w:rsidR="00CA7501" w:rsidRPr="00507E84">
        <w:rPr>
          <w:rFonts w:ascii="Times New Roman" w:hAnsi="Times New Roman" w:cs="Times New Roman"/>
          <w:sz w:val="24"/>
          <w:szCs w:val="24"/>
        </w:rPr>
        <w:t xml:space="preserve"> súvisiace so sk</w:t>
      </w:r>
      <w:r w:rsidR="002639C3" w:rsidRPr="00507E84">
        <w:rPr>
          <w:rFonts w:ascii="Times New Roman" w:hAnsi="Times New Roman" w:cs="Times New Roman"/>
          <w:sz w:val="24"/>
          <w:szCs w:val="24"/>
        </w:rPr>
        <w:t>utkovými podstatami priestupkov</w:t>
      </w:r>
      <w:r w:rsidRPr="00507E84">
        <w:rPr>
          <w:rFonts w:ascii="Times New Roman" w:hAnsi="Times New Roman" w:cs="Times New Roman"/>
          <w:sz w:val="24"/>
          <w:szCs w:val="24"/>
        </w:rPr>
        <w:t>.</w:t>
      </w:r>
    </w:p>
    <w:p w14:paraId="7E7CA023" w14:textId="77777777" w:rsidR="007132A2" w:rsidRPr="00507E84" w:rsidRDefault="007132A2" w:rsidP="007132A2">
      <w:pPr>
        <w:spacing w:after="0"/>
        <w:jc w:val="both"/>
        <w:rPr>
          <w:rFonts w:ascii="Times New Roman" w:hAnsi="Times New Roman" w:cs="Times New Roman"/>
          <w:sz w:val="24"/>
          <w:szCs w:val="24"/>
        </w:rPr>
      </w:pPr>
    </w:p>
    <w:p w14:paraId="0E1867D6" w14:textId="7BAED207"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7B5A17" w:rsidRPr="00507E84">
        <w:rPr>
          <w:rFonts w:ascii="Times New Roman" w:hAnsi="Times New Roman" w:cs="Times New Roman"/>
          <w:b/>
          <w:sz w:val="24"/>
          <w:szCs w:val="24"/>
        </w:rPr>
        <w:t>7</w:t>
      </w:r>
      <w:r w:rsidR="0028073E" w:rsidRPr="00507E84">
        <w:rPr>
          <w:rFonts w:ascii="Times New Roman" w:hAnsi="Times New Roman" w:cs="Times New Roman"/>
          <w:b/>
          <w:sz w:val="24"/>
          <w:szCs w:val="24"/>
        </w:rPr>
        <w:t>9</w:t>
      </w:r>
    </w:p>
    <w:p w14:paraId="59543FCD" w14:textId="1C34B6BE"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Ustanovenie o správnych deliktoch upravené podľa zmien vyplývajúcich zo smernice NIS</w:t>
      </w:r>
      <w:r w:rsidR="002639C3" w:rsidRPr="00507E84">
        <w:rPr>
          <w:rFonts w:ascii="Times New Roman" w:hAnsi="Times New Roman" w:cs="Times New Roman"/>
          <w:sz w:val="24"/>
          <w:szCs w:val="24"/>
        </w:rPr>
        <w:t xml:space="preserve"> </w:t>
      </w:r>
      <w:r w:rsidRPr="00507E84">
        <w:rPr>
          <w:rFonts w:ascii="Times New Roman" w:hAnsi="Times New Roman" w:cs="Times New Roman"/>
          <w:sz w:val="24"/>
          <w:szCs w:val="24"/>
        </w:rPr>
        <w:t>2 a</w:t>
      </w:r>
      <w:r w:rsidR="002639C3" w:rsidRPr="00507E84">
        <w:rPr>
          <w:rFonts w:ascii="Times New Roman" w:hAnsi="Times New Roman" w:cs="Times New Roman"/>
          <w:sz w:val="24"/>
          <w:szCs w:val="24"/>
        </w:rPr>
        <w:t> </w:t>
      </w:r>
      <w:r w:rsidRPr="00507E84">
        <w:rPr>
          <w:rFonts w:ascii="Times New Roman" w:hAnsi="Times New Roman" w:cs="Times New Roman"/>
          <w:sz w:val="24"/>
          <w:szCs w:val="24"/>
        </w:rPr>
        <w:t>z</w:t>
      </w:r>
      <w:r w:rsidR="002639C3" w:rsidRPr="00507E84">
        <w:rPr>
          <w:rFonts w:ascii="Times New Roman" w:hAnsi="Times New Roman" w:cs="Times New Roman"/>
          <w:sz w:val="24"/>
          <w:szCs w:val="24"/>
        </w:rPr>
        <w:t> </w:t>
      </w:r>
      <w:r w:rsidRPr="00507E84">
        <w:rPr>
          <w:rFonts w:ascii="Times New Roman" w:hAnsi="Times New Roman" w:cs="Times New Roman"/>
          <w:sz w:val="24"/>
          <w:szCs w:val="24"/>
        </w:rPr>
        <w:t>aplikačnej praxe.</w:t>
      </w:r>
    </w:p>
    <w:p w14:paraId="10208B1E" w14:textId="77777777" w:rsidR="007132A2" w:rsidRPr="00507E84" w:rsidRDefault="007132A2" w:rsidP="007132A2">
      <w:pPr>
        <w:spacing w:after="0"/>
        <w:jc w:val="both"/>
        <w:rPr>
          <w:rFonts w:ascii="Times New Roman" w:hAnsi="Times New Roman" w:cs="Times New Roman"/>
          <w:b/>
          <w:sz w:val="24"/>
          <w:szCs w:val="24"/>
        </w:rPr>
      </w:pPr>
    </w:p>
    <w:p w14:paraId="34DC1564" w14:textId="5E02CA08"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w:t>
      </w:r>
      <w:r w:rsidR="002639C3" w:rsidRPr="00507E84">
        <w:rPr>
          <w:rFonts w:ascii="Times New Roman" w:hAnsi="Times New Roman" w:cs="Times New Roman"/>
          <w:b/>
          <w:sz w:val="24"/>
          <w:szCs w:val="24"/>
        </w:rPr>
        <w:t> </w:t>
      </w:r>
      <w:r w:rsidRPr="00507E84">
        <w:rPr>
          <w:rFonts w:ascii="Times New Roman" w:hAnsi="Times New Roman" w:cs="Times New Roman"/>
          <w:b/>
          <w:sz w:val="24"/>
          <w:szCs w:val="24"/>
        </w:rPr>
        <w:t>bod</w:t>
      </w:r>
      <w:r w:rsidR="007B5A17" w:rsidRPr="00507E84">
        <w:rPr>
          <w:rFonts w:ascii="Times New Roman" w:hAnsi="Times New Roman" w:cs="Times New Roman"/>
          <w:b/>
          <w:sz w:val="24"/>
          <w:szCs w:val="24"/>
        </w:rPr>
        <w:t xml:space="preserve">om </w:t>
      </w:r>
      <w:r w:rsidR="0028073E" w:rsidRPr="00507E84">
        <w:rPr>
          <w:rFonts w:ascii="Times New Roman" w:hAnsi="Times New Roman" w:cs="Times New Roman"/>
          <w:b/>
          <w:sz w:val="24"/>
          <w:szCs w:val="24"/>
        </w:rPr>
        <w:t>80</w:t>
      </w:r>
      <w:r w:rsidR="00360D99" w:rsidRPr="00507E84">
        <w:rPr>
          <w:rFonts w:ascii="Times New Roman" w:hAnsi="Times New Roman" w:cs="Times New Roman"/>
          <w:b/>
          <w:sz w:val="24"/>
          <w:szCs w:val="24"/>
        </w:rPr>
        <w:t xml:space="preserve"> a</w:t>
      </w:r>
      <w:r w:rsidR="007B5A17" w:rsidRPr="00507E84">
        <w:rPr>
          <w:rFonts w:ascii="Times New Roman" w:hAnsi="Times New Roman" w:cs="Times New Roman"/>
          <w:b/>
          <w:sz w:val="24"/>
          <w:szCs w:val="24"/>
        </w:rPr>
        <w:t xml:space="preserve"> </w:t>
      </w:r>
      <w:r w:rsidR="0028073E" w:rsidRPr="00507E84">
        <w:rPr>
          <w:rFonts w:ascii="Times New Roman" w:hAnsi="Times New Roman" w:cs="Times New Roman"/>
          <w:b/>
          <w:sz w:val="24"/>
          <w:szCs w:val="24"/>
        </w:rPr>
        <w:t>83</w:t>
      </w:r>
    </w:p>
    <w:p w14:paraId="2F28503D" w14:textId="40909119" w:rsidR="00360D99" w:rsidRPr="00507E84" w:rsidRDefault="00817127"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lastRenderedPageBreak/>
        <w:t>Dochádza k vypusteniu</w:t>
      </w:r>
      <w:r w:rsidR="00360D99" w:rsidRPr="00507E84">
        <w:rPr>
          <w:rFonts w:ascii="Times New Roman" w:hAnsi="Times New Roman" w:cs="Times New Roman"/>
          <w:sz w:val="24"/>
          <w:szCs w:val="24"/>
        </w:rPr>
        <w:t xml:space="preserve"> splnomocňovacích ustanovení a zrušení vyhlášky č. 164/2018 Z. z. a vyhlášky č. 165/2018 Z. z.</w:t>
      </w:r>
      <w:r w:rsidR="009F341B" w:rsidRPr="00507E84">
        <w:rPr>
          <w:rFonts w:ascii="Times New Roman" w:hAnsi="Times New Roman" w:cs="Times New Roman"/>
          <w:sz w:val="24"/>
          <w:szCs w:val="24"/>
        </w:rPr>
        <w:t xml:space="preserve"> z dôvodov vyplývajúcich zo smernice NIS 2.</w:t>
      </w:r>
    </w:p>
    <w:p w14:paraId="7A2D5DD7" w14:textId="403301E2" w:rsidR="007132A2" w:rsidRPr="00507E84" w:rsidRDefault="007132A2" w:rsidP="007132A2">
      <w:pPr>
        <w:spacing w:after="0"/>
        <w:jc w:val="both"/>
        <w:rPr>
          <w:rFonts w:ascii="Times New Roman" w:hAnsi="Times New Roman" w:cs="Times New Roman"/>
          <w:sz w:val="24"/>
          <w:szCs w:val="24"/>
        </w:rPr>
      </w:pPr>
    </w:p>
    <w:p w14:paraId="35B2A0A0" w14:textId="2C0D8287" w:rsidR="00222DD4" w:rsidRPr="00507E84" w:rsidRDefault="007B5A17"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28073E" w:rsidRPr="00507E84">
        <w:rPr>
          <w:rFonts w:ascii="Times New Roman" w:hAnsi="Times New Roman" w:cs="Times New Roman"/>
          <w:b/>
          <w:sz w:val="24"/>
          <w:szCs w:val="24"/>
        </w:rPr>
        <w:t>81</w:t>
      </w:r>
    </w:p>
    <w:p w14:paraId="6F5CBE3D" w14:textId="44B6A2CD" w:rsidR="009F341B" w:rsidRPr="00507E84" w:rsidRDefault="009F341B"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Ide o precizovanie splnomocňovacie</w:t>
      </w:r>
      <w:r w:rsidR="00817127" w:rsidRPr="00507E84">
        <w:rPr>
          <w:rFonts w:ascii="Times New Roman" w:hAnsi="Times New Roman" w:cs="Times New Roman"/>
          <w:sz w:val="24"/>
          <w:szCs w:val="24"/>
        </w:rPr>
        <w:t>ho</w:t>
      </w:r>
      <w:r w:rsidRPr="00507E84">
        <w:rPr>
          <w:rFonts w:ascii="Times New Roman" w:hAnsi="Times New Roman" w:cs="Times New Roman"/>
          <w:sz w:val="24"/>
          <w:szCs w:val="24"/>
        </w:rPr>
        <w:t xml:space="preserve"> ustanovenia v oblasti bezpečnostných opatrení.</w:t>
      </w:r>
    </w:p>
    <w:p w14:paraId="15E5D8B5" w14:textId="77777777" w:rsidR="00222DD4" w:rsidRPr="00507E84" w:rsidRDefault="00222DD4" w:rsidP="007132A2">
      <w:pPr>
        <w:spacing w:after="0"/>
        <w:jc w:val="both"/>
        <w:rPr>
          <w:rFonts w:ascii="Times New Roman" w:hAnsi="Times New Roman" w:cs="Times New Roman"/>
          <w:sz w:val="24"/>
          <w:szCs w:val="24"/>
        </w:rPr>
      </w:pPr>
    </w:p>
    <w:p w14:paraId="4B8F276F" w14:textId="1D5544EB" w:rsidR="005619D3" w:rsidRPr="00507E84" w:rsidRDefault="007B5A17"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28073E" w:rsidRPr="00507E84">
        <w:rPr>
          <w:rFonts w:ascii="Times New Roman" w:hAnsi="Times New Roman" w:cs="Times New Roman"/>
          <w:b/>
          <w:sz w:val="24"/>
          <w:szCs w:val="24"/>
        </w:rPr>
        <w:t>82</w:t>
      </w:r>
    </w:p>
    <w:p w14:paraId="2878790D" w14:textId="2C0D4134" w:rsidR="009F341B" w:rsidRPr="00507E84" w:rsidRDefault="009F341B" w:rsidP="009F341B">
      <w:pPr>
        <w:spacing w:after="0"/>
        <w:jc w:val="both"/>
        <w:rPr>
          <w:rFonts w:ascii="Times New Roman" w:hAnsi="Times New Roman" w:cs="Times New Roman"/>
          <w:sz w:val="24"/>
          <w:szCs w:val="24"/>
        </w:rPr>
      </w:pPr>
      <w:r w:rsidRPr="00507E84">
        <w:rPr>
          <w:rFonts w:ascii="Times New Roman" w:hAnsi="Times New Roman" w:cs="Times New Roman"/>
          <w:sz w:val="24"/>
          <w:szCs w:val="24"/>
        </w:rPr>
        <w:t>Ide o precizovanie splnomocňovacie</w:t>
      </w:r>
      <w:r w:rsidR="00817127" w:rsidRPr="00507E84">
        <w:rPr>
          <w:rFonts w:ascii="Times New Roman" w:hAnsi="Times New Roman" w:cs="Times New Roman"/>
          <w:sz w:val="24"/>
          <w:szCs w:val="24"/>
        </w:rPr>
        <w:t>ho</w:t>
      </w:r>
      <w:r w:rsidRPr="00507E84">
        <w:rPr>
          <w:rFonts w:ascii="Times New Roman" w:hAnsi="Times New Roman" w:cs="Times New Roman"/>
          <w:sz w:val="24"/>
          <w:szCs w:val="24"/>
        </w:rPr>
        <w:t xml:space="preserve"> ustanovenia v oblasti </w:t>
      </w:r>
      <w:r w:rsidR="00817127" w:rsidRPr="00507E84">
        <w:rPr>
          <w:rFonts w:ascii="Times New Roman" w:hAnsi="Times New Roman" w:cs="Times New Roman"/>
          <w:sz w:val="24"/>
          <w:szCs w:val="24"/>
        </w:rPr>
        <w:t>bezpečnostných štandardov</w:t>
      </w:r>
      <w:r w:rsidRPr="00507E84">
        <w:rPr>
          <w:rFonts w:ascii="Times New Roman" w:hAnsi="Times New Roman" w:cs="Times New Roman"/>
          <w:sz w:val="24"/>
          <w:szCs w:val="24"/>
        </w:rPr>
        <w:t xml:space="preserve"> a znalostných </w:t>
      </w:r>
      <w:r w:rsidR="00817127" w:rsidRPr="00507E84">
        <w:rPr>
          <w:rFonts w:ascii="Times New Roman" w:hAnsi="Times New Roman" w:cs="Times New Roman"/>
          <w:sz w:val="24"/>
          <w:szCs w:val="24"/>
        </w:rPr>
        <w:t>štandardov</w:t>
      </w:r>
      <w:r w:rsidRPr="00507E84">
        <w:rPr>
          <w:rFonts w:ascii="Times New Roman" w:hAnsi="Times New Roman" w:cs="Times New Roman"/>
          <w:sz w:val="24"/>
          <w:szCs w:val="24"/>
        </w:rPr>
        <w:t>.</w:t>
      </w:r>
    </w:p>
    <w:p w14:paraId="4565209E" w14:textId="04CEFF7D" w:rsidR="005619D3" w:rsidRPr="00507E84" w:rsidRDefault="005619D3" w:rsidP="007132A2">
      <w:pPr>
        <w:spacing w:after="0"/>
        <w:jc w:val="both"/>
        <w:rPr>
          <w:rFonts w:ascii="Times New Roman" w:hAnsi="Times New Roman" w:cs="Times New Roman"/>
          <w:sz w:val="24"/>
          <w:szCs w:val="24"/>
        </w:rPr>
      </w:pPr>
    </w:p>
    <w:p w14:paraId="7F7D6D96" w14:textId="6B41B6F9" w:rsidR="009F341B" w:rsidRPr="00507E84" w:rsidRDefault="007B5A17"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28073E" w:rsidRPr="00507E84">
        <w:rPr>
          <w:rFonts w:ascii="Times New Roman" w:hAnsi="Times New Roman" w:cs="Times New Roman"/>
          <w:b/>
          <w:sz w:val="24"/>
          <w:szCs w:val="24"/>
        </w:rPr>
        <w:t>84</w:t>
      </w:r>
    </w:p>
    <w:p w14:paraId="7C8C9059" w14:textId="77777777" w:rsidR="009F341B" w:rsidRPr="00507E84" w:rsidRDefault="009F341B"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Splnomocňovacie ustanovenie v oblasti auditu sa rozširuje o samohodnotenie, periodicitu vykonávania auditu samohodnotením a dochádza k precizovaniu splnomocňovacieho ustanovenia.</w:t>
      </w:r>
    </w:p>
    <w:p w14:paraId="3FBBB530" w14:textId="493E77F3" w:rsidR="009F341B" w:rsidRPr="00507E84" w:rsidRDefault="009F341B"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 </w:t>
      </w:r>
    </w:p>
    <w:p w14:paraId="39C6392E" w14:textId="531552DC" w:rsidR="006E690A" w:rsidRPr="00507E84" w:rsidRDefault="007B5A17"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3A0DEE" w:rsidRPr="00507E84">
        <w:rPr>
          <w:rFonts w:ascii="Times New Roman" w:hAnsi="Times New Roman" w:cs="Times New Roman"/>
          <w:b/>
          <w:sz w:val="24"/>
          <w:szCs w:val="24"/>
        </w:rPr>
        <w:t>85</w:t>
      </w:r>
    </w:p>
    <w:p w14:paraId="237BDACC" w14:textId="27122583" w:rsidR="006E690A" w:rsidRPr="00507E84" w:rsidRDefault="006E690A"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Dopĺňajú sa dve nové splnomocňovacie ustanovenia, ktoré vyplynuli ako potreba z návrhu zákona.</w:t>
      </w:r>
    </w:p>
    <w:p w14:paraId="4CA84660" w14:textId="77777777" w:rsidR="006E690A" w:rsidRPr="00507E84" w:rsidRDefault="006E690A" w:rsidP="007132A2">
      <w:pPr>
        <w:spacing w:after="0"/>
        <w:jc w:val="both"/>
        <w:rPr>
          <w:rFonts w:ascii="Times New Roman" w:hAnsi="Times New Roman" w:cs="Times New Roman"/>
          <w:b/>
          <w:sz w:val="24"/>
          <w:szCs w:val="24"/>
        </w:rPr>
      </w:pPr>
    </w:p>
    <w:p w14:paraId="52A1BC58" w14:textId="7418AB0B" w:rsidR="005619D3" w:rsidRPr="00507E84" w:rsidRDefault="007B5A17"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3A0DEE" w:rsidRPr="00507E84">
        <w:rPr>
          <w:rFonts w:ascii="Times New Roman" w:hAnsi="Times New Roman" w:cs="Times New Roman"/>
          <w:b/>
          <w:sz w:val="24"/>
          <w:szCs w:val="24"/>
        </w:rPr>
        <w:t>86</w:t>
      </w:r>
    </w:p>
    <w:p w14:paraId="5C35E996" w14:textId="40127658" w:rsidR="005619D3" w:rsidRPr="00507E84" w:rsidRDefault="00194910"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Dopĺňajú sa </w:t>
      </w:r>
      <w:r w:rsidR="00FE2AC5" w:rsidRPr="00507E84">
        <w:rPr>
          <w:rFonts w:ascii="Times New Roman" w:hAnsi="Times New Roman" w:cs="Times New Roman"/>
          <w:sz w:val="24"/>
          <w:szCs w:val="24"/>
        </w:rPr>
        <w:t xml:space="preserve">vybrané </w:t>
      </w:r>
      <w:r w:rsidRPr="00507E84">
        <w:rPr>
          <w:rFonts w:ascii="Times New Roman" w:hAnsi="Times New Roman" w:cs="Times New Roman"/>
          <w:sz w:val="24"/>
          <w:szCs w:val="24"/>
        </w:rPr>
        <w:t>ustanovenia</w:t>
      </w:r>
      <w:r w:rsidR="00FE2AC5" w:rsidRPr="00507E84">
        <w:rPr>
          <w:rFonts w:ascii="Times New Roman" w:hAnsi="Times New Roman" w:cs="Times New Roman"/>
          <w:sz w:val="24"/>
          <w:szCs w:val="24"/>
        </w:rPr>
        <w:t xml:space="preserve"> v súvislosti s dohľadom</w:t>
      </w:r>
      <w:r w:rsidRPr="00507E84">
        <w:rPr>
          <w:rFonts w:ascii="Times New Roman" w:hAnsi="Times New Roman" w:cs="Times New Roman"/>
          <w:sz w:val="24"/>
          <w:szCs w:val="24"/>
        </w:rPr>
        <w:t>, na ktoré sa nevzťahuje správny poriadok.</w:t>
      </w:r>
    </w:p>
    <w:p w14:paraId="1851A79F" w14:textId="77777777" w:rsidR="005619D3" w:rsidRPr="00507E84" w:rsidRDefault="005619D3" w:rsidP="007132A2">
      <w:pPr>
        <w:spacing w:after="0"/>
        <w:jc w:val="both"/>
        <w:rPr>
          <w:rFonts w:ascii="Times New Roman" w:hAnsi="Times New Roman" w:cs="Times New Roman"/>
          <w:b/>
          <w:sz w:val="24"/>
          <w:szCs w:val="24"/>
        </w:rPr>
      </w:pPr>
    </w:p>
    <w:p w14:paraId="03491953" w14:textId="7166BF20"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3A0DEE" w:rsidRPr="00507E84">
        <w:rPr>
          <w:rFonts w:ascii="Times New Roman" w:hAnsi="Times New Roman" w:cs="Times New Roman"/>
          <w:b/>
          <w:sz w:val="24"/>
          <w:szCs w:val="24"/>
        </w:rPr>
        <w:t>87</w:t>
      </w:r>
    </w:p>
    <w:p w14:paraId="265D3A34" w14:textId="221C2B09" w:rsidR="007132A2" w:rsidRPr="00507E84" w:rsidRDefault="00307DC5"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Ustanovuje sa kompetencia Národného bezpečnostného úradu rozhodnúť, do ktorého sektoru a pod ktorý ústredný orgán bude prevádzkovať základnej služby zaradený s tým, tomuto rozhodnutiu predchádza povinnosť Národného bezpečnostného úradu konzultovať toto zaradenie s príslušnými ústrednými orgánmi. </w:t>
      </w:r>
    </w:p>
    <w:p w14:paraId="618EA772" w14:textId="77777777" w:rsidR="007132A2" w:rsidRPr="00507E84" w:rsidRDefault="007132A2" w:rsidP="007132A2">
      <w:pPr>
        <w:spacing w:after="0"/>
        <w:jc w:val="both"/>
        <w:rPr>
          <w:rFonts w:ascii="Times New Roman" w:hAnsi="Times New Roman" w:cs="Times New Roman"/>
          <w:sz w:val="24"/>
          <w:szCs w:val="24"/>
        </w:rPr>
      </w:pPr>
    </w:p>
    <w:p w14:paraId="38BAA6FE" w14:textId="0DBF31D4"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3A0DEE" w:rsidRPr="00507E84">
        <w:rPr>
          <w:rFonts w:ascii="Times New Roman" w:hAnsi="Times New Roman" w:cs="Times New Roman"/>
          <w:b/>
          <w:sz w:val="24"/>
          <w:szCs w:val="24"/>
        </w:rPr>
        <w:t>88</w:t>
      </w:r>
    </w:p>
    <w:p w14:paraId="6BA52B4C" w14:textId="1E24C5A7" w:rsidR="007132A2" w:rsidRPr="00507E84" w:rsidRDefault="00817127"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w:t>
      </w:r>
      <w:r w:rsidR="007132A2" w:rsidRPr="00507E84">
        <w:rPr>
          <w:rFonts w:ascii="Times New Roman" w:hAnsi="Times New Roman" w:cs="Times New Roman"/>
          <w:sz w:val="24"/>
          <w:szCs w:val="24"/>
        </w:rPr>
        <w:t>technická úprava</w:t>
      </w:r>
      <w:r w:rsidR="00C433AA" w:rsidRPr="00507E84">
        <w:rPr>
          <w:rFonts w:ascii="Times New Roman" w:hAnsi="Times New Roman" w:cs="Times New Roman"/>
          <w:sz w:val="24"/>
          <w:szCs w:val="24"/>
        </w:rPr>
        <w:t xml:space="preserve"> súvisiaca s plnením úloh Ministerstva obrany Slovenskej republiky na úseku kybernetickej bezpečnosti, ktoré sa realizuje prostredníctvom Vojenského spravodajstva</w:t>
      </w:r>
      <w:r w:rsidR="007132A2" w:rsidRPr="00507E84">
        <w:rPr>
          <w:rFonts w:ascii="Times New Roman" w:hAnsi="Times New Roman" w:cs="Times New Roman"/>
          <w:sz w:val="24"/>
          <w:szCs w:val="24"/>
        </w:rPr>
        <w:t>.</w:t>
      </w:r>
    </w:p>
    <w:p w14:paraId="3A7AF853" w14:textId="77777777" w:rsidR="007132A2" w:rsidRPr="00507E84" w:rsidRDefault="007132A2" w:rsidP="007132A2">
      <w:pPr>
        <w:spacing w:after="0"/>
        <w:jc w:val="both"/>
        <w:rPr>
          <w:rFonts w:ascii="Times New Roman" w:hAnsi="Times New Roman" w:cs="Times New Roman"/>
          <w:b/>
          <w:sz w:val="24"/>
          <w:szCs w:val="24"/>
        </w:rPr>
      </w:pPr>
    </w:p>
    <w:p w14:paraId="1A95496B" w14:textId="7AE74796"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3A0DEE" w:rsidRPr="00507E84">
        <w:rPr>
          <w:rFonts w:ascii="Times New Roman" w:hAnsi="Times New Roman" w:cs="Times New Roman"/>
          <w:b/>
          <w:sz w:val="24"/>
          <w:szCs w:val="24"/>
        </w:rPr>
        <w:t>89</w:t>
      </w:r>
    </w:p>
    <w:p w14:paraId="6C2E495D" w14:textId="04F3E453"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Ide o úpravu v oblasti finančného sektora a postavenia </w:t>
      </w:r>
      <w:r w:rsidR="00C433AA" w:rsidRPr="00507E84">
        <w:rPr>
          <w:rFonts w:ascii="Times New Roman" w:hAnsi="Times New Roman" w:cs="Times New Roman"/>
          <w:sz w:val="24"/>
          <w:szCs w:val="24"/>
        </w:rPr>
        <w:t xml:space="preserve">Národnej banky Slovenska </w:t>
      </w:r>
      <w:r w:rsidRPr="00507E84">
        <w:rPr>
          <w:rFonts w:ascii="Times New Roman" w:hAnsi="Times New Roman" w:cs="Times New Roman"/>
          <w:sz w:val="24"/>
          <w:szCs w:val="24"/>
        </w:rPr>
        <w:t>na úsek</w:t>
      </w:r>
      <w:r w:rsidR="00C433AA" w:rsidRPr="00507E84">
        <w:rPr>
          <w:rFonts w:ascii="Times New Roman" w:hAnsi="Times New Roman" w:cs="Times New Roman"/>
          <w:sz w:val="24"/>
          <w:szCs w:val="24"/>
        </w:rPr>
        <w:t>u</w:t>
      </w:r>
      <w:r w:rsidRPr="00507E84">
        <w:rPr>
          <w:rFonts w:ascii="Times New Roman" w:hAnsi="Times New Roman" w:cs="Times New Roman"/>
          <w:sz w:val="24"/>
          <w:szCs w:val="24"/>
        </w:rPr>
        <w:t xml:space="preserve"> kybernetickej bezpečnosti</w:t>
      </w:r>
      <w:r w:rsidR="00E8255B" w:rsidRPr="00507E84">
        <w:rPr>
          <w:rFonts w:ascii="Times New Roman" w:hAnsi="Times New Roman" w:cs="Times New Roman"/>
          <w:sz w:val="24"/>
          <w:szCs w:val="24"/>
        </w:rPr>
        <w:t xml:space="preserve">, ktorá </w:t>
      </w:r>
      <w:r w:rsidR="00FB15AC" w:rsidRPr="00507E84">
        <w:rPr>
          <w:rFonts w:ascii="Times New Roman" w:hAnsi="Times New Roman" w:cs="Times New Roman"/>
          <w:sz w:val="24"/>
          <w:szCs w:val="24"/>
        </w:rPr>
        <w:t xml:space="preserve">je výsledkom vzťahu NIS2 a nariadenia EÚ </w:t>
      </w:r>
      <w:r w:rsidR="00E8255B" w:rsidRPr="00507E84">
        <w:rPr>
          <w:rFonts w:ascii="Times New Roman" w:hAnsi="Times New Roman" w:cs="Times New Roman"/>
          <w:sz w:val="24"/>
          <w:szCs w:val="24"/>
        </w:rPr>
        <w:t>2022/2554</w:t>
      </w:r>
      <w:r w:rsidR="00FB15AC" w:rsidRPr="00507E84">
        <w:rPr>
          <w:rFonts w:ascii="Times New Roman" w:hAnsi="Times New Roman" w:cs="Times New Roman"/>
          <w:sz w:val="24"/>
          <w:szCs w:val="24"/>
        </w:rPr>
        <w:t>.</w:t>
      </w:r>
      <w:r w:rsidR="00817127" w:rsidRPr="00507E84">
        <w:rPr>
          <w:rFonts w:ascii="Times New Roman" w:hAnsi="Times New Roman" w:cs="Times New Roman"/>
          <w:sz w:val="24"/>
          <w:szCs w:val="24"/>
        </w:rPr>
        <w:t xml:space="preserve"> </w:t>
      </w:r>
      <w:r w:rsidR="00C433AA" w:rsidRPr="00507E84">
        <w:rPr>
          <w:rFonts w:ascii="Times New Roman" w:hAnsi="Times New Roman" w:cs="Times New Roman"/>
          <w:sz w:val="24"/>
          <w:szCs w:val="24"/>
        </w:rPr>
        <w:t>Národná banka Slovenska</w:t>
      </w:r>
      <w:r w:rsidR="00E8255B" w:rsidRPr="00507E84">
        <w:rPr>
          <w:rFonts w:ascii="Times New Roman" w:hAnsi="Times New Roman" w:cs="Times New Roman"/>
          <w:sz w:val="24"/>
          <w:szCs w:val="24"/>
        </w:rPr>
        <w:t xml:space="preserve"> nie je prevádzkovateľom základnej služby podľa tohto zákona avšak z dôvodu zabezpečenia vysokej úrovne kybernetickej bezpečnosti na území Slovenskej republiky sa ustanovuje povinnosť Národnej banky Slovenska a úradu uzatvoriť písomnú dohodu o spolupráci predmetom ktorej</w:t>
      </w:r>
      <w:r w:rsidR="00E00ACB" w:rsidRPr="00507E84">
        <w:rPr>
          <w:rFonts w:ascii="Times New Roman" w:hAnsi="Times New Roman" w:cs="Times New Roman"/>
          <w:sz w:val="24"/>
          <w:szCs w:val="24"/>
        </w:rPr>
        <w:t>,</w:t>
      </w:r>
      <w:r w:rsidR="00E8255B" w:rsidRPr="00507E84">
        <w:rPr>
          <w:rFonts w:ascii="Times New Roman" w:hAnsi="Times New Roman" w:cs="Times New Roman"/>
          <w:sz w:val="24"/>
          <w:szCs w:val="24"/>
        </w:rPr>
        <w:t xml:space="preserve"> budú základné rámce hlásenia kybernetických bezpečnostných incidentov a riešenia kybernetických bezpečnostných incidentov a stavu zabezpečovania kybernetickej bezpečnosti v Národnej banke Slovenska.</w:t>
      </w:r>
      <w:r w:rsidR="00C433AA" w:rsidRPr="00507E84">
        <w:rPr>
          <w:rFonts w:ascii="Times New Roman" w:hAnsi="Times New Roman" w:cs="Times New Roman"/>
          <w:sz w:val="24"/>
          <w:szCs w:val="24"/>
        </w:rPr>
        <w:t xml:space="preserve"> </w:t>
      </w:r>
      <w:r w:rsidR="00E00ACB" w:rsidRPr="00507E84">
        <w:rPr>
          <w:rFonts w:ascii="Times New Roman" w:hAnsi="Times New Roman" w:cs="Times New Roman"/>
          <w:sz w:val="24"/>
          <w:szCs w:val="24"/>
        </w:rPr>
        <w:t>Cieľom tejto dohody je zabez</w:t>
      </w:r>
      <w:r w:rsidR="00E8255B" w:rsidRPr="00507E84">
        <w:rPr>
          <w:rFonts w:ascii="Times New Roman" w:hAnsi="Times New Roman" w:cs="Times New Roman"/>
          <w:sz w:val="24"/>
          <w:szCs w:val="24"/>
        </w:rPr>
        <w:t>pečenie spolupráce medzi Národným bezpečnostným úradom ako regulá</w:t>
      </w:r>
      <w:r w:rsidR="00E00ACB" w:rsidRPr="00507E84">
        <w:rPr>
          <w:rFonts w:ascii="Times New Roman" w:hAnsi="Times New Roman" w:cs="Times New Roman"/>
          <w:sz w:val="24"/>
          <w:szCs w:val="24"/>
        </w:rPr>
        <w:t>toro</w:t>
      </w:r>
      <w:r w:rsidR="00E8255B" w:rsidRPr="00507E84">
        <w:rPr>
          <w:rFonts w:ascii="Times New Roman" w:hAnsi="Times New Roman" w:cs="Times New Roman"/>
          <w:sz w:val="24"/>
          <w:szCs w:val="24"/>
        </w:rPr>
        <w:t xml:space="preserve">m v oblasti kybernetickej bezpečnosti a Národnou bankou Slovenska, ktorá je z pohľadu oboch </w:t>
      </w:r>
      <w:r w:rsidR="006E690A" w:rsidRPr="00507E84">
        <w:rPr>
          <w:rFonts w:ascii="Times New Roman" w:hAnsi="Times New Roman" w:cs="Times New Roman"/>
          <w:sz w:val="24"/>
          <w:szCs w:val="24"/>
        </w:rPr>
        <w:t xml:space="preserve">subjektov </w:t>
      </w:r>
      <w:r w:rsidR="00E8255B" w:rsidRPr="00507E84">
        <w:rPr>
          <w:rFonts w:ascii="Times New Roman" w:hAnsi="Times New Roman" w:cs="Times New Roman"/>
          <w:sz w:val="24"/>
          <w:szCs w:val="24"/>
        </w:rPr>
        <w:t xml:space="preserve">veľmi podstatná. </w:t>
      </w:r>
    </w:p>
    <w:p w14:paraId="6772DC0B" w14:textId="0F224D93" w:rsidR="00E00ACB" w:rsidRPr="00507E84" w:rsidRDefault="00E00ACB" w:rsidP="00E00ACB">
      <w:pPr>
        <w:spacing w:after="0"/>
        <w:jc w:val="both"/>
        <w:rPr>
          <w:rFonts w:ascii="Times New Roman" w:hAnsi="Times New Roman" w:cs="Times New Roman"/>
          <w:sz w:val="24"/>
          <w:szCs w:val="24"/>
        </w:rPr>
      </w:pPr>
      <w:r w:rsidRPr="00507E84">
        <w:rPr>
          <w:rFonts w:ascii="Times New Roman" w:hAnsi="Times New Roman" w:cs="Times New Roman"/>
          <w:sz w:val="24"/>
          <w:szCs w:val="24"/>
        </w:rPr>
        <w:lastRenderedPageBreak/>
        <w:t xml:space="preserve">Uvedenou zmluvou o spolupráci, ktorou sa dohodnú podrobnosti hlásenia incidentov medzi Národným bezpečnostným úradom a Národnou bankou Slovenska, sa zabezpečí nahlasovanie kybernetických bezpečnostných incidentov prevádzkovateľmi základnej služby, ktorí sú regulovaní nariadením </w:t>
      </w:r>
      <w:r w:rsidR="00063938" w:rsidRPr="00507E84">
        <w:rPr>
          <w:rFonts w:ascii="Times New Roman" w:hAnsi="Times New Roman" w:cs="Times New Roman"/>
        </w:rPr>
        <w:t xml:space="preserve">(EÚ) 2022/2554 </w:t>
      </w:r>
      <w:r w:rsidRPr="00507E84">
        <w:rPr>
          <w:rFonts w:ascii="Times New Roman" w:hAnsi="Times New Roman" w:cs="Times New Roman"/>
          <w:sz w:val="24"/>
          <w:szCs w:val="24"/>
        </w:rPr>
        <w:t xml:space="preserve">aj </w:t>
      </w:r>
      <w:r w:rsidR="00063938" w:rsidRPr="00507E84">
        <w:rPr>
          <w:rFonts w:ascii="Times New Roman" w:hAnsi="Times New Roman" w:cs="Times New Roman"/>
          <w:sz w:val="24"/>
          <w:szCs w:val="24"/>
        </w:rPr>
        <w:t xml:space="preserve">Národnému bezpečnostnému úradu prostredníctvom Národnej banky Slovenska ako orgán príslušný podľa nariadenia </w:t>
      </w:r>
      <w:r w:rsidR="00125C63" w:rsidRPr="00507E84">
        <w:rPr>
          <w:rFonts w:ascii="Times New Roman" w:hAnsi="Times New Roman" w:cs="Times New Roman"/>
        </w:rPr>
        <w:t xml:space="preserve">(EÚ) </w:t>
      </w:r>
      <w:r w:rsidR="00063938" w:rsidRPr="00507E84">
        <w:rPr>
          <w:rFonts w:ascii="Times New Roman" w:hAnsi="Times New Roman" w:cs="Times New Roman"/>
          <w:sz w:val="24"/>
          <w:szCs w:val="24"/>
        </w:rPr>
        <w:t>2022/2554</w:t>
      </w:r>
      <w:r w:rsidRPr="00507E84">
        <w:rPr>
          <w:rFonts w:ascii="Times New Roman" w:hAnsi="Times New Roman" w:cs="Times New Roman"/>
          <w:sz w:val="24"/>
          <w:szCs w:val="24"/>
        </w:rPr>
        <w:t>.</w:t>
      </w:r>
    </w:p>
    <w:p w14:paraId="46C1572A" w14:textId="77777777" w:rsidR="007132A2" w:rsidRPr="00507E84" w:rsidRDefault="007132A2" w:rsidP="007132A2">
      <w:pPr>
        <w:spacing w:after="0"/>
        <w:jc w:val="both"/>
        <w:rPr>
          <w:rFonts w:ascii="Times New Roman" w:hAnsi="Times New Roman" w:cs="Times New Roman"/>
          <w:sz w:val="24"/>
          <w:szCs w:val="24"/>
        </w:rPr>
      </w:pPr>
    </w:p>
    <w:p w14:paraId="0239D322" w14:textId="15B240D4"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3A0DEE" w:rsidRPr="00507E84">
        <w:rPr>
          <w:rFonts w:ascii="Times New Roman" w:hAnsi="Times New Roman" w:cs="Times New Roman"/>
          <w:b/>
          <w:sz w:val="24"/>
          <w:szCs w:val="24"/>
        </w:rPr>
        <w:t>90</w:t>
      </w:r>
    </w:p>
    <w:p w14:paraId="7F656FE7" w14:textId="4439E690"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Dopĺňajú sa prechodné ustanovenia v súvislosti so zmenami, ktoré vyplynuli zo smernice NIS</w:t>
      </w:r>
      <w:r w:rsidR="00C60C0D" w:rsidRPr="00507E84">
        <w:rPr>
          <w:rFonts w:ascii="Times New Roman" w:hAnsi="Times New Roman" w:cs="Times New Roman"/>
          <w:sz w:val="24"/>
          <w:szCs w:val="24"/>
        </w:rPr>
        <w:t xml:space="preserve"> </w:t>
      </w:r>
      <w:r w:rsidRPr="00507E84">
        <w:rPr>
          <w:rFonts w:ascii="Times New Roman" w:hAnsi="Times New Roman" w:cs="Times New Roman"/>
          <w:sz w:val="24"/>
          <w:szCs w:val="24"/>
        </w:rPr>
        <w:t>2, najmä v súvislosti so zmenami pri identifikácii prevádzkovateľa základnej služby a</w:t>
      </w:r>
      <w:r w:rsidR="00264B34" w:rsidRPr="00507E84">
        <w:rPr>
          <w:rFonts w:ascii="Times New Roman" w:hAnsi="Times New Roman" w:cs="Times New Roman"/>
          <w:sz w:val="24"/>
          <w:szCs w:val="24"/>
        </w:rPr>
        <w:t> </w:t>
      </w:r>
      <w:r w:rsidRPr="00507E84">
        <w:rPr>
          <w:rFonts w:ascii="Times New Roman" w:hAnsi="Times New Roman" w:cs="Times New Roman"/>
          <w:sz w:val="24"/>
          <w:szCs w:val="24"/>
        </w:rPr>
        <w:t>s</w:t>
      </w:r>
      <w:r w:rsidR="00264B34" w:rsidRPr="00507E84">
        <w:rPr>
          <w:rFonts w:ascii="Times New Roman" w:hAnsi="Times New Roman" w:cs="Times New Roman"/>
          <w:sz w:val="24"/>
          <w:szCs w:val="24"/>
        </w:rPr>
        <w:t> </w:t>
      </w:r>
      <w:r w:rsidRPr="00507E84">
        <w:rPr>
          <w:rFonts w:ascii="Times New Roman" w:hAnsi="Times New Roman" w:cs="Times New Roman"/>
          <w:sz w:val="24"/>
          <w:szCs w:val="24"/>
        </w:rPr>
        <w:t xml:space="preserve">vypustením pojmu </w:t>
      </w:r>
      <w:r w:rsidR="00264B34" w:rsidRPr="00507E84">
        <w:rPr>
          <w:rFonts w:ascii="Times New Roman" w:hAnsi="Times New Roman" w:cs="Times New Roman"/>
          <w:sz w:val="24"/>
          <w:szCs w:val="24"/>
        </w:rPr>
        <w:t>„</w:t>
      </w:r>
      <w:r w:rsidRPr="00507E84">
        <w:rPr>
          <w:rFonts w:ascii="Times New Roman" w:hAnsi="Times New Roman" w:cs="Times New Roman"/>
          <w:sz w:val="24"/>
          <w:szCs w:val="24"/>
        </w:rPr>
        <w:t>poskytovateľ digitálnych služieb</w:t>
      </w:r>
      <w:r w:rsidR="00264B34" w:rsidRPr="00507E84">
        <w:rPr>
          <w:rFonts w:ascii="Times New Roman" w:hAnsi="Times New Roman" w:cs="Times New Roman"/>
          <w:sz w:val="24"/>
          <w:szCs w:val="24"/>
        </w:rPr>
        <w:t>“</w:t>
      </w:r>
      <w:r w:rsidRPr="00507E84">
        <w:rPr>
          <w:rFonts w:ascii="Times New Roman" w:hAnsi="Times New Roman" w:cs="Times New Roman"/>
          <w:sz w:val="24"/>
          <w:szCs w:val="24"/>
        </w:rPr>
        <w:t>.</w:t>
      </w:r>
    </w:p>
    <w:p w14:paraId="7182E5BB" w14:textId="14096650"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Ten, kto bol prevádzkovateľom základnej služby 31. decembra 2024, bude automaticky od 1.</w:t>
      </w:r>
      <w:r w:rsidR="00264B34" w:rsidRPr="00507E84">
        <w:rPr>
          <w:rFonts w:ascii="Times New Roman" w:hAnsi="Times New Roman" w:cs="Times New Roman"/>
          <w:sz w:val="24"/>
          <w:szCs w:val="24"/>
        </w:rPr>
        <w:t> </w:t>
      </w:r>
      <w:r w:rsidRPr="00507E84">
        <w:rPr>
          <w:rFonts w:ascii="Times New Roman" w:hAnsi="Times New Roman" w:cs="Times New Roman"/>
          <w:sz w:val="24"/>
          <w:szCs w:val="24"/>
        </w:rPr>
        <w:t>januára 2025 prevádzkovateľom kritickej základnej služby podľa tohto zákona. Zároveň sa určuje lehota pre Národný bezpečnostný úrad, aby mohol rozhodnúť, ktorý z takýchto prevádzkovateľov kritickej základnej služby nebude prevádzkovateľom kritickej základnej služby z dôvodu, že nespĺňa podmienky podľa § 18 ods. 1 tohto zákona v znení účinnom od 1. januára 2025.</w:t>
      </w:r>
    </w:p>
    <w:p w14:paraId="45B42E98" w14:textId="65D9A3EB"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Obdobne ten, kto bol poskytovateľom digitálnej služby 31. decembra 2024, bude od 1. januára 2025 automaticky prevádzkovateľom základnej služby podľa tohto zákona. Taktiež sa určuje lehota pre Národný bezpečnostný úrad, aby mohol rozhodnúť, ktorý z takýchto prevádzkovateľov základnej služby nebude prevádzkovateľom základnej služby z dôvodu, že nespĺňa podmienky podľa § 17 ods. 1 tohto zákona v znení účinnom od 1. januára 2025.</w:t>
      </w:r>
    </w:p>
    <w:p w14:paraId="53CD66B0" w14:textId="60755E94"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Prevádzkovateľovi základnej služby sa umožňuje, aby v prechodnom období, t. j. od 1. januára 2025 do 31. decembra 2026 mohol splniť podmienku zavedenia bezpečnostných opatrení požadovaných podľa tohto zákona v znení účinnom od 1. januára 2025 tak, že bude mať v tomto prechodnom období zavedené bezpečnostné opatrenia podľa tohto zákona v znení účinnom do 31. decembra 2024. </w:t>
      </w:r>
    </w:p>
    <w:p w14:paraId="09E95A10" w14:textId="77777777"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Určuje sa lehota, dokedy je Národný bezpečnostný úrad povinný najneskôr vyzvať na plnenie povinnosti podľa § 21 ods. 3 zákona.</w:t>
      </w:r>
    </w:p>
    <w:p w14:paraId="5830CF68" w14:textId="300C929E"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Prevádzkovateľovi základnej služby sa umožňuje, aby v prechodnom období, t. j. od 1. januára 2025 do 31. decembra 2026, mohol vykonávať audit podľa právnej úpravy účinnej do 31. decembra 2024.</w:t>
      </w:r>
      <w:r w:rsidR="007F69B5" w:rsidRPr="00507E84">
        <w:rPr>
          <w:rFonts w:ascii="Times New Roman" w:hAnsi="Times New Roman" w:cs="Times New Roman"/>
          <w:sz w:val="24"/>
          <w:szCs w:val="24"/>
        </w:rPr>
        <w:t xml:space="preserve"> Rovnako tak sa ustanovuje možnosť určitým prevádzkovateľom základnej služby plniť povinnosť vykonať audit kybernetickej bezpečnosti, ktorý bol povinný vykonať v roku 2024, spôsobom podľa odseku 9, teda samohodnotením, do 30. </w:t>
      </w:r>
      <w:r w:rsidR="00A8716D" w:rsidRPr="00507E84">
        <w:rPr>
          <w:rFonts w:ascii="Times New Roman" w:hAnsi="Times New Roman" w:cs="Times New Roman"/>
          <w:sz w:val="24"/>
          <w:szCs w:val="24"/>
        </w:rPr>
        <w:t>septembra</w:t>
      </w:r>
      <w:r w:rsidR="007F69B5" w:rsidRPr="00507E84">
        <w:rPr>
          <w:rFonts w:ascii="Times New Roman" w:hAnsi="Times New Roman" w:cs="Times New Roman"/>
          <w:sz w:val="24"/>
          <w:szCs w:val="24"/>
        </w:rPr>
        <w:t xml:space="preserve"> 2025. Táto možnosť vyplynula ako potreba z aplikačnej praxe.</w:t>
      </w:r>
    </w:p>
    <w:p w14:paraId="6391C071" w14:textId="77777777" w:rsidR="007132A2" w:rsidRPr="00507E84" w:rsidRDefault="007132A2" w:rsidP="007132A2">
      <w:pPr>
        <w:spacing w:after="0"/>
        <w:jc w:val="both"/>
        <w:rPr>
          <w:rFonts w:ascii="Times New Roman" w:hAnsi="Times New Roman" w:cs="Times New Roman"/>
          <w:b/>
          <w:sz w:val="24"/>
          <w:szCs w:val="24"/>
        </w:rPr>
      </w:pPr>
    </w:p>
    <w:p w14:paraId="69908BF6" w14:textId="726DB7E4"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3A0DEE" w:rsidRPr="00507E84">
        <w:rPr>
          <w:rFonts w:ascii="Times New Roman" w:hAnsi="Times New Roman" w:cs="Times New Roman"/>
          <w:b/>
          <w:sz w:val="24"/>
          <w:szCs w:val="24"/>
        </w:rPr>
        <w:t>91</w:t>
      </w:r>
    </w:p>
    <w:p w14:paraId="69563F32" w14:textId="37C45DCA"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Zrušovacie ustanoveni</w:t>
      </w:r>
      <w:r w:rsidR="007B5A17" w:rsidRPr="00507E84">
        <w:rPr>
          <w:rFonts w:ascii="Times New Roman" w:hAnsi="Times New Roman" w:cs="Times New Roman"/>
          <w:sz w:val="24"/>
          <w:szCs w:val="24"/>
        </w:rPr>
        <w:t>a</w:t>
      </w:r>
      <w:r w:rsidRPr="00507E84">
        <w:rPr>
          <w:rFonts w:ascii="Times New Roman" w:hAnsi="Times New Roman" w:cs="Times New Roman"/>
          <w:sz w:val="24"/>
          <w:szCs w:val="24"/>
        </w:rPr>
        <w:t>, ktorý</w:t>
      </w:r>
      <w:r w:rsidR="00B233E9" w:rsidRPr="00507E84">
        <w:rPr>
          <w:rFonts w:ascii="Times New Roman" w:hAnsi="Times New Roman" w:cs="Times New Roman"/>
          <w:sz w:val="24"/>
          <w:szCs w:val="24"/>
        </w:rPr>
        <w:t>m</w:t>
      </w:r>
      <w:r w:rsidRPr="00507E84">
        <w:rPr>
          <w:rFonts w:ascii="Times New Roman" w:hAnsi="Times New Roman" w:cs="Times New Roman"/>
          <w:sz w:val="24"/>
          <w:szCs w:val="24"/>
        </w:rPr>
        <w:t xml:space="preserve"> sa zrušuje vyhláška Národného bezpečnostného úradu č.</w:t>
      </w:r>
      <w:r w:rsidR="00B233E9" w:rsidRPr="00507E84">
        <w:rPr>
          <w:rFonts w:ascii="Times New Roman" w:hAnsi="Times New Roman" w:cs="Times New Roman"/>
          <w:sz w:val="24"/>
          <w:szCs w:val="24"/>
        </w:rPr>
        <w:t> </w:t>
      </w:r>
      <w:r w:rsidRPr="00507E84">
        <w:rPr>
          <w:rFonts w:ascii="Times New Roman" w:hAnsi="Times New Roman" w:cs="Times New Roman"/>
          <w:sz w:val="24"/>
          <w:szCs w:val="24"/>
        </w:rPr>
        <w:t>164/2018 Z. z., ktorou sa určujú identifikačné kritéria prevádzkovanej služby (kritériá základnej služby) a vyhláška Národného bezpečnostného úradu č. 165/2018 Z. z., ktorou sa určujú identifikačné kritériá pre jednotlivé kategórie závažných kybernetických bezpečnostných incidentov a podrobnosti hlásenia kybernetických bezpečnostných incidentov.</w:t>
      </w:r>
    </w:p>
    <w:p w14:paraId="2CC35168" w14:textId="77777777" w:rsidR="007132A2" w:rsidRPr="00507E84" w:rsidRDefault="007132A2" w:rsidP="007132A2">
      <w:pPr>
        <w:spacing w:after="0"/>
        <w:jc w:val="both"/>
        <w:rPr>
          <w:rFonts w:ascii="Times New Roman" w:hAnsi="Times New Roman" w:cs="Times New Roman"/>
          <w:b/>
          <w:sz w:val="24"/>
          <w:szCs w:val="24"/>
        </w:rPr>
      </w:pPr>
    </w:p>
    <w:p w14:paraId="5C16E05E" w14:textId="76348C7A" w:rsidR="007132A2" w:rsidRPr="00507E84" w:rsidRDefault="00817127"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3A0DEE" w:rsidRPr="00507E84">
        <w:rPr>
          <w:rFonts w:ascii="Times New Roman" w:hAnsi="Times New Roman" w:cs="Times New Roman"/>
          <w:b/>
          <w:sz w:val="24"/>
          <w:szCs w:val="24"/>
        </w:rPr>
        <w:t>92</w:t>
      </w:r>
    </w:p>
    <w:p w14:paraId="74AA4AF7" w14:textId="7F222874"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Legislatívnotechnická úprava</w:t>
      </w:r>
      <w:r w:rsidR="001A2945" w:rsidRPr="00507E84">
        <w:rPr>
          <w:rFonts w:ascii="Times New Roman" w:hAnsi="Times New Roman" w:cs="Times New Roman"/>
          <w:sz w:val="24"/>
          <w:szCs w:val="24"/>
        </w:rPr>
        <w:t xml:space="preserve"> súvisiaca s pojmom „prevádzkovateľ základnej služb</w:t>
      </w:r>
      <w:r w:rsidR="00E510ED" w:rsidRPr="00507E84">
        <w:rPr>
          <w:rFonts w:ascii="Times New Roman" w:hAnsi="Times New Roman" w:cs="Times New Roman"/>
          <w:sz w:val="24"/>
          <w:szCs w:val="24"/>
        </w:rPr>
        <w:t>y</w:t>
      </w:r>
      <w:r w:rsidR="001A2945" w:rsidRPr="00507E84">
        <w:rPr>
          <w:rFonts w:ascii="Times New Roman" w:hAnsi="Times New Roman" w:cs="Times New Roman"/>
          <w:sz w:val="24"/>
          <w:szCs w:val="24"/>
        </w:rPr>
        <w:t>“</w:t>
      </w:r>
      <w:r w:rsidRPr="00507E84">
        <w:rPr>
          <w:rFonts w:ascii="Times New Roman" w:hAnsi="Times New Roman" w:cs="Times New Roman"/>
          <w:sz w:val="24"/>
          <w:szCs w:val="24"/>
        </w:rPr>
        <w:t>.</w:t>
      </w:r>
    </w:p>
    <w:p w14:paraId="440AD73F" w14:textId="77777777" w:rsidR="007132A2" w:rsidRPr="00507E84" w:rsidRDefault="007132A2" w:rsidP="007132A2">
      <w:pPr>
        <w:spacing w:after="0"/>
        <w:jc w:val="both"/>
        <w:rPr>
          <w:rFonts w:ascii="Times New Roman" w:hAnsi="Times New Roman" w:cs="Times New Roman"/>
          <w:b/>
          <w:sz w:val="24"/>
          <w:szCs w:val="24"/>
        </w:rPr>
      </w:pPr>
    </w:p>
    <w:p w14:paraId="6EF06CEB" w14:textId="58FE1ED4" w:rsidR="007132A2" w:rsidRPr="00507E84" w:rsidRDefault="001A2945"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bodu </w:t>
      </w:r>
      <w:r w:rsidR="003A0DEE" w:rsidRPr="00507E84">
        <w:rPr>
          <w:rFonts w:ascii="Times New Roman" w:hAnsi="Times New Roman" w:cs="Times New Roman"/>
          <w:b/>
          <w:sz w:val="24"/>
          <w:szCs w:val="24"/>
        </w:rPr>
        <w:t>93</w:t>
      </w:r>
    </w:p>
    <w:p w14:paraId="188F55D4" w14:textId="29DDB3E7"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lastRenderedPageBreak/>
        <w:t>Pôvodné prílohy č. 1 a č. 2 sa nahrádzajú novými prílohami podľa požiadaviek smernice NIS</w:t>
      </w:r>
      <w:r w:rsidR="00B233E9" w:rsidRPr="00507E84">
        <w:rPr>
          <w:rFonts w:ascii="Times New Roman" w:hAnsi="Times New Roman" w:cs="Times New Roman"/>
          <w:sz w:val="24"/>
          <w:szCs w:val="24"/>
        </w:rPr>
        <w:t xml:space="preserve"> </w:t>
      </w:r>
      <w:r w:rsidRPr="00507E84">
        <w:rPr>
          <w:rFonts w:ascii="Times New Roman" w:hAnsi="Times New Roman" w:cs="Times New Roman"/>
          <w:sz w:val="24"/>
          <w:szCs w:val="24"/>
        </w:rPr>
        <w:t>2. Prílohy č. 1 a č. 2 slúžia na identifikáciu prevádzkovateľov základnej služby podľa § 17 ods. 1 zákona.</w:t>
      </w:r>
    </w:p>
    <w:p w14:paraId="4DDC7391" w14:textId="0CDEF22E"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V prílohe č. 1 sú uvedené sektory s vysokou úrovňou kritickosti, podsektory, typy subjektov a ústredný orgán, ktorý tieto subjekty zastrešuje. V poznámke sú uvedené právne predpisy Slovenskej republiky upravujúce problematiku sektorov, podsektorov, prípadne typov subjektov. Pri tvorbe prílohy č. 1 sa vychádzalo primárne z prílohy č. 1 smernice NIS</w:t>
      </w:r>
      <w:r w:rsidR="00B233E9" w:rsidRPr="00507E84">
        <w:rPr>
          <w:rFonts w:ascii="Times New Roman" w:hAnsi="Times New Roman" w:cs="Times New Roman"/>
          <w:sz w:val="24"/>
          <w:szCs w:val="24"/>
        </w:rPr>
        <w:t xml:space="preserve"> </w:t>
      </w:r>
      <w:r w:rsidRPr="00507E84">
        <w:rPr>
          <w:rFonts w:ascii="Times New Roman" w:hAnsi="Times New Roman" w:cs="Times New Roman"/>
          <w:sz w:val="24"/>
          <w:szCs w:val="24"/>
        </w:rPr>
        <w:t>2. Väčšina sektorov, podsektorov a typov subjektov s vysokou úrovňou kritickosti bola identifikovaná už v prílohe č. 1 zákona v znení účinnom do 31. decembra 2024. Príloha č. 1 slúži aj na identifikáciu kritickej základnej služby, pretože činnosti uvedené v prílohe č. 1, okrem sektoru verejná správa, sa považujú za kritickú základnú službu, ak ju vykonáva osoba, ktorá presahuje podmienky veľkosti pre stredný podnik.</w:t>
      </w:r>
    </w:p>
    <w:p w14:paraId="5FFD7479" w14:textId="7AFEC7F1" w:rsidR="00ED6AEA" w:rsidRPr="00507E84" w:rsidRDefault="00ED6AEA"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V prílohe č. 1 poznámke </w:t>
      </w:r>
      <w:r w:rsidR="005721DD" w:rsidRPr="00507E84">
        <w:rPr>
          <w:rFonts w:ascii="Times New Roman" w:hAnsi="Times New Roman" w:cs="Times New Roman"/>
          <w:sz w:val="24"/>
          <w:szCs w:val="24"/>
        </w:rPr>
        <w:t xml:space="preserve">sú </w:t>
      </w:r>
      <w:r w:rsidRPr="00507E84">
        <w:rPr>
          <w:rFonts w:ascii="Times New Roman" w:hAnsi="Times New Roman" w:cs="Times New Roman"/>
          <w:sz w:val="24"/>
          <w:szCs w:val="24"/>
        </w:rPr>
        <w:t>uvedené príklady príslušných právnych predpisov v danej oblasti. Ide o pomôcku pre užívateľa zákona</w:t>
      </w:r>
      <w:r w:rsidR="005721DD" w:rsidRPr="00507E84">
        <w:rPr>
          <w:rFonts w:ascii="Times New Roman" w:hAnsi="Times New Roman" w:cs="Times New Roman"/>
        </w:rPr>
        <w:t xml:space="preserve"> </w:t>
      </w:r>
      <w:r w:rsidR="005721DD" w:rsidRPr="00507E84">
        <w:rPr>
          <w:rFonts w:ascii="Times New Roman" w:hAnsi="Times New Roman" w:cs="Times New Roman"/>
          <w:sz w:val="24"/>
          <w:szCs w:val="24"/>
        </w:rPr>
        <w:t>č. 69/2018 Z. z.</w:t>
      </w:r>
      <w:r w:rsidRPr="00507E84">
        <w:rPr>
          <w:rFonts w:ascii="Times New Roman" w:hAnsi="Times New Roman" w:cs="Times New Roman"/>
          <w:sz w:val="24"/>
          <w:szCs w:val="24"/>
        </w:rPr>
        <w:t xml:space="preserve"> a nejde o finálny výpočet právnych predpisov.</w:t>
      </w:r>
    </w:p>
    <w:p w14:paraId="1D4A5B71" w14:textId="77777777"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V prílohe č. 2 sú uvedené iné kritické sektory, vrátane ich podsektorov, typov subjektov a ústredných orgánov, ktoré tieto typy subjektov zastrešujú. V poznámke sú uvedené právne predpisy Slovenskej republiky upravujúce problematiku sektorov, podsektorov, prípadne typov subjektov.</w:t>
      </w:r>
    </w:p>
    <w:p w14:paraId="48A2C8C1" w14:textId="77777777"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V prípade prílohy č. 3 ide iba o legislatívnotechnickú úpravu.</w:t>
      </w:r>
    </w:p>
    <w:p w14:paraId="27FC71A0" w14:textId="77777777" w:rsidR="007132A2" w:rsidRPr="00507E84" w:rsidRDefault="007132A2" w:rsidP="007132A2">
      <w:pPr>
        <w:spacing w:after="0"/>
        <w:jc w:val="both"/>
        <w:rPr>
          <w:rFonts w:ascii="Times New Roman" w:hAnsi="Times New Roman" w:cs="Times New Roman"/>
          <w:b/>
          <w:sz w:val="24"/>
          <w:szCs w:val="24"/>
        </w:rPr>
      </w:pPr>
    </w:p>
    <w:p w14:paraId="1A9FD4FA" w14:textId="77777777"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Čl. II (Zákon č. 455/1991 Zb.)</w:t>
      </w:r>
    </w:p>
    <w:p w14:paraId="00BA4A19" w14:textId="77777777"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Medzi viazané živnosti sa do skupiny 214 - Ostatné dopĺňa živnosť s poradovým číslom 95. „Certifikovaný audítor kybernetickej bezpečnosti“. Odborná spôsobilosť sa preukazuje Certifikátom audítora kybernetickej bezpečnosti, ktorý je vydaný v súlade s § 29 ods. 3 zákona č. 69/2018 Z. z. o kybernetickej bezpečnosti a o zmene a doplnení niektorých zákonov v znení neskorších predpisov.</w:t>
      </w:r>
    </w:p>
    <w:p w14:paraId="05B95B4E" w14:textId="77777777" w:rsidR="007132A2" w:rsidRPr="00507E84" w:rsidRDefault="007132A2" w:rsidP="007132A2">
      <w:pPr>
        <w:spacing w:after="0"/>
        <w:jc w:val="both"/>
        <w:rPr>
          <w:rFonts w:ascii="Times New Roman" w:hAnsi="Times New Roman" w:cs="Times New Roman"/>
          <w:sz w:val="24"/>
          <w:szCs w:val="24"/>
        </w:rPr>
      </w:pPr>
    </w:p>
    <w:p w14:paraId="32F077FC" w14:textId="77777777"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Čl. III (Zákon Národnej rady Slovenskej republiky č. 145/1995 Z. z.)</w:t>
      </w:r>
    </w:p>
    <w:p w14:paraId="4E37C9CF" w14:textId="0C134B9D"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Vzhľadom na to, že zákon č. 452/2021 Z. z. o elektronických komunikáciách v znení neskorších predpisov </w:t>
      </w:r>
      <w:r w:rsidR="00BC2926" w:rsidRPr="00507E84">
        <w:rPr>
          <w:rFonts w:ascii="Times New Roman" w:hAnsi="Times New Roman" w:cs="Times New Roman"/>
          <w:sz w:val="24"/>
          <w:szCs w:val="24"/>
        </w:rPr>
        <w:t>(</w:t>
      </w:r>
      <w:r w:rsidR="007B5A17" w:rsidRPr="00507E84">
        <w:rPr>
          <w:rFonts w:ascii="Times New Roman" w:hAnsi="Times New Roman" w:cs="Times New Roman"/>
          <w:sz w:val="24"/>
          <w:szCs w:val="24"/>
        </w:rPr>
        <w:t>viď čl</w:t>
      </w:r>
      <w:r w:rsidR="00BC2926" w:rsidRPr="00507E84">
        <w:rPr>
          <w:rFonts w:ascii="Times New Roman" w:hAnsi="Times New Roman" w:cs="Times New Roman"/>
          <w:sz w:val="24"/>
          <w:szCs w:val="24"/>
        </w:rPr>
        <w:t xml:space="preserve">. VI) </w:t>
      </w:r>
      <w:r w:rsidRPr="00507E84">
        <w:rPr>
          <w:rFonts w:ascii="Times New Roman" w:hAnsi="Times New Roman" w:cs="Times New Roman"/>
          <w:sz w:val="24"/>
          <w:szCs w:val="24"/>
        </w:rPr>
        <w:t>v</w:t>
      </w:r>
      <w:r w:rsidR="00BC2926" w:rsidRPr="00507E84">
        <w:rPr>
          <w:rFonts w:ascii="Times New Roman" w:hAnsi="Times New Roman" w:cs="Times New Roman"/>
          <w:sz w:val="24"/>
          <w:szCs w:val="24"/>
        </w:rPr>
        <w:t xml:space="preserve"> novom </w:t>
      </w:r>
      <w:r w:rsidRPr="00507E84">
        <w:rPr>
          <w:rFonts w:ascii="Times New Roman" w:hAnsi="Times New Roman" w:cs="Times New Roman"/>
          <w:sz w:val="24"/>
          <w:szCs w:val="24"/>
        </w:rPr>
        <w:t xml:space="preserve">§ 52a ustanovuje pre fyzickú osobu, ktorá bude obsluhovať vybrané rádiové zariadenie vybavené zariadeniami GMDSS na lodiach, ktoré nie sú povinne týmito zariadeniami vybavené, povinnosť pred vykonaním skúšky absolvovať praktický výcvik v školiacom stredisku uznanom </w:t>
      </w:r>
      <w:r w:rsidR="00EB2783" w:rsidRPr="00507E84">
        <w:rPr>
          <w:rFonts w:ascii="Times New Roman" w:hAnsi="Times New Roman" w:cs="Times New Roman"/>
          <w:sz w:val="24"/>
          <w:szCs w:val="24"/>
        </w:rPr>
        <w:t xml:space="preserve">Úradom pre reguláciu elektronických komunikácií a poštových služieb, </w:t>
      </w:r>
      <w:r w:rsidRPr="00507E84">
        <w:rPr>
          <w:rFonts w:ascii="Times New Roman" w:hAnsi="Times New Roman" w:cs="Times New Roman"/>
          <w:sz w:val="24"/>
          <w:szCs w:val="24"/>
        </w:rPr>
        <w:t>je potrebné upraviť nový druh správneho poplatku za podanie žiadosti o uznanie školiaceho strediska.</w:t>
      </w:r>
    </w:p>
    <w:p w14:paraId="4D45DAC9" w14:textId="77777777" w:rsidR="007132A2" w:rsidRPr="00507E84" w:rsidRDefault="007132A2" w:rsidP="007132A2">
      <w:pPr>
        <w:spacing w:after="0"/>
        <w:jc w:val="both"/>
        <w:rPr>
          <w:rFonts w:ascii="Times New Roman" w:hAnsi="Times New Roman" w:cs="Times New Roman"/>
          <w:sz w:val="24"/>
          <w:szCs w:val="24"/>
        </w:rPr>
      </w:pPr>
    </w:p>
    <w:p w14:paraId="0BE7253E" w14:textId="77777777"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Čl. IV (Zákon č. 143/1998 Z. z.)</w:t>
      </w:r>
    </w:p>
    <w:p w14:paraId="3D8C754B" w14:textId="5B4877ED"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Školenia o kybernetickej bezpečnosti sa týmto upravujú v zákone o civilnom letectve. Vykonávacie Nariadenie Komisie (EÚ) 2015/1998 požaduje, aby osoby ním definované absolvovali odbornú prípravu v oblasti kybernetickej bezpečnosti. Legislatívno-technická úprava v nadväznosti na novú úpravu. </w:t>
      </w:r>
      <w:r w:rsidR="00C44577" w:rsidRPr="00507E84">
        <w:rPr>
          <w:rFonts w:ascii="Times New Roman" w:hAnsi="Times New Roman" w:cs="Times New Roman"/>
          <w:sz w:val="24"/>
          <w:szCs w:val="24"/>
        </w:rPr>
        <w:t>Dopĺňajú sa nové sankcie</w:t>
      </w:r>
      <w:r w:rsidRPr="00507E84">
        <w:rPr>
          <w:rFonts w:ascii="Times New Roman" w:hAnsi="Times New Roman" w:cs="Times New Roman"/>
          <w:sz w:val="24"/>
          <w:szCs w:val="24"/>
        </w:rPr>
        <w:t xml:space="preserve"> v nadväznosti na novú úpravu. V súvislosti s číslovaním poznámok dávame do pozornosti vládny návrh zákona, ktorým sa mení a dopĺňa zákon č. 143/1998 Z. z. o civilnom letectve (letecký zákon) a o zmene a doplnení niektorých zákonov v znení neskorších predpisov a ktorým sa menia a dopĺňajú niektoré zákony (tlač 214).</w:t>
      </w:r>
    </w:p>
    <w:p w14:paraId="507C99CF" w14:textId="77777777" w:rsidR="007132A2" w:rsidRPr="00507E84" w:rsidRDefault="007132A2" w:rsidP="007132A2">
      <w:pPr>
        <w:spacing w:after="0"/>
        <w:jc w:val="both"/>
        <w:rPr>
          <w:rFonts w:ascii="Times New Roman" w:hAnsi="Times New Roman" w:cs="Times New Roman"/>
          <w:b/>
          <w:sz w:val="24"/>
          <w:szCs w:val="24"/>
        </w:rPr>
      </w:pPr>
    </w:p>
    <w:p w14:paraId="572572B0" w14:textId="77777777"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lastRenderedPageBreak/>
        <w:t>Čl. V (Zákon č. 541/2004 Z. z.)</w:t>
      </w:r>
    </w:p>
    <w:p w14:paraId="52ADB7A2" w14:textId="77777777"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bodu 1</w:t>
      </w:r>
    </w:p>
    <w:p w14:paraId="6D6A98B1" w14:textId="77777777"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Ustanovuje sa kompetencia štátneho dozoru v oblasti využívania jadrovej energie, pri fyzickej ochrane, kybernetickej bezpečnosti a pri havarijnom plánovaní.</w:t>
      </w:r>
    </w:p>
    <w:p w14:paraId="2D70AC26" w14:textId="77777777" w:rsidR="007132A2" w:rsidRPr="00507E84" w:rsidRDefault="007132A2" w:rsidP="007132A2">
      <w:pPr>
        <w:spacing w:after="0"/>
        <w:jc w:val="both"/>
        <w:rPr>
          <w:rFonts w:ascii="Times New Roman" w:hAnsi="Times New Roman" w:cs="Times New Roman"/>
          <w:b/>
          <w:sz w:val="24"/>
          <w:szCs w:val="24"/>
        </w:rPr>
      </w:pPr>
    </w:p>
    <w:p w14:paraId="5688EC5E" w14:textId="77777777"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bodu 2</w:t>
      </w:r>
    </w:p>
    <w:p w14:paraId="5DE0C5B0" w14:textId="219F2ECD"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sz w:val="24"/>
          <w:szCs w:val="24"/>
        </w:rPr>
        <w:t xml:space="preserve">Doplnenie nového dokladu v rámci inšpekcie je dôležité z dôvodu analýzy aktuálneho stavu kybernetickej bezpečnosti počítačových systémov dôležitých predovšetkým z hľadiska jadrovej bezpečnosti, fyzickej ochrany, havarijnej pripravenosti a evidencie a kontroly jadrových materiálov. Výsledky záverečnej správy z auditu budú použité ako podklad pravidelných inšpekcií kybernetickej bezpečnosti vykonávaných Úradom jadrového dozoru Slovenskej republiky a zároveň poskytnú inšpektorom </w:t>
      </w:r>
      <w:r w:rsidR="00C44577" w:rsidRPr="00507E84">
        <w:rPr>
          <w:rFonts w:ascii="Times New Roman" w:hAnsi="Times New Roman" w:cs="Times New Roman"/>
          <w:sz w:val="24"/>
          <w:szCs w:val="24"/>
        </w:rPr>
        <w:t xml:space="preserve">Úradu jadrového dozoru </w:t>
      </w:r>
      <w:r w:rsidR="003115B9" w:rsidRPr="00507E84">
        <w:rPr>
          <w:rFonts w:ascii="Times New Roman" w:hAnsi="Times New Roman" w:cs="Times New Roman"/>
          <w:sz w:val="24"/>
          <w:szCs w:val="24"/>
        </w:rPr>
        <w:t xml:space="preserve">Slovenskej republiky </w:t>
      </w:r>
      <w:r w:rsidRPr="00507E84">
        <w:rPr>
          <w:rFonts w:ascii="Times New Roman" w:hAnsi="Times New Roman" w:cs="Times New Roman"/>
          <w:sz w:val="24"/>
          <w:szCs w:val="24"/>
        </w:rPr>
        <w:t xml:space="preserve">prehľad bezpečnostných opatrení, ktoré by mal držiteľ povolenia vykonať pre zabezpečenie požadovanej úrovne kybernetickej bezpečnosti. </w:t>
      </w:r>
    </w:p>
    <w:p w14:paraId="130CCE3A" w14:textId="77777777" w:rsidR="007132A2" w:rsidRPr="00507E84" w:rsidRDefault="007132A2" w:rsidP="007132A2">
      <w:pPr>
        <w:spacing w:after="0"/>
        <w:jc w:val="both"/>
        <w:rPr>
          <w:rFonts w:ascii="Times New Roman" w:hAnsi="Times New Roman" w:cs="Times New Roman"/>
          <w:b/>
          <w:sz w:val="24"/>
          <w:szCs w:val="24"/>
        </w:rPr>
      </w:pPr>
    </w:p>
    <w:p w14:paraId="6D504003" w14:textId="77777777"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Čl. VI (Zákon č. 452/2021 Z. z.)</w:t>
      </w:r>
    </w:p>
    <w:p w14:paraId="3AB4B517" w14:textId="77777777"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bodu 1</w:t>
      </w:r>
    </w:p>
    <w:p w14:paraId="419412E4" w14:textId="72D330DB"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Navrhuje sa ustanovenie kompetencie </w:t>
      </w:r>
      <w:r w:rsidR="00C44577" w:rsidRPr="00507E84">
        <w:rPr>
          <w:rFonts w:ascii="Times New Roman" w:hAnsi="Times New Roman" w:cs="Times New Roman"/>
          <w:sz w:val="24"/>
          <w:szCs w:val="24"/>
        </w:rPr>
        <w:t>Úradu pre regulác</w:t>
      </w:r>
      <w:r w:rsidR="003115B9" w:rsidRPr="00507E84">
        <w:rPr>
          <w:rFonts w:ascii="Times New Roman" w:hAnsi="Times New Roman" w:cs="Times New Roman"/>
          <w:sz w:val="24"/>
          <w:szCs w:val="24"/>
        </w:rPr>
        <w:t>iu elektronických komunikácií a </w:t>
      </w:r>
      <w:r w:rsidR="00C44577" w:rsidRPr="00507E84">
        <w:rPr>
          <w:rFonts w:ascii="Times New Roman" w:hAnsi="Times New Roman" w:cs="Times New Roman"/>
          <w:sz w:val="24"/>
          <w:szCs w:val="24"/>
        </w:rPr>
        <w:t xml:space="preserve">poštových služieb </w:t>
      </w:r>
      <w:r w:rsidRPr="00507E84">
        <w:rPr>
          <w:rFonts w:ascii="Times New Roman" w:hAnsi="Times New Roman" w:cs="Times New Roman"/>
          <w:sz w:val="24"/>
          <w:szCs w:val="24"/>
        </w:rPr>
        <w:t xml:space="preserve">uznávať školiace stredisko pre fyzické osoby, ktoré budú obsluhovať vybrané rádiové zariadenie na lodiach povinne vybavených zariadeniami globálneho námorného tiesňového a bezpečnostného systému (GMDSS). </w:t>
      </w:r>
    </w:p>
    <w:p w14:paraId="68A57F01" w14:textId="77777777" w:rsidR="007132A2" w:rsidRPr="00507E84" w:rsidRDefault="007132A2" w:rsidP="007132A2">
      <w:pPr>
        <w:spacing w:after="0"/>
        <w:jc w:val="both"/>
        <w:rPr>
          <w:rFonts w:ascii="Times New Roman" w:hAnsi="Times New Roman" w:cs="Times New Roman"/>
          <w:sz w:val="24"/>
          <w:szCs w:val="24"/>
        </w:rPr>
      </w:pPr>
    </w:p>
    <w:p w14:paraId="300642D3" w14:textId="4FA4846F"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bodu 2</w:t>
      </w:r>
    </w:p>
    <w:p w14:paraId="1D972FC5" w14:textId="0EC3910B" w:rsidR="00AF4697" w:rsidRPr="00507E84" w:rsidRDefault="007A1CF0" w:rsidP="00AF4697">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w:t>
      </w:r>
      <w:r w:rsidR="00131E04" w:rsidRPr="00507E84">
        <w:rPr>
          <w:rFonts w:ascii="Times New Roman" w:hAnsi="Times New Roman" w:cs="Times New Roman"/>
          <w:sz w:val="24"/>
          <w:szCs w:val="24"/>
        </w:rPr>
        <w:t>technická úprava</w:t>
      </w:r>
      <w:r w:rsidR="00AF4697" w:rsidRPr="00507E84">
        <w:rPr>
          <w:rFonts w:ascii="Times New Roman" w:hAnsi="Times New Roman" w:cs="Times New Roman"/>
          <w:sz w:val="24"/>
          <w:szCs w:val="24"/>
        </w:rPr>
        <w:t>.</w:t>
      </w:r>
    </w:p>
    <w:p w14:paraId="7579806B" w14:textId="77777777" w:rsidR="00AF4697" w:rsidRPr="00507E84" w:rsidRDefault="00AF4697" w:rsidP="007132A2">
      <w:pPr>
        <w:spacing w:after="0"/>
        <w:jc w:val="both"/>
        <w:rPr>
          <w:rFonts w:ascii="Times New Roman" w:hAnsi="Times New Roman" w:cs="Times New Roman"/>
          <w:b/>
          <w:sz w:val="24"/>
          <w:szCs w:val="24"/>
        </w:rPr>
      </w:pPr>
    </w:p>
    <w:p w14:paraId="4F1CD506" w14:textId="5BAF296D" w:rsidR="00AF4697" w:rsidRPr="00507E84" w:rsidRDefault="00AF4697"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bodu 3</w:t>
      </w:r>
    </w:p>
    <w:p w14:paraId="7B3E5CFC" w14:textId="3426C9EA"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Navrhuje sa rozdelenie odseku § 52 tak, že právna úprava uznávania školiaceho strediska bude upravená v samostatnom § 52a.</w:t>
      </w:r>
    </w:p>
    <w:p w14:paraId="22822290" w14:textId="77777777" w:rsidR="007132A2" w:rsidRPr="00507E84" w:rsidRDefault="007132A2" w:rsidP="007132A2">
      <w:pPr>
        <w:spacing w:after="0"/>
        <w:jc w:val="both"/>
        <w:rPr>
          <w:rFonts w:ascii="Times New Roman" w:hAnsi="Times New Roman" w:cs="Times New Roman"/>
          <w:sz w:val="24"/>
          <w:szCs w:val="24"/>
        </w:rPr>
      </w:pPr>
    </w:p>
    <w:p w14:paraId="7574C141" w14:textId="0F9AEA23" w:rsidR="007132A2" w:rsidRPr="00507E84" w:rsidRDefault="00AF4697"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bodu 4</w:t>
      </w:r>
    </w:p>
    <w:p w14:paraId="1B26DDBE" w14:textId="2B063F37"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Navrhuje sa úprava, ktorá ustanovuje, že fyzická osoba, ktorá bude obsluhovať vybrané rádiové zariadenie podľa návrhu, je povinná pred vykonaním skúšky podľa § 52 absolvovať praktický výcvik v školiacom stredisku uznanom </w:t>
      </w:r>
      <w:r w:rsidR="00A556BC" w:rsidRPr="00507E84">
        <w:rPr>
          <w:rFonts w:ascii="Times New Roman" w:hAnsi="Times New Roman" w:cs="Times New Roman"/>
          <w:sz w:val="24"/>
          <w:szCs w:val="24"/>
        </w:rPr>
        <w:t>Úradom pre reguláciu elektronických komunikácií a poštových služieb</w:t>
      </w:r>
      <w:r w:rsidRPr="00507E84">
        <w:rPr>
          <w:rFonts w:ascii="Times New Roman" w:hAnsi="Times New Roman" w:cs="Times New Roman"/>
          <w:sz w:val="24"/>
          <w:szCs w:val="24"/>
        </w:rPr>
        <w:t xml:space="preserve">. Upravujú sa náležitosti a proces uznávania školiaceho strediska, pričom sa súčasne ustanovujú náležitosti žiadosti a požiadavky na žiadateľa o uznanie školiaceho strediska. Ďalej sa ustanovuje proces udeľovania rozhodnutia o uznaní školiaceho strediska resp. dôvody jeho zrušenia. Na proces uznávania resp. zrušenia rozhodnutia o uznaní školiaceho strediska sa vzťahuje všeobecný predpis o správnom konaní. Taktiež sa ustanovujú povinnosti pri výkone činnosti školiaceho strediska s ohľadom na potrebu zabezpečiť požadovanú úroveň vedomostí absolventov a ich evidenciu. </w:t>
      </w:r>
    </w:p>
    <w:p w14:paraId="3D1570B4" w14:textId="77777777" w:rsidR="007132A2" w:rsidRPr="00507E84" w:rsidRDefault="007132A2" w:rsidP="007132A2">
      <w:pPr>
        <w:spacing w:after="0"/>
        <w:jc w:val="both"/>
        <w:rPr>
          <w:rFonts w:ascii="Times New Roman" w:hAnsi="Times New Roman" w:cs="Times New Roman"/>
          <w:sz w:val="24"/>
          <w:szCs w:val="24"/>
        </w:rPr>
      </w:pPr>
    </w:p>
    <w:p w14:paraId="7A918972" w14:textId="29B3EBFC"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 xml:space="preserve">V nadväznosti na prijatie novely zákona č. 452/2021 Z. z. o elektronických komunikáciách v týchto bodoch bude môcť </w:t>
      </w:r>
      <w:r w:rsidR="00A556BC" w:rsidRPr="00507E84">
        <w:rPr>
          <w:rFonts w:ascii="Times New Roman" w:hAnsi="Times New Roman" w:cs="Times New Roman"/>
          <w:sz w:val="24"/>
          <w:szCs w:val="24"/>
        </w:rPr>
        <w:t xml:space="preserve">Úrad pre reguláciu elektronických komunikácií a poštových služieb </w:t>
      </w:r>
      <w:r w:rsidRPr="00507E84">
        <w:rPr>
          <w:rFonts w:ascii="Times New Roman" w:hAnsi="Times New Roman" w:cs="Times New Roman"/>
          <w:sz w:val="24"/>
          <w:szCs w:val="24"/>
        </w:rPr>
        <w:t>vydať všeobecne záväzný právny predpis, ktorý stanoví podrobnosti o postupe a spôsobe uznávania školiaceho strediska podľa prvej vety, rozsah povinného technického vybavenia školiaceho strediska, a náležitosti plánu praktického výcviku  a podrobnosti o požiadavkách, ktoré musí školiace stredisko spĺňať.</w:t>
      </w:r>
    </w:p>
    <w:p w14:paraId="3C52D55F" w14:textId="77777777" w:rsidR="007132A2" w:rsidRPr="00507E84" w:rsidRDefault="007132A2" w:rsidP="007132A2">
      <w:pPr>
        <w:spacing w:after="0"/>
        <w:jc w:val="both"/>
        <w:rPr>
          <w:rFonts w:ascii="Times New Roman" w:hAnsi="Times New Roman" w:cs="Times New Roman"/>
          <w:sz w:val="24"/>
          <w:szCs w:val="24"/>
        </w:rPr>
      </w:pPr>
    </w:p>
    <w:p w14:paraId="50D07A33" w14:textId="27985B53" w:rsidR="007132A2" w:rsidRPr="00507E84" w:rsidRDefault="00AF4697"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K bodom 5 a 6</w:t>
      </w:r>
    </w:p>
    <w:p w14:paraId="68ECC473" w14:textId="29F5EC69" w:rsidR="007132A2" w:rsidRPr="00507E84" w:rsidRDefault="007132A2"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Ide o legislatívnotechnické úpravy súvisiace so zmenami vyplývajúcimi z transpozície smernice NIS</w:t>
      </w:r>
      <w:r w:rsidR="00C44577" w:rsidRPr="00507E84">
        <w:rPr>
          <w:rFonts w:ascii="Times New Roman" w:hAnsi="Times New Roman" w:cs="Times New Roman"/>
          <w:sz w:val="24"/>
          <w:szCs w:val="24"/>
        </w:rPr>
        <w:t xml:space="preserve"> </w:t>
      </w:r>
      <w:r w:rsidRPr="00507E84">
        <w:rPr>
          <w:rFonts w:ascii="Times New Roman" w:hAnsi="Times New Roman" w:cs="Times New Roman"/>
          <w:sz w:val="24"/>
          <w:szCs w:val="24"/>
        </w:rPr>
        <w:t xml:space="preserve">2. Ide o odstránenie duplicity vo vzťahu k zabezpečovaniu kybernetickej bezpečnosti podľa zákona </w:t>
      </w:r>
      <w:r w:rsidR="00131E04" w:rsidRPr="00507E84">
        <w:rPr>
          <w:rFonts w:ascii="Times New Roman" w:hAnsi="Times New Roman" w:cs="Times New Roman"/>
          <w:sz w:val="24"/>
          <w:szCs w:val="24"/>
        </w:rPr>
        <w:t xml:space="preserve">č. 69/2018 Z. z. </w:t>
      </w:r>
      <w:r w:rsidRPr="00507E84">
        <w:rPr>
          <w:rFonts w:ascii="Times New Roman" w:hAnsi="Times New Roman" w:cs="Times New Roman"/>
          <w:sz w:val="24"/>
          <w:szCs w:val="24"/>
        </w:rPr>
        <w:t>a podľa zákona č. 452/2021 Z. z. o elektronických komunikáciách v znení neskorších predpisov. Zákon č. 69/2018 Z.</w:t>
      </w:r>
      <w:r w:rsidR="00131E04" w:rsidRPr="00507E84">
        <w:rPr>
          <w:rFonts w:ascii="Times New Roman" w:hAnsi="Times New Roman" w:cs="Times New Roman"/>
          <w:sz w:val="24"/>
          <w:szCs w:val="24"/>
        </w:rPr>
        <w:t xml:space="preserve"> z.</w:t>
      </w:r>
      <w:r w:rsidRPr="00507E84">
        <w:rPr>
          <w:rFonts w:ascii="Times New Roman" w:hAnsi="Times New Roman" w:cs="Times New Roman"/>
          <w:sz w:val="24"/>
          <w:szCs w:val="24"/>
        </w:rPr>
        <w:t xml:space="preserve"> má v tomto prípade postavenie tzv. lex generalis.</w:t>
      </w:r>
    </w:p>
    <w:p w14:paraId="32E42685" w14:textId="5F28DE6E" w:rsidR="005721DD" w:rsidRPr="00507E84" w:rsidRDefault="005721DD" w:rsidP="007132A2">
      <w:pPr>
        <w:spacing w:after="0"/>
        <w:jc w:val="both"/>
        <w:rPr>
          <w:rFonts w:ascii="Times New Roman" w:hAnsi="Times New Roman" w:cs="Times New Roman"/>
          <w:sz w:val="24"/>
          <w:szCs w:val="24"/>
        </w:rPr>
      </w:pPr>
    </w:p>
    <w:p w14:paraId="3DEA03AB" w14:textId="166C08A6" w:rsidR="005721DD" w:rsidRPr="00507E84" w:rsidRDefault="005721DD"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 xml:space="preserve">K bodom </w:t>
      </w:r>
      <w:r w:rsidR="00AF4697" w:rsidRPr="00507E84">
        <w:rPr>
          <w:rFonts w:ascii="Times New Roman" w:hAnsi="Times New Roman" w:cs="Times New Roman"/>
          <w:b/>
          <w:sz w:val="24"/>
          <w:szCs w:val="24"/>
        </w:rPr>
        <w:t xml:space="preserve">7 a </w:t>
      </w:r>
      <w:r w:rsidRPr="00507E84">
        <w:rPr>
          <w:rFonts w:ascii="Times New Roman" w:hAnsi="Times New Roman" w:cs="Times New Roman"/>
          <w:b/>
          <w:sz w:val="24"/>
          <w:szCs w:val="24"/>
        </w:rPr>
        <w:t>8</w:t>
      </w:r>
    </w:p>
    <w:p w14:paraId="4AA6AC52" w14:textId="71080175" w:rsidR="005721DD" w:rsidRPr="00507E84" w:rsidRDefault="007A1CF0" w:rsidP="007132A2">
      <w:pPr>
        <w:spacing w:after="0"/>
        <w:jc w:val="both"/>
        <w:rPr>
          <w:rFonts w:ascii="Times New Roman" w:hAnsi="Times New Roman" w:cs="Times New Roman"/>
          <w:sz w:val="24"/>
          <w:szCs w:val="24"/>
        </w:rPr>
      </w:pPr>
      <w:r w:rsidRPr="00507E84">
        <w:rPr>
          <w:rFonts w:ascii="Times New Roman" w:hAnsi="Times New Roman" w:cs="Times New Roman"/>
          <w:sz w:val="24"/>
          <w:szCs w:val="24"/>
        </w:rPr>
        <w:t>Legislatívno</w:t>
      </w:r>
      <w:r w:rsidR="00131E04" w:rsidRPr="00507E84">
        <w:rPr>
          <w:rFonts w:ascii="Times New Roman" w:hAnsi="Times New Roman" w:cs="Times New Roman"/>
          <w:sz w:val="24"/>
          <w:szCs w:val="24"/>
        </w:rPr>
        <w:t>technická úprava</w:t>
      </w:r>
      <w:r w:rsidR="005721DD" w:rsidRPr="00507E84">
        <w:rPr>
          <w:rFonts w:ascii="Times New Roman" w:hAnsi="Times New Roman" w:cs="Times New Roman"/>
          <w:sz w:val="24"/>
          <w:szCs w:val="24"/>
        </w:rPr>
        <w:t>.</w:t>
      </w:r>
    </w:p>
    <w:p w14:paraId="5E396C62" w14:textId="77777777" w:rsidR="007132A2" w:rsidRPr="00507E84" w:rsidRDefault="007132A2" w:rsidP="007132A2">
      <w:pPr>
        <w:spacing w:after="0"/>
        <w:jc w:val="both"/>
        <w:rPr>
          <w:rFonts w:ascii="Times New Roman" w:hAnsi="Times New Roman" w:cs="Times New Roman"/>
          <w:sz w:val="24"/>
          <w:szCs w:val="24"/>
        </w:rPr>
      </w:pPr>
    </w:p>
    <w:p w14:paraId="5BFFC810" w14:textId="77777777" w:rsidR="007132A2" w:rsidRPr="00507E84" w:rsidRDefault="007132A2" w:rsidP="007132A2">
      <w:pPr>
        <w:spacing w:after="0"/>
        <w:jc w:val="both"/>
        <w:rPr>
          <w:rFonts w:ascii="Times New Roman" w:hAnsi="Times New Roman" w:cs="Times New Roman"/>
          <w:b/>
          <w:sz w:val="24"/>
          <w:szCs w:val="24"/>
        </w:rPr>
      </w:pPr>
      <w:r w:rsidRPr="00507E84">
        <w:rPr>
          <w:rFonts w:ascii="Times New Roman" w:hAnsi="Times New Roman" w:cs="Times New Roman"/>
          <w:b/>
          <w:sz w:val="24"/>
          <w:szCs w:val="24"/>
        </w:rPr>
        <w:t>Čl. VII</w:t>
      </w:r>
    </w:p>
    <w:p w14:paraId="7EAAED31" w14:textId="48A94B24" w:rsidR="007132A2" w:rsidRPr="00507E84" w:rsidRDefault="007132A2" w:rsidP="007132A2">
      <w:pPr>
        <w:pStyle w:val="Zkladntext3"/>
        <w:ind w:right="-144"/>
        <w:rPr>
          <w:rFonts w:eastAsiaTheme="minorHAnsi"/>
          <w:lang w:eastAsia="en-US"/>
        </w:rPr>
      </w:pPr>
      <w:r w:rsidRPr="00507E84">
        <w:rPr>
          <w:rFonts w:eastAsiaTheme="minorHAnsi"/>
          <w:lang w:eastAsia="en-US"/>
        </w:rPr>
        <w:t>Účinnosť zákona sa navrhuje 1. januára 2025</w:t>
      </w:r>
      <w:r w:rsidR="00C562C3" w:rsidRPr="00507E84">
        <w:rPr>
          <w:rFonts w:eastAsiaTheme="minorHAnsi"/>
          <w:lang w:eastAsia="en-US"/>
        </w:rPr>
        <w:t xml:space="preserve"> vzhľadom na dĺžku legislatívneho procesu</w:t>
      </w:r>
      <w:r w:rsidRPr="00507E84">
        <w:rPr>
          <w:rFonts w:eastAsiaTheme="minorHAnsi"/>
          <w:lang w:eastAsia="en-US"/>
        </w:rPr>
        <w:t>.</w:t>
      </w:r>
    </w:p>
    <w:p w14:paraId="21B470E2" w14:textId="71EF12C9" w:rsidR="00357166" w:rsidRPr="00507E84" w:rsidRDefault="00357166" w:rsidP="007132A2">
      <w:pPr>
        <w:pStyle w:val="Zkladntext3"/>
        <w:ind w:right="-144"/>
        <w:rPr>
          <w:rFonts w:eastAsiaTheme="minorHAnsi"/>
          <w:lang w:eastAsia="en-US"/>
        </w:rPr>
      </w:pPr>
    </w:p>
    <w:p w14:paraId="39120342" w14:textId="22141BDB" w:rsidR="00357166" w:rsidRPr="00507E84" w:rsidRDefault="00357166" w:rsidP="00357166">
      <w:pPr>
        <w:adjustRightInd w:val="0"/>
        <w:spacing w:after="100" w:afterAutospacing="1" w:line="240" w:lineRule="auto"/>
        <w:contextualSpacing/>
        <w:jc w:val="both"/>
        <w:rPr>
          <w:rFonts w:ascii="Times New Roman" w:eastAsia="Times New Roman" w:hAnsi="Times New Roman" w:cs="Times New Roman"/>
          <w:sz w:val="24"/>
          <w:szCs w:val="24"/>
          <w:lang w:eastAsia="sk-SK"/>
        </w:rPr>
      </w:pPr>
      <w:r w:rsidRPr="00507E84">
        <w:rPr>
          <w:rFonts w:ascii="Times New Roman" w:eastAsia="Times New Roman" w:hAnsi="Times New Roman" w:cs="Times New Roman"/>
          <w:sz w:val="24"/>
          <w:szCs w:val="24"/>
          <w:lang w:eastAsia="sk-SK"/>
        </w:rPr>
        <w:t>V Bratislave 2. októbra 2024</w:t>
      </w:r>
    </w:p>
    <w:p w14:paraId="0313C888" w14:textId="77777777" w:rsidR="00357166" w:rsidRPr="00507E84" w:rsidRDefault="00357166" w:rsidP="00357166">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2900BCCF" w14:textId="77777777" w:rsidR="00357166" w:rsidRPr="00507E84" w:rsidRDefault="00357166" w:rsidP="00357166">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1C581BE8" w14:textId="77777777" w:rsidR="00357166" w:rsidRPr="00507E84" w:rsidRDefault="00357166" w:rsidP="00357166">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7B33616E" w14:textId="77777777" w:rsidR="00357166" w:rsidRPr="00507E84" w:rsidRDefault="00357166" w:rsidP="00357166">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7D2DA41B" w14:textId="77777777" w:rsidR="00357166" w:rsidRPr="00507E84" w:rsidRDefault="00357166" w:rsidP="00357166">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5AFD966B" w14:textId="77777777" w:rsidR="00357166" w:rsidRPr="00507E84" w:rsidRDefault="00357166" w:rsidP="00357166">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4D807564" w14:textId="77777777" w:rsidR="00357166" w:rsidRPr="00507E84" w:rsidRDefault="00357166" w:rsidP="00357166">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54245418" w14:textId="77777777" w:rsidR="00357166" w:rsidRPr="00507E84" w:rsidRDefault="00357166" w:rsidP="00357166">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10BB0399" w14:textId="77777777" w:rsidR="00357166" w:rsidRPr="00507E84" w:rsidRDefault="00357166" w:rsidP="00357166">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7185C71E" w14:textId="77777777" w:rsidR="00357166" w:rsidRPr="00507E84" w:rsidRDefault="00357166" w:rsidP="00357166">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3434AF21" w14:textId="77777777" w:rsidR="00357166" w:rsidRPr="00507E84" w:rsidRDefault="00357166" w:rsidP="00357166">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642F47BF" w14:textId="5877A279" w:rsidR="00357166" w:rsidRPr="00507E84" w:rsidRDefault="00357166" w:rsidP="00357166">
      <w:pPr>
        <w:adjustRightInd w:val="0"/>
        <w:spacing w:after="100" w:afterAutospacing="1" w:line="240" w:lineRule="auto"/>
        <w:contextualSpacing/>
        <w:jc w:val="center"/>
        <w:rPr>
          <w:rFonts w:ascii="Times New Roman" w:eastAsia="Times New Roman" w:hAnsi="Times New Roman" w:cs="Times New Roman"/>
          <w:b/>
          <w:sz w:val="24"/>
          <w:szCs w:val="24"/>
          <w:lang w:eastAsia="sk-SK"/>
        </w:rPr>
      </w:pPr>
      <w:r w:rsidRPr="00507E84">
        <w:rPr>
          <w:rFonts w:ascii="Times New Roman" w:eastAsia="Times New Roman" w:hAnsi="Times New Roman" w:cs="Times New Roman"/>
          <w:b/>
          <w:sz w:val="24"/>
          <w:szCs w:val="24"/>
          <w:lang w:eastAsia="sk-SK"/>
        </w:rPr>
        <w:t>Robert Fico</w:t>
      </w:r>
      <w:r w:rsidR="00013905">
        <w:rPr>
          <w:rFonts w:ascii="Times New Roman" w:eastAsia="Times New Roman" w:hAnsi="Times New Roman" w:cs="Times New Roman"/>
          <w:b/>
          <w:sz w:val="24"/>
          <w:szCs w:val="24"/>
          <w:lang w:eastAsia="sk-SK"/>
        </w:rPr>
        <w:t>, v. r.</w:t>
      </w:r>
    </w:p>
    <w:p w14:paraId="04E06486" w14:textId="77777777" w:rsidR="00357166" w:rsidRPr="00507E84" w:rsidRDefault="00357166" w:rsidP="00357166">
      <w:pPr>
        <w:adjustRightInd w:val="0"/>
        <w:spacing w:after="100" w:afterAutospacing="1" w:line="240" w:lineRule="auto"/>
        <w:contextualSpacing/>
        <w:jc w:val="center"/>
        <w:rPr>
          <w:rFonts w:ascii="Times New Roman" w:eastAsia="Times New Roman" w:hAnsi="Times New Roman" w:cs="Times New Roman"/>
          <w:sz w:val="24"/>
          <w:szCs w:val="24"/>
          <w:lang w:eastAsia="sk-SK"/>
        </w:rPr>
      </w:pPr>
      <w:r w:rsidRPr="00507E84">
        <w:rPr>
          <w:rFonts w:ascii="Times New Roman" w:eastAsia="Times New Roman" w:hAnsi="Times New Roman" w:cs="Times New Roman"/>
          <w:sz w:val="24"/>
          <w:szCs w:val="24"/>
          <w:lang w:eastAsia="sk-SK"/>
        </w:rPr>
        <w:t>predseda vlády Slovenskej republiky</w:t>
      </w:r>
    </w:p>
    <w:p w14:paraId="2F7D1F01" w14:textId="77777777" w:rsidR="00357166" w:rsidRPr="00507E84" w:rsidRDefault="00357166" w:rsidP="00357166">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6E1B3749" w14:textId="77777777" w:rsidR="00357166" w:rsidRPr="00507E84" w:rsidRDefault="00357166" w:rsidP="00357166">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2524E821" w14:textId="77777777" w:rsidR="00357166" w:rsidRPr="00507E84" w:rsidRDefault="00357166" w:rsidP="00357166">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13E9F02A" w14:textId="77777777" w:rsidR="00357166" w:rsidRPr="00507E84" w:rsidRDefault="00357166" w:rsidP="00357166">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10AF3B40" w14:textId="77777777" w:rsidR="00357166" w:rsidRPr="00507E84" w:rsidRDefault="00357166" w:rsidP="00357166">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2D80BE5F" w14:textId="77777777" w:rsidR="00357166" w:rsidRPr="00507E84" w:rsidRDefault="00357166" w:rsidP="00357166">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3F141E39" w14:textId="77777777" w:rsidR="00357166" w:rsidRPr="00507E84" w:rsidRDefault="00357166" w:rsidP="00357166">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01D85723" w14:textId="77777777" w:rsidR="00357166" w:rsidRPr="00507E84" w:rsidRDefault="00357166" w:rsidP="00357166">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639398CD" w14:textId="77777777" w:rsidR="00357166" w:rsidRPr="00507E84" w:rsidRDefault="00357166" w:rsidP="00357166">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3059EE6E" w14:textId="77777777" w:rsidR="00357166" w:rsidRPr="00507E84" w:rsidRDefault="00357166" w:rsidP="00357166">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051CC968" w14:textId="3ABEFE8A" w:rsidR="00357166" w:rsidRPr="00507E84" w:rsidRDefault="00357166" w:rsidP="00357166">
      <w:pPr>
        <w:adjustRightInd w:val="0"/>
        <w:spacing w:after="100" w:afterAutospacing="1" w:line="240" w:lineRule="auto"/>
        <w:contextualSpacing/>
        <w:jc w:val="center"/>
        <w:rPr>
          <w:rFonts w:ascii="Times New Roman" w:eastAsia="Times New Roman" w:hAnsi="Times New Roman" w:cs="Times New Roman"/>
          <w:b/>
          <w:sz w:val="24"/>
          <w:szCs w:val="24"/>
          <w:lang w:eastAsia="sk-SK"/>
        </w:rPr>
      </w:pPr>
      <w:r w:rsidRPr="00507E84">
        <w:rPr>
          <w:rFonts w:ascii="Times New Roman" w:eastAsia="Times New Roman" w:hAnsi="Times New Roman" w:cs="Times New Roman"/>
          <w:b/>
          <w:sz w:val="24"/>
          <w:szCs w:val="24"/>
          <w:lang w:eastAsia="sk-SK"/>
        </w:rPr>
        <w:t>Roman Konečný</w:t>
      </w:r>
      <w:r w:rsidR="00013905">
        <w:rPr>
          <w:rFonts w:ascii="Times New Roman" w:eastAsia="Times New Roman" w:hAnsi="Times New Roman" w:cs="Times New Roman"/>
          <w:b/>
          <w:sz w:val="24"/>
          <w:szCs w:val="24"/>
          <w:lang w:eastAsia="sk-SK"/>
        </w:rPr>
        <w:t>, v. r.</w:t>
      </w:r>
      <w:r w:rsidRPr="00507E84">
        <w:rPr>
          <w:rFonts w:ascii="Times New Roman" w:eastAsia="Times New Roman" w:hAnsi="Times New Roman" w:cs="Times New Roman"/>
          <w:b/>
          <w:sz w:val="24"/>
          <w:szCs w:val="24"/>
          <w:lang w:eastAsia="sk-SK"/>
        </w:rPr>
        <w:t xml:space="preserve"> </w:t>
      </w:r>
    </w:p>
    <w:p w14:paraId="7E5A79C4" w14:textId="0497335F" w:rsidR="00AA11B6" w:rsidRPr="00507E84" w:rsidRDefault="00357166" w:rsidP="00D70514">
      <w:pPr>
        <w:adjustRightInd w:val="0"/>
        <w:spacing w:after="100" w:afterAutospacing="1" w:line="240" w:lineRule="auto"/>
        <w:contextualSpacing/>
        <w:jc w:val="center"/>
        <w:rPr>
          <w:rFonts w:ascii="Times New Roman" w:hAnsi="Times New Roman" w:cs="Times New Roman"/>
          <w:sz w:val="24"/>
          <w:szCs w:val="24"/>
        </w:rPr>
      </w:pPr>
      <w:r w:rsidRPr="00507E84">
        <w:rPr>
          <w:rFonts w:ascii="Times New Roman" w:eastAsia="Times New Roman" w:hAnsi="Times New Roman" w:cs="Times New Roman"/>
          <w:lang w:eastAsia="sk-SK"/>
        </w:rPr>
        <w:t xml:space="preserve">riaditeľ Národného </w:t>
      </w:r>
      <w:r w:rsidRPr="00507E84">
        <w:rPr>
          <w:rFonts w:ascii="Times New Roman" w:eastAsia="Times New Roman" w:hAnsi="Times New Roman" w:cs="Times New Roman"/>
          <w:sz w:val="24"/>
          <w:szCs w:val="24"/>
          <w:lang w:eastAsia="sk-SK"/>
        </w:rPr>
        <w:t>bezpečnostného</w:t>
      </w:r>
      <w:r w:rsidRPr="00507E84">
        <w:rPr>
          <w:rFonts w:ascii="Times New Roman" w:eastAsia="Times New Roman" w:hAnsi="Times New Roman" w:cs="Times New Roman"/>
          <w:lang w:eastAsia="sk-SK"/>
        </w:rPr>
        <w:t xml:space="preserve"> úradu</w:t>
      </w:r>
    </w:p>
    <w:sectPr w:rsidR="00AA11B6" w:rsidRPr="00507E84">
      <w:footerReference w:type="default" r:id="rId2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2D04E2A" w16cex:dateUtc="2024-09-18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0DAF72" w16cid:durableId="7CE61B4E"/>
  <w16cid:commentId w16cid:paraId="0622638A" w16cid:durableId="4D7CCFA2"/>
  <w16cid:commentId w16cid:paraId="095C3518" w16cid:durableId="32D04E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74CDE" w14:textId="77777777" w:rsidR="00827459" w:rsidRDefault="00827459" w:rsidP="00EC64C0">
      <w:pPr>
        <w:spacing w:after="0" w:line="240" w:lineRule="auto"/>
      </w:pPr>
      <w:r>
        <w:separator/>
      </w:r>
    </w:p>
  </w:endnote>
  <w:endnote w:type="continuationSeparator" w:id="0">
    <w:p w14:paraId="1C4289F3" w14:textId="77777777" w:rsidR="00827459" w:rsidRDefault="00827459" w:rsidP="00EC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00"/>
    <w:family w:val="auto"/>
    <w:pitch w:val="variable"/>
    <w:sig w:usb0="00000001" w:usb1="1000E0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1F68F" w14:textId="77777777" w:rsidR="005978AA" w:rsidRDefault="005978A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281C85B9" w14:textId="77777777" w:rsidR="005978AA" w:rsidRDefault="005978AA">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5D146" w14:textId="41D568F7" w:rsidR="005978AA" w:rsidRDefault="005978AA">
    <w:pPr>
      <w:pStyle w:val="Pta"/>
      <w:jc w:val="right"/>
    </w:pPr>
    <w:r>
      <w:fldChar w:fldCharType="begin"/>
    </w:r>
    <w:r>
      <w:instrText>PAGE   \* MERGEFORMAT</w:instrText>
    </w:r>
    <w:r>
      <w:fldChar w:fldCharType="separate"/>
    </w:r>
    <w:r w:rsidR="00B540AB">
      <w:rPr>
        <w:noProof/>
      </w:rPr>
      <w:t>44</w:t>
    </w:r>
    <w:r>
      <w:fldChar w:fldCharType="end"/>
    </w:r>
  </w:p>
  <w:p w14:paraId="1A2A31C4" w14:textId="77777777" w:rsidR="005978AA" w:rsidRDefault="005978AA">
    <w:pPr>
      <w:pStyle w:val="Pt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01F7" w14:textId="77777777" w:rsidR="005978AA" w:rsidRDefault="005978AA">
    <w:pPr>
      <w:pStyle w:val="Pta"/>
      <w:jc w:val="right"/>
    </w:pPr>
    <w:r>
      <w:fldChar w:fldCharType="begin"/>
    </w:r>
    <w:r>
      <w:instrText>PAGE   \* MERGEFORMAT</w:instrText>
    </w:r>
    <w:r>
      <w:fldChar w:fldCharType="separate"/>
    </w:r>
    <w:r>
      <w:rPr>
        <w:noProof/>
      </w:rPr>
      <w:t>0</w:t>
    </w:r>
    <w:r>
      <w:fldChar w:fldCharType="end"/>
    </w:r>
  </w:p>
  <w:p w14:paraId="31DE26DD" w14:textId="77777777" w:rsidR="005978AA" w:rsidRDefault="005978AA">
    <w:pPr>
      <w:pStyle w:val="Pt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675660"/>
      <w:docPartObj>
        <w:docPartGallery w:val="Page Numbers (Bottom of Page)"/>
        <w:docPartUnique/>
      </w:docPartObj>
    </w:sdtPr>
    <w:sdtEndPr/>
    <w:sdtContent>
      <w:p w14:paraId="1292680F" w14:textId="6BA3D799" w:rsidR="005978AA" w:rsidRDefault="005978AA">
        <w:pPr>
          <w:pStyle w:val="Pta"/>
          <w:jc w:val="right"/>
        </w:pPr>
        <w:r>
          <w:fldChar w:fldCharType="begin"/>
        </w:r>
        <w:r>
          <w:instrText>PAGE   \* MERGEFORMAT</w:instrText>
        </w:r>
        <w:r>
          <w:fldChar w:fldCharType="separate"/>
        </w:r>
        <w:r w:rsidR="00B540AB">
          <w:rPr>
            <w:noProof/>
          </w:rPr>
          <w:t>78</w:t>
        </w:r>
        <w:r>
          <w:fldChar w:fldCharType="end"/>
        </w:r>
      </w:p>
    </w:sdtContent>
  </w:sdt>
  <w:p w14:paraId="39DAAC3C" w14:textId="77777777" w:rsidR="005978AA" w:rsidRDefault="005978A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00413" w14:textId="77777777" w:rsidR="00827459" w:rsidRDefault="00827459" w:rsidP="00EC64C0">
      <w:pPr>
        <w:spacing w:after="0" w:line="240" w:lineRule="auto"/>
      </w:pPr>
      <w:r>
        <w:separator/>
      </w:r>
    </w:p>
  </w:footnote>
  <w:footnote w:type="continuationSeparator" w:id="0">
    <w:p w14:paraId="67142D63" w14:textId="77777777" w:rsidR="00827459" w:rsidRDefault="00827459" w:rsidP="00EC64C0">
      <w:pPr>
        <w:spacing w:after="0" w:line="240" w:lineRule="auto"/>
      </w:pPr>
      <w:r>
        <w:continuationSeparator/>
      </w:r>
    </w:p>
  </w:footnote>
  <w:footnote w:id="1">
    <w:p w14:paraId="616FB98A" w14:textId="77777777" w:rsidR="005978AA" w:rsidRPr="000A6B7F" w:rsidRDefault="005978AA" w:rsidP="000E512F">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162DD361" w14:textId="77777777" w:rsidR="005978AA" w:rsidRDefault="005978AA" w:rsidP="000E512F">
      <w:pPr>
        <w:pStyle w:val="Textpoznmkypodiarou"/>
        <w:jc w:val="both"/>
      </w:pPr>
      <w:r>
        <w:rPr>
          <w:rStyle w:val="Odkaznapoznmkupodiarou"/>
        </w:rPr>
        <w:footnoteRef/>
      </w:r>
      <w:r>
        <w:t xml:space="preserve"> Prieskum sa týkal len malých a stredných podnikov, pre veľké podniky používame rovnaké podiely, ako pre stredné podniky, hoci je možné predpokladať, že situácia vo veľkých podnikoch je lepšia ako u stredne veľkých podnikov.</w:t>
      </w:r>
    </w:p>
  </w:footnote>
  <w:footnote w:id="3">
    <w:p w14:paraId="7712E775" w14:textId="77777777" w:rsidR="005978AA" w:rsidRPr="00A527B0" w:rsidRDefault="005978AA" w:rsidP="000E512F">
      <w:pPr>
        <w:pStyle w:val="Textpoznmkypodiarou"/>
        <w:rPr>
          <w:rFonts w:ascii="Arial" w:hAnsi="Arial" w:cs="Arial"/>
          <w:sz w:val="18"/>
          <w:szCs w:val="18"/>
        </w:rPr>
      </w:pPr>
      <w:r w:rsidRPr="00A527B0">
        <w:rPr>
          <w:rStyle w:val="Odkaznapoznmkupodiarou"/>
          <w:rFonts w:ascii="Arial" w:hAnsi="Arial" w:cs="Arial"/>
          <w:sz w:val="18"/>
          <w:szCs w:val="18"/>
        </w:rPr>
        <w:footnoteRef/>
      </w:r>
      <w:r w:rsidRPr="00A527B0">
        <w:rPr>
          <w:rFonts w:ascii="Arial" w:hAnsi="Arial" w:cs="Arial"/>
          <w:sz w:val="18"/>
          <w:szCs w:val="18"/>
        </w:rPr>
        <w:t xml:space="preserve"> https://eur-lex.europa.eu/legal-content/SK/TXT/HTML/?uri=CELEX:52020PC0823#footnote8</w:t>
      </w:r>
    </w:p>
  </w:footnote>
  <w:footnote w:id="4">
    <w:p w14:paraId="2B466EB0" w14:textId="77777777" w:rsidR="005978AA" w:rsidRPr="005A54DC" w:rsidRDefault="005978AA" w:rsidP="000E512F">
      <w:pPr>
        <w:pStyle w:val="Textpoznmkypodiarou"/>
        <w:jc w:val="both"/>
        <w:rPr>
          <w:rFonts w:ascii="Arial" w:hAnsi="Arial" w:cs="Arial"/>
          <w:sz w:val="18"/>
          <w:szCs w:val="18"/>
        </w:rPr>
      </w:pPr>
      <w:r w:rsidRPr="005A54DC">
        <w:rPr>
          <w:rStyle w:val="Odkaznapoznmkupodiarou"/>
          <w:rFonts w:ascii="Arial" w:hAnsi="Arial" w:cs="Arial"/>
          <w:sz w:val="18"/>
          <w:szCs w:val="18"/>
        </w:rPr>
        <w:footnoteRef/>
      </w:r>
      <w:r w:rsidRPr="005A54DC">
        <w:rPr>
          <w:rFonts w:ascii="Arial" w:hAnsi="Arial" w:cs="Arial"/>
          <w:sz w:val="18"/>
          <w:szCs w:val="18"/>
        </w:rPr>
        <w:t xml:space="preserve"> Na celoeurópskej úrovni sa v</w:t>
      </w:r>
      <w:r w:rsidRPr="005A54DC">
        <w:rPr>
          <w:rFonts w:ascii="Arial" w:hAnsi="Arial" w:cs="Arial"/>
          <w:bCs/>
          <w:iCs/>
          <w:noProof/>
          <w:sz w:val="18"/>
          <w:szCs w:val="18"/>
        </w:rPr>
        <w:t xml:space="preserve"> prieskume zameranom na OES a DSP, ktorý sa uskutočnil v rámci revíznej štúdie NIS, sa obe kategórie respondentov domnievali, že najvýznamnejšie náklady na dodržiavanie predpisov vyplývajúce z povinností </w:t>
      </w:r>
      <w:r>
        <w:rPr>
          <w:rFonts w:ascii="Arial" w:hAnsi="Arial" w:cs="Arial"/>
          <w:bCs/>
          <w:iCs/>
          <w:noProof/>
          <w:sz w:val="18"/>
          <w:szCs w:val="18"/>
        </w:rPr>
        <w:t>NIS 2</w:t>
      </w:r>
      <w:r w:rsidRPr="005A54DC">
        <w:rPr>
          <w:rFonts w:ascii="Arial" w:hAnsi="Arial" w:cs="Arial"/>
          <w:bCs/>
          <w:iCs/>
          <w:noProof/>
          <w:sz w:val="18"/>
          <w:szCs w:val="18"/>
        </w:rPr>
        <w:t xml:space="preserve"> sú tie, ktoré sa týkajú opatrení na riadenie rizík a prevencie a zmierňovania vplyvu incidentov.  Menej respondentov považovalo za významné náklady na dodržiavanie súladu, ktoré vznikli v súvislosti s oznamovaním incidentov (vrátane cezhraničných). Len 37 % respondentov z radov OES a 22 % respondentov z radov DSP sa domnieva, že ich ovplyvnili dodatočné bezpečnostné požiadavky zavedené smernicou NIS.</w:t>
      </w:r>
    </w:p>
  </w:footnote>
  <w:footnote w:id="5">
    <w:p w14:paraId="48112117" w14:textId="77777777" w:rsidR="005978AA" w:rsidRPr="00804BC8" w:rsidRDefault="005978AA" w:rsidP="000E512F">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542F5050" w14:textId="77777777" w:rsidR="005978AA" w:rsidRDefault="005978AA" w:rsidP="000E512F">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ABA1D" w14:textId="77777777" w:rsidR="005978AA" w:rsidRDefault="005978AA" w:rsidP="00507E84">
    <w:pPr>
      <w:pStyle w:val="Hlavika"/>
      <w:jc w:val="right"/>
      <w:rPr>
        <w:sz w:val="24"/>
        <w:szCs w:val="24"/>
      </w:rPr>
    </w:pPr>
    <w:r>
      <w:rPr>
        <w:sz w:val="24"/>
        <w:szCs w:val="24"/>
      </w:rPr>
      <w:t>Príloha č. 2</w:t>
    </w:r>
  </w:p>
  <w:p w14:paraId="68B2AA12" w14:textId="77777777" w:rsidR="005978AA" w:rsidRPr="00EB59C8" w:rsidRDefault="005978AA" w:rsidP="00507E84">
    <w:pPr>
      <w:pStyle w:val="Hlavika"/>
      <w:jc w:val="right"/>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5ED0D" w14:textId="77777777" w:rsidR="005978AA" w:rsidRPr="000A15AE" w:rsidRDefault="005978AA" w:rsidP="00507E84">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58A43" w14:textId="6DC6818F" w:rsidR="005978AA" w:rsidRPr="00507E84" w:rsidRDefault="005978AA" w:rsidP="00507E84">
    <w:pPr>
      <w:pStyle w:val="Hlavik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E88D" w14:textId="560BF150" w:rsidR="005978AA" w:rsidRPr="006045CB" w:rsidRDefault="005978AA" w:rsidP="000E512F">
    <w:pPr>
      <w:tabs>
        <w:tab w:val="center" w:pos="4536"/>
        <w:tab w:val="right" w:pos="9072"/>
      </w:tabs>
      <w:spacing w:after="0" w:line="240" w:lineRule="auto"/>
      <w:rPr>
        <w:rFonts w:ascii="Times New Roman" w:eastAsia="Times New Roman" w:hAnsi="Times New Roman" w:cs="Times New Roman"/>
        <w:sz w:val="24"/>
        <w:szCs w:val="24"/>
        <w:lang w:eastAsia="sk-SK"/>
      </w:rPr>
    </w:pPr>
  </w:p>
  <w:p w14:paraId="5A6E3ABE" w14:textId="77777777" w:rsidR="005978AA" w:rsidRPr="006045CB" w:rsidRDefault="005978AA" w:rsidP="000E512F">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5"/>
    <w:multiLevelType w:val="multilevel"/>
    <w:tmpl w:val="61CC6872"/>
    <w:lvl w:ilvl="0">
      <w:start w:val="1"/>
      <w:numFmt w:val="decimal"/>
      <w:lvlText w:val="%1."/>
      <w:lvlJc w:val="left"/>
      <w:pPr>
        <w:ind w:left="546" w:hanging="360"/>
      </w:pPr>
      <w:rPr>
        <w:b w:val="0"/>
        <w:bCs w:val="0"/>
        <w:i w:val="0"/>
        <w:iCs w:val="0"/>
        <w:w w:val="100"/>
        <w:sz w:val="23"/>
        <w:szCs w:val="23"/>
      </w:rPr>
    </w:lvl>
    <w:lvl w:ilvl="1">
      <w:numFmt w:val="bullet"/>
      <w:lvlText w:val="-"/>
      <w:lvlJc w:val="left"/>
      <w:pPr>
        <w:ind w:left="826" w:hanging="281"/>
      </w:pPr>
      <w:rPr>
        <w:rFonts w:ascii="Times New Roman" w:hAnsi="Times New Roman" w:cs="Times New Roman"/>
        <w:b w:val="0"/>
        <w:bCs w:val="0"/>
        <w:i w:val="0"/>
        <w:iCs w:val="0"/>
        <w:w w:val="100"/>
        <w:sz w:val="23"/>
        <w:szCs w:val="23"/>
      </w:rPr>
    </w:lvl>
    <w:lvl w:ilvl="2">
      <w:numFmt w:val="bullet"/>
      <w:lvlText w:val="•"/>
      <w:lvlJc w:val="left"/>
      <w:pPr>
        <w:ind w:left="1762" w:hanging="281"/>
      </w:pPr>
    </w:lvl>
    <w:lvl w:ilvl="3">
      <w:numFmt w:val="bullet"/>
      <w:lvlText w:val="•"/>
      <w:lvlJc w:val="left"/>
      <w:pPr>
        <w:ind w:left="2705" w:hanging="281"/>
      </w:pPr>
    </w:lvl>
    <w:lvl w:ilvl="4">
      <w:numFmt w:val="bullet"/>
      <w:lvlText w:val="•"/>
      <w:lvlJc w:val="left"/>
      <w:pPr>
        <w:ind w:left="3648" w:hanging="281"/>
      </w:pPr>
    </w:lvl>
    <w:lvl w:ilvl="5">
      <w:numFmt w:val="bullet"/>
      <w:lvlText w:val="•"/>
      <w:lvlJc w:val="left"/>
      <w:pPr>
        <w:ind w:left="4591" w:hanging="281"/>
      </w:pPr>
    </w:lvl>
    <w:lvl w:ilvl="6">
      <w:numFmt w:val="bullet"/>
      <w:lvlText w:val="•"/>
      <w:lvlJc w:val="left"/>
      <w:pPr>
        <w:ind w:left="5534" w:hanging="281"/>
      </w:pPr>
    </w:lvl>
    <w:lvl w:ilvl="7">
      <w:numFmt w:val="bullet"/>
      <w:lvlText w:val="•"/>
      <w:lvlJc w:val="left"/>
      <w:pPr>
        <w:ind w:left="6477" w:hanging="281"/>
      </w:pPr>
    </w:lvl>
    <w:lvl w:ilvl="8">
      <w:numFmt w:val="bullet"/>
      <w:lvlText w:val="•"/>
      <w:lvlJc w:val="left"/>
      <w:pPr>
        <w:ind w:left="7420" w:hanging="281"/>
      </w:pPr>
    </w:lvl>
  </w:abstractNum>
  <w:abstractNum w:abstractNumId="1"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94433A8"/>
    <w:multiLevelType w:val="hybridMultilevel"/>
    <w:tmpl w:val="F0105BE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04C31"/>
    <w:multiLevelType w:val="hybridMultilevel"/>
    <w:tmpl w:val="611AB842"/>
    <w:lvl w:ilvl="0" w:tplc="E8F47C5C">
      <w:start w:val="8"/>
      <w:numFmt w:val="bullet"/>
      <w:lvlText w:val="-"/>
      <w:lvlJc w:val="left"/>
      <w:pPr>
        <w:ind w:left="467" w:hanging="360"/>
      </w:pPr>
      <w:rPr>
        <w:rFonts w:ascii="Times New Roman" w:eastAsiaTheme="minorHAnsi" w:hAnsi="Times New Roman" w:cs="Times New Roman" w:hint="default"/>
      </w:rPr>
    </w:lvl>
    <w:lvl w:ilvl="1" w:tplc="041B0003" w:tentative="1">
      <w:start w:val="1"/>
      <w:numFmt w:val="bullet"/>
      <w:lvlText w:val="o"/>
      <w:lvlJc w:val="left"/>
      <w:pPr>
        <w:ind w:left="1187" w:hanging="360"/>
      </w:pPr>
      <w:rPr>
        <w:rFonts w:ascii="Courier New" w:hAnsi="Courier New" w:cs="Courier New" w:hint="default"/>
      </w:rPr>
    </w:lvl>
    <w:lvl w:ilvl="2" w:tplc="041B0005" w:tentative="1">
      <w:start w:val="1"/>
      <w:numFmt w:val="bullet"/>
      <w:lvlText w:val=""/>
      <w:lvlJc w:val="left"/>
      <w:pPr>
        <w:ind w:left="1907" w:hanging="360"/>
      </w:pPr>
      <w:rPr>
        <w:rFonts w:ascii="Wingdings" w:hAnsi="Wingdings" w:hint="default"/>
      </w:rPr>
    </w:lvl>
    <w:lvl w:ilvl="3" w:tplc="041B0001" w:tentative="1">
      <w:start w:val="1"/>
      <w:numFmt w:val="bullet"/>
      <w:lvlText w:val=""/>
      <w:lvlJc w:val="left"/>
      <w:pPr>
        <w:ind w:left="2627" w:hanging="360"/>
      </w:pPr>
      <w:rPr>
        <w:rFonts w:ascii="Symbol" w:hAnsi="Symbol" w:hint="default"/>
      </w:rPr>
    </w:lvl>
    <w:lvl w:ilvl="4" w:tplc="041B0003" w:tentative="1">
      <w:start w:val="1"/>
      <w:numFmt w:val="bullet"/>
      <w:lvlText w:val="o"/>
      <w:lvlJc w:val="left"/>
      <w:pPr>
        <w:ind w:left="3347" w:hanging="360"/>
      </w:pPr>
      <w:rPr>
        <w:rFonts w:ascii="Courier New" w:hAnsi="Courier New" w:cs="Courier New" w:hint="default"/>
      </w:rPr>
    </w:lvl>
    <w:lvl w:ilvl="5" w:tplc="041B0005" w:tentative="1">
      <w:start w:val="1"/>
      <w:numFmt w:val="bullet"/>
      <w:lvlText w:val=""/>
      <w:lvlJc w:val="left"/>
      <w:pPr>
        <w:ind w:left="4067" w:hanging="360"/>
      </w:pPr>
      <w:rPr>
        <w:rFonts w:ascii="Wingdings" w:hAnsi="Wingdings" w:hint="default"/>
      </w:rPr>
    </w:lvl>
    <w:lvl w:ilvl="6" w:tplc="041B0001" w:tentative="1">
      <w:start w:val="1"/>
      <w:numFmt w:val="bullet"/>
      <w:lvlText w:val=""/>
      <w:lvlJc w:val="left"/>
      <w:pPr>
        <w:ind w:left="4787" w:hanging="360"/>
      </w:pPr>
      <w:rPr>
        <w:rFonts w:ascii="Symbol" w:hAnsi="Symbol" w:hint="default"/>
      </w:rPr>
    </w:lvl>
    <w:lvl w:ilvl="7" w:tplc="041B0003" w:tentative="1">
      <w:start w:val="1"/>
      <w:numFmt w:val="bullet"/>
      <w:lvlText w:val="o"/>
      <w:lvlJc w:val="left"/>
      <w:pPr>
        <w:ind w:left="5507" w:hanging="360"/>
      </w:pPr>
      <w:rPr>
        <w:rFonts w:ascii="Courier New" w:hAnsi="Courier New" w:cs="Courier New" w:hint="default"/>
      </w:rPr>
    </w:lvl>
    <w:lvl w:ilvl="8" w:tplc="041B0005" w:tentative="1">
      <w:start w:val="1"/>
      <w:numFmt w:val="bullet"/>
      <w:lvlText w:val=""/>
      <w:lvlJc w:val="left"/>
      <w:pPr>
        <w:ind w:left="6227" w:hanging="360"/>
      </w:pPr>
      <w:rPr>
        <w:rFonts w:ascii="Wingdings" w:hAnsi="Wingdings" w:hint="default"/>
      </w:rPr>
    </w:lvl>
  </w:abstractNum>
  <w:abstractNum w:abstractNumId="5"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C9C49AB"/>
    <w:multiLevelType w:val="hybridMultilevel"/>
    <w:tmpl w:val="B52AA0DA"/>
    <w:lvl w:ilvl="0" w:tplc="713EFA52">
      <w:start w:val="11"/>
      <w:numFmt w:val="bullet"/>
      <w:lvlText w:val="-"/>
      <w:lvlJc w:val="left"/>
      <w:pPr>
        <w:ind w:left="360" w:hanging="360"/>
      </w:pPr>
      <w:rPr>
        <w:rFonts w:ascii="Times New Roman" w:eastAsiaTheme="minorHAns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1F553839"/>
    <w:multiLevelType w:val="hybridMultilevel"/>
    <w:tmpl w:val="485A0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835B0"/>
    <w:multiLevelType w:val="hybridMultilevel"/>
    <w:tmpl w:val="B89CE1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373E6"/>
    <w:multiLevelType w:val="hybridMultilevel"/>
    <w:tmpl w:val="0F268152"/>
    <w:lvl w:ilvl="0" w:tplc="3D9E281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2191DC8"/>
    <w:multiLevelType w:val="hybridMultilevel"/>
    <w:tmpl w:val="89B08E92"/>
    <w:lvl w:ilvl="0" w:tplc="08090005">
      <w:start w:val="1"/>
      <w:numFmt w:val="bullet"/>
      <w:lvlText w:val=""/>
      <w:lvlJc w:val="left"/>
      <w:pPr>
        <w:ind w:left="1570" w:hanging="360"/>
      </w:pPr>
      <w:rPr>
        <w:rFonts w:ascii="Wingdings" w:hAnsi="Wingdings"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4"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90D0E"/>
    <w:multiLevelType w:val="multilevel"/>
    <w:tmpl w:val="28D84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17"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1840016"/>
    <w:multiLevelType w:val="hybridMultilevel"/>
    <w:tmpl w:val="45986648"/>
    <w:lvl w:ilvl="0" w:tplc="3A88005C">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F7DFB"/>
    <w:multiLevelType w:val="hybridMultilevel"/>
    <w:tmpl w:val="F81012FC"/>
    <w:lvl w:ilvl="0" w:tplc="29723D34">
      <w:start w:val="1"/>
      <w:numFmt w:val="decimal"/>
      <w:lvlText w:val="%1."/>
      <w:lvlJc w:val="left"/>
      <w:pPr>
        <w:ind w:left="644" w:hanging="360"/>
      </w:pPr>
      <w:rPr>
        <w:b/>
        <w:bCs/>
      </w:rPr>
    </w:lvl>
    <w:lvl w:ilvl="1" w:tplc="92AAEC0E">
      <w:start w:val="1"/>
      <w:numFmt w:val="lowerLetter"/>
      <w:lvlText w:val="%2)"/>
      <w:lvlJc w:val="left"/>
      <w:pPr>
        <w:ind w:left="1440" w:hanging="360"/>
      </w:pPr>
      <w:rPr>
        <w:rFonts w:hint="default"/>
      </w:rPr>
    </w:lvl>
    <w:lvl w:ilvl="2" w:tplc="8CF63D74">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92ACB"/>
    <w:multiLevelType w:val="hybridMultilevel"/>
    <w:tmpl w:val="3CB8E0E0"/>
    <w:lvl w:ilvl="0" w:tplc="A4E46522">
      <w:start w:val="2"/>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1" w15:restartNumberingAfterBreak="0">
    <w:nsid w:val="59C9445F"/>
    <w:multiLevelType w:val="hybridMultilevel"/>
    <w:tmpl w:val="6156A2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AE66FCE"/>
    <w:multiLevelType w:val="hybridMultilevel"/>
    <w:tmpl w:val="B79C7A14"/>
    <w:lvl w:ilvl="0" w:tplc="041B000F">
      <w:start w:val="4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B67311"/>
    <w:multiLevelType w:val="hybridMultilevel"/>
    <w:tmpl w:val="D780FB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ABD1627"/>
    <w:multiLevelType w:val="multilevel"/>
    <w:tmpl w:val="A63A71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71BA4B9C"/>
    <w:multiLevelType w:val="hybridMultilevel"/>
    <w:tmpl w:val="745421F6"/>
    <w:lvl w:ilvl="0" w:tplc="4DE0210E">
      <w:start w:val="269"/>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5353F59"/>
    <w:multiLevelType w:val="hybridMultilevel"/>
    <w:tmpl w:val="80AA960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7B8F77D4"/>
    <w:multiLevelType w:val="hybridMultilevel"/>
    <w:tmpl w:val="2ADA4FD8"/>
    <w:lvl w:ilvl="0" w:tplc="229AF75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6" w15:restartNumberingAfterBreak="0">
    <w:nsid w:val="7DF33596"/>
    <w:multiLevelType w:val="hybridMultilevel"/>
    <w:tmpl w:val="C1F2EA5E"/>
    <w:lvl w:ilvl="0" w:tplc="041B000F">
      <w:start w:val="5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34"/>
  </w:num>
  <w:num w:numId="3">
    <w:abstractNumId w:val="19"/>
  </w:num>
  <w:num w:numId="4">
    <w:abstractNumId w:val="24"/>
  </w:num>
  <w:num w:numId="5">
    <w:abstractNumId w:val="36"/>
  </w:num>
  <w:num w:numId="6">
    <w:abstractNumId w:val="35"/>
  </w:num>
  <w:num w:numId="7">
    <w:abstractNumId w:val="12"/>
  </w:num>
  <w:num w:numId="8">
    <w:abstractNumId w:val="10"/>
  </w:num>
  <w:num w:numId="9">
    <w:abstractNumId w:val="14"/>
  </w:num>
  <w:num w:numId="10">
    <w:abstractNumId w:val="3"/>
  </w:num>
  <w:num w:numId="11">
    <w:abstractNumId w:val="5"/>
  </w:num>
  <w:num w:numId="12">
    <w:abstractNumId w:val="29"/>
  </w:num>
  <w:num w:numId="13">
    <w:abstractNumId w:val="31"/>
  </w:num>
  <w:num w:numId="14">
    <w:abstractNumId w:val="28"/>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9"/>
  </w:num>
  <w:num w:numId="20">
    <w:abstractNumId w:val="17"/>
  </w:num>
  <w:num w:numId="21">
    <w:abstractNumId w:val="1"/>
  </w:num>
  <w:num w:numId="22">
    <w:abstractNumId w:val="33"/>
  </w:num>
  <w:num w:numId="23">
    <w:abstractNumId w:val="22"/>
  </w:num>
  <w:num w:numId="24">
    <w:abstractNumId w:val="11"/>
  </w:num>
  <w:num w:numId="25">
    <w:abstractNumId w:val="13"/>
  </w:num>
  <w:num w:numId="26">
    <w:abstractNumId w:val="8"/>
  </w:num>
  <w:num w:numId="27">
    <w:abstractNumId w:val="2"/>
  </w:num>
  <w:num w:numId="28">
    <w:abstractNumId w:val="26"/>
  </w:num>
  <w:num w:numId="29">
    <w:abstractNumId w:val="16"/>
  </w:num>
  <w:num w:numId="30">
    <w:abstractNumId w:val="15"/>
  </w:num>
  <w:num w:numId="31">
    <w:abstractNumId w:val="30"/>
  </w:num>
  <w:num w:numId="32">
    <w:abstractNumId w:val="18"/>
  </w:num>
  <w:num w:numId="33">
    <w:abstractNumId w:val="21"/>
  </w:num>
  <w:num w:numId="34">
    <w:abstractNumId w:val="32"/>
  </w:num>
  <w:num w:numId="35">
    <w:abstractNumId w:val="25"/>
  </w:num>
  <w:num w:numId="36">
    <w:abstractNumId w:val="20"/>
  </w:num>
  <w:num w:numId="37">
    <w:abstractNumId w:val="0"/>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EC"/>
    <w:rsid w:val="0000625C"/>
    <w:rsid w:val="00011FD9"/>
    <w:rsid w:val="00013905"/>
    <w:rsid w:val="00013AA4"/>
    <w:rsid w:val="00017016"/>
    <w:rsid w:val="00022089"/>
    <w:rsid w:val="000224FE"/>
    <w:rsid w:val="00040862"/>
    <w:rsid w:val="00040A4B"/>
    <w:rsid w:val="000415DC"/>
    <w:rsid w:val="000415F6"/>
    <w:rsid w:val="000504B7"/>
    <w:rsid w:val="0005094A"/>
    <w:rsid w:val="0005433C"/>
    <w:rsid w:val="00056066"/>
    <w:rsid w:val="000616AE"/>
    <w:rsid w:val="00062443"/>
    <w:rsid w:val="00062E86"/>
    <w:rsid w:val="00063938"/>
    <w:rsid w:val="00063C43"/>
    <w:rsid w:val="00065690"/>
    <w:rsid w:val="000674C5"/>
    <w:rsid w:val="00067626"/>
    <w:rsid w:val="00070D9A"/>
    <w:rsid w:val="0007143C"/>
    <w:rsid w:val="000743BB"/>
    <w:rsid w:val="000771C2"/>
    <w:rsid w:val="00077EA3"/>
    <w:rsid w:val="00091B2A"/>
    <w:rsid w:val="00093CE4"/>
    <w:rsid w:val="000A2551"/>
    <w:rsid w:val="000A38F4"/>
    <w:rsid w:val="000A397F"/>
    <w:rsid w:val="000B7B9A"/>
    <w:rsid w:val="000C670E"/>
    <w:rsid w:val="000C7611"/>
    <w:rsid w:val="000D10AC"/>
    <w:rsid w:val="000D4F4E"/>
    <w:rsid w:val="000D7B51"/>
    <w:rsid w:val="000E512F"/>
    <w:rsid w:val="000E66A6"/>
    <w:rsid w:val="00101268"/>
    <w:rsid w:val="00107C87"/>
    <w:rsid w:val="00112CDE"/>
    <w:rsid w:val="00114006"/>
    <w:rsid w:val="0012116C"/>
    <w:rsid w:val="00125C63"/>
    <w:rsid w:val="0013109E"/>
    <w:rsid w:val="00131E04"/>
    <w:rsid w:val="0013358B"/>
    <w:rsid w:val="001335A8"/>
    <w:rsid w:val="00134784"/>
    <w:rsid w:val="00134C48"/>
    <w:rsid w:val="00141E7B"/>
    <w:rsid w:val="001527BB"/>
    <w:rsid w:val="001678CE"/>
    <w:rsid w:val="001719A3"/>
    <w:rsid w:val="00175B61"/>
    <w:rsid w:val="001775EF"/>
    <w:rsid w:val="001800B3"/>
    <w:rsid w:val="0018130D"/>
    <w:rsid w:val="00182B14"/>
    <w:rsid w:val="001923DE"/>
    <w:rsid w:val="00194910"/>
    <w:rsid w:val="001A14D5"/>
    <w:rsid w:val="001A1C97"/>
    <w:rsid w:val="001A2945"/>
    <w:rsid w:val="001B115C"/>
    <w:rsid w:val="001B4D5F"/>
    <w:rsid w:val="001C0494"/>
    <w:rsid w:val="001C1D03"/>
    <w:rsid w:val="001D0EB4"/>
    <w:rsid w:val="001D130D"/>
    <w:rsid w:val="001F3D9F"/>
    <w:rsid w:val="00202F2C"/>
    <w:rsid w:val="0021245C"/>
    <w:rsid w:val="00221BB1"/>
    <w:rsid w:val="00222DD4"/>
    <w:rsid w:val="002238AD"/>
    <w:rsid w:val="00230F1C"/>
    <w:rsid w:val="00231CC9"/>
    <w:rsid w:val="00232E7D"/>
    <w:rsid w:val="002376C4"/>
    <w:rsid w:val="002436AE"/>
    <w:rsid w:val="00243E44"/>
    <w:rsid w:val="0024599B"/>
    <w:rsid w:val="0025233B"/>
    <w:rsid w:val="002639C3"/>
    <w:rsid w:val="00264B34"/>
    <w:rsid w:val="00267718"/>
    <w:rsid w:val="00270EBB"/>
    <w:rsid w:val="0027399C"/>
    <w:rsid w:val="00277300"/>
    <w:rsid w:val="0028073E"/>
    <w:rsid w:val="00282FB3"/>
    <w:rsid w:val="00284CBB"/>
    <w:rsid w:val="00285B74"/>
    <w:rsid w:val="00292246"/>
    <w:rsid w:val="00293415"/>
    <w:rsid w:val="002A0433"/>
    <w:rsid w:val="002A4274"/>
    <w:rsid w:val="002A624B"/>
    <w:rsid w:val="002B0F67"/>
    <w:rsid w:val="002B1FD6"/>
    <w:rsid w:val="002B2B29"/>
    <w:rsid w:val="002B30FE"/>
    <w:rsid w:val="002B3FC6"/>
    <w:rsid w:val="002C1994"/>
    <w:rsid w:val="002D5D46"/>
    <w:rsid w:val="002F1759"/>
    <w:rsid w:val="002F58A5"/>
    <w:rsid w:val="00307DC5"/>
    <w:rsid w:val="00310FF2"/>
    <w:rsid w:val="003115B9"/>
    <w:rsid w:val="00316762"/>
    <w:rsid w:val="00317661"/>
    <w:rsid w:val="00320BDA"/>
    <w:rsid w:val="003324B5"/>
    <w:rsid w:val="0033539D"/>
    <w:rsid w:val="003441A3"/>
    <w:rsid w:val="00346C2C"/>
    <w:rsid w:val="00354B93"/>
    <w:rsid w:val="00355E55"/>
    <w:rsid w:val="00357166"/>
    <w:rsid w:val="00360D99"/>
    <w:rsid w:val="00370003"/>
    <w:rsid w:val="00377D3C"/>
    <w:rsid w:val="003801CF"/>
    <w:rsid w:val="00382461"/>
    <w:rsid w:val="0038660D"/>
    <w:rsid w:val="00387F81"/>
    <w:rsid w:val="003A0DEE"/>
    <w:rsid w:val="003A4044"/>
    <w:rsid w:val="003B35F2"/>
    <w:rsid w:val="003B375B"/>
    <w:rsid w:val="003C16EE"/>
    <w:rsid w:val="003E53EA"/>
    <w:rsid w:val="003E77A3"/>
    <w:rsid w:val="003F5607"/>
    <w:rsid w:val="00403EA0"/>
    <w:rsid w:val="00410412"/>
    <w:rsid w:val="00411DCE"/>
    <w:rsid w:val="004147CE"/>
    <w:rsid w:val="0041481F"/>
    <w:rsid w:val="00423184"/>
    <w:rsid w:val="00424DB3"/>
    <w:rsid w:val="00432B08"/>
    <w:rsid w:val="00432FE8"/>
    <w:rsid w:val="004378AC"/>
    <w:rsid w:val="0044090D"/>
    <w:rsid w:val="00450673"/>
    <w:rsid w:val="00453A34"/>
    <w:rsid w:val="00454460"/>
    <w:rsid w:val="00455127"/>
    <w:rsid w:val="00463C3C"/>
    <w:rsid w:val="0047534E"/>
    <w:rsid w:val="00481046"/>
    <w:rsid w:val="00490276"/>
    <w:rsid w:val="004948B6"/>
    <w:rsid w:val="004A2E00"/>
    <w:rsid w:val="004A7DE3"/>
    <w:rsid w:val="004B069E"/>
    <w:rsid w:val="004B71B0"/>
    <w:rsid w:val="004C1A6F"/>
    <w:rsid w:val="004C1FAF"/>
    <w:rsid w:val="004C7D01"/>
    <w:rsid w:val="004D3C34"/>
    <w:rsid w:val="004D68C9"/>
    <w:rsid w:val="004E2066"/>
    <w:rsid w:val="004E35AF"/>
    <w:rsid w:val="004F3849"/>
    <w:rsid w:val="004F52A9"/>
    <w:rsid w:val="0050581A"/>
    <w:rsid w:val="00507E84"/>
    <w:rsid w:val="0051046D"/>
    <w:rsid w:val="005135E7"/>
    <w:rsid w:val="005136DE"/>
    <w:rsid w:val="00513D83"/>
    <w:rsid w:val="0051408B"/>
    <w:rsid w:val="00517FD2"/>
    <w:rsid w:val="00520EA5"/>
    <w:rsid w:val="0052384A"/>
    <w:rsid w:val="00525AED"/>
    <w:rsid w:val="00543696"/>
    <w:rsid w:val="00547C87"/>
    <w:rsid w:val="00550EE3"/>
    <w:rsid w:val="0055258A"/>
    <w:rsid w:val="005572A3"/>
    <w:rsid w:val="005619D3"/>
    <w:rsid w:val="00562A31"/>
    <w:rsid w:val="00564D49"/>
    <w:rsid w:val="005679FE"/>
    <w:rsid w:val="005721DD"/>
    <w:rsid w:val="00576B80"/>
    <w:rsid w:val="00582149"/>
    <w:rsid w:val="00593314"/>
    <w:rsid w:val="005978AA"/>
    <w:rsid w:val="005A7C3F"/>
    <w:rsid w:val="005B2F16"/>
    <w:rsid w:val="005C15F0"/>
    <w:rsid w:val="005C3D68"/>
    <w:rsid w:val="005C65BA"/>
    <w:rsid w:val="005D3F50"/>
    <w:rsid w:val="005D4EEC"/>
    <w:rsid w:val="005D6BE8"/>
    <w:rsid w:val="005E026B"/>
    <w:rsid w:val="005E1B9F"/>
    <w:rsid w:val="005E339A"/>
    <w:rsid w:val="005E3472"/>
    <w:rsid w:val="0060775F"/>
    <w:rsid w:val="00607EB2"/>
    <w:rsid w:val="00611A21"/>
    <w:rsid w:val="00616C89"/>
    <w:rsid w:val="00617A93"/>
    <w:rsid w:val="00620204"/>
    <w:rsid w:val="00623E04"/>
    <w:rsid w:val="00626CC9"/>
    <w:rsid w:val="006316C3"/>
    <w:rsid w:val="00636359"/>
    <w:rsid w:val="00662008"/>
    <w:rsid w:val="006632E3"/>
    <w:rsid w:val="0068052C"/>
    <w:rsid w:val="00681D75"/>
    <w:rsid w:val="006839C6"/>
    <w:rsid w:val="00685281"/>
    <w:rsid w:val="0068626A"/>
    <w:rsid w:val="006877C2"/>
    <w:rsid w:val="006B628C"/>
    <w:rsid w:val="006D3131"/>
    <w:rsid w:val="006E01ED"/>
    <w:rsid w:val="006E4B9C"/>
    <w:rsid w:val="006E4CDF"/>
    <w:rsid w:val="006E690A"/>
    <w:rsid w:val="006E788A"/>
    <w:rsid w:val="00701BA6"/>
    <w:rsid w:val="007132A2"/>
    <w:rsid w:val="007246C8"/>
    <w:rsid w:val="00726411"/>
    <w:rsid w:val="007342D9"/>
    <w:rsid w:val="00735B32"/>
    <w:rsid w:val="00746D4C"/>
    <w:rsid w:val="007503ED"/>
    <w:rsid w:val="00756CBA"/>
    <w:rsid w:val="0076383F"/>
    <w:rsid w:val="007809F0"/>
    <w:rsid w:val="007818AE"/>
    <w:rsid w:val="00782325"/>
    <w:rsid w:val="0078265B"/>
    <w:rsid w:val="00787B05"/>
    <w:rsid w:val="00790208"/>
    <w:rsid w:val="00795ED7"/>
    <w:rsid w:val="00796AFF"/>
    <w:rsid w:val="007A1CF0"/>
    <w:rsid w:val="007A6DB0"/>
    <w:rsid w:val="007A7BF2"/>
    <w:rsid w:val="007B0E01"/>
    <w:rsid w:val="007B382E"/>
    <w:rsid w:val="007B5A17"/>
    <w:rsid w:val="007C36B5"/>
    <w:rsid w:val="007C7F68"/>
    <w:rsid w:val="007D06F2"/>
    <w:rsid w:val="007E71B3"/>
    <w:rsid w:val="007F0C36"/>
    <w:rsid w:val="007F2BD8"/>
    <w:rsid w:val="007F41AD"/>
    <w:rsid w:val="007F6353"/>
    <w:rsid w:val="007F69B5"/>
    <w:rsid w:val="008007D7"/>
    <w:rsid w:val="00800A80"/>
    <w:rsid w:val="00815494"/>
    <w:rsid w:val="00815B3F"/>
    <w:rsid w:val="00817127"/>
    <w:rsid w:val="00823CD4"/>
    <w:rsid w:val="00826BF8"/>
    <w:rsid w:val="00827459"/>
    <w:rsid w:val="008302BC"/>
    <w:rsid w:val="00860B6A"/>
    <w:rsid w:val="008654F3"/>
    <w:rsid w:val="0087008D"/>
    <w:rsid w:val="00882A83"/>
    <w:rsid w:val="008862CB"/>
    <w:rsid w:val="008A3418"/>
    <w:rsid w:val="008A5493"/>
    <w:rsid w:val="008B6811"/>
    <w:rsid w:val="008C2B93"/>
    <w:rsid w:val="008D2CC5"/>
    <w:rsid w:val="008E2EE5"/>
    <w:rsid w:val="008E3B15"/>
    <w:rsid w:val="008E604E"/>
    <w:rsid w:val="008F284E"/>
    <w:rsid w:val="0090530C"/>
    <w:rsid w:val="00911DFC"/>
    <w:rsid w:val="009276E1"/>
    <w:rsid w:val="00931B93"/>
    <w:rsid w:val="00953C4F"/>
    <w:rsid w:val="00954A66"/>
    <w:rsid w:val="00965B53"/>
    <w:rsid w:val="00970877"/>
    <w:rsid w:val="00980B8A"/>
    <w:rsid w:val="00996265"/>
    <w:rsid w:val="009A25B6"/>
    <w:rsid w:val="009B2827"/>
    <w:rsid w:val="009D281A"/>
    <w:rsid w:val="009D447C"/>
    <w:rsid w:val="009D72B6"/>
    <w:rsid w:val="009E3148"/>
    <w:rsid w:val="009F04F3"/>
    <w:rsid w:val="009F341B"/>
    <w:rsid w:val="009F3A24"/>
    <w:rsid w:val="00A02A97"/>
    <w:rsid w:val="00A04D75"/>
    <w:rsid w:val="00A055F3"/>
    <w:rsid w:val="00A07D6F"/>
    <w:rsid w:val="00A100D4"/>
    <w:rsid w:val="00A12500"/>
    <w:rsid w:val="00A15DA0"/>
    <w:rsid w:val="00A1799F"/>
    <w:rsid w:val="00A2260D"/>
    <w:rsid w:val="00A22930"/>
    <w:rsid w:val="00A30CF2"/>
    <w:rsid w:val="00A34BA6"/>
    <w:rsid w:val="00A3787E"/>
    <w:rsid w:val="00A37DF6"/>
    <w:rsid w:val="00A40AA4"/>
    <w:rsid w:val="00A4296C"/>
    <w:rsid w:val="00A4491B"/>
    <w:rsid w:val="00A44A98"/>
    <w:rsid w:val="00A51CD4"/>
    <w:rsid w:val="00A556BC"/>
    <w:rsid w:val="00A62B3C"/>
    <w:rsid w:val="00A63BF1"/>
    <w:rsid w:val="00A658DF"/>
    <w:rsid w:val="00A722FA"/>
    <w:rsid w:val="00A75525"/>
    <w:rsid w:val="00A808BC"/>
    <w:rsid w:val="00A83C4B"/>
    <w:rsid w:val="00A848E5"/>
    <w:rsid w:val="00A8716D"/>
    <w:rsid w:val="00A93F3D"/>
    <w:rsid w:val="00AA11B6"/>
    <w:rsid w:val="00AA1734"/>
    <w:rsid w:val="00AA2194"/>
    <w:rsid w:val="00AA2BBC"/>
    <w:rsid w:val="00AB0963"/>
    <w:rsid w:val="00AB36EF"/>
    <w:rsid w:val="00AB53D1"/>
    <w:rsid w:val="00AB546F"/>
    <w:rsid w:val="00AD1DAA"/>
    <w:rsid w:val="00AD41ED"/>
    <w:rsid w:val="00AD4F09"/>
    <w:rsid w:val="00AD4F5D"/>
    <w:rsid w:val="00AF148A"/>
    <w:rsid w:val="00AF4697"/>
    <w:rsid w:val="00AF5DD9"/>
    <w:rsid w:val="00B02BB4"/>
    <w:rsid w:val="00B15ED1"/>
    <w:rsid w:val="00B171F0"/>
    <w:rsid w:val="00B233E9"/>
    <w:rsid w:val="00B25A87"/>
    <w:rsid w:val="00B27EDD"/>
    <w:rsid w:val="00B36CEB"/>
    <w:rsid w:val="00B45B90"/>
    <w:rsid w:val="00B46451"/>
    <w:rsid w:val="00B5188F"/>
    <w:rsid w:val="00B540AB"/>
    <w:rsid w:val="00B5735F"/>
    <w:rsid w:val="00B6206A"/>
    <w:rsid w:val="00B736A3"/>
    <w:rsid w:val="00B76B0E"/>
    <w:rsid w:val="00B80AA2"/>
    <w:rsid w:val="00B85903"/>
    <w:rsid w:val="00B91020"/>
    <w:rsid w:val="00BA153A"/>
    <w:rsid w:val="00BB4009"/>
    <w:rsid w:val="00BB775D"/>
    <w:rsid w:val="00BC0153"/>
    <w:rsid w:val="00BC2926"/>
    <w:rsid w:val="00BD5378"/>
    <w:rsid w:val="00BD540B"/>
    <w:rsid w:val="00BD5E37"/>
    <w:rsid w:val="00BD695B"/>
    <w:rsid w:val="00BD7AC9"/>
    <w:rsid w:val="00BE1DF8"/>
    <w:rsid w:val="00BE602E"/>
    <w:rsid w:val="00BF316E"/>
    <w:rsid w:val="00BF7A72"/>
    <w:rsid w:val="00C0182C"/>
    <w:rsid w:val="00C02C0C"/>
    <w:rsid w:val="00C1513F"/>
    <w:rsid w:val="00C16868"/>
    <w:rsid w:val="00C31B80"/>
    <w:rsid w:val="00C31C8A"/>
    <w:rsid w:val="00C351BA"/>
    <w:rsid w:val="00C364B0"/>
    <w:rsid w:val="00C416E9"/>
    <w:rsid w:val="00C433AA"/>
    <w:rsid w:val="00C44577"/>
    <w:rsid w:val="00C46426"/>
    <w:rsid w:val="00C53B55"/>
    <w:rsid w:val="00C55586"/>
    <w:rsid w:val="00C562C3"/>
    <w:rsid w:val="00C60C0D"/>
    <w:rsid w:val="00C632F1"/>
    <w:rsid w:val="00C725B1"/>
    <w:rsid w:val="00C76D62"/>
    <w:rsid w:val="00C81A9B"/>
    <w:rsid w:val="00C81DAB"/>
    <w:rsid w:val="00C8303B"/>
    <w:rsid w:val="00C90CD7"/>
    <w:rsid w:val="00C93BE2"/>
    <w:rsid w:val="00CA178B"/>
    <w:rsid w:val="00CA5175"/>
    <w:rsid w:val="00CA5FF1"/>
    <w:rsid w:val="00CA6F04"/>
    <w:rsid w:val="00CA7501"/>
    <w:rsid w:val="00CB22D8"/>
    <w:rsid w:val="00CB47FD"/>
    <w:rsid w:val="00CC0993"/>
    <w:rsid w:val="00CD43FE"/>
    <w:rsid w:val="00CD51D6"/>
    <w:rsid w:val="00CE603D"/>
    <w:rsid w:val="00CF2774"/>
    <w:rsid w:val="00D14C5A"/>
    <w:rsid w:val="00D174CF"/>
    <w:rsid w:val="00D206B6"/>
    <w:rsid w:val="00D21D87"/>
    <w:rsid w:val="00D25B98"/>
    <w:rsid w:val="00D376C6"/>
    <w:rsid w:val="00D4123E"/>
    <w:rsid w:val="00D470EB"/>
    <w:rsid w:val="00D54873"/>
    <w:rsid w:val="00D56EF7"/>
    <w:rsid w:val="00D57FED"/>
    <w:rsid w:val="00D621A9"/>
    <w:rsid w:val="00D6242F"/>
    <w:rsid w:val="00D63126"/>
    <w:rsid w:val="00D64619"/>
    <w:rsid w:val="00D64834"/>
    <w:rsid w:val="00D65856"/>
    <w:rsid w:val="00D67CCC"/>
    <w:rsid w:val="00D70514"/>
    <w:rsid w:val="00D72042"/>
    <w:rsid w:val="00D75EDD"/>
    <w:rsid w:val="00D802EC"/>
    <w:rsid w:val="00D8142A"/>
    <w:rsid w:val="00D8158D"/>
    <w:rsid w:val="00D85133"/>
    <w:rsid w:val="00D85EAB"/>
    <w:rsid w:val="00D963F5"/>
    <w:rsid w:val="00DA27EF"/>
    <w:rsid w:val="00DB1E36"/>
    <w:rsid w:val="00DB3CD0"/>
    <w:rsid w:val="00DB56CA"/>
    <w:rsid w:val="00DC788D"/>
    <w:rsid w:val="00DD2263"/>
    <w:rsid w:val="00DE1B35"/>
    <w:rsid w:val="00DF2BFF"/>
    <w:rsid w:val="00DF4D5D"/>
    <w:rsid w:val="00E00ACB"/>
    <w:rsid w:val="00E01835"/>
    <w:rsid w:val="00E01D0E"/>
    <w:rsid w:val="00E027ED"/>
    <w:rsid w:val="00E03013"/>
    <w:rsid w:val="00E07CB3"/>
    <w:rsid w:val="00E250B4"/>
    <w:rsid w:val="00E256F4"/>
    <w:rsid w:val="00E25882"/>
    <w:rsid w:val="00E31A28"/>
    <w:rsid w:val="00E3391F"/>
    <w:rsid w:val="00E43FA8"/>
    <w:rsid w:val="00E46D76"/>
    <w:rsid w:val="00E5024A"/>
    <w:rsid w:val="00E50269"/>
    <w:rsid w:val="00E510ED"/>
    <w:rsid w:val="00E647DA"/>
    <w:rsid w:val="00E701AA"/>
    <w:rsid w:val="00E73840"/>
    <w:rsid w:val="00E7541B"/>
    <w:rsid w:val="00E807C8"/>
    <w:rsid w:val="00E81DEA"/>
    <w:rsid w:val="00E8255B"/>
    <w:rsid w:val="00E87A97"/>
    <w:rsid w:val="00E91B95"/>
    <w:rsid w:val="00E92DCE"/>
    <w:rsid w:val="00EA1DF4"/>
    <w:rsid w:val="00EA5056"/>
    <w:rsid w:val="00EA7F55"/>
    <w:rsid w:val="00EB19E9"/>
    <w:rsid w:val="00EB2783"/>
    <w:rsid w:val="00EB55E8"/>
    <w:rsid w:val="00EC2D63"/>
    <w:rsid w:val="00EC51EC"/>
    <w:rsid w:val="00EC64C0"/>
    <w:rsid w:val="00ED10EC"/>
    <w:rsid w:val="00ED30AD"/>
    <w:rsid w:val="00ED408F"/>
    <w:rsid w:val="00ED6AEA"/>
    <w:rsid w:val="00EE2791"/>
    <w:rsid w:val="00EE2B2B"/>
    <w:rsid w:val="00EE4AEE"/>
    <w:rsid w:val="00EE6C96"/>
    <w:rsid w:val="00EE73B8"/>
    <w:rsid w:val="00EE7A4E"/>
    <w:rsid w:val="00EF2732"/>
    <w:rsid w:val="00EF6F05"/>
    <w:rsid w:val="00F22DDE"/>
    <w:rsid w:val="00F33C13"/>
    <w:rsid w:val="00F34032"/>
    <w:rsid w:val="00F37D8B"/>
    <w:rsid w:val="00F404B7"/>
    <w:rsid w:val="00F45F58"/>
    <w:rsid w:val="00F46ABE"/>
    <w:rsid w:val="00F47D74"/>
    <w:rsid w:val="00F47E15"/>
    <w:rsid w:val="00F54014"/>
    <w:rsid w:val="00F55E4F"/>
    <w:rsid w:val="00F7113F"/>
    <w:rsid w:val="00F86922"/>
    <w:rsid w:val="00F92574"/>
    <w:rsid w:val="00F94BE4"/>
    <w:rsid w:val="00FA0C0C"/>
    <w:rsid w:val="00FA6D33"/>
    <w:rsid w:val="00FB15AC"/>
    <w:rsid w:val="00FB1748"/>
    <w:rsid w:val="00FC47CE"/>
    <w:rsid w:val="00FD255E"/>
    <w:rsid w:val="00FE1E94"/>
    <w:rsid w:val="00FE2AC5"/>
    <w:rsid w:val="00FF54E1"/>
    <w:rsid w:val="00FF5E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D7B1"/>
  <w15:chartTrackingRefBased/>
  <w15:docId w15:val="{A202FA99-B364-4582-A43E-FFFE311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9"/>
    <w:unhideWhenUsed/>
    <w:qFormat/>
    <w:rsid w:val="000E512F"/>
    <w:pPr>
      <w:keepNext/>
      <w:autoSpaceDE w:val="0"/>
      <w:autoSpaceDN w:val="0"/>
      <w:spacing w:after="0" w:line="240" w:lineRule="auto"/>
      <w:jc w:val="center"/>
      <w:outlineLvl w:val="1"/>
    </w:pPr>
    <w:rPr>
      <w:rFonts w:ascii="Times New Roman" w:eastAsia="Times New Roman" w:hAnsi="Times New Roman" w:cs="Times New Roman"/>
      <w:sz w:val="24"/>
      <w:szCs w:val="24"/>
      <w:lang w:val="x-none" w:eastAsia="sk-SK"/>
    </w:rPr>
  </w:style>
  <w:style w:type="paragraph" w:styleId="Nadpis5">
    <w:name w:val="heading 5"/>
    <w:basedOn w:val="Normlny"/>
    <w:next w:val="Normlny"/>
    <w:link w:val="Nadpis5Char"/>
    <w:uiPriority w:val="9"/>
    <w:semiHidden/>
    <w:unhideWhenUsed/>
    <w:qFormat/>
    <w:rsid w:val="00796AFF"/>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0E512F"/>
    <w:rPr>
      <w:rFonts w:ascii="Times New Roman" w:eastAsia="Times New Roman" w:hAnsi="Times New Roman" w:cs="Times New Roman"/>
      <w:sz w:val="24"/>
      <w:szCs w:val="24"/>
      <w:lang w:val="x-none" w:eastAsia="sk-SK"/>
    </w:rPr>
  </w:style>
  <w:style w:type="character" w:customStyle="1" w:styleId="Nadpis5Char">
    <w:name w:val="Nadpis 5 Char"/>
    <w:basedOn w:val="Predvolenpsmoodseku"/>
    <w:link w:val="Nadpis5"/>
    <w:uiPriority w:val="9"/>
    <w:semiHidden/>
    <w:rsid w:val="00796AFF"/>
    <w:rPr>
      <w:rFonts w:asciiTheme="majorHAnsi" w:eastAsiaTheme="majorEastAsia" w:hAnsiTheme="majorHAnsi" w:cstheme="majorBidi"/>
      <w:color w:val="1F4D78" w:themeColor="accent1" w:themeShade="7F"/>
      <w:sz w:val="24"/>
      <w:szCs w:val="24"/>
      <w:lang w:eastAsia="sk-SK"/>
    </w:rPr>
  </w:style>
  <w:style w:type="paragraph" w:styleId="Normlnywebov">
    <w:name w:val="Normal (Web)"/>
    <w:basedOn w:val="Normlny"/>
    <w:uiPriority w:val="99"/>
    <w:unhideWhenUsed/>
    <w:rsid w:val="0097087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aliases w:val="body,Odsek zoznamu2,diel,List Paragraph_Sections,1st level - Bullet List Paragraph,Lettre d'introduction,List Paragraph1,Medium Grid 1 - Accent 21,Bullet OFM,List Paragraph (numbered (a)),Bullet List,Normal bullet 2,Bullet list"/>
    <w:basedOn w:val="Normlny"/>
    <w:link w:val="OdsekzoznamuChar"/>
    <w:uiPriority w:val="34"/>
    <w:qFormat/>
    <w:rsid w:val="004F3849"/>
    <w:pPr>
      <w:ind w:left="720"/>
      <w:contextualSpacing/>
    </w:pPr>
  </w:style>
  <w:style w:type="character" w:customStyle="1" w:styleId="OdsekzoznamuChar">
    <w:name w:val="Odsek zoznamu Char"/>
    <w:aliases w:val="body Char,Odsek zoznamu2 Char,diel Char,List Paragraph_Sections Char,1st level - Bullet List Paragraph Char,Lettre d'introduction Char,List Paragraph1 Char,Medium Grid 1 - Accent 21 Char,Bullet OFM Char,Bullet List Char"/>
    <w:link w:val="Odsekzoznamu"/>
    <w:uiPriority w:val="34"/>
    <w:qFormat/>
    <w:locked/>
    <w:rsid w:val="00796AFF"/>
  </w:style>
  <w:style w:type="table" w:styleId="Mriekatabuky">
    <w:name w:val="Table Grid"/>
    <w:basedOn w:val="Normlnatabuka"/>
    <w:uiPriority w:val="99"/>
    <w:rsid w:val="00E43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52384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2384A"/>
    <w:rPr>
      <w:rFonts w:ascii="Segoe UI" w:hAnsi="Segoe UI" w:cs="Segoe UI"/>
      <w:sz w:val="18"/>
      <w:szCs w:val="18"/>
    </w:rPr>
  </w:style>
  <w:style w:type="paragraph" w:styleId="Zkladntext3">
    <w:name w:val="Body Text 3"/>
    <w:basedOn w:val="Normlny"/>
    <w:link w:val="Zkladntext3Char"/>
    <w:unhideWhenUsed/>
    <w:rsid w:val="00796AFF"/>
    <w:pPr>
      <w:spacing w:after="0" w:line="240" w:lineRule="auto"/>
      <w:jc w:val="both"/>
    </w:pPr>
    <w:rPr>
      <w:rFonts w:ascii="Times New Roman" w:eastAsia="Times New Roman" w:hAnsi="Times New Roman" w:cs="Times New Roman"/>
      <w:sz w:val="24"/>
      <w:szCs w:val="24"/>
      <w:lang w:eastAsia="sk-SK"/>
    </w:rPr>
  </w:style>
  <w:style w:type="character" w:customStyle="1" w:styleId="Zkladntext3Char">
    <w:name w:val="Základný text 3 Char"/>
    <w:basedOn w:val="Predvolenpsmoodseku"/>
    <w:link w:val="Zkladntext3"/>
    <w:rsid w:val="00796AFF"/>
    <w:rPr>
      <w:rFonts w:ascii="Times New Roman" w:eastAsia="Times New Roman" w:hAnsi="Times New Roman" w:cs="Times New Roman"/>
      <w:sz w:val="24"/>
      <w:szCs w:val="24"/>
      <w:lang w:eastAsia="sk-SK"/>
    </w:rPr>
  </w:style>
  <w:style w:type="paragraph" w:customStyle="1" w:styleId="Default">
    <w:name w:val="Default"/>
    <w:rsid w:val="00C725B1"/>
    <w:pPr>
      <w:autoSpaceDE w:val="0"/>
      <w:autoSpaceDN w:val="0"/>
      <w:adjustRightInd w:val="0"/>
      <w:spacing w:after="0" w:line="240" w:lineRule="auto"/>
    </w:pPr>
    <w:rPr>
      <w:rFonts w:ascii="EUAlbertina" w:hAnsi="EUAlbertina" w:cs="EUAlbertina"/>
      <w:color w:val="000000"/>
      <w:sz w:val="24"/>
      <w:szCs w:val="24"/>
    </w:rPr>
  </w:style>
  <w:style w:type="character" w:styleId="Odkaznakomentr">
    <w:name w:val="annotation reference"/>
    <w:basedOn w:val="Predvolenpsmoodseku"/>
    <w:uiPriority w:val="99"/>
    <w:semiHidden/>
    <w:unhideWhenUsed/>
    <w:rsid w:val="00C60C0D"/>
    <w:rPr>
      <w:sz w:val="16"/>
      <w:szCs w:val="16"/>
    </w:rPr>
  </w:style>
  <w:style w:type="paragraph" w:styleId="Textkomentra">
    <w:name w:val="annotation text"/>
    <w:basedOn w:val="Normlny"/>
    <w:link w:val="TextkomentraChar"/>
    <w:uiPriority w:val="99"/>
    <w:semiHidden/>
    <w:unhideWhenUsed/>
    <w:rsid w:val="00C60C0D"/>
    <w:pPr>
      <w:spacing w:line="240" w:lineRule="auto"/>
    </w:pPr>
    <w:rPr>
      <w:sz w:val="20"/>
      <w:szCs w:val="20"/>
    </w:rPr>
  </w:style>
  <w:style w:type="character" w:customStyle="1" w:styleId="TextkomentraChar">
    <w:name w:val="Text komentára Char"/>
    <w:basedOn w:val="Predvolenpsmoodseku"/>
    <w:link w:val="Textkomentra"/>
    <w:uiPriority w:val="99"/>
    <w:semiHidden/>
    <w:rsid w:val="00C60C0D"/>
    <w:rPr>
      <w:sz w:val="20"/>
      <w:szCs w:val="20"/>
    </w:rPr>
  </w:style>
  <w:style w:type="paragraph" w:styleId="Predmetkomentra">
    <w:name w:val="annotation subject"/>
    <w:basedOn w:val="Textkomentra"/>
    <w:next w:val="Textkomentra"/>
    <w:link w:val="PredmetkomentraChar"/>
    <w:uiPriority w:val="99"/>
    <w:semiHidden/>
    <w:unhideWhenUsed/>
    <w:rsid w:val="00C60C0D"/>
    <w:rPr>
      <w:b/>
      <w:bCs/>
    </w:rPr>
  </w:style>
  <w:style w:type="character" w:customStyle="1" w:styleId="PredmetkomentraChar">
    <w:name w:val="Predmet komentára Char"/>
    <w:basedOn w:val="TextkomentraChar"/>
    <w:link w:val="Predmetkomentra"/>
    <w:uiPriority w:val="99"/>
    <w:semiHidden/>
    <w:rsid w:val="00C60C0D"/>
    <w:rPr>
      <w:b/>
      <w:bCs/>
      <w:sz w:val="20"/>
      <w:szCs w:val="20"/>
    </w:rPr>
  </w:style>
  <w:style w:type="paragraph" w:styleId="Revzia">
    <w:name w:val="Revision"/>
    <w:hidden/>
    <w:uiPriority w:val="99"/>
    <w:semiHidden/>
    <w:rsid w:val="00A4491B"/>
    <w:pPr>
      <w:spacing w:after="0" w:line="240" w:lineRule="auto"/>
    </w:pPr>
  </w:style>
  <w:style w:type="paragraph" w:styleId="Hlavika">
    <w:name w:val="header"/>
    <w:basedOn w:val="Normlny"/>
    <w:link w:val="HlavikaChar"/>
    <w:unhideWhenUsed/>
    <w:rsid w:val="00EC64C0"/>
    <w:pPr>
      <w:tabs>
        <w:tab w:val="center" w:pos="4536"/>
        <w:tab w:val="right" w:pos="9072"/>
      </w:tabs>
      <w:spacing w:after="0" w:line="240" w:lineRule="auto"/>
    </w:pPr>
  </w:style>
  <w:style w:type="character" w:customStyle="1" w:styleId="HlavikaChar">
    <w:name w:val="Hlavička Char"/>
    <w:basedOn w:val="Predvolenpsmoodseku"/>
    <w:link w:val="Hlavika"/>
    <w:rsid w:val="00EC64C0"/>
  </w:style>
  <w:style w:type="paragraph" w:styleId="Pta">
    <w:name w:val="footer"/>
    <w:basedOn w:val="Normlny"/>
    <w:link w:val="PtaChar"/>
    <w:uiPriority w:val="99"/>
    <w:unhideWhenUsed/>
    <w:rsid w:val="00EC64C0"/>
    <w:pPr>
      <w:tabs>
        <w:tab w:val="center" w:pos="4536"/>
        <w:tab w:val="right" w:pos="9072"/>
      </w:tabs>
      <w:spacing w:after="0" w:line="240" w:lineRule="auto"/>
    </w:pPr>
  </w:style>
  <w:style w:type="character" w:customStyle="1" w:styleId="PtaChar">
    <w:name w:val="Päta Char"/>
    <w:basedOn w:val="Predvolenpsmoodseku"/>
    <w:link w:val="Pta"/>
    <w:uiPriority w:val="99"/>
    <w:rsid w:val="00EC64C0"/>
  </w:style>
  <w:style w:type="table" w:customStyle="1" w:styleId="Mriekatabuky1">
    <w:name w:val="Mriežka tabuľky1"/>
    <w:basedOn w:val="Normlnatabuka"/>
    <w:next w:val="Mriekatabuky"/>
    <w:uiPriority w:val="59"/>
    <w:rsid w:val="00F3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F33C13"/>
    <w:rPr>
      <w:color w:val="0563C1" w:themeColor="hyperlink"/>
      <w:u w:val="single"/>
    </w:rPr>
  </w:style>
  <w:style w:type="character" w:styleId="slostrany">
    <w:name w:val="page number"/>
    <w:basedOn w:val="Predvolenpsmoodseku"/>
    <w:uiPriority w:val="99"/>
    <w:rsid w:val="00507E84"/>
    <w:rPr>
      <w:rFonts w:cs="Times New Roman"/>
    </w:rPr>
  </w:style>
  <w:style w:type="paragraph" w:customStyle="1" w:styleId="TableParagraph">
    <w:name w:val="Table Paragraph"/>
    <w:basedOn w:val="Normlny"/>
    <w:uiPriority w:val="1"/>
    <w:qFormat/>
    <w:rsid w:val="00507E84"/>
    <w:pPr>
      <w:widowControl w:val="0"/>
      <w:autoSpaceDE w:val="0"/>
      <w:autoSpaceDN w:val="0"/>
      <w:spacing w:after="0" w:line="240" w:lineRule="auto"/>
      <w:ind w:left="110"/>
    </w:pPr>
    <w:rPr>
      <w:rFonts w:ascii="Arial Narrow" w:eastAsia="Arial Narrow" w:hAnsi="Arial Narrow" w:cs="Arial Narrow"/>
      <w:lang w:eastAsia="sk-SK" w:bidi="sk-SK"/>
    </w:rPr>
  </w:style>
  <w:style w:type="paragraph" w:customStyle="1" w:styleId="gmail-m-1648484718305530482msolistparagraph">
    <w:name w:val="gmail-m_-1648484718305530482msolistparagraph"/>
    <w:basedOn w:val="Normlny"/>
    <w:rsid w:val="000E512F"/>
    <w:pPr>
      <w:spacing w:before="100" w:beforeAutospacing="1" w:after="100" w:afterAutospacing="1" w:line="240" w:lineRule="auto"/>
    </w:pPr>
    <w:rPr>
      <w:rFonts w:ascii="Calibri" w:hAnsi="Calibri" w:cs="Calibri"/>
      <w:lang w:eastAsia="sk-SK"/>
    </w:rPr>
  </w:style>
  <w:style w:type="paragraph" w:styleId="Textpoznmkypodiarou">
    <w:name w:val="footnote text"/>
    <w:aliases w:val="Schriftart: 9 pt,Schriftart: 10 pt,Schriftart: 8 pt,Podrozdział,Footnote,o,Footnote text,NBP,fn,WB-Fußnot,Text poznámky pod čiarou 007,_Poznámka pod čiarou,Footnote Text Char Char,Fo Char Char,Fotnot Char Cha,stile 1,ft"/>
    <w:basedOn w:val="Normlny"/>
    <w:link w:val="TextpoznmkypodiarouChar"/>
    <w:uiPriority w:val="99"/>
    <w:unhideWhenUsed/>
    <w:qFormat/>
    <w:rsid w:val="000E512F"/>
    <w:pPr>
      <w:spacing w:after="0" w:line="240" w:lineRule="auto"/>
    </w:pPr>
    <w:rPr>
      <w:sz w:val="20"/>
      <w:szCs w:val="20"/>
    </w:rPr>
  </w:style>
  <w:style w:type="character" w:customStyle="1" w:styleId="TextpoznmkypodiarouChar">
    <w:name w:val="Text poznámky pod čiarou Char"/>
    <w:aliases w:val="Schriftart: 9 pt Char,Schriftart: 10 pt Char,Schriftart: 8 pt Char,Podrozdział Char,Footnote Char,o Char,Footnote text Char,NBP Char,fn Char,WB-Fußnot Char,Text poznámky pod čiarou 007 Char,_Poznámka pod čiarou Char,ft Char"/>
    <w:basedOn w:val="Predvolenpsmoodseku"/>
    <w:link w:val="Textpoznmkypodiarou"/>
    <w:uiPriority w:val="99"/>
    <w:qFormat/>
    <w:rsid w:val="000E512F"/>
    <w:rPr>
      <w:sz w:val="20"/>
      <w:szCs w:val="20"/>
    </w:rPr>
  </w:style>
  <w:style w:type="character" w:styleId="Odkaznapoznmkupodiarou">
    <w:name w:val="footnote reference"/>
    <w:aliases w:val="Footnote symbol,Footnote number,fr,Footnotemark,FR,Footnotemark1,Footnotemark2,FR1,Footnotemark3,FR2,Footnotemark4,FR3,Footnotemark5,FR4,Footnotemark6,Footnotemark7,Footnotemark8,FR5,Footnotemark11,Footnotemark21,FR11,Nota"/>
    <w:basedOn w:val="Predvolenpsmoodseku"/>
    <w:link w:val="FootnotesymbolCarZchn"/>
    <w:uiPriority w:val="99"/>
    <w:unhideWhenUsed/>
    <w:qFormat/>
    <w:rsid w:val="000E512F"/>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y"/>
    <w:link w:val="Odkaznapoznmkupodiarou"/>
    <w:uiPriority w:val="99"/>
    <w:qFormat/>
    <w:rsid w:val="000E512F"/>
    <w:pPr>
      <w:spacing w:line="240" w:lineRule="exact"/>
      <w:jc w:val="both"/>
    </w:pPr>
    <w:rPr>
      <w:vertAlign w:val="superscript"/>
    </w:rPr>
  </w:style>
  <w:style w:type="paragraph" w:customStyle="1" w:styleId="Normal1">
    <w:name w:val="Normal1"/>
    <w:basedOn w:val="Normlny"/>
    <w:rsid w:val="000E51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
    <w:name w:val="li"/>
    <w:basedOn w:val="Normlny"/>
    <w:rsid w:val="000E51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redvolenpsmoodseku"/>
    <w:rsid w:val="000E512F"/>
  </w:style>
  <w:style w:type="table" w:customStyle="1" w:styleId="CV11">
    <w:name w:val="CV11"/>
    <w:basedOn w:val="Normlnatabuka"/>
    <w:next w:val="Mriekatabuky"/>
    <w:uiPriority w:val="39"/>
    <w:rsid w:val="000E512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Normlnatabuka"/>
    <w:next w:val="Mriekatabuky"/>
    <w:uiPriority w:val="39"/>
    <w:rsid w:val="000E512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lny"/>
    <w:rsid w:val="000E512F"/>
    <w:pPr>
      <w:autoSpaceDE w:val="0"/>
      <w:autoSpaceDN w:val="0"/>
      <w:spacing w:after="0" w:line="240" w:lineRule="auto"/>
    </w:pPr>
    <w:rPr>
      <w:rFonts w:ascii="Arial" w:eastAsia="Times New Roman" w:hAnsi="Arial" w:cs="Arial"/>
      <w:b/>
      <w:i/>
      <w:sz w:val="24"/>
      <w:szCs w:val="20"/>
      <w:highlight w:val="yellow"/>
      <w:lang w:val="sk" w:eastAsia="en-GB"/>
    </w:rPr>
  </w:style>
  <w:style w:type="paragraph" w:customStyle="1" w:styleId="P68B1DB1-Normal2">
    <w:name w:val="P68B1DB1-Normal2"/>
    <w:basedOn w:val="Normlny"/>
    <w:rsid w:val="000E512F"/>
    <w:pPr>
      <w:autoSpaceDE w:val="0"/>
      <w:autoSpaceDN w:val="0"/>
      <w:spacing w:after="0" w:line="240" w:lineRule="auto"/>
    </w:pPr>
    <w:rPr>
      <w:rFonts w:ascii="Arial" w:eastAsia="Times New Roman" w:hAnsi="Arial" w:cs="Arial"/>
      <w:color w:val="000000" w:themeColor="text1"/>
      <w:sz w:val="24"/>
      <w:szCs w:val="20"/>
      <w:highlight w:val="yellow"/>
      <w:lang w:val="sk" w:eastAsia="en-GB"/>
    </w:rPr>
  </w:style>
  <w:style w:type="paragraph" w:customStyle="1" w:styleId="P68B1DB1-Normal3">
    <w:name w:val="P68B1DB1-Normal3"/>
    <w:basedOn w:val="Normlny"/>
    <w:rsid w:val="000E512F"/>
    <w:pPr>
      <w:autoSpaceDE w:val="0"/>
      <w:autoSpaceDN w:val="0"/>
      <w:spacing w:after="0" w:line="240" w:lineRule="auto"/>
    </w:pPr>
    <w:rPr>
      <w:rFonts w:ascii="Arial" w:eastAsia="Times New Roman" w:hAnsi="Arial" w:cs="Arial"/>
      <w:sz w:val="24"/>
      <w:szCs w:val="20"/>
      <w:highlight w:val="yellow"/>
      <w:lang w:val="sk" w:eastAsia="en-GB"/>
    </w:rPr>
  </w:style>
  <w:style w:type="paragraph" w:customStyle="1" w:styleId="P68B1DB1-ListBullet4">
    <w:name w:val="P68B1DB1-ListBullet4"/>
    <w:basedOn w:val="Zoznamsodrkami"/>
    <w:rsid w:val="000E512F"/>
    <w:pPr>
      <w:numPr>
        <w:numId w:val="0"/>
      </w:numPr>
      <w:tabs>
        <w:tab w:val="num" w:pos="283"/>
      </w:tabs>
      <w:spacing w:after="240" w:line="240" w:lineRule="auto"/>
      <w:ind w:left="283" w:hanging="283"/>
      <w:contextualSpacing w:val="0"/>
      <w:jc w:val="both"/>
    </w:pPr>
    <w:rPr>
      <w:rFonts w:ascii="Arial" w:eastAsia="Times New Roman" w:hAnsi="Arial" w:cs="Arial"/>
      <w:sz w:val="24"/>
      <w:szCs w:val="20"/>
      <w:highlight w:val="yellow"/>
      <w:lang w:val="sk" w:eastAsia="en-GB"/>
    </w:rPr>
  </w:style>
  <w:style w:type="paragraph" w:styleId="Zoznamsodrkami">
    <w:name w:val="List Bullet"/>
    <w:basedOn w:val="Normlny"/>
    <w:uiPriority w:val="99"/>
    <w:semiHidden/>
    <w:unhideWhenUsed/>
    <w:rsid w:val="000E512F"/>
    <w:pPr>
      <w:numPr>
        <w:numId w:val="29"/>
      </w:numPr>
      <w:contextualSpacing/>
    </w:pPr>
  </w:style>
  <w:style w:type="paragraph" w:customStyle="1" w:styleId="P68B1DB1-Normal5">
    <w:name w:val="P68B1DB1-Normal5"/>
    <w:basedOn w:val="Normlny"/>
    <w:rsid w:val="000E512F"/>
    <w:pPr>
      <w:autoSpaceDE w:val="0"/>
      <w:autoSpaceDN w:val="0"/>
      <w:spacing w:after="0" w:line="240" w:lineRule="auto"/>
    </w:pPr>
    <w:rPr>
      <w:rFonts w:ascii="Arial" w:eastAsia="Times New Roman" w:hAnsi="Arial" w:cs="Arial"/>
      <w:b/>
      <w:sz w:val="24"/>
      <w:szCs w:val="20"/>
      <w:highlight w:val="yellow"/>
      <w:lang w:val="sk" w:eastAsia="en-GB"/>
    </w:rPr>
  </w:style>
  <w:style w:type="paragraph" w:customStyle="1" w:styleId="P68B1DB1-Normal6">
    <w:name w:val="P68B1DB1-Normal6"/>
    <w:basedOn w:val="Normlny"/>
    <w:rsid w:val="000E512F"/>
    <w:pPr>
      <w:autoSpaceDE w:val="0"/>
      <w:autoSpaceDN w:val="0"/>
      <w:spacing w:after="0" w:line="240" w:lineRule="auto"/>
    </w:pPr>
    <w:rPr>
      <w:rFonts w:ascii="Arial" w:eastAsia="Times New Roman" w:hAnsi="Arial" w:cs="Arial"/>
      <w:i/>
      <w:sz w:val="24"/>
      <w:szCs w:val="20"/>
      <w:highlight w:val="yellow"/>
      <w:lang w:val="sk" w:eastAsia="en-GB"/>
    </w:rPr>
  </w:style>
  <w:style w:type="paragraph" w:styleId="Nzov">
    <w:name w:val="Title"/>
    <w:basedOn w:val="Normlny"/>
    <w:link w:val="NzovChar"/>
    <w:qFormat/>
    <w:rsid w:val="005572A3"/>
    <w:pPr>
      <w:spacing w:after="0" w:line="240" w:lineRule="auto"/>
      <w:jc w:val="center"/>
    </w:pPr>
    <w:rPr>
      <w:rFonts w:ascii="Times New Roman" w:eastAsia="Times New Roman" w:hAnsi="Times New Roman" w:cs="Times New Roman"/>
      <w:b/>
      <w:bCs/>
      <w:sz w:val="28"/>
      <w:szCs w:val="20"/>
      <w:lang w:eastAsia="sk-SK"/>
    </w:rPr>
  </w:style>
  <w:style w:type="character" w:customStyle="1" w:styleId="NzovChar">
    <w:name w:val="Názov Char"/>
    <w:basedOn w:val="Predvolenpsmoodseku"/>
    <w:link w:val="Nzov"/>
    <w:rsid w:val="005572A3"/>
    <w:rPr>
      <w:rFonts w:ascii="Times New Roman" w:eastAsia="Times New Roman" w:hAnsi="Times New Roman" w:cs="Times New Roman"/>
      <w:b/>
      <w:bCs/>
      <w:sz w:val="28"/>
      <w:szCs w:val="20"/>
      <w:lang w:eastAsia="sk-SK"/>
    </w:rPr>
  </w:style>
  <w:style w:type="paragraph" w:styleId="Zkladntext">
    <w:name w:val="Body Text"/>
    <w:basedOn w:val="Normlny"/>
    <w:link w:val="ZkladntextChar"/>
    <w:uiPriority w:val="99"/>
    <w:semiHidden/>
    <w:unhideWhenUsed/>
    <w:rsid w:val="00355E55"/>
    <w:pPr>
      <w:spacing w:after="120"/>
    </w:pPr>
  </w:style>
  <w:style w:type="character" w:customStyle="1" w:styleId="ZkladntextChar">
    <w:name w:val="Základný text Char"/>
    <w:basedOn w:val="Predvolenpsmoodseku"/>
    <w:link w:val="Zkladntext"/>
    <w:uiPriority w:val="99"/>
    <w:semiHidden/>
    <w:rsid w:val="00355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94982">
      <w:bodyDiv w:val="1"/>
      <w:marLeft w:val="0"/>
      <w:marRight w:val="0"/>
      <w:marTop w:val="0"/>
      <w:marBottom w:val="0"/>
      <w:divBdr>
        <w:top w:val="none" w:sz="0" w:space="0" w:color="auto"/>
        <w:left w:val="none" w:sz="0" w:space="0" w:color="auto"/>
        <w:bottom w:val="none" w:sz="0" w:space="0" w:color="auto"/>
        <w:right w:val="none" w:sz="0" w:space="0" w:color="auto"/>
      </w:divBdr>
    </w:div>
    <w:div w:id="482359110">
      <w:bodyDiv w:val="1"/>
      <w:marLeft w:val="0"/>
      <w:marRight w:val="0"/>
      <w:marTop w:val="0"/>
      <w:marBottom w:val="0"/>
      <w:divBdr>
        <w:top w:val="none" w:sz="0" w:space="0" w:color="auto"/>
        <w:left w:val="none" w:sz="0" w:space="0" w:color="auto"/>
        <w:bottom w:val="none" w:sz="0" w:space="0" w:color="auto"/>
        <w:right w:val="none" w:sz="0" w:space="0" w:color="auto"/>
      </w:divBdr>
    </w:div>
    <w:div w:id="87716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bor.snirc@nbu.gov.sk" TargetMode="External"/><Relationship Id="rId13" Type="http://schemas.openxmlformats.org/officeDocument/2006/relationships/header" Target="header2.xml"/><Relationship Id="rId18" Type="http://schemas.openxmlformats.org/officeDocument/2006/relationships/hyperlink" Target="https://metais.vicepremier.gov.sk/cilist/Projekt?page=1&amp;count=20&amp;filter%5BglobalSearch%5D=%257B%257D"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nbu.gov.sk/data/att/2758.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onitoringmsp.sk/wp-content/uploads/2023/07/MSP_v_cislach_2022.pdf" TargetMode="External"/><Relationship Id="rId25" Type="http://schemas.openxmlformats.org/officeDocument/2006/relationships/hyperlink" Target="https://www.nbu.gov.sk/data/att/2546.pdf"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nbu.gov.sk/data/att/278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png"/><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nbu.gov.sk" TargetMode="External"/><Relationship Id="rId28" Type="http://schemas.openxmlformats.org/officeDocument/2006/relationships/theme" Target="theme/theme1.xml"/><Relationship Id="rId36"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yperlink" Target="https://cybercompetence.sk/wp-content/uploads/dokumenty/na_stiahnutie/letak_KB-prieskum_verejnej_mienky_msp_2023.pdf" TargetMode="External"/><Relationship Id="rId4" Type="http://schemas.openxmlformats.org/officeDocument/2006/relationships/settings" Target="settings.xml"/><Relationship Id="rId9" Type="http://schemas.openxmlformats.org/officeDocument/2006/relationships/hyperlink" Target="mailto:legislativa@nbu.gov.sk" TargetMode="External"/><Relationship Id="rId14" Type="http://schemas.openxmlformats.org/officeDocument/2006/relationships/footer" Target="footer3.xml"/><Relationship Id="rId22" Type="http://schemas.openxmlformats.org/officeDocument/2006/relationships/hyperlink" Target="https://cybercompetence.sk/wp-content/uploads/dokumenty/ine/KCCKB-Cennik.pdf" TargetMode="External"/><Relationship Id="rId27"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B24ED-34CD-4CC5-B5A2-63851ABD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33944</Words>
  <Characters>193482</Characters>
  <Application>Microsoft Office Word</Application>
  <DocSecurity>0</DocSecurity>
  <Lines>1612</Lines>
  <Paragraphs>453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58</cp:revision>
  <dcterms:created xsi:type="dcterms:W3CDTF">2024-09-26T08:39:00Z</dcterms:created>
  <dcterms:modified xsi:type="dcterms:W3CDTF">2024-10-03T07:44:00Z</dcterms:modified>
</cp:coreProperties>
</file>