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D86" w:rsidRDefault="00776D86" w:rsidP="00776D86">
      <w:bookmarkStart w:id="0" w:name="_GoBack"/>
      <w:bookmarkEnd w:id="0"/>
    </w:p>
    <w:p w:rsidR="00776D86" w:rsidRDefault="00776D86" w:rsidP="00776D86"/>
    <w:p w:rsidR="00776D86" w:rsidRDefault="00776D86" w:rsidP="00776D86">
      <w:pPr>
        <w:pStyle w:val="Nadpis1"/>
        <w:numPr>
          <w:ilvl w:val="0"/>
          <w:numId w:val="0"/>
        </w:numPr>
        <w:spacing w:after="57"/>
        <w:ind w:right="703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58190E8" wp14:editId="16A0DE2A">
            <wp:simplePos x="0" y="0"/>
            <wp:positionH relativeFrom="column">
              <wp:posOffset>3132785</wp:posOffset>
            </wp:positionH>
            <wp:positionV relativeFrom="paragraph">
              <wp:posOffset>0</wp:posOffset>
            </wp:positionV>
            <wp:extent cx="189230" cy="334645"/>
            <wp:effectExtent l="0" t="0" r="0" b="0"/>
            <wp:wrapNone/>
            <wp:docPr id="2381" name="Picture 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" name="Picture 23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TABUĽKA ZHODY návrhu právneho predpisu s právom Európskej únie </w:t>
      </w:r>
    </w:p>
    <w:p w:rsidR="00776D86" w:rsidRDefault="00776D86" w:rsidP="00776D86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tbl>
      <w:tblPr>
        <w:tblStyle w:val="Mriekatabuky"/>
        <w:tblW w:w="1609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51"/>
        <w:gridCol w:w="5529"/>
        <w:gridCol w:w="567"/>
        <w:gridCol w:w="992"/>
        <w:gridCol w:w="851"/>
        <w:gridCol w:w="3827"/>
        <w:gridCol w:w="992"/>
        <w:gridCol w:w="851"/>
        <w:gridCol w:w="567"/>
        <w:gridCol w:w="850"/>
        <w:gridCol w:w="214"/>
      </w:tblGrid>
      <w:tr w:rsidR="00776D86" w:rsidTr="00590306">
        <w:trPr>
          <w:trHeight w:val="498"/>
        </w:trPr>
        <w:tc>
          <w:tcPr>
            <w:tcW w:w="6947" w:type="dxa"/>
            <w:gridSpan w:val="3"/>
          </w:tcPr>
          <w:p w:rsidR="00776D86" w:rsidRPr="00413E06" w:rsidRDefault="00776D86" w:rsidP="00590306">
            <w:pPr>
              <w:spacing w:after="0" w:line="259" w:lineRule="auto"/>
              <w:ind w:left="86" w:right="0" w:firstLine="0"/>
              <w:jc w:val="left"/>
              <w:rPr>
                <w:b/>
              </w:rPr>
            </w:pPr>
            <w:r w:rsidRPr="00413E06">
              <w:rPr>
                <w:b/>
              </w:rPr>
              <w:t>Smernica</w:t>
            </w:r>
            <w:r>
              <w:rPr>
                <w:b/>
              </w:rPr>
              <w:t xml:space="preserve"> </w:t>
            </w:r>
          </w:p>
          <w:p w:rsidR="00776D86" w:rsidRPr="00413E06" w:rsidRDefault="00776D86" w:rsidP="00590306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9144" w:type="dxa"/>
            <w:gridSpan w:val="8"/>
          </w:tcPr>
          <w:p w:rsidR="00776D86" w:rsidRPr="00413E06" w:rsidRDefault="00776D86" w:rsidP="00590306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 w:rsidRPr="00413E06">
              <w:rPr>
                <w:b/>
              </w:rPr>
              <w:t>Právne predpisy Slovenskej republiky</w:t>
            </w:r>
          </w:p>
          <w:p w:rsidR="00776D86" w:rsidRPr="00413E06" w:rsidRDefault="00776D86" w:rsidP="00590306">
            <w:pPr>
              <w:spacing w:after="3" w:line="259" w:lineRule="auto"/>
              <w:ind w:right="0"/>
              <w:jc w:val="left"/>
              <w:rPr>
                <w:b/>
                <w:szCs w:val="24"/>
              </w:rPr>
            </w:pPr>
          </w:p>
          <w:p w:rsidR="00776D86" w:rsidRPr="00413E06" w:rsidRDefault="00776D86" w:rsidP="00590306">
            <w:pPr>
              <w:spacing w:after="3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776D86" w:rsidTr="00590306">
        <w:trPr>
          <w:trHeight w:val="1575"/>
        </w:trPr>
        <w:tc>
          <w:tcPr>
            <w:tcW w:w="6947" w:type="dxa"/>
            <w:gridSpan w:val="3"/>
          </w:tcPr>
          <w:p w:rsidR="00776D86" w:rsidRPr="008B26FC" w:rsidRDefault="00157F13" w:rsidP="00590306">
            <w:pPr>
              <w:spacing w:after="3" w:line="259" w:lineRule="auto"/>
              <w:ind w:right="0"/>
              <w:jc w:val="left"/>
              <w:rPr>
                <w:b/>
              </w:rPr>
            </w:pPr>
            <w:r w:rsidRPr="00157F13">
              <w:rPr>
                <w:b/>
                <w:sz w:val="20"/>
                <w:szCs w:val="20"/>
              </w:rPr>
              <w:t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(Ú. v. EÚ L 132, 21. 5. 2016) v platnom znení</w:t>
            </w:r>
          </w:p>
          <w:p w:rsidR="00776D86" w:rsidRPr="008B26FC" w:rsidRDefault="00776D86" w:rsidP="00590306">
            <w:pPr>
              <w:spacing w:after="0" w:line="259" w:lineRule="auto"/>
              <w:ind w:left="0" w:right="0"/>
              <w:jc w:val="left"/>
              <w:rPr>
                <w:b/>
              </w:rPr>
            </w:pPr>
          </w:p>
        </w:tc>
        <w:tc>
          <w:tcPr>
            <w:tcW w:w="9144" w:type="dxa"/>
            <w:gridSpan w:val="8"/>
          </w:tcPr>
          <w:p w:rsidR="00776D86" w:rsidRPr="00C50DEC" w:rsidRDefault="00776D86" w:rsidP="00776D86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4D2453">
              <w:rPr>
                <w:sz w:val="20"/>
                <w:szCs w:val="20"/>
              </w:rPr>
              <w:t>zákon č. 131/2002 Z. z. o  vysokých školách a o zmene a doplnení niektorých zákonov v znení neskorších predpisov,</w:t>
            </w:r>
          </w:p>
          <w:p w:rsidR="00776D86" w:rsidRPr="00C50DEC" w:rsidRDefault="00776D86" w:rsidP="00776D86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  <w:r w:rsidRPr="009B16A2">
              <w:rPr>
                <w:bCs/>
                <w:sz w:val="20"/>
                <w:szCs w:val="20"/>
              </w:rPr>
              <w:t>návrh zákona, ktorým sa mení a dopĺňa zákon č. 131/2002 Z. z. o vysokých školách a o zmene a doplnení niektorých zákonov v znení neskorších predpisov a ktorým sa men</w:t>
            </w:r>
            <w:r w:rsidR="00671111">
              <w:rPr>
                <w:bCs/>
                <w:sz w:val="20"/>
                <w:szCs w:val="20"/>
              </w:rPr>
              <w:t>ia</w:t>
            </w:r>
            <w:r w:rsidRPr="009B16A2">
              <w:rPr>
                <w:bCs/>
                <w:sz w:val="20"/>
                <w:szCs w:val="20"/>
              </w:rPr>
              <w:t xml:space="preserve"> a</w:t>
            </w:r>
            <w:r w:rsidR="00671111">
              <w:rPr>
                <w:bCs/>
                <w:sz w:val="20"/>
                <w:szCs w:val="20"/>
              </w:rPr>
              <w:t> </w:t>
            </w:r>
            <w:r w:rsidRPr="009B16A2">
              <w:rPr>
                <w:bCs/>
                <w:sz w:val="20"/>
                <w:szCs w:val="20"/>
              </w:rPr>
              <w:t>dopĺňa</w:t>
            </w:r>
            <w:r w:rsidR="00671111">
              <w:rPr>
                <w:bCs/>
                <w:sz w:val="20"/>
                <w:szCs w:val="20"/>
              </w:rPr>
              <w:t>jú niektoré</w:t>
            </w:r>
            <w:r w:rsidRPr="009B16A2">
              <w:rPr>
                <w:bCs/>
                <w:sz w:val="20"/>
                <w:szCs w:val="20"/>
              </w:rPr>
              <w:t xml:space="preserve"> zákon</w:t>
            </w:r>
            <w:r w:rsidR="00671111">
              <w:rPr>
                <w:bCs/>
                <w:sz w:val="20"/>
                <w:szCs w:val="20"/>
              </w:rPr>
              <w:t>y</w:t>
            </w:r>
            <w:r>
              <w:rPr>
                <w:bCs/>
                <w:sz w:val="20"/>
                <w:szCs w:val="20"/>
              </w:rPr>
              <w:t>.</w:t>
            </w:r>
          </w:p>
          <w:p w:rsidR="00776D86" w:rsidRPr="004D2453" w:rsidRDefault="00776D86" w:rsidP="00590306">
            <w:pPr>
              <w:suppressAutoHyphens/>
              <w:autoSpaceDE w:val="0"/>
              <w:spacing w:after="0" w:line="240" w:lineRule="auto"/>
              <w:ind w:left="0" w:right="0" w:firstLine="0"/>
              <w:rPr>
                <w:bCs/>
                <w:sz w:val="20"/>
                <w:szCs w:val="20"/>
              </w:rPr>
            </w:pPr>
          </w:p>
          <w:p w:rsidR="00776D86" w:rsidRDefault="00776D86" w:rsidP="00590306">
            <w:pPr>
              <w:spacing w:after="0" w:line="259" w:lineRule="auto"/>
              <w:ind w:right="0"/>
            </w:pPr>
          </w:p>
        </w:tc>
      </w:tr>
      <w:tr w:rsidR="00776D86" w:rsidTr="00590306">
        <w:trPr>
          <w:gridAfter w:val="1"/>
          <w:wAfter w:w="214" w:type="dxa"/>
          <w:trHeight w:val="992"/>
        </w:trPr>
        <w:tc>
          <w:tcPr>
            <w:tcW w:w="851" w:type="dxa"/>
          </w:tcPr>
          <w:p w:rsidR="00776D86" w:rsidRPr="004D2453" w:rsidRDefault="00776D86" w:rsidP="005903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4D2453">
              <w:rPr>
                <w:sz w:val="20"/>
                <w:szCs w:val="20"/>
              </w:rPr>
              <w:t>: 3</w:t>
            </w:r>
          </w:p>
          <w:p w:rsidR="00776D86" w:rsidRPr="004D2453" w:rsidRDefault="00776D86" w:rsidP="00590306">
            <w:pPr>
              <w:snapToGrid w:val="0"/>
              <w:rPr>
                <w:sz w:val="20"/>
                <w:szCs w:val="20"/>
              </w:rPr>
            </w:pPr>
            <w:r w:rsidRPr="004D2453">
              <w:rPr>
                <w:sz w:val="20"/>
                <w:szCs w:val="20"/>
              </w:rPr>
              <w:t>O: 13</w:t>
            </w:r>
          </w:p>
        </w:tc>
        <w:tc>
          <w:tcPr>
            <w:tcW w:w="5529" w:type="dxa"/>
          </w:tcPr>
          <w:p w:rsidR="00776D86" w:rsidRPr="004D2453" w:rsidRDefault="00776D86" w:rsidP="00590306">
            <w:pPr>
              <w:rPr>
                <w:sz w:val="20"/>
                <w:szCs w:val="20"/>
              </w:rPr>
            </w:pPr>
            <w:r w:rsidRPr="004D2453">
              <w:rPr>
                <w:sz w:val="20"/>
                <w:szCs w:val="20"/>
              </w:rPr>
              <w:t>„inštitúcia vysokoškolského vzdelávania“ je akýkoľvek druh inštitúcie vysokoškolského vzdelávania, ktorá sa za takú uznáva alebo považuje v súlade s vnútroštátnym právom a ktorá v súlade s vnútroštátnym právom alebo postupmi ponúka uznané tituly vysokoškolského vzdelania alebo iné uznané kvalifikácie terciárneho stupňa bez ohľadu na názov takéhoto zariadenia, alebo akákoľvek inštitúcia, ktorá v súlade s vnútroštátnym právom alebo vnútroštátnymi postupmi ponúka odborné vzdelávanie alebo prípravu na terciárnom stupni;</w:t>
            </w:r>
          </w:p>
        </w:tc>
        <w:tc>
          <w:tcPr>
            <w:tcW w:w="567" w:type="dxa"/>
          </w:tcPr>
          <w:p w:rsidR="00776D86" w:rsidRPr="006124D0" w:rsidRDefault="00776D86" w:rsidP="00590306">
            <w:pPr>
              <w:spacing w:after="0" w:line="259" w:lineRule="auto"/>
              <w:ind w:left="0" w:right="0" w:firstLine="0"/>
              <w:jc w:val="center"/>
              <w:rPr>
                <w:b/>
                <w:sz w:val="23"/>
              </w:rPr>
            </w:pPr>
            <w:r w:rsidRPr="006124D0">
              <w:rPr>
                <w:b/>
                <w:sz w:val="23"/>
              </w:rPr>
              <w:t>N</w:t>
            </w:r>
          </w:p>
          <w:p w:rsidR="00776D86" w:rsidRPr="006124D0" w:rsidRDefault="00776D86" w:rsidP="00590306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76D86" w:rsidRPr="00C50DEC" w:rsidRDefault="00776D86" w:rsidP="005903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50DEC">
              <w:rPr>
                <w:b/>
                <w:sz w:val="20"/>
                <w:szCs w:val="20"/>
              </w:rPr>
              <w:t>Zákon č. 131/2002 Z. z.</w:t>
            </w: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Default="00776D86" w:rsidP="005903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76D86" w:rsidRPr="00C50DEC" w:rsidRDefault="00776D86" w:rsidP="005903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50DEC">
              <w:rPr>
                <w:b/>
                <w:sz w:val="20"/>
                <w:szCs w:val="20"/>
              </w:rPr>
              <w:t>Návrh zákona</w:t>
            </w:r>
          </w:p>
          <w:p w:rsidR="00776D86" w:rsidRPr="00C50DEC" w:rsidRDefault="00776D86" w:rsidP="0059030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50DEC">
              <w:rPr>
                <w:b/>
                <w:sz w:val="20"/>
                <w:szCs w:val="20"/>
              </w:rPr>
              <w:t>Č. I</w:t>
            </w:r>
          </w:p>
          <w:p w:rsidR="00776D86" w:rsidRDefault="00776D86" w:rsidP="00590306">
            <w:pPr>
              <w:spacing w:after="0" w:line="259" w:lineRule="auto"/>
              <w:ind w:left="2" w:right="0" w:firstLine="0"/>
              <w:jc w:val="center"/>
            </w:pPr>
            <w:r w:rsidRPr="00C50DEC">
              <w:rPr>
                <w:b/>
                <w:sz w:val="20"/>
                <w:szCs w:val="20"/>
              </w:rPr>
              <w:t>Bod 1.</w:t>
            </w:r>
          </w:p>
        </w:tc>
        <w:tc>
          <w:tcPr>
            <w:tcW w:w="851" w:type="dxa"/>
          </w:tcPr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lastRenderedPageBreak/>
              <w:t>§ 2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O:1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O: 2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P: a</w:t>
            </w:r>
            <w:r>
              <w:t>)</w:t>
            </w:r>
            <w:r w:rsidRPr="004D2453">
              <w:t xml:space="preserve"> až d</w:t>
            </w:r>
            <w:r>
              <w:t>)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</w:p>
          <w:p w:rsidR="00776D86" w:rsidRDefault="00776D86" w:rsidP="00590306">
            <w:pPr>
              <w:pStyle w:val="Normlny0"/>
              <w:snapToGrid w:val="0"/>
              <w:jc w:val="both"/>
            </w:pPr>
            <w:r>
              <w:t>§: 2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  <w:r w:rsidRPr="004D2453">
              <w:t>O: 4</w:t>
            </w:r>
          </w:p>
          <w:p w:rsidR="00776D86" w:rsidRPr="004D2453" w:rsidRDefault="00776D86" w:rsidP="00590306">
            <w:pPr>
              <w:pStyle w:val="Normlny0"/>
              <w:snapToGrid w:val="0"/>
              <w:jc w:val="both"/>
            </w:pPr>
          </w:p>
        </w:tc>
        <w:tc>
          <w:tcPr>
            <w:tcW w:w="3827" w:type="dxa"/>
          </w:tcPr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lastRenderedPageBreak/>
              <w:t>(1)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Vysoké školy sú právnické osoby.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(2)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Vysoké školy sú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a)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verejné vysoké školy so sídlom na území Slovenskej republiky,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b)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štátne vysoké školy so sídlom na území Slovenskej republiky,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c)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súkromné vysoké školy podľa § 47 a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</w:pPr>
            <w:r w:rsidRPr="00C50DEC">
              <w:t>d)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  <w:r w:rsidRPr="00C50DEC">
              <w:t>zahraničné vysoké školy podľa § 49a so sídlom na území členského štátu Európskej únie mimo územia Slovenskej republiky alebo štátu, ktorý je zmluvnou stranou Dohody o Európskom hospodárskom priestore a Švajčiarskej konfederácie (ďalej len „členské štáty“).</w:t>
            </w: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CD55FF" w:rsidRDefault="00776D86" w:rsidP="00CD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50DEC">
              <w:rPr>
                <w:rFonts w:cstheme="minorHAnsi"/>
              </w:rPr>
              <w:t xml:space="preserve">(4) Vysoké školy majú výhradné právo na poskytovanie, organizovanie a zabezpečovanie vysokoškolského vzdelávania. Na poskytovaní vysokoškolského vzdelávania sa podieľajú aj špecializované výučbové zariadenia vysokej školy podľa § 35 a v doktorandských študijných programoch podľa § 54 aj externá vzdelávacia inštitúcia. Vysoké školy poskytujú aj ďalšie vzdelávanie. 1) </w:t>
            </w:r>
            <w:bookmarkStart w:id="1" w:name="_Hlk164783268"/>
            <w:r w:rsidR="00CD55FF" w:rsidRPr="00CD55FF">
              <w:rPr>
                <w:rFonts w:cstheme="minorHAnsi"/>
                <w:b/>
                <w:color w:val="auto"/>
                <w:szCs w:val="24"/>
              </w:rPr>
              <w:t>Vysoké školy a právnické osoby, v ktorých majú účasť vysoké školy, majú výhradné právo používať vo svojom názve slová „univerzita“ alebo „vysoká škola“ alebo z nich odvodené tvary slov.</w:t>
            </w:r>
          </w:p>
          <w:bookmarkEnd w:id="1"/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rFonts w:cstheme="minorHAnsi"/>
                <w:color w:val="FF0000"/>
              </w:rPr>
            </w:pPr>
          </w:p>
          <w:p w:rsidR="00776D86" w:rsidRPr="00C50DEC" w:rsidRDefault="00776D86" w:rsidP="00590306">
            <w:pPr>
              <w:pStyle w:val="Normlny0"/>
              <w:snapToGrid w:val="0"/>
              <w:jc w:val="both"/>
              <w:rPr>
                <w:highlight w:val="yellow"/>
              </w:rPr>
            </w:pPr>
          </w:p>
          <w:p w:rsidR="00776D86" w:rsidRPr="00C50DEC" w:rsidRDefault="00776D86" w:rsidP="00590306">
            <w:pPr>
              <w:spacing w:after="120" w:line="240" w:lineRule="auto"/>
              <w:ind w:left="-38" w:right="0" w:firstLine="0"/>
              <w:rPr>
                <w:sz w:val="20"/>
                <w:szCs w:val="20"/>
              </w:rPr>
            </w:pPr>
            <w:r w:rsidRPr="00C50DEC">
              <w:rPr>
                <w:sz w:val="20"/>
                <w:szCs w:val="20"/>
                <w:vertAlign w:val="superscript"/>
              </w:rPr>
              <w:t>1</w:t>
            </w:r>
            <w:r w:rsidRPr="00C50DEC">
              <w:rPr>
                <w:sz w:val="20"/>
                <w:szCs w:val="20"/>
              </w:rPr>
              <w:t>) Napríklad § 39 zákona č. 578/2004 Z. z. o poskytovateľoch zdravotnej starostlivosti, zdravotníckych pracovníkoch, stavovských organizáciách v zdravotníctve a o zmene a doplnení niektorých zákonov, zákon č. 568/2009 Z. z. o celoživotnom vzdelávaní a o zmene a doplnení niektorých zákonov, zákon č. 317/2009 Z. z. o pedagogických zamestnancoch a odborných zamestnancoch a o zmene a doplnení niektorých zákonov v znení zákona č. 390/2011 Z. z.</w:t>
            </w:r>
          </w:p>
        </w:tc>
        <w:tc>
          <w:tcPr>
            <w:tcW w:w="992" w:type="dxa"/>
          </w:tcPr>
          <w:p w:rsidR="00776D86" w:rsidRPr="006124D0" w:rsidRDefault="00776D86" w:rsidP="0059030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6124D0">
              <w:rPr>
                <w:b/>
                <w:sz w:val="23"/>
              </w:rPr>
              <w:lastRenderedPageBreak/>
              <w:t>Ú</w:t>
            </w:r>
          </w:p>
          <w:p w:rsidR="00776D86" w:rsidRPr="006124D0" w:rsidRDefault="00776D86" w:rsidP="00590306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76D86" w:rsidRDefault="00776D86" w:rsidP="00590306">
            <w:pPr>
              <w:spacing w:after="0" w:line="259" w:lineRule="auto"/>
              <w:ind w:left="2" w:right="0" w:firstLine="0"/>
            </w:pPr>
          </w:p>
        </w:tc>
        <w:tc>
          <w:tcPr>
            <w:tcW w:w="567" w:type="dxa"/>
          </w:tcPr>
          <w:p w:rsidR="00776D86" w:rsidRPr="00A15BDF" w:rsidRDefault="00776D86" w:rsidP="00590306">
            <w:pPr>
              <w:spacing w:line="238" w:lineRule="auto"/>
              <w:ind w:left="0" w:right="0" w:firstLine="0"/>
              <w:jc w:val="center"/>
              <w:rPr>
                <w:b/>
              </w:rPr>
            </w:pPr>
            <w:r w:rsidRPr="00E220DB">
              <w:rPr>
                <w:b/>
              </w:rPr>
              <w:t>GP-</w:t>
            </w:r>
            <w:r w:rsidRPr="00A15BDF">
              <w:rPr>
                <w:b/>
              </w:rPr>
              <w:t>N</w:t>
            </w:r>
          </w:p>
        </w:tc>
        <w:tc>
          <w:tcPr>
            <w:tcW w:w="850" w:type="dxa"/>
          </w:tcPr>
          <w:p w:rsidR="00776D86" w:rsidRDefault="00776D86" w:rsidP="0059030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776D86" w:rsidRDefault="00776D86" w:rsidP="00776D86"/>
    <w:p w:rsidR="004B4213" w:rsidRDefault="004B4213"/>
    <w:sectPr w:rsidR="004B4213" w:rsidSect="00A53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44A80"/>
    <w:multiLevelType w:val="hybridMultilevel"/>
    <w:tmpl w:val="9818348C"/>
    <w:lvl w:ilvl="0" w:tplc="3D8ED2B8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E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9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E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C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2F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B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3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535FB2"/>
    <w:multiLevelType w:val="hybridMultilevel"/>
    <w:tmpl w:val="A0128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86"/>
    <w:rsid w:val="00157F13"/>
    <w:rsid w:val="004B4213"/>
    <w:rsid w:val="00625F39"/>
    <w:rsid w:val="00671111"/>
    <w:rsid w:val="00776D86"/>
    <w:rsid w:val="0078088F"/>
    <w:rsid w:val="00C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E5FD5-CD39-4E7C-8F5B-5AC6AEA5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76D86"/>
    <w:pPr>
      <w:spacing w:after="5" w:line="267" w:lineRule="auto"/>
      <w:ind w:left="10" w:right="37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776D86"/>
    <w:pPr>
      <w:keepNext/>
      <w:keepLines/>
      <w:numPr>
        <w:numId w:val="1"/>
      </w:numPr>
      <w:spacing w:after="3"/>
      <w:ind w:left="10" w:right="4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6D86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77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0">
    <w:name w:val="_Normálny"/>
    <w:basedOn w:val="Normlny"/>
    <w:rsid w:val="00776D86"/>
    <w:pPr>
      <w:suppressAutoHyphens/>
      <w:autoSpaceDE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5FF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2024-10-02T08:30:00Z</dcterms:created>
  <dcterms:modified xsi:type="dcterms:W3CDTF">2024-10-02T08:30:00Z</dcterms:modified>
</cp:coreProperties>
</file>