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32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>KNR- VFR - 1669 /2024 -2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126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30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septembra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zákona, ktorým sa menia a dopĺňajú niektoré zákony v súvislosti s ďalším zlepšovaním stavu verejných financií </w:t>
      </w:r>
      <w:r w:rsidR="000C50E2"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(tlač 483)</w:t>
      </w:r>
      <w:r w:rsid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A02C0" w:rsidRPr="00EF30E9" w:rsidRDefault="000C50E2" w:rsidP="005A02C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vládnym návrhom zákona, ktorým sa menia a dopĺňajú niektoré zákony v súvislosti s ďalším zlepšovaním stavu verejných financií 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(tlač 483)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0C50E2"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vládny návrh zákona, ktorým sa menia a dopĺňajú niektoré zákony v súvislosti s ďalším zlepšovaním stavu verejných financií 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(tlač 483)</w:t>
      </w:r>
      <w:r w:rsid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 s pozmeňujúcimi a doplňujúcimi návrhmi tak, ako sú uvedené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informovať predsedu Národnej rady Slovenskej republiky o výsledku prerokovania uvedeného návrhu zákona vo výbore.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Ján Blcháč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predseda výboru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2C0" w:rsidRPr="00EF30E9" w:rsidRDefault="005A02C0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2C0" w:rsidRPr="00EF30E9" w:rsidRDefault="005A02C0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2C0" w:rsidRPr="00EF30E9" w:rsidRDefault="005A02C0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Výbor Národnej rady  Slovenskej republiky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ED51BA" w:rsidRPr="00EF30E9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</w:t>
      </w:r>
    </w:p>
    <w:p w:rsidR="00ED51BA" w:rsidRPr="00EF30E9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126</w:t>
      </w:r>
    </w:p>
    <w:p w:rsidR="00ED51BA" w:rsidRPr="00EF30E9" w:rsidRDefault="000C50E2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32</w:t>
      </w:r>
      <w:r w:rsidR="00ED51BA"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ED51BA" w:rsidRPr="00EF30E9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ED51BA" w:rsidRPr="00EF30E9" w:rsidRDefault="005A02C0" w:rsidP="00ED51BA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="000C50E2"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vládn</w:t>
      </w:r>
      <w:r w:rsidR="00D168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emu</w:t>
      </w:r>
      <w:r w:rsidR="000C50E2"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návrh</w:t>
      </w:r>
      <w:r w:rsidR="00D168B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0C50E2"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zákona, ktorým sa menia a dopĺňajú niektoré zákony v súvislosti s ďalším zlepšovaním stavu verejných financií (tlač 483)</w:t>
      </w:r>
      <w:r w:rsid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II, bod 10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 II bod 10 (§ 138) nadobúda účinnosť 1. januára 2025, čo sa premietne do článku o účinnosti pri spracúvaní čistopisu schváleného zákona.</w:t>
      </w:r>
    </w:p>
    <w:p w:rsidR="00A26FF0" w:rsidRPr="00A26FF0" w:rsidRDefault="00A26FF0" w:rsidP="00A26FF0">
      <w:pPr>
        <w:spacing w:after="0" w:line="240" w:lineRule="auto"/>
        <w:ind w:left="4531" w:firstLine="421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531" w:firstLine="42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Odôvodnenie</w:t>
      </w:r>
      <w:r w:rsidRPr="00A26F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Navrhuje sa zmena účinnosti bodu 10 v čl. II na 1. januára 2025.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II, nový bod 14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doterajší bod 13 sa vkladá nový bod 14, ktorý znie: </w:t>
      </w:r>
    </w:p>
    <w:p w:rsidR="00A26FF0" w:rsidRPr="00A26FF0" w:rsidRDefault="00A26FF0" w:rsidP="00A26FF0">
      <w:pPr>
        <w:spacing w:after="0" w:line="240" w:lineRule="auto"/>
        <w:ind w:left="36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„14. V § 168 sa odsek 3 dopĺňa písmenom h), ktoré znie: </w:t>
      </w:r>
    </w:p>
    <w:p w:rsidR="00A26FF0" w:rsidRPr="00A26FF0" w:rsidRDefault="00A26FF0" w:rsidP="00A26FF0">
      <w:pPr>
        <w:spacing w:after="0" w:line="240" w:lineRule="auto"/>
        <w:ind w:left="709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„h) náklady spojené s poukázaním podielu zaplatenej dane pre rodičov.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91d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)“.</w:t>
      </w:r>
    </w:p>
    <w:p w:rsidR="00A26FF0" w:rsidRPr="00A26FF0" w:rsidRDefault="00A26FF0" w:rsidP="00A26FF0">
      <w:pPr>
        <w:spacing w:after="0" w:line="240" w:lineRule="auto"/>
        <w:ind w:left="709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709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Poznámka po čiarou k odkazu 91d znie: </w:t>
      </w:r>
    </w:p>
    <w:p w:rsidR="00A26FF0" w:rsidRPr="00A26FF0" w:rsidRDefault="00A26FF0" w:rsidP="00A26FF0">
      <w:pPr>
        <w:spacing w:after="0" w:line="240" w:lineRule="auto"/>
        <w:ind w:left="709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91d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50aa zákona č. 595/2003 Z. z. v znení zákona č. .../2024 Z. z.“.“.</w:t>
      </w:r>
    </w:p>
    <w:p w:rsidR="00A26FF0" w:rsidRPr="00A26FF0" w:rsidRDefault="00A26FF0" w:rsidP="00A26FF0">
      <w:pPr>
        <w:spacing w:after="0" w:line="240" w:lineRule="auto"/>
        <w:ind w:left="709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Nasledujúce body sa primerane prečíslujú.</w:t>
      </w: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bod nadobúda účinnosť 1. januára 2025, čo sa premietne do článku o účinnosti pri spracúvaní čistopisu schváleného zákona.</w:t>
      </w: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Navrhuje sa, aby výdavky spojené s poukázaním podielu zaplatenej dane pre rodičov sa uhrádzali zo správneho fondu Sociálnej poisťovne.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II, doterajší bod 15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doterajšom bode 15, § 170 ods. 30 úvodnej vete sa nad slovom „rodičov“ odkaz „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93af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 nahrádza odkazom „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91d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 a vypúšťajú sa slová „Poznámka pod čiarou k odkazu 93af znie:</w:t>
      </w:r>
    </w:p>
    <w:p w:rsidR="00A26FF0" w:rsidRPr="00A26FF0" w:rsidRDefault="00A26FF0" w:rsidP="00A26FF0">
      <w:pPr>
        <w:spacing w:after="0" w:line="240" w:lineRule="auto"/>
        <w:ind w:left="36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„ 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93af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§ 50aa zákona č. 595/2003 Z. z. v znení zákona č. .../2024 Z. z.“.“. </w:t>
      </w:r>
    </w:p>
    <w:p w:rsidR="00A26FF0" w:rsidRPr="00A26FF0" w:rsidRDefault="00A26FF0" w:rsidP="00A26FF0">
      <w:pPr>
        <w:spacing w:after="0" w:line="240" w:lineRule="auto"/>
        <w:ind w:left="36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Legislatívno-technická úprava vyvolaná úpravami v čl. II novom bode 14 [§ 168 ods. 3 písm. h)]. 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082380" w:rsidRPr="00A26FF0" w:rsidRDefault="0008238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lastRenderedPageBreak/>
        <w:t>K čl. II, doterajší bod 16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doterajšom bode 16, § 179 ods. 1 písm. f) sa nad slovom „rodičov“ odkaz „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93af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 nahrádza odkazom „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91d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 a slová „bol správcom dane pripísaný na osobitný účet Sociálnej poisťovne,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95ab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 sa nahrádzajú slovami „uplynula lehota správcu dane na oznámenie údajov na účely poukázania podielu zaplatenej dane Sociálnej poisťovni,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95ab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)“.</w:t>
      </w:r>
      <w:r w:rsidRPr="00A26FF0" w:rsidDel="00E144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A26FF0" w:rsidRPr="00A26FF0" w:rsidRDefault="00A26FF0" w:rsidP="00A26FF0">
      <w:pPr>
        <w:spacing w:after="0" w:line="240" w:lineRule="auto"/>
        <w:ind w:left="36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Ide o precizovanie textu tak, aby lehota na vyplatenie rodičom asignovaného podielu závisela nie odo dňa, kedy sa príslušné finančné prostriedky pripíšu na účet Sociálnej poisťovne, ale od objektívnej</w:t>
      </w:r>
      <w:r w:rsidRPr="00A26F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lehoty.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II, doterajší bod 19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 II sa vypúšťa doterajší bod 19 (§ 229a).</w:t>
      </w: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Nasledujúce body sa primerane prečíslujú.</w:t>
      </w:r>
    </w:p>
    <w:p w:rsidR="00A26FF0" w:rsidRPr="00A26FF0" w:rsidRDefault="00A26FF0" w:rsidP="00A26FF0">
      <w:pPr>
        <w:spacing w:after="0" w:line="240" w:lineRule="auto"/>
        <w:ind w:left="35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Navrhuje sa vypustiť bod 19 v čl. II z dôvodu nadbytočnosti.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II, doterajší bod 20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Doterajší bod 20 znie:</w:t>
      </w:r>
    </w:p>
    <w:p w:rsidR="00A26FF0" w:rsidRPr="00A26FF0" w:rsidRDefault="00A26FF0" w:rsidP="00A26FF0">
      <w:pPr>
        <w:spacing w:after="0" w:line="240" w:lineRule="auto"/>
        <w:ind w:left="36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„20. Za § 285 sa vkladá § 285a, ktorý znie:</w:t>
      </w:r>
    </w:p>
    <w:p w:rsidR="00A26FF0" w:rsidRPr="00A26FF0" w:rsidRDefault="00A26FF0" w:rsidP="00A26FF0">
      <w:pPr>
        <w:spacing w:after="0" w:line="240" w:lineRule="auto"/>
        <w:ind w:left="851" w:hanging="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„§ 285a</w:t>
      </w:r>
    </w:p>
    <w:p w:rsidR="00A26FF0" w:rsidRPr="00A26FF0" w:rsidRDefault="00A26FF0" w:rsidP="00A26FF0">
      <w:pPr>
        <w:spacing w:after="0" w:line="240" w:lineRule="auto"/>
        <w:ind w:left="851" w:hanging="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851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Správca dane prevedie podiel zaplatenej dane pre rodičov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95ab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na osobitný účet Sociálnej poisťovne na poukázanie podielu zaplatenej dane pre rodičov.“.“.</w:t>
      </w:r>
    </w:p>
    <w:p w:rsidR="00A26FF0" w:rsidRPr="00A26FF0" w:rsidRDefault="00A26FF0" w:rsidP="00A26FF0">
      <w:pPr>
        <w:spacing w:after="0" w:line="240" w:lineRule="auto"/>
        <w:ind w:left="3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Navrhuje sa, aby správca dane poukazoval podiel zaplatenej dane pre rodičov na samostatný účet Sociálnej poisťovne.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III, doterajší bod 7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Doterajší bod 7 znie:</w:t>
      </w:r>
    </w:p>
    <w:p w:rsidR="00A26FF0" w:rsidRPr="00A26FF0" w:rsidRDefault="00A26FF0" w:rsidP="00A26FF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„7. V § 15 písm. b) sa za bod 1b. vkladá bod 1c, ktorý znie:</w:t>
      </w:r>
    </w:p>
    <w:p w:rsidR="00A26FF0" w:rsidRPr="00A26FF0" w:rsidRDefault="00A26FF0" w:rsidP="00A26FF0">
      <w:pPr>
        <w:spacing w:after="0" w:line="240" w:lineRule="auto"/>
        <w:ind w:left="851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„1c. 24 % pre daňovníka, ktorý dosiahol za zdaňovacie obdobie zdaniteľné príjmy (výnosy)  prevyšujúce sumu 5 000 000 eur,“.“.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 dôvodu konsolidácie verejných financií v záujme uplatnenia princípu solidarity vyššie príjmových skupín s nižšie príjmovými skupinami sa zavádza nová sadzba dane vo výške 24 % pre daňovníkov, ktorých zdaniteľné príjmy (výnosy) prevyšujú sumu 5 mil. eur.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lastRenderedPageBreak/>
        <w:t>K čl. III, nový bod 10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 doterajší bod 9 sa vkladá nový bod 10, ktorý znie:</w:t>
      </w:r>
    </w:p>
    <w:p w:rsidR="00A26FF0" w:rsidRPr="00A26FF0" w:rsidRDefault="00A26FF0" w:rsidP="00A26FF0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„10. </w:t>
      </w:r>
      <w:r w:rsidRPr="00A26F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30e ods. 8 sa slová „štyri po sebe nasledujúce zdaňovacie obdobia“ nahrádzajú slovami „šesť po sebe nasledujúcich zdaňovacích období“ a číslo „2025“ sa nahrádza číslom „2027“.“.</w:t>
      </w:r>
    </w:p>
    <w:p w:rsidR="00A26FF0" w:rsidRPr="00A26FF0" w:rsidRDefault="00A26FF0" w:rsidP="00A26FF0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5" w:line="269" w:lineRule="auto"/>
        <w:ind w:left="4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Doterajšie body 10 a nasledujúce sa primerane prečíslujú.</w:t>
      </w:r>
    </w:p>
    <w:p w:rsidR="00A26FF0" w:rsidRPr="00A26FF0" w:rsidRDefault="00A26FF0" w:rsidP="00A26FF0">
      <w:pPr>
        <w:spacing w:after="5" w:line="269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5" w:line="269" w:lineRule="auto"/>
        <w:ind w:left="4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Nový bod 10 nadobúda účinnosť 1. januára 2025, čo sa premietne do ustanovenia o účinnosti zákona pri spracúvaní čistopisu schváleného znenia. </w:t>
      </w:r>
    </w:p>
    <w:p w:rsidR="00A26FF0" w:rsidRPr="00A26FF0" w:rsidRDefault="00A26FF0" w:rsidP="00A26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 cieľom podpory uplatnenia odpočtu výdavkov (nákladov) na investície sa predlžuje investičné obdobie zo súčasných 4 rokov (2022 až 2025) na 6 rokov (2022 – 2027). Predĺženie investičného obdobia sa bude vzťahovať tak na už existujúce investičné plány ako aj nové investičné plány. </w:t>
      </w:r>
    </w:p>
    <w:p w:rsidR="00A26FF0" w:rsidRPr="00A26FF0" w:rsidRDefault="00A26FF0" w:rsidP="00A26FF0">
      <w:pPr>
        <w:spacing w:after="5" w:line="269" w:lineRule="auto"/>
        <w:ind w:left="4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III, nový bod 15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 doterajší bod 14 sa vkladá nový bod 15, ktorý znie:</w:t>
      </w:r>
    </w:p>
    <w:p w:rsidR="00A26FF0" w:rsidRPr="00A26FF0" w:rsidRDefault="00A26FF0" w:rsidP="00A26FF0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„15. 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§ 46b sa odsek 7 dopĺňa písmenom g), ktoré znie:</w:t>
      </w:r>
    </w:p>
    <w:p w:rsidR="00A26FF0" w:rsidRPr="00A26FF0" w:rsidRDefault="00A26FF0" w:rsidP="00A26FF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„g) registrovaný sociálny podnik.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120m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)“.“. </w:t>
      </w:r>
    </w:p>
    <w:p w:rsidR="00A26FF0" w:rsidRPr="00A26FF0" w:rsidRDefault="00A26FF0" w:rsidP="00A26FF0">
      <w:pPr>
        <w:spacing w:after="5" w:line="269" w:lineRule="auto"/>
        <w:ind w:left="4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Doterajšie body 15 a nasledujúce sa primerane prečíslujú.</w:t>
      </w:r>
    </w:p>
    <w:p w:rsidR="00A26FF0" w:rsidRPr="00A26FF0" w:rsidRDefault="00A26FF0" w:rsidP="00A26FF0">
      <w:pPr>
        <w:spacing w:after="5" w:line="269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5" w:line="269" w:lineRule="auto"/>
        <w:ind w:left="4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Nový bod 15 nadobúda účinnosť 1. januára 2025, čo sa premietne do ustanovenia o účinnosti zákona pri spracúvaní čistopisu schváleného znenia. </w:t>
      </w:r>
    </w:p>
    <w:p w:rsidR="00A26FF0" w:rsidRPr="00A26FF0" w:rsidRDefault="00A26FF0" w:rsidP="00A26FF0">
      <w:pPr>
        <w:spacing w:after="5" w:line="269" w:lineRule="auto"/>
        <w:ind w:left="4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III, doterajší bod 16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16 sa § 52zzzb dopĺňa odsekom 8, ktorý znie: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„(8) 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Ustanovenie § 46b ods. 7 v znení účinnom od 1. januára 2025 sa prvýkrát použije pri podaní daňového priznania po 31. decembri 2024.“.</w:t>
      </w:r>
    </w:p>
    <w:p w:rsidR="00A26FF0" w:rsidRPr="00A26FF0" w:rsidRDefault="00A26FF0" w:rsidP="00A26FF0">
      <w:pPr>
        <w:tabs>
          <w:tab w:val="left" w:pos="426"/>
        </w:tabs>
        <w:spacing w:after="0" w:line="240" w:lineRule="auto"/>
        <w:ind w:left="28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Odôvodnenie k bodom 9 a 10:</w:t>
      </w:r>
    </w:p>
    <w:p w:rsidR="00A26FF0" w:rsidRPr="00A26FF0" w:rsidRDefault="00A26FF0" w:rsidP="00A26FF0">
      <w:pPr>
        <w:spacing w:after="0" w:line="240" w:lineRule="auto"/>
        <w:ind w:left="4962" w:hanging="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Návrhom sa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zavádza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výnimka z platenia minimálnej dane pre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registrovaný</w:t>
      </w: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sociálny podnik. </w:t>
      </w:r>
      <w:r w:rsidRPr="00A26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Vylúčenie sociálnych podnikov z platenia minimálnej dane sa prvýkrát uplatní pri podaní daňového priznania po 31. decembri 2024.</w:t>
      </w:r>
    </w:p>
    <w:p w:rsidR="00A26FF0" w:rsidRPr="00A26FF0" w:rsidRDefault="00A26FF0" w:rsidP="00A26F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 čl. VII, bod 4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4 prílohe č. 7 v bode 3 sa v číselnom znaku Spoločného colného sadzobníka ex 4901 slová „Tlačené knihy, brožúry, letáky a podobné tlačoviny, tiež v jednotlivých listoch – len edukačné publikácie</w:t>
      </w:r>
      <w:r w:rsidRPr="00A26FF0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sk-SK"/>
        </w:rPr>
        <w:t>5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) schválené príslušným ústredným orgánom štátnej správy podľa osobitného predpisu</w:t>
      </w:r>
      <w:r w:rsidRPr="00A26FF0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sk-SK"/>
        </w:rPr>
        <w:t>6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)“ nahrádzajú slovami „Tlačené knihy,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brožúry, letáky a podobné tlačiarenské výrobky, tiež v jednotlivých listoch, okrem kníh, brožúr, letákov a podobných tlačiarenských výrobkov, tiež v jednotlivých listoch, v ktorých reklama a inzercia predstavujú jednotlivo alebo spolu viac ako 50 % celkového obsahu výrobku“.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 čl. VII, bod 4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 doterajšom bode 4 prílohe č. 7 v bode 3 sa za číselný znak Spoločného colného sadzobníka „ex 4901“ vkladajú číselné znaky Spoločného colného sadzobníka „ex 4902 10 00 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výrobku“ a „4903 00 00 Detské obrázkové knihy, predlohy na kreslenie alebo maľovanie“. </w:t>
      </w:r>
      <w:bookmarkStart w:id="0" w:name="_GoBack"/>
      <w:bookmarkEnd w:id="0"/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 čl. VII, bod 4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4 prílohe č. 7 v bode 3 sa slová „ex 4904 00 00 Hudobniny, tlačené alebo v rukopise, tiež viazané alebo ilustrované – len edukačné publikácie schválené príslušným ústredným orgánom štátnej správy podľa osobitného predpisu“ nahrádzajú slovami „4904 00 00 Hudobniny, tlačené alebo v rukopise, tiež viazané alebo ilustrované“.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VII, bod 4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4 prílohe č. 7 v bode 3 sa v číselnom znaku Spoločného colného sadzobníka ex 4905 nad slovo „publikácie“ umiestňuje odkaz „</w:t>
      </w:r>
      <w:r w:rsidRPr="00A26FF0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sk-SK"/>
        </w:rPr>
        <w:t>5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)“ a nad slovo „predpisu“ umiestňuje odkaz „</w:t>
      </w:r>
      <w:r w:rsidRPr="00A26FF0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sk-SK"/>
        </w:rPr>
        <w:t>6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)“.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VII, bod 4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4 prílohe č. 7 v bode 3 sa v číselných znakoch Spoločného colného sadzobníka ex 8523 49 10, ex 8523 49 20 a ex 8523 51 90 slová „edukačné publikácie schválené príslušným ústredným orgánom štátnej správy podľa osobitného predpisu“ nahrádzajú slovami „knihy okrem kníh, v ktorých reklama a inzercia predstavujú jednotlivo alebo spolu viac ako 50 % ich celkového obsahu, a zvukové záznamy s prednesom obsahu kníh  okrem zvukových záznamov, v ktorých prednes obsahu kníh predstavuje menej ako 50 % ich celkového obsahu; detské obrázkové knihy, predlohy na kreslenie alebo maľovanie; hudobniny; mapy a vodopisné alebo podobné mapy všetkých druhov, vrátane atlasov a topografických plánov, len ak sú edukačné publikácie schválené príslušným ústredným orgánom štátnej správy podľa osobitného predpisu“.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5" w:line="26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VII, bod 4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4 príloha č. 7a vrátane nadpisu znie: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„Príloha č. 7a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zákonu č. 222/2004 Z. z.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5" w:line="269" w:lineRule="auto"/>
        <w:ind w:left="35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ZOZNAM SLUŽIEB SO ZNÍŽENOU SADZBOU DANE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tbl>
      <w:tblPr>
        <w:tblStyle w:val="Mriekatabuky"/>
        <w:tblW w:w="9101" w:type="dxa"/>
        <w:tblInd w:w="108" w:type="dxa"/>
        <w:tblLook w:val="04A0" w:firstRow="1" w:lastRow="0" w:firstColumn="1" w:lastColumn="0" w:noHBand="0" w:noVBand="1"/>
      </w:tblPr>
      <w:tblGrid>
        <w:gridCol w:w="1054"/>
        <w:gridCol w:w="2413"/>
        <w:gridCol w:w="5634"/>
      </w:tblGrid>
      <w:tr w:rsidR="00A26FF0" w:rsidRPr="00A26FF0" w:rsidTr="00F47BE3">
        <w:tc>
          <w:tcPr>
            <w:tcW w:w="880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lastRenderedPageBreak/>
              <w:t>Bod</w:t>
            </w: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Kódy </w:t>
            </w:r>
          </w:p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štatistickej klasifikácie produktov podľa činností (CPA)</w:t>
            </w:r>
            <w:r w:rsidRPr="00A26F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A26F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5" w:line="269" w:lineRule="auto"/>
              <w:ind w:left="434" w:firstLine="6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b/>
                <w:color w:val="000000"/>
                <w:sz w:val="24"/>
                <w:lang w:eastAsia="sk-SK"/>
              </w:rPr>
              <w:t>Opis služby</w:t>
            </w:r>
          </w:p>
        </w:tc>
      </w:tr>
      <w:tr w:rsidR="00A26FF0" w:rsidRPr="00A26FF0" w:rsidTr="00F47BE3">
        <w:tc>
          <w:tcPr>
            <w:tcW w:w="880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Služby spojené s podávaním jedál a nápojov – len reštauračné a stravovacie služby</w:t>
            </w: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sk-SK"/>
              </w:rPr>
              <w:t>2</w:t>
            </w: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sk-SK"/>
              </w:rPr>
              <w:t xml:space="preserve">) </w:t>
            </w: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pozostávajúce z poskytovania nápojov určených na ľudskú konzumáciu s výnimkou poskytovania alkoholických nápojov s obsahom alkoholu viac ako 0,5 % objemu</w:t>
            </w:r>
          </w:p>
        </w:tc>
      </w:tr>
      <w:tr w:rsidR="00A26FF0" w:rsidRPr="00A26FF0" w:rsidTr="00F47BE3">
        <w:tc>
          <w:tcPr>
            <w:tcW w:w="880" w:type="dxa"/>
            <w:vMerge w:val="restart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Ubytovacie služby</w:t>
            </w:r>
          </w:p>
        </w:tc>
      </w:tr>
      <w:tr w:rsidR="00A26FF0" w:rsidRPr="00A26FF0" w:rsidTr="00F47BE3">
        <w:tc>
          <w:tcPr>
            <w:tcW w:w="880" w:type="dxa"/>
            <w:vMerge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Služby spojené s podávaním jedál a nápojov – len reštauračné a stravovacie služby </w:t>
            </w:r>
            <w:r w:rsidRPr="00A26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sk-SK"/>
              </w:rPr>
              <w:t>pozostávajúce z poskytovania pripraveného alebo nepripraveného jedla určeného na ľudskú konzumáciu</w:t>
            </w:r>
          </w:p>
        </w:tc>
      </w:tr>
      <w:tr w:rsidR="00A26FF0" w:rsidRPr="00A26FF0" w:rsidTr="00F47BE3">
        <w:tc>
          <w:tcPr>
            <w:tcW w:w="880" w:type="dxa"/>
            <w:vMerge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spacing w:after="5" w:line="26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>58.11.30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spacing w:after="5" w:line="269" w:lineRule="auto"/>
              <w:ind w:firstLine="5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>Knihy online okrem kníh online, v ktorých reklama a inzercia predstavujú jednotlivo alebo spolu viac ako 50 % ich celkového obsahu,  a zvukové záznamy s prednesom obsahu kníh online okrem zvukových záznamov, v ktorých prednes obsahu kníh online predstavuje menej ako 50 % ich celkového obsahu</w:t>
            </w:r>
          </w:p>
        </w:tc>
      </w:tr>
      <w:tr w:rsidR="00A26FF0" w:rsidRPr="00A26FF0" w:rsidTr="00F47BE3">
        <w:tc>
          <w:tcPr>
            <w:tcW w:w="880" w:type="dxa"/>
            <w:vMerge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spacing w:after="5" w:line="26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>93.11.1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spacing w:after="5" w:line="269" w:lineRule="auto"/>
              <w:ind w:firstLine="5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>Prevádzka športových zariadení – len služby súvisiace so vstupom</w:t>
            </w:r>
            <w:r w:rsidRPr="00A26FF0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sk-SK"/>
              </w:rPr>
              <w:t>3</w:t>
            </w: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 xml:space="preserve">) na športové podujatia </w:t>
            </w:r>
          </w:p>
        </w:tc>
      </w:tr>
      <w:tr w:rsidR="00A26FF0" w:rsidRPr="00A26FF0" w:rsidTr="00F47BE3">
        <w:tc>
          <w:tcPr>
            <w:tcW w:w="880" w:type="dxa"/>
            <w:vMerge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ind w:left="434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39" w:type="dxa"/>
          </w:tcPr>
          <w:p w:rsidR="00A26FF0" w:rsidRPr="00A26FF0" w:rsidRDefault="00A26FF0" w:rsidP="00A26FF0">
            <w:pPr>
              <w:tabs>
                <w:tab w:val="left" w:pos="450"/>
                <w:tab w:val="center" w:pos="4536"/>
                <w:tab w:val="right" w:pos="9072"/>
              </w:tabs>
              <w:spacing w:after="5" w:line="26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>93.13.10</w:t>
            </w:r>
          </w:p>
        </w:tc>
        <w:tc>
          <w:tcPr>
            <w:tcW w:w="5782" w:type="dxa"/>
          </w:tcPr>
          <w:p w:rsidR="00A26FF0" w:rsidRPr="00A26FF0" w:rsidRDefault="00A26FF0" w:rsidP="00A26FF0">
            <w:pPr>
              <w:tabs>
                <w:tab w:val="center" w:pos="4536"/>
                <w:tab w:val="right" w:pos="9072"/>
              </w:tabs>
              <w:spacing w:after="5" w:line="269" w:lineRule="auto"/>
              <w:ind w:firstLine="5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</w:pPr>
            <w:r w:rsidRPr="00A26FF0">
              <w:rPr>
                <w:rFonts w:ascii="Times New Roman" w:eastAsia="Times New Roman" w:hAnsi="Times New Roman"/>
                <w:color w:val="000000"/>
                <w:sz w:val="24"/>
                <w:lang w:eastAsia="sk-SK"/>
              </w:rPr>
              <w:t>Služby fitnescentier – len vstupné do fitnescentier</w:t>
            </w:r>
          </w:p>
        </w:tc>
      </w:tr>
    </w:tbl>
    <w:p w:rsidR="00A26FF0" w:rsidRPr="00A26FF0" w:rsidRDefault="00A26FF0" w:rsidP="00A26FF0">
      <w:pPr>
        <w:shd w:val="clear" w:color="auto" w:fill="FFFFFF"/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vertAlign w:val="superscript"/>
          <w:lang w:eastAsia="sk-SK"/>
        </w:rPr>
      </w:pPr>
    </w:p>
    <w:p w:rsidR="00A26FF0" w:rsidRPr="00A26FF0" w:rsidRDefault="00A26FF0" w:rsidP="00A26FF0">
      <w:pPr>
        <w:shd w:val="clear" w:color="auto" w:fill="FFFFFF"/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Cs/>
          <w:color w:val="000000"/>
          <w:sz w:val="24"/>
          <w:vertAlign w:val="superscript"/>
          <w:lang w:eastAsia="sk-SK"/>
        </w:rPr>
        <w:t>1</w:t>
      </w:r>
      <w:r w:rsidRPr="00A26FF0"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  <w:t xml:space="preserve">)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Nariadenie Európskeho parlamentu a Rady (ES) č. 451/2008 z 23. apríla 2008, ktorým sa zavádza nová štatistická klasifikácia produktov podľa činností (CPA) a ktorým sa zrušuje nariadenie Rady (EHS) č. 3696/93 (Ú. v. EÚ L 145, 4. 6. 2008) v platnom znení.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  <w:lang w:eastAsia="sk-SK"/>
        </w:rPr>
        <w:t>2</w:t>
      </w:r>
      <w:r w:rsidRPr="00A26F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sk-SK"/>
        </w:rPr>
        <w:t xml:space="preserve">)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Čl. 6</w:t>
      </w:r>
      <w:r w:rsidRPr="00A26FF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sk-SK"/>
        </w:rPr>
        <w:t xml:space="preserve"> vykonávacieho nariadenia Rady (EÚ) č. 282/2011 z 15. marca 2011, ktorým sa ustanovujú vykonávacie opatrenia smernice 2006/112/ES o spoločnom systéme dane z pridanej hodnoty (prepracované znenie) (Ú. v. EÚ L 77, 23. 3. 2011) v platnom znení.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sk-SK"/>
        </w:rPr>
        <w:t>3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) Čl. 32 vykonávacieho nariadenia (EÚ) č. 282/2011.“.</w:t>
      </w:r>
    </w:p>
    <w:p w:rsidR="00A26FF0" w:rsidRPr="00A26FF0" w:rsidRDefault="00A26FF0" w:rsidP="00A26FF0">
      <w:pPr>
        <w:spacing w:after="5" w:line="269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keepNext/>
        <w:spacing w:after="5" w:line="269" w:lineRule="auto"/>
        <w:ind w:left="3686" w:firstLine="561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sk-SK"/>
        </w:rPr>
        <w:t>Odôvodnenie k bodom 11 až 16:</w:t>
      </w:r>
    </w:p>
    <w:p w:rsidR="00A26FF0" w:rsidRPr="00A26FF0" w:rsidRDefault="00A26FF0" w:rsidP="00A26FF0">
      <w:pPr>
        <w:spacing w:after="5" w:line="269" w:lineRule="auto"/>
        <w:ind w:left="42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Navrhuje sa rozšíriť uplatňovanie zníženej sadzby DPH na vybrané tovary a služby, a to vo výške 5 % zo základu dane, s cieľom zlepšiť cenovú dostupnosť týchto tovarov a služieb pre širokú verejnosť. Na uvedené tovary a služby sa aj podľa aktuálne platnej a účinnej právnej úpravy uplatňuje znížená sadzba DPH (10 % zo základu dane). Taktiež sa navrhuje uplatňovanie zníženej sadzby DPH 5 % zo základu dane na službu spočívajúcu v dodaní elektronických kníh, ako aj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 služby súvisiace so vstupom na športové podujatia.</w:t>
      </w:r>
    </w:p>
    <w:p w:rsidR="00A26FF0" w:rsidRPr="00A26FF0" w:rsidRDefault="00A26FF0" w:rsidP="00A26FF0">
      <w:pPr>
        <w:spacing w:after="5" w:line="269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VIII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 doterajšom bode 3 úvodná veta znie: „Za § 7k sa vkladá § 7l, ktorý znie:“.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Zároveň sa prechodné ustanovenie označí ako § 7l.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</w: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ab/>
        <w:t>Odôvodnenie</w:t>
      </w:r>
    </w:p>
    <w:p w:rsidR="00A26FF0" w:rsidRPr="00A26FF0" w:rsidRDefault="00A26FF0" w:rsidP="00A26FF0">
      <w:pPr>
        <w:spacing w:after="5" w:line="269" w:lineRule="auto"/>
        <w:ind w:left="42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Legislatívno-technická úprava spočívajúca  v správnom označení prechodného ustanovenia.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6, 10 a 24 sa číslo „0,9392“ nahrádza číslom „0,9696“.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7 a 11 sa číslo „0,9862“ nahrádza číslom „1,0181“.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8, 12 a 22 sa číslo „1,0332“ nahrádza číslom „1,0666“.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9 a 13 sa číslo „1,0801“ nahrádza číslom „1,1151“.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14, 17, 20, 26, 31, 33 a 35 sa číslo „0,8547“ nahrádza číslom „0,8824“.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15, 18, 21, 27, 32 a 34 sa číslo „0,9017“ nahrádza číslom „0,9309“.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 23 a 25 sa číslo „0,8265“ nahrádza číslom „0,8533“.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doterajších bodoch 37, 38, 39 a 42 sa číslo „0,7984“ nahrádza číslom „0,8242“.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keepNext/>
        <w:numPr>
          <w:ilvl w:val="0"/>
          <w:numId w:val="8"/>
        </w:numPr>
        <w:spacing w:after="0" w:line="240" w:lineRule="auto"/>
        <w:ind w:left="346"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doterajšom bode 40 sa číslo „0,8359“ nahrádza číslom „0,8630“.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 doterajšom bode 41 sa číslo „0,8829“ nahrádza číslom „0,9115“.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doterajšom bode 43 sa číslo „0,6575“ nahrádza číslom „0,6788“.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IX</w:t>
      </w:r>
    </w:p>
    <w:p w:rsidR="00A26FF0" w:rsidRPr="00A26FF0" w:rsidRDefault="00A26FF0" w:rsidP="00A26FF0">
      <w:pPr>
        <w:spacing w:after="0" w:line="240" w:lineRule="auto"/>
        <w:ind w:left="3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 doterajšom bode 44 sa číslo „0,6951“ nahrádza číslom „0,7131“.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5" w:line="269" w:lineRule="auto"/>
        <w:ind w:left="354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sk-SK"/>
        </w:rPr>
        <w:t>Odôvodnenie k bodom 18 až 29:</w:t>
      </w:r>
    </w:p>
    <w:p w:rsidR="00A26FF0" w:rsidRPr="00A26FF0" w:rsidRDefault="00A26FF0" w:rsidP="00A26FF0">
      <w:pPr>
        <w:spacing w:after="5" w:line="269" w:lineRule="auto"/>
        <w:ind w:left="4248" w:hanging="10"/>
        <w:jc w:val="both"/>
        <w:rPr>
          <w:rFonts w:ascii="Times New Roman" w:eastAsia="Calibri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Calibri" w:hAnsi="Times New Roman" w:cs="Times New Roman"/>
          <w:color w:val="000000"/>
          <w:sz w:val="24"/>
          <w:lang w:eastAsia="sk-SK"/>
        </w:rPr>
        <w:lastRenderedPageBreak/>
        <w:t xml:space="preserve">V nadväznosti na to, že znížením koeficientov niektorých zdravotníckych pracovníkov v rámci konsolidačného balíka verejných výdavkov sa týmto zdravotníckym pracovníkom zníži koeficient pod koeficient, ktorý bol ustanovený v roku 2023, navrhuje sa zníženie koeficientov vybraných zdravotníckych pracovníkov znížiť o polovicu. 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XI, doterajšiemu bodu 8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bode 8 úvodná veta znie: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„V § 6 sa za písmeno a) vkladajú nové písmená b) a c), ktoré znejú:“.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Zároveň sa vypúšťa doterajšie písmeno b) a doterajšie písmená c) a d) sa označujú ako písmená b) a c).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 bode 8 sa veta „Doterajšie písmeno b) sa označuje ako písmeno e).“ nahrádza vetou, ktorá znie: „Doterajšie písmeno b) sa označuje ako písmeno d).“.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XI, doterajší bod 9</w:t>
      </w:r>
    </w:p>
    <w:p w:rsidR="00A26FF0" w:rsidRPr="00A26FF0" w:rsidRDefault="00A26FF0" w:rsidP="00A26FF0">
      <w:pPr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Doterajší bod 9 znie:</w:t>
      </w:r>
    </w:p>
    <w:p w:rsidR="00A26FF0" w:rsidRPr="00A26FF0" w:rsidRDefault="00A26FF0" w:rsidP="00A26FF0">
      <w:pPr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„9. V § 6 písm. d) sa slová „písmene a)“ nahrádzajú slovami „písmenách a) až c).“.“. </w:t>
      </w:r>
    </w:p>
    <w:p w:rsidR="00A26FF0" w:rsidRPr="00A26FF0" w:rsidRDefault="00A26FF0" w:rsidP="00A26FF0">
      <w:pPr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K čl. XI, doterajší bod 13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doterajšom bode 13 v § 16 ods. 6 sa slová „b) až d)“ nahrádzajú slovami „b) a c)“ a v § 16 ods. 7 sa slová „písm. c)“ nahrádzajú slovami „písm. b)“.</w:t>
      </w: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5" w:line="269" w:lineRule="auto"/>
        <w:ind w:left="354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sk-SK"/>
        </w:rPr>
      </w:pPr>
      <w:r w:rsidRPr="00A26FF0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sk-SK"/>
        </w:rPr>
        <w:t>Odôvodnenie k bodom 30 až 32:</w:t>
      </w:r>
    </w:p>
    <w:p w:rsidR="00A26FF0" w:rsidRPr="00A26FF0" w:rsidRDefault="00A26FF0" w:rsidP="00A26FF0">
      <w:pPr>
        <w:spacing w:after="5" w:line="269" w:lineRule="auto"/>
        <w:ind w:left="42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Calibri" w:hAnsi="Times New Roman" w:cs="Times New Roman"/>
          <w:color w:val="000000"/>
          <w:sz w:val="24"/>
          <w:lang w:eastAsia="sk-SK"/>
        </w:rPr>
        <w:t xml:space="preserve">Navrhuje vypustiť osobitná sadzba odvodu </w:t>
      </w:r>
      <w:r w:rsidRPr="00A26FF0"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  <w:t xml:space="preserve">pre celý energetický sektor </w:t>
      </w: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zahŕňajúci tak výrobcov ako aj distribútorov energie.</w:t>
      </w:r>
    </w:p>
    <w:p w:rsidR="00A26FF0" w:rsidRPr="00A26FF0" w:rsidRDefault="00A26FF0" w:rsidP="00A26FF0">
      <w:pPr>
        <w:spacing w:after="5" w:line="269" w:lineRule="auto"/>
        <w:ind w:left="424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A26FF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súvislosti s touto úpravou sa navrhujú súvisiace legislatívno-technické zmeny v bodoch 31 a 32.</w:t>
      </w:r>
    </w:p>
    <w:p w:rsidR="00A26FF0" w:rsidRPr="00A26FF0" w:rsidRDefault="00A26FF0" w:rsidP="00A26FF0">
      <w:pPr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A26FF0" w:rsidRPr="00A26FF0" w:rsidRDefault="00A26FF0" w:rsidP="00A26FF0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D51BA" w:rsidRPr="00EF30E9" w:rsidRDefault="00ED51BA" w:rsidP="00ED51BA">
      <w:pPr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51BA" w:rsidRPr="00EF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82380"/>
    <w:rsid w:val="000C50E2"/>
    <w:rsid w:val="00146CFC"/>
    <w:rsid w:val="002A65D3"/>
    <w:rsid w:val="002B77FC"/>
    <w:rsid w:val="004E72F9"/>
    <w:rsid w:val="005A02C0"/>
    <w:rsid w:val="006A23A8"/>
    <w:rsid w:val="008E4F14"/>
    <w:rsid w:val="00A26FF0"/>
    <w:rsid w:val="00B0327E"/>
    <w:rsid w:val="00D168B2"/>
    <w:rsid w:val="00E8079A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Joščáková, Martina</cp:lastModifiedBy>
  <cp:revision>6</cp:revision>
  <cp:lastPrinted>2024-09-30T13:52:00Z</cp:lastPrinted>
  <dcterms:created xsi:type="dcterms:W3CDTF">2024-09-27T10:09:00Z</dcterms:created>
  <dcterms:modified xsi:type="dcterms:W3CDTF">2024-10-01T06:47:00Z</dcterms:modified>
</cp:coreProperties>
</file>