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E4D4E" w:rsidRDefault="00000000">
      <w:pPr>
        <w:jc w:val="center"/>
        <w:rPr>
          <w:rFonts w:ascii="Book Antiqua" w:eastAsia="Book Antiqua" w:hAnsi="Book Antiqua" w:cs="Book Antiqua"/>
          <w:b/>
          <w:sz w:val="22"/>
          <w:szCs w:val="22"/>
        </w:rPr>
      </w:pPr>
      <w:r>
        <w:rPr>
          <w:rFonts w:ascii="Book Antiqua" w:eastAsia="Book Antiqua" w:hAnsi="Book Antiqua" w:cs="Book Antiqua"/>
          <w:b/>
          <w:sz w:val="22"/>
          <w:szCs w:val="22"/>
        </w:rPr>
        <w:t>Odôvodnenie</w:t>
      </w:r>
    </w:p>
    <w:p w14:paraId="00000002" w14:textId="77777777" w:rsidR="00FE4D4E" w:rsidRDefault="00000000">
      <w:pPr>
        <w:jc w:val="center"/>
        <w:rPr>
          <w:rFonts w:ascii="Book Antiqua" w:eastAsia="Book Antiqua" w:hAnsi="Book Antiqua" w:cs="Book Antiqua"/>
          <w:b/>
          <w:sz w:val="22"/>
          <w:szCs w:val="22"/>
        </w:rPr>
      </w:pPr>
      <w:r>
        <w:rPr>
          <w:rFonts w:ascii="Book Antiqua" w:eastAsia="Book Antiqua" w:hAnsi="Book Antiqua" w:cs="Book Antiqua"/>
          <w:b/>
          <w:sz w:val="22"/>
          <w:szCs w:val="22"/>
        </w:rPr>
        <w:t>návrhu na zvolanie schôdze Národnej rady Slovenskej republiky k bezpečnostnej situácii v Slovenskej republike</w:t>
      </w:r>
    </w:p>
    <w:p w14:paraId="00000003"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Skupina poslancov Národnej rady Slovenskej republiky na čele s poslancom Jurajom </w:t>
      </w:r>
      <w:proofErr w:type="spellStart"/>
      <w:r>
        <w:rPr>
          <w:rFonts w:ascii="Book Antiqua" w:eastAsia="Book Antiqua" w:hAnsi="Book Antiqua" w:cs="Book Antiqua"/>
          <w:sz w:val="22"/>
          <w:szCs w:val="22"/>
        </w:rPr>
        <w:t>Krúpom</w:t>
      </w:r>
      <w:proofErr w:type="spellEnd"/>
      <w:r>
        <w:rPr>
          <w:rFonts w:ascii="Book Antiqua" w:eastAsia="Book Antiqua" w:hAnsi="Book Antiqua" w:cs="Book Antiqua"/>
          <w:sz w:val="22"/>
          <w:szCs w:val="22"/>
        </w:rPr>
        <w:t xml:space="preserve"> podala návrh na zvolanie schôdze Národnej rady Slovenskej republiky za účasti člena Vlády Slovenskej republiky Matúša </w:t>
      </w:r>
      <w:proofErr w:type="spellStart"/>
      <w:r>
        <w:rPr>
          <w:rFonts w:ascii="Book Antiqua" w:eastAsia="Book Antiqua" w:hAnsi="Book Antiqua" w:cs="Book Antiqua"/>
          <w:sz w:val="22"/>
          <w:szCs w:val="22"/>
        </w:rPr>
        <w:t>Šutaja</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Eštoka</w:t>
      </w:r>
      <w:proofErr w:type="spellEnd"/>
      <w:r>
        <w:rPr>
          <w:rFonts w:ascii="Book Antiqua" w:eastAsia="Book Antiqua" w:hAnsi="Book Antiqua" w:cs="Book Antiqua"/>
          <w:sz w:val="22"/>
          <w:szCs w:val="22"/>
        </w:rPr>
        <w:t>, povereného riadením Ministerstva vnútra Slovenskej republiky a požiadala o zvolanie schôdze Národnej rady Slovenskej republiky do siedmich dní z nasledujúcich dôvodov:</w:t>
      </w:r>
    </w:p>
    <w:p w14:paraId="00000004" w14:textId="05D51C4C" w:rsidR="00FE4D4E" w:rsidRDefault="00000000">
      <w:pPr>
        <w:numPr>
          <w:ilvl w:val="0"/>
          <w:numId w:val="1"/>
        </w:numPr>
        <w:jc w:val="both"/>
        <w:rPr>
          <w:rFonts w:ascii="Book Antiqua" w:eastAsia="Book Antiqua" w:hAnsi="Book Antiqua" w:cs="Book Antiqua"/>
          <w:b/>
          <w:sz w:val="22"/>
          <w:szCs w:val="22"/>
        </w:rPr>
      </w:pPr>
      <w:r>
        <w:rPr>
          <w:rFonts w:ascii="Book Antiqua" w:eastAsia="Book Antiqua" w:hAnsi="Book Antiqua" w:cs="Book Antiqua"/>
          <w:b/>
          <w:sz w:val="22"/>
          <w:szCs w:val="22"/>
        </w:rPr>
        <w:t xml:space="preserve">bezprecedentné zhoršovanie bezpečnostnej situácie na Slovensku po viacnásobnej novelizácii Trestného zákona </w:t>
      </w:r>
    </w:p>
    <w:p w14:paraId="00000005"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Pod vedením ministra vnútra Matúša </w:t>
      </w:r>
      <w:proofErr w:type="spellStart"/>
      <w:r>
        <w:rPr>
          <w:rFonts w:ascii="Book Antiqua" w:eastAsia="Book Antiqua" w:hAnsi="Book Antiqua" w:cs="Book Antiqua"/>
          <w:sz w:val="22"/>
          <w:szCs w:val="22"/>
        </w:rPr>
        <w:t>Šutaja</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Eštoka</w:t>
      </w:r>
      <w:proofErr w:type="spellEnd"/>
      <w:r>
        <w:rPr>
          <w:rFonts w:ascii="Book Antiqua" w:eastAsia="Book Antiqua" w:hAnsi="Book Antiqua" w:cs="Book Antiqua"/>
          <w:sz w:val="22"/>
          <w:szCs w:val="22"/>
        </w:rPr>
        <w:t xml:space="preserve"> dochádza k bezprecedentnému zhoršovaniu bezpečnostnej situácie na Slovensku, ktorá súvisí s neschopnosťou ministra vnútra riešiť eróziu Policajného zboru. Po koaličnom fiasku s viacnásobnou novelizáciou Trestného zákona rastie v Slovenskej republike kriminalita, občania sa nemôžu spoľahnúť na štát a políciu ako garantov ochrany života a majetku, dôchodcovia sú pripravovaní o svoj majetok a policajti odchádzajú z Policajného zboru pre nenaplnenie sľubov ministra vnútra a pre katastrofálne podmienky životnej úrovne a nevyhovujúce pracovné podmienky polície SR. Policajný zbor nebol pripravený na situáciu, v ktorej občania hľadajú pomoc pred kriminálnikmi, ktorých štát zbavil trestnej zodpovednosti bez adekvátnej náhrady aspoň vo forme priestupkovej zodpovednosti. Nízke pokuty za priestupky obsiahnuté v platnom a účinnom znení zákona o priestupkoch, ktorý nebol primerane novelizovaný po prijatí novely Trestného zákona, predstavujú výsmech občanom Slovenskej republiky a ich záujmom a právam, keďže zákon o priestupkoch neplní ani zďaleka odstrašujúcu funkciu. Páchatelia činnosti, ktorá bola donedávna trestnou, sa nemusia obávať primeraných pokút za svoju protiprávnu činnosť. </w:t>
      </w:r>
    </w:p>
    <w:p w14:paraId="00000006" w14:textId="77777777" w:rsidR="00FE4D4E" w:rsidRDefault="00000000">
      <w:pPr>
        <w:numPr>
          <w:ilvl w:val="0"/>
          <w:numId w:val="1"/>
        </w:numPr>
        <w:jc w:val="both"/>
        <w:rPr>
          <w:rFonts w:ascii="Book Antiqua" w:eastAsia="Book Antiqua" w:hAnsi="Book Antiqua" w:cs="Book Antiqua"/>
          <w:b/>
          <w:sz w:val="22"/>
          <w:szCs w:val="22"/>
        </w:rPr>
      </w:pPr>
      <w:r>
        <w:rPr>
          <w:rFonts w:ascii="Book Antiqua" w:eastAsia="Book Antiqua" w:hAnsi="Book Antiqua" w:cs="Book Antiqua"/>
          <w:b/>
          <w:sz w:val="22"/>
          <w:szCs w:val="22"/>
        </w:rPr>
        <w:t>rozklad kľúčových útvarov Policajného zboru pod jeho dohľadom</w:t>
      </w:r>
    </w:p>
    <w:p w14:paraId="00000007"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Pod dohľadom ministra vnútra bola rozložená Národná kriminálna agentúra (NAKA); útvary, ktoré sa zaoberali organizovaným zločinom, už neexistujú a občania sú vystavení trestnej činnosti s posvätením tejto vlády. Dokonca minister spravodlivosti tejto vlády svojvoľne prepúšťa odsúdených páchateľov z výkonu trestu, ako symbol a ukážku pre slušných občanov, že si za tejto vlády nemôžu byť istí ochranou svojich majetkov a životov. Vláda, vrátane ministra vnútra osobne, sa tiež pričinila aj o rozklad útvarov na boj s dezinformáciami a hoaxami, vystavujúc Slovenskú republiku a jej obyvateľov </w:t>
      </w:r>
      <w:proofErr w:type="spellStart"/>
      <w:r>
        <w:rPr>
          <w:rFonts w:ascii="Book Antiqua" w:eastAsia="Book Antiqua" w:hAnsi="Book Antiqua" w:cs="Book Antiqua"/>
          <w:sz w:val="22"/>
          <w:szCs w:val="22"/>
        </w:rPr>
        <w:t>vplyvovým</w:t>
      </w:r>
      <w:proofErr w:type="spellEnd"/>
      <w:r>
        <w:rPr>
          <w:rFonts w:ascii="Book Antiqua" w:eastAsia="Book Antiqua" w:hAnsi="Book Antiqua" w:cs="Book Antiqua"/>
          <w:sz w:val="22"/>
          <w:szCs w:val="22"/>
        </w:rPr>
        <w:t xml:space="preserve"> operáciám nepriateľského štátu, ktorého predstavitelia sú prizývaní na oficiálne štátne podujatia. Vláda a jej jednotliví ministri sa v priamom prenose dopúšťajú zrady vlastných obyvateľov a ohrozenia samostatnej slovenskej štátnosti.  </w:t>
      </w:r>
    </w:p>
    <w:p w14:paraId="00000008"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Uvedené konanie má priamy dopad na morálku v ozbrojených zložkách. Zrušenie špeciálnej prokuratúry, zastrašovanie vyšetrovateľov, porušovanie zákona o ochrane oznamovateľov protispoločenskej činnosti, to všetko vedie k nárastu frustrácie v Policajnom zbore a ozbrojených silách. </w:t>
      </w:r>
      <w:proofErr w:type="spellStart"/>
      <w:r>
        <w:rPr>
          <w:rFonts w:ascii="Book Antiqua" w:eastAsia="Book Antiqua" w:hAnsi="Book Antiqua" w:cs="Book Antiqua"/>
          <w:sz w:val="22"/>
          <w:szCs w:val="22"/>
        </w:rPr>
        <w:t>Novonastupujúci</w:t>
      </w:r>
      <w:proofErr w:type="spellEnd"/>
      <w:r>
        <w:rPr>
          <w:rFonts w:ascii="Book Antiqua" w:eastAsia="Book Antiqua" w:hAnsi="Book Antiqua" w:cs="Book Antiqua"/>
          <w:sz w:val="22"/>
          <w:szCs w:val="22"/>
        </w:rPr>
        <w:t xml:space="preserve"> minister vnútra svätosväte sľuboval, že zvýši policajtom platy. Tieto sľuby dodnes nebol schopný ani po takmer roku vo funkcii naplniť. </w:t>
      </w:r>
    </w:p>
    <w:p w14:paraId="00000009" w14:textId="77777777" w:rsidR="00FE4D4E" w:rsidRDefault="00000000">
      <w:pPr>
        <w:numPr>
          <w:ilvl w:val="0"/>
          <w:numId w:val="1"/>
        </w:numPr>
        <w:jc w:val="both"/>
        <w:rPr>
          <w:rFonts w:ascii="Book Antiqua" w:eastAsia="Book Antiqua" w:hAnsi="Book Antiqua" w:cs="Book Antiqua"/>
          <w:b/>
          <w:sz w:val="22"/>
          <w:szCs w:val="22"/>
        </w:rPr>
      </w:pPr>
      <w:r>
        <w:rPr>
          <w:rFonts w:ascii="Book Antiqua" w:eastAsia="Book Antiqua" w:hAnsi="Book Antiqua" w:cs="Book Antiqua"/>
          <w:b/>
          <w:sz w:val="22"/>
          <w:szCs w:val="22"/>
        </w:rPr>
        <w:lastRenderedPageBreak/>
        <w:t>neschopnosť vyšetriť opakované bombové vyhrážky na školách</w:t>
      </w:r>
    </w:p>
    <w:p w14:paraId="0000000A"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V deň nástupu školákov do škôl minister vnútra podobne klamlivo informoval, že je absolútne zabezpečená bezpečnosť všetkých školských zariadení, dokonca aj proti kybernetickým útokom a </w:t>
      </w:r>
      <w:proofErr w:type="spellStart"/>
      <w:r>
        <w:rPr>
          <w:rFonts w:ascii="Book Antiqua" w:eastAsia="Book Antiqua" w:hAnsi="Book Antiqua" w:cs="Book Antiqua"/>
          <w:sz w:val="22"/>
          <w:szCs w:val="22"/>
        </w:rPr>
        <w:t>kyberšikane</w:t>
      </w:r>
      <w:proofErr w:type="spellEnd"/>
      <w:r>
        <w:rPr>
          <w:rFonts w:ascii="Book Antiqua" w:eastAsia="Book Antiqua" w:hAnsi="Book Antiqua" w:cs="Book Antiqua"/>
          <w:sz w:val="22"/>
          <w:szCs w:val="22"/>
        </w:rPr>
        <w:t xml:space="preserve">. Na druhý deň sme však všetci boli svedkami opakujúcich sa bezpečnostných incidentov na školách. Opakované bombové vyhrážky na školách polícia za celý čas nevyšetrila, čo môže páchateľov ešte povzbudzovať k pokračovaniu v trestnej činnosti. </w:t>
      </w:r>
    </w:p>
    <w:p w14:paraId="0000000B" w14:textId="77777777" w:rsidR="00FE4D4E" w:rsidRDefault="00000000">
      <w:pPr>
        <w:numPr>
          <w:ilvl w:val="0"/>
          <w:numId w:val="1"/>
        </w:numPr>
        <w:jc w:val="both"/>
        <w:rPr>
          <w:rFonts w:ascii="Book Antiqua" w:eastAsia="Book Antiqua" w:hAnsi="Book Antiqua" w:cs="Book Antiqua"/>
          <w:b/>
          <w:sz w:val="22"/>
          <w:szCs w:val="22"/>
        </w:rPr>
      </w:pPr>
      <w:r>
        <w:rPr>
          <w:rFonts w:ascii="Book Antiqua" w:eastAsia="Book Antiqua" w:hAnsi="Book Antiqua" w:cs="Book Antiqua"/>
          <w:b/>
          <w:sz w:val="22"/>
          <w:szCs w:val="22"/>
        </w:rPr>
        <w:t>neschopnosť zlepšiť pracovné podmienky príslušníkov Policajného zboru a hrozba ich akútneho nedostatku</w:t>
      </w:r>
    </w:p>
    <w:p w14:paraId="0000000C"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Neschopnosť ministra vnútra prispieť k zlepšeniu pracovných podmienok príslušníkov Policajného zboru vedie k hrozbe, že čoskoro nastane akútny nedostatok policajtov v činnej službe. Aj sám policajný prezident tvrdí, že situácia v Policajnom zbore je vážna, a že v niektorých menej závažných prípadoch budú policajti meškať pri príchode na miesto činu. Hrozí, že bude taký nedostatok policajtov, že bude musieť byť na zabezpečenie ochrany občanov nasadená armáda. Štát teda uvažuje použiť vojenské zložky proti vlastným občanom a voličom, pretože minister vnútra nie je schopný zabezpečiť ochranu životov a majetkov obyvateľov Slovenskej republiky. Ak sa terajšia vláda v časoch, keď bola v opozícii, sťažovala na Matoviča a </w:t>
      </w:r>
      <w:proofErr w:type="spellStart"/>
      <w:r>
        <w:rPr>
          <w:rFonts w:ascii="Book Antiqua" w:eastAsia="Book Antiqua" w:hAnsi="Book Antiqua" w:cs="Book Antiqua"/>
          <w:sz w:val="22"/>
          <w:szCs w:val="22"/>
        </w:rPr>
        <w:t>Naďa</w:t>
      </w:r>
      <w:proofErr w:type="spellEnd"/>
      <w:r>
        <w:rPr>
          <w:rFonts w:ascii="Book Antiqua" w:eastAsia="Book Antiqua" w:hAnsi="Book Antiqua" w:cs="Book Antiqua"/>
          <w:sz w:val="22"/>
          <w:szCs w:val="22"/>
        </w:rPr>
        <w:t xml:space="preserve">, že používajú armádu proti občanom, to isté teraz uvažuje urobiť ona sama, pretože nie je schopná riešiť bezpečnostnú situáciu na Slovensku. </w:t>
      </w:r>
    </w:p>
    <w:p w14:paraId="0000000D" w14:textId="77777777" w:rsidR="00FE4D4E" w:rsidRDefault="00000000">
      <w:pPr>
        <w:numPr>
          <w:ilvl w:val="0"/>
          <w:numId w:val="1"/>
        </w:numPr>
        <w:jc w:val="both"/>
        <w:rPr>
          <w:rFonts w:ascii="Book Antiqua" w:eastAsia="Book Antiqua" w:hAnsi="Book Antiqua" w:cs="Book Antiqua"/>
          <w:b/>
          <w:sz w:val="22"/>
          <w:szCs w:val="22"/>
        </w:rPr>
      </w:pPr>
      <w:r>
        <w:rPr>
          <w:rFonts w:ascii="Book Antiqua" w:eastAsia="Book Antiqua" w:hAnsi="Book Antiqua" w:cs="Book Antiqua"/>
          <w:b/>
          <w:sz w:val="22"/>
          <w:szCs w:val="22"/>
        </w:rPr>
        <w:t>neschopnosť plniť úlohy ministra vnútra, ktorá bola najviac viditeľná pri atentáte na premiéra, ktorého priebeh a zlyhanie ochranky neboli dodnes vyhodnotené</w:t>
      </w:r>
    </w:p>
    <w:p w14:paraId="0000000E"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Osobitne minister vnútra pritom výrečne preukazuje svoju neschopnosť zastávať úlohy vyplývajúce z jeho funkcie. Napriek tomu, že je už rok vo funkcii, okrem rozkladu bezpečnostných zložiek nedokázal vyriešiť vzniknuté kritické situácie v ozbrojených zložkách, čím dokazuje svoju neschopnosť riadiť rezort vnútra. Neschopnosť ministra bola najviac viditeľná v situácii, keď bol ohrozený život premiéra Slovenskej republiky, ktorému minister vnútra a jemu podliehajúce zložky nedokázali zabezpečiť ochranu života a zdravia. Ako sa má potom cítiť bežný občan, keď nie je dostatočne chránený premiér? Dodnes pritom nebol ani len zďaleka vyhodnotený priebeh atentátu a zlyhania premiérovej ochranky, a nebola vyvodená žiadna zodpovednosť za tento otrasný zásah voči vrcholovému predstaviteľovi štátu. Namiesto vyvodenia zodpovednosti za zlyhanie ministra vnútra sa hádže zodpovednosť na opozíciu, ktorá však nie je žiadnym spôsobom oprávnená rozhodovať o používaní bezpečnostných zložiek na účely ochrany predstaviteľov štátu.  </w:t>
      </w:r>
    </w:p>
    <w:p w14:paraId="0000000F" w14:textId="77777777" w:rsidR="00FE4D4E" w:rsidRDefault="00000000">
      <w:pPr>
        <w:jc w:val="both"/>
        <w:rPr>
          <w:rFonts w:ascii="Book Antiqua" w:eastAsia="Book Antiqua" w:hAnsi="Book Antiqua" w:cs="Book Antiqua"/>
          <w:sz w:val="22"/>
          <w:szCs w:val="22"/>
        </w:rPr>
      </w:pPr>
      <w:r>
        <w:rPr>
          <w:rFonts w:ascii="Book Antiqua" w:eastAsia="Book Antiqua" w:hAnsi="Book Antiqua" w:cs="Book Antiqua"/>
          <w:sz w:val="22"/>
          <w:szCs w:val="22"/>
        </w:rPr>
        <w:t xml:space="preserve">Legitímne tak u občanov vyvstáva otázka, kde je bezpečnosť a pokoj, ktorý nám sľubovala koalícia. Išlo len o plané sľuby, ktorými koalícia opäť oklamala svojich voličov a verejnosť? Z týchto dôvodov sme sa rozhodli iniciovať schôdzu k bezpečnostnej situácii v Slovenskej republike za účasti ministra vnútra, čím chceme poukázať na likvidačnú situáciu v Policajnom zbore a aktuálnu bezpečnostnú situáciu v Slovenskej republike, keďže koalícia doteraz blokovala akúkoľvek možnosť diskutovať o týchto závažných problémoch, ktoré trápia našich občanov, na výbore pre obranu a bezpečnosť. Na základe toho sme sa rozhodli, že budeme vyžadovať odpovede priamo od ministra vnútra Matúša </w:t>
      </w:r>
      <w:proofErr w:type="spellStart"/>
      <w:r>
        <w:rPr>
          <w:rFonts w:ascii="Book Antiqua" w:eastAsia="Book Antiqua" w:hAnsi="Book Antiqua" w:cs="Book Antiqua"/>
          <w:sz w:val="22"/>
          <w:szCs w:val="22"/>
        </w:rPr>
        <w:t>Šutaja</w:t>
      </w:r>
      <w:proofErr w:type="spellEnd"/>
      <w:r>
        <w:rPr>
          <w:rFonts w:ascii="Book Antiqua" w:eastAsia="Book Antiqua" w:hAnsi="Book Antiqua" w:cs="Book Antiqua"/>
          <w:sz w:val="22"/>
          <w:szCs w:val="22"/>
        </w:rPr>
        <w:t xml:space="preserve"> </w:t>
      </w:r>
      <w:proofErr w:type="spellStart"/>
      <w:r>
        <w:rPr>
          <w:rFonts w:ascii="Book Antiqua" w:eastAsia="Book Antiqua" w:hAnsi="Book Antiqua" w:cs="Book Antiqua"/>
          <w:sz w:val="22"/>
          <w:szCs w:val="22"/>
        </w:rPr>
        <w:t>Eštoka</w:t>
      </w:r>
      <w:proofErr w:type="spellEnd"/>
      <w:r>
        <w:rPr>
          <w:rFonts w:ascii="Book Antiqua" w:eastAsia="Book Antiqua" w:hAnsi="Book Antiqua" w:cs="Book Antiqua"/>
          <w:sz w:val="22"/>
          <w:szCs w:val="22"/>
        </w:rPr>
        <w:t xml:space="preserve">, ktorý sa už mesiace vyhýba akejkoľvek zodpovednosti za vzniknutú situáciu. </w:t>
      </w:r>
    </w:p>
    <w:sectPr w:rsidR="00FE4D4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42E6A"/>
    <w:multiLevelType w:val="multilevel"/>
    <w:tmpl w:val="9C308D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26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D4E"/>
    <w:rsid w:val="00207840"/>
    <w:rsid w:val="00B94D92"/>
    <w:rsid w:val="00BA33F1"/>
    <w:rsid w:val="00FE4D4E"/>
  </w:rsids>
  <m:mathPr>
    <m:mathFont m:val="Cambria Math"/>
    <m:brkBin m:val="before"/>
    <m:brkBinSub m:val="--"/>
    <m:smallFrac m:val="0"/>
    <m:dispDef/>
    <m:lMargin m:val="0"/>
    <m:rMargin m:val="0"/>
    <m:defJc m:val="centerGroup"/>
    <m:wrapIndent m:val="1440"/>
    <m:intLim m:val="subSup"/>
    <m:naryLim m:val="undOvr"/>
  </m:mathPr>
  <w:themeFontLang w:val="sk-CZ"/>
  <w:clrSchemeMapping w:bg1="light1" w:t1="dark1" w:bg2="light2" w:t2="dark2" w:accent1="accent1" w:accent2="accent2" w:accent3="accent3" w:accent4="accent4" w:accent5="accent5" w:accent6="accent6" w:hyperlink="hyperlink" w:followedHyperlink="followedHyperlink"/>
  <w:decimalSymbol w:val=","/>
  <w:listSeparator w:val=";"/>
  <w14:docId w14:val="049FA5EE"/>
  <w15:docId w15:val="{F44CAC52-382C-944F-8BAC-55D68D20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sk-SK" w:eastAsia="sk-SK"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00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00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00C2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00C2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00C2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00C2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00C2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00C2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00C2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link w:val="NzovChar"/>
    <w:uiPriority w:val="10"/>
    <w:qFormat/>
    <w:rsid w:val="00E00C21"/>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Nadpis1Char">
    <w:name w:val="Nadpis 1 Char"/>
    <w:basedOn w:val="Predvolenpsmoodseku"/>
    <w:link w:val="Nadpis1"/>
    <w:uiPriority w:val="9"/>
    <w:rsid w:val="00E00C2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00C2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00C2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00C2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00C2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00C2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00C2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00C2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00C21"/>
    <w:rPr>
      <w:rFonts w:eastAsiaTheme="majorEastAsia" w:cstheme="majorBidi"/>
      <w:color w:val="272727" w:themeColor="text1" w:themeTint="D8"/>
    </w:rPr>
  </w:style>
  <w:style w:type="character" w:customStyle="1" w:styleId="NzovChar">
    <w:name w:val="Názov Char"/>
    <w:basedOn w:val="Predvolenpsmoodseku"/>
    <w:link w:val="Nzov"/>
    <w:uiPriority w:val="10"/>
    <w:rsid w:val="00E00C2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pPr>
      <w:pBdr>
        <w:top w:val="nil"/>
        <w:left w:val="nil"/>
        <w:bottom w:val="nil"/>
        <w:right w:val="nil"/>
        <w:between w:val="nil"/>
      </w:pBdr>
    </w:pPr>
    <w:rPr>
      <w:color w:val="595959"/>
      <w:sz w:val="28"/>
      <w:szCs w:val="28"/>
    </w:rPr>
  </w:style>
  <w:style w:type="character" w:customStyle="1" w:styleId="PodtitulChar">
    <w:name w:val="Podtitul Char"/>
    <w:basedOn w:val="Predvolenpsmoodseku"/>
    <w:link w:val="Podtitul"/>
    <w:uiPriority w:val="11"/>
    <w:rsid w:val="00E00C2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00C2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00C21"/>
    <w:rPr>
      <w:i/>
      <w:iCs/>
      <w:color w:val="404040" w:themeColor="text1" w:themeTint="BF"/>
    </w:rPr>
  </w:style>
  <w:style w:type="paragraph" w:styleId="Odsekzoznamu">
    <w:name w:val="List Paragraph"/>
    <w:basedOn w:val="Normlny"/>
    <w:uiPriority w:val="34"/>
    <w:qFormat/>
    <w:rsid w:val="00E00C21"/>
    <w:pPr>
      <w:ind w:left="720"/>
      <w:contextualSpacing/>
    </w:pPr>
  </w:style>
  <w:style w:type="character" w:styleId="Intenzvnezvraznenie">
    <w:name w:val="Intense Emphasis"/>
    <w:basedOn w:val="Predvolenpsmoodseku"/>
    <w:uiPriority w:val="21"/>
    <w:qFormat/>
    <w:rsid w:val="00E00C21"/>
    <w:rPr>
      <w:i/>
      <w:iCs/>
      <w:color w:val="0F4761" w:themeColor="accent1" w:themeShade="BF"/>
    </w:rPr>
  </w:style>
  <w:style w:type="paragraph" w:styleId="Zvraznencitcia">
    <w:name w:val="Intense Quote"/>
    <w:basedOn w:val="Normlny"/>
    <w:next w:val="Normlny"/>
    <w:link w:val="ZvraznencitciaChar"/>
    <w:uiPriority w:val="30"/>
    <w:qFormat/>
    <w:rsid w:val="00E00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00C21"/>
    <w:rPr>
      <w:i/>
      <w:iCs/>
      <w:color w:val="0F4761" w:themeColor="accent1" w:themeShade="BF"/>
    </w:rPr>
  </w:style>
  <w:style w:type="character" w:styleId="Zvraznenodkaz">
    <w:name w:val="Intense Reference"/>
    <w:basedOn w:val="Predvolenpsmoodseku"/>
    <w:uiPriority w:val="32"/>
    <w:qFormat/>
    <w:rsid w:val="00E00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WN6thMYhneQagJzpWC2LvpjeOg==">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987</Words>
  <Characters>5628</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Slavomira Hencekova</dc:creator>
  <cp:keywords/>
  <dc:description/>
  <cp:lastModifiedBy>Slavomira Hencekova</cp:lastModifiedBy>
  <cp:revision>3</cp:revision>
  <dcterms:created xsi:type="dcterms:W3CDTF">2024-09-06T09:46:00Z</dcterms:created>
  <dcterms:modified xsi:type="dcterms:W3CDTF">2024-09-06T09:52:00Z</dcterms:modified>
  <cp:category/>
</cp:coreProperties>
</file>