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BA" w:rsidRPr="00ED51BA" w:rsidRDefault="00ED51BA" w:rsidP="00ED51BA">
      <w:pPr>
        <w:keepNext/>
        <w:spacing w:after="0" w:line="240" w:lineRule="auto"/>
        <w:outlineLvl w:val="3"/>
        <w:rPr>
          <w:rFonts w:ascii="AT*Zurich Calligraphic" w:eastAsia="Times New Roman" w:hAnsi="AT*Zurich Calligraphic" w:cs="Times New Roman"/>
          <w:b/>
          <w:sz w:val="24"/>
          <w:szCs w:val="20"/>
          <w:lang w:eastAsia="sk-SK"/>
        </w:rPr>
      </w:pPr>
      <w:r w:rsidRPr="00ED51BA">
        <w:rPr>
          <w:rFonts w:ascii="AT*Zurich Calligraphic" w:eastAsia="Times New Roman" w:hAnsi="AT*Zurich Calligraphic" w:cs="Times New Roman"/>
          <w:b/>
          <w:sz w:val="24"/>
          <w:szCs w:val="20"/>
          <w:lang w:eastAsia="sk-SK"/>
        </w:rPr>
        <w:t>Výbor Národnej rady Slovenskej republiky</w:t>
      </w:r>
    </w:p>
    <w:p w:rsidR="00ED51BA" w:rsidRPr="00ED51BA" w:rsidRDefault="00ED51BA" w:rsidP="00ED51BA">
      <w:pPr>
        <w:spacing w:after="0" w:line="240" w:lineRule="auto"/>
        <w:rPr>
          <w:rFonts w:ascii="Times New Roman" w:eastAsia="Times New Roman" w:hAnsi="Times New Roman" w:cs="Times New Roman"/>
          <w:bCs/>
          <w:sz w:val="24"/>
          <w:szCs w:val="24"/>
          <w:lang w:eastAsia="sk-SK"/>
        </w:rPr>
      </w:pPr>
      <w:r w:rsidRPr="00ED51BA">
        <w:rPr>
          <w:rFonts w:ascii="AT*Zurich Calligraphic" w:eastAsia="Times New Roman" w:hAnsi="AT*Zurich Calligraphic" w:cs="Times New Roman"/>
          <w:b/>
          <w:bCs/>
          <w:sz w:val="24"/>
          <w:szCs w:val="24"/>
          <w:lang w:eastAsia="sk-SK"/>
        </w:rPr>
        <w:t xml:space="preserve">              pre financie a rozpočet </w:t>
      </w:r>
      <w:r w:rsidRPr="00ED51BA">
        <w:rPr>
          <w:rFonts w:ascii="Times New Roman" w:eastAsia="Times New Roman" w:hAnsi="Times New Roman" w:cs="Times New Roman"/>
          <w:bCs/>
          <w:sz w:val="24"/>
          <w:szCs w:val="24"/>
          <w:lang w:eastAsia="sk-SK"/>
        </w:rPr>
        <w:t xml:space="preserve">                                        </w:t>
      </w:r>
    </w:p>
    <w:p w:rsidR="00ED51BA" w:rsidRPr="00ED51BA" w:rsidRDefault="00ED51BA" w:rsidP="00ED51BA">
      <w:pPr>
        <w:spacing w:after="0" w:line="240" w:lineRule="auto"/>
        <w:ind w:left="4248"/>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28</w:t>
      </w:r>
      <w:r w:rsidRPr="00ED51BA">
        <w:rPr>
          <w:rFonts w:ascii="Times New Roman" w:eastAsia="Times New Roman" w:hAnsi="Times New Roman" w:cs="Times New Roman"/>
          <w:bCs/>
          <w:sz w:val="24"/>
          <w:szCs w:val="24"/>
          <w:lang w:eastAsia="sk-SK"/>
        </w:rPr>
        <w:t>. schôdza</w:t>
      </w:r>
    </w:p>
    <w:p w:rsidR="00ED51BA" w:rsidRPr="00ED51BA" w:rsidRDefault="00ED51BA" w:rsidP="00ED51BA">
      <w:pPr>
        <w:spacing w:after="0" w:line="240" w:lineRule="auto"/>
        <w:ind w:left="3540" w:firstLine="708"/>
        <w:jc w:val="right"/>
        <w:rPr>
          <w:rFonts w:ascii="Times New Roman" w:eastAsia="Times New Roman" w:hAnsi="Times New Roman" w:cs="Times New Roman"/>
          <w:bCs/>
          <w:sz w:val="24"/>
          <w:szCs w:val="24"/>
          <w:lang w:eastAsia="sk-SK"/>
        </w:rPr>
      </w:pPr>
      <w:r w:rsidRPr="00ED51BA">
        <w:rPr>
          <w:rFonts w:ascii="Times New Roman" w:eastAsia="Times New Roman" w:hAnsi="Times New Roman" w:cs="Times New Roman"/>
          <w:bCs/>
          <w:sz w:val="24"/>
          <w:szCs w:val="24"/>
          <w:lang w:eastAsia="sk-SK"/>
        </w:rPr>
        <w:t xml:space="preserve">                </w:t>
      </w:r>
      <w:r w:rsidRPr="00ED51BA">
        <w:rPr>
          <w:rFonts w:ascii="Times New Roman" w:eastAsia="Times New Roman" w:hAnsi="Times New Roman" w:cs="Times New Roman"/>
          <w:bCs/>
          <w:sz w:val="24"/>
          <w:szCs w:val="24"/>
          <w:lang w:eastAsia="sk-SK"/>
        </w:rPr>
        <w:tab/>
      </w:r>
      <w:r w:rsidR="003A24C0">
        <w:rPr>
          <w:rFonts w:ascii="Times New Roman" w:hAnsi="Times New Roman" w:cs="Times New Roman"/>
          <w:sz w:val="24"/>
          <w:szCs w:val="24"/>
        </w:rPr>
        <w:t>KNR- VFR - 1412 /2024 -9</w:t>
      </w:r>
    </w:p>
    <w:p w:rsidR="00ED51BA" w:rsidRPr="00ED51BA" w:rsidRDefault="00ED51BA" w:rsidP="00ED51BA">
      <w:pPr>
        <w:spacing w:after="0" w:line="240" w:lineRule="auto"/>
        <w:ind w:left="3540" w:firstLine="708"/>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w:t>
      </w:r>
    </w:p>
    <w:p w:rsidR="00ED51BA" w:rsidRPr="00ED51BA" w:rsidRDefault="00ED51BA" w:rsidP="00ED51BA">
      <w:pPr>
        <w:spacing w:after="0" w:line="240" w:lineRule="auto"/>
        <w:ind w:left="3540" w:firstLine="708"/>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 xml:space="preserve">         </w:t>
      </w:r>
      <w:r w:rsidR="003D5682">
        <w:rPr>
          <w:rFonts w:ascii="Times New Roman" w:eastAsia="Times New Roman" w:hAnsi="Times New Roman" w:cs="Times New Roman"/>
          <w:b/>
          <w:bCs/>
          <w:sz w:val="24"/>
          <w:szCs w:val="24"/>
          <w:lang w:eastAsia="sk-SK"/>
        </w:rPr>
        <w:t>109</w:t>
      </w:r>
    </w:p>
    <w:p w:rsidR="00ED51BA" w:rsidRPr="00ED51BA" w:rsidRDefault="00ED51BA" w:rsidP="00ED51BA">
      <w:pPr>
        <w:spacing w:after="0" w:line="240" w:lineRule="auto"/>
        <w:ind w:left="3540" w:firstLine="429"/>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U z n e s e n i e</w:t>
      </w:r>
    </w:p>
    <w:p w:rsidR="00ED51BA" w:rsidRPr="00ED51BA"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Výboru Národnej rady Slovenskej republiky</w:t>
      </w:r>
    </w:p>
    <w:p w:rsidR="00ED51BA" w:rsidRPr="00ED51BA"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pre financie a rozpočet</w:t>
      </w:r>
    </w:p>
    <w:p w:rsidR="00ED51BA" w:rsidRPr="00ED51BA" w:rsidRDefault="00ED51BA" w:rsidP="00ED51BA">
      <w:pPr>
        <w:spacing w:after="0" w:line="240" w:lineRule="auto"/>
        <w:ind w:right="-567"/>
        <w:jc w:val="center"/>
        <w:rPr>
          <w:rFonts w:ascii="Times New Roman" w:eastAsia="Times New Roman" w:hAnsi="Times New Roman" w:cs="Times New Roman"/>
          <w:b/>
          <w:bCs/>
          <w:sz w:val="24"/>
          <w:szCs w:val="24"/>
          <w:lang w:eastAsia="sk-SK"/>
        </w:rPr>
      </w:pPr>
    </w:p>
    <w:p w:rsidR="00ED51BA" w:rsidRPr="00ED51BA"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zo </w:t>
      </w:r>
      <w:r>
        <w:rPr>
          <w:rFonts w:ascii="Times New Roman" w:eastAsia="Times New Roman" w:hAnsi="Times New Roman" w:cs="Times New Roman"/>
          <w:b/>
          <w:bCs/>
          <w:sz w:val="24"/>
          <w:szCs w:val="24"/>
          <w:lang w:eastAsia="sk-SK"/>
        </w:rPr>
        <w:t>6</w:t>
      </w:r>
      <w:r w:rsidRPr="00ED51BA">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septembra</w:t>
      </w:r>
      <w:r w:rsidRPr="00ED51BA">
        <w:rPr>
          <w:rFonts w:ascii="Times New Roman" w:eastAsia="Times New Roman" w:hAnsi="Times New Roman" w:cs="Times New Roman"/>
          <w:b/>
          <w:bCs/>
          <w:sz w:val="24"/>
          <w:szCs w:val="24"/>
          <w:lang w:eastAsia="sk-SK"/>
        </w:rPr>
        <w:t xml:space="preserve"> 2024</w:t>
      </w:r>
    </w:p>
    <w:p w:rsidR="00ED51BA" w:rsidRPr="00ED51BA" w:rsidRDefault="00ED51BA" w:rsidP="00ED51BA">
      <w:pPr>
        <w:keepNext/>
        <w:shd w:val="clear" w:color="auto" w:fill="FFFFFF"/>
        <w:spacing w:after="0" w:line="240" w:lineRule="auto"/>
        <w:jc w:val="both"/>
        <w:outlineLvl w:val="1"/>
        <w:rPr>
          <w:rFonts w:ascii="Times New Roman" w:eastAsia="Times New Roman" w:hAnsi="Times New Roman" w:cs="Times New Roman"/>
          <w:bCs/>
          <w:sz w:val="24"/>
          <w:szCs w:val="24"/>
          <w:lang w:eastAsia="sk-SK"/>
        </w:rPr>
      </w:pPr>
    </w:p>
    <w:p w:rsidR="00ED51BA" w:rsidRPr="00ED51BA" w:rsidRDefault="00ED51BA" w:rsidP="00ED51BA">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ED51BA">
        <w:rPr>
          <w:rFonts w:ascii="Times New Roman" w:eastAsia="Times New Roman" w:hAnsi="Times New Roman" w:cs="Times New Roman"/>
          <w:bCs/>
          <w:sz w:val="24"/>
          <w:szCs w:val="24"/>
          <w:lang w:eastAsia="sk-SK"/>
        </w:rPr>
        <w:t xml:space="preserve">Výbor Národnej rady Slovenskej republiky pre financie a rozpočet prerokoval </w:t>
      </w:r>
      <w:r w:rsidR="003D5682" w:rsidRPr="003D5682">
        <w:rPr>
          <w:rFonts w:ascii="Times New Roman" w:eastAsia="Times New Roman" w:hAnsi="Times New Roman" w:cs="Times New Roman"/>
          <w:sz w:val="24"/>
          <w:szCs w:val="24"/>
          <w:lang w:eastAsia="sk-SK"/>
        </w:rPr>
        <w:t xml:space="preserve">vládny návrh zákona o niektorých povinnostiach a oprávneniach v oblasti </w:t>
      </w:r>
      <w:proofErr w:type="spellStart"/>
      <w:r w:rsidR="003D5682" w:rsidRPr="003D5682">
        <w:rPr>
          <w:rFonts w:ascii="Times New Roman" w:eastAsia="Times New Roman" w:hAnsi="Times New Roman" w:cs="Times New Roman"/>
          <w:sz w:val="24"/>
          <w:szCs w:val="24"/>
          <w:lang w:eastAsia="sk-SK"/>
        </w:rPr>
        <w:t>kryptoaktív</w:t>
      </w:r>
      <w:proofErr w:type="spellEnd"/>
      <w:r w:rsidR="003D5682" w:rsidRPr="003D5682">
        <w:rPr>
          <w:rFonts w:ascii="Times New Roman" w:eastAsia="Times New Roman" w:hAnsi="Times New Roman" w:cs="Times New Roman"/>
          <w:sz w:val="24"/>
          <w:szCs w:val="24"/>
          <w:lang w:eastAsia="sk-SK"/>
        </w:rPr>
        <w:t xml:space="preserve"> a o zmene a doplnení niektorých zákonov </w:t>
      </w:r>
      <w:r w:rsidR="003D5682" w:rsidRPr="003D5682">
        <w:rPr>
          <w:rFonts w:ascii="Times New Roman" w:eastAsia="Times New Roman" w:hAnsi="Times New Roman" w:cs="Times New Roman"/>
          <w:b/>
          <w:sz w:val="24"/>
          <w:szCs w:val="24"/>
          <w:lang w:eastAsia="sk-SK"/>
        </w:rPr>
        <w:t>(tlač 293)</w:t>
      </w:r>
      <w:r w:rsidR="003D5682">
        <w:rPr>
          <w:rFonts w:ascii="Times New Roman" w:eastAsia="Times New Roman" w:hAnsi="Times New Roman" w:cs="Times New Roman"/>
          <w:b/>
          <w:color w:val="333333"/>
          <w:sz w:val="24"/>
          <w:szCs w:val="24"/>
          <w:shd w:val="clear" w:color="auto" w:fill="FFFFFF"/>
          <w:lang w:eastAsia="sk-SK"/>
        </w:rPr>
        <w:t xml:space="preserve"> </w:t>
      </w:r>
      <w:r w:rsidRPr="00ED51BA">
        <w:rPr>
          <w:rFonts w:ascii="Times New Roman" w:eastAsia="Times New Roman" w:hAnsi="Times New Roman" w:cs="Times New Roman"/>
          <w:bCs/>
          <w:sz w:val="24"/>
          <w:szCs w:val="24"/>
          <w:lang w:eastAsia="sk-SK"/>
        </w:rPr>
        <w:t xml:space="preserve">a  </w:t>
      </w:r>
    </w:p>
    <w:p w:rsidR="00ED51BA" w:rsidRPr="00ED51BA" w:rsidRDefault="00ED51BA" w:rsidP="00ED51BA">
      <w:pPr>
        <w:spacing w:after="0" w:line="240" w:lineRule="auto"/>
        <w:rPr>
          <w:rFonts w:ascii="Times New Roman" w:eastAsia="Times New Roman" w:hAnsi="Times New Roman" w:cs="Times New Roman"/>
          <w:bCs/>
          <w:sz w:val="24"/>
          <w:szCs w:val="24"/>
          <w:lang w:eastAsia="sk-SK"/>
        </w:rPr>
      </w:pPr>
    </w:p>
    <w:p w:rsidR="00ED51BA" w:rsidRPr="00ED51BA" w:rsidRDefault="00ED51BA" w:rsidP="00ED51BA">
      <w:pPr>
        <w:numPr>
          <w:ilvl w:val="0"/>
          <w:numId w:val="1"/>
        </w:numPr>
        <w:tabs>
          <w:tab w:val="num" w:pos="426"/>
        </w:tabs>
        <w:spacing w:after="0" w:line="240" w:lineRule="auto"/>
        <w:ind w:hanging="1440"/>
        <w:jc w:val="both"/>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súhlasí</w:t>
      </w:r>
    </w:p>
    <w:p w:rsidR="00ED51BA" w:rsidRPr="00ED51BA" w:rsidRDefault="00ED51BA" w:rsidP="00ED51BA">
      <w:pPr>
        <w:spacing w:after="0" w:line="240" w:lineRule="auto"/>
        <w:jc w:val="both"/>
        <w:rPr>
          <w:rFonts w:ascii="Times New Roman" w:eastAsia="Times New Roman" w:hAnsi="Times New Roman" w:cs="Times New Roman"/>
          <w:bCs/>
          <w:sz w:val="24"/>
          <w:szCs w:val="24"/>
          <w:lang w:eastAsia="sk-SK"/>
        </w:rPr>
      </w:pPr>
    </w:p>
    <w:p w:rsidR="003D5682" w:rsidRPr="003D5682" w:rsidRDefault="00ED51BA" w:rsidP="003D5682">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ED51BA">
        <w:rPr>
          <w:rFonts w:ascii="Times New Roman" w:eastAsia="Times New Roman" w:hAnsi="Times New Roman" w:cs="Times New Roman"/>
          <w:bCs/>
          <w:sz w:val="24"/>
          <w:szCs w:val="24"/>
          <w:lang w:eastAsia="sk-SK"/>
        </w:rPr>
        <w:t>s </w:t>
      </w:r>
      <w:r w:rsidR="003D5682" w:rsidRPr="003D5682">
        <w:rPr>
          <w:rFonts w:ascii="Times New Roman" w:eastAsia="Times New Roman" w:hAnsi="Times New Roman" w:cs="Times New Roman"/>
          <w:sz w:val="24"/>
          <w:szCs w:val="24"/>
          <w:lang w:eastAsia="sk-SK"/>
        </w:rPr>
        <w:t xml:space="preserve">vládnym návrhom zákona o niektorých povinnostiach a oprávneniach v oblasti </w:t>
      </w:r>
      <w:proofErr w:type="spellStart"/>
      <w:r w:rsidR="003D5682" w:rsidRPr="003D5682">
        <w:rPr>
          <w:rFonts w:ascii="Times New Roman" w:eastAsia="Times New Roman" w:hAnsi="Times New Roman" w:cs="Times New Roman"/>
          <w:sz w:val="24"/>
          <w:szCs w:val="24"/>
          <w:lang w:eastAsia="sk-SK"/>
        </w:rPr>
        <w:t>kryptoaktív</w:t>
      </w:r>
      <w:proofErr w:type="spellEnd"/>
      <w:r w:rsidR="003D5682" w:rsidRPr="003D5682">
        <w:rPr>
          <w:rFonts w:ascii="Times New Roman" w:eastAsia="Times New Roman" w:hAnsi="Times New Roman" w:cs="Times New Roman"/>
          <w:sz w:val="24"/>
          <w:szCs w:val="24"/>
          <w:lang w:eastAsia="sk-SK"/>
        </w:rPr>
        <w:t xml:space="preserve"> a o zmene a doplnení niektorých zákonov</w:t>
      </w:r>
      <w:r w:rsidR="003D5682" w:rsidRPr="003D5682">
        <w:rPr>
          <w:rFonts w:ascii="Times New Roman" w:eastAsia="Times New Roman" w:hAnsi="Times New Roman" w:cs="Times New Roman"/>
          <w:b/>
          <w:sz w:val="24"/>
          <w:szCs w:val="24"/>
          <w:lang w:eastAsia="sk-SK"/>
        </w:rPr>
        <w:t xml:space="preserve"> (tlač 293)</w:t>
      </w:r>
    </w:p>
    <w:p w:rsidR="00ED51BA" w:rsidRPr="00ED51BA" w:rsidRDefault="00ED51BA" w:rsidP="00ED51BA">
      <w:pPr>
        <w:spacing w:after="0" w:line="240" w:lineRule="auto"/>
        <w:ind w:firstLine="567"/>
        <w:jc w:val="both"/>
        <w:rPr>
          <w:rFonts w:ascii="Times New Roman" w:eastAsia="Times New Roman" w:hAnsi="Times New Roman" w:cs="Times New Roman"/>
          <w:bCs/>
          <w:sz w:val="24"/>
          <w:szCs w:val="24"/>
          <w:lang w:eastAsia="sk-SK"/>
        </w:rPr>
      </w:pPr>
    </w:p>
    <w:p w:rsidR="00ED51BA" w:rsidRPr="00ED51BA" w:rsidRDefault="00ED51BA" w:rsidP="00ED51BA">
      <w:pPr>
        <w:keepNext/>
        <w:numPr>
          <w:ilvl w:val="0"/>
          <w:numId w:val="1"/>
        </w:numPr>
        <w:tabs>
          <w:tab w:val="num" w:pos="426"/>
        </w:tabs>
        <w:spacing w:after="0" w:line="240" w:lineRule="auto"/>
        <w:ind w:hanging="1440"/>
        <w:jc w:val="both"/>
        <w:outlineLvl w:val="6"/>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sz w:val="24"/>
          <w:szCs w:val="24"/>
          <w:lang w:eastAsia="sk-SK"/>
        </w:rPr>
        <w:t>odporúča</w:t>
      </w:r>
      <w:r w:rsidRPr="00ED51BA">
        <w:rPr>
          <w:rFonts w:ascii="Times New Roman" w:eastAsia="Times New Roman" w:hAnsi="Times New Roman" w:cs="Times New Roman"/>
          <w:b/>
          <w:bCs/>
          <w:sz w:val="24"/>
          <w:szCs w:val="24"/>
          <w:lang w:eastAsia="sk-SK"/>
        </w:rPr>
        <w:t xml:space="preserve"> </w:t>
      </w:r>
    </w:p>
    <w:p w:rsidR="00ED51BA" w:rsidRPr="00ED51BA" w:rsidRDefault="00ED51BA" w:rsidP="00ED51BA">
      <w:pPr>
        <w:keepNext/>
        <w:tabs>
          <w:tab w:val="num" w:pos="426"/>
        </w:tabs>
        <w:spacing w:after="0" w:line="240" w:lineRule="auto"/>
        <w:jc w:val="both"/>
        <w:outlineLvl w:val="6"/>
        <w:rPr>
          <w:rFonts w:ascii="Times New Roman" w:eastAsia="Times New Roman" w:hAnsi="Times New Roman" w:cs="Times New Roman"/>
          <w:b/>
          <w:sz w:val="24"/>
          <w:szCs w:val="24"/>
          <w:lang w:eastAsia="sk-SK"/>
        </w:rPr>
      </w:pPr>
      <w:r w:rsidRPr="00ED51BA">
        <w:rPr>
          <w:rFonts w:ascii="Times New Roman" w:eastAsia="Times New Roman" w:hAnsi="Times New Roman" w:cs="Times New Roman"/>
          <w:b/>
          <w:sz w:val="24"/>
          <w:szCs w:val="24"/>
          <w:lang w:eastAsia="sk-SK"/>
        </w:rPr>
        <w:tab/>
        <w:t>Národnej rade Slovenskej republiky</w:t>
      </w:r>
    </w:p>
    <w:p w:rsidR="00ED51BA" w:rsidRPr="00ED51BA" w:rsidRDefault="00ED51BA" w:rsidP="00ED51BA">
      <w:pPr>
        <w:keepNext/>
        <w:spacing w:after="0" w:line="240" w:lineRule="auto"/>
        <w:ind w:firstLine="567"/>
        <w:jc w:val="both"/>
        <w:outlineLvl w:val="6"/>
        <w:rPr>
          <w:rFonts w:ascii="Times New Roman" w:eastAsia="Times New Roman" w:hAnsi="Times New Roman" w:cs="Times New Roman"/>
          <w:b/>
          <w:sz w:val="24"/>
          <w:szCs w:val="24"/>
          <w:lang w:eastAsia="sk-SK"/>
        </w:rPr>
      </w:pPr>
    </w:p>
    <w:p w:rsidR="00ED51BA" w:rsidRPr="00ED51BA" w:rsidRDefault="003D5682" w:rsidP="003D5682">
      <w:pPr>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3D5682">
        <w:rPr>
          <w:rFonts w:ascii="Times New Roman" w:eastAsia="Times New Roman" w:hAnsi="Times New Roman" w:cs="Times New Roman"/>
          <w:sz w:val="24"/>
          <w:szCs w:val="24"/>
          <w:lang w:eastAsia="sk-SK"/>
        </w:rPr>
        <w:t xml:space="preserve">vládny návrh zákona o niektorých povinnostiach a oprávneniach v oblasti </w:t>
      </w:r>
      <w:proofErr w:type="spellStart"/>
      <w:r w:rsidRPr="003D5682">
        <w:rPr>
          <w:rFonts w:ascii="Times New Roman" w:eastAsia="Times New Roman" w:hAnsi="Times New Roman" w:cs="Times New Roman"/>
          <w:sz w:val="24"/>
          <w:szCs w:val="24"/>
          <w:lang w:eastAsia="sk-SK"/>
        </w:rPr>
        <w:t>kryptoaktív</w:t>
      </w:r>
      <w:proofErr w:type="spellEnd"/>
      <w:r w:rsidRPr="003D5682">
        <w:rPr>
          <w:rFonts w:ascii="Times New Roman" w:eastAsia="Times New Roman" w:hAnsi="Times New Roman" w:cs="Times New Roman"/>
          <w:sz w:val="24"/>
          <w:szCs w:val="24"/>
          <w:lang w:eastAsia="sk-SK"/>
        </w:rPr>
        <w:t xml:space="preserve"> a o zmene a doplnení niektorých zákonov</w:t>
      </w:r>
      <w:r w:rsidRPr="003D5682">
        <w:rPr>
          <w:rFonts w:ascii="Times New Roman" w:eastAsia="Times New Roman" w:hAnsi="Times New Roman" w:cs="Times New Roman"/>
          <w:b/>
          <w:sz w:val="24"/>
          <w:szCs w:val="24"/>
          <w:lang w:eastAsia="sk-SK"/>
        </w:rPr>
        <w:t xml:space="preserve"> (tlač 293)</w:t>
      </w:r>
      <w:r>
        <w:rPr>
          <w:rFonts w:ascii="Times New Roman" w:eastAsia="Times New Roman" w:hAnsi="Times New Roman" w:cs="Times New Roman"/>
          <w:b/>
          <w:sz w:val="24"/>
          <w:szCs w:val="24"/>
          <w:lang w:eastAsia="sk-SK"/>
        </w:rPr>
        <w:t xml:space="preserve"> </w:t>
      </w:r>
      <w:r w:rsidR="00ED51BA" w:rsidRPr="00ED51BA">
        <w:rPr>
          <w:rFonts w:ascii="Times New Roman" w:eastAsiaTheme="majorEastAsia" w:hAnsi="Times New Roman" w:cs="Times New Roman"/>
          <w:b/>
          <w:sz w:val="24"/>
          <w:szCs w:val="24"/>
          <w:lang w:eastAsia="sk-SK"/>
        </w:rPr>
        <w:t>schváliť s pozmeňujúcimi a doplňujúcimi návrhmi tak, ako sú uvedené v prílohe tohto uznesenia;</w:t>
      </w:r>
    </w:p>
    <w:p w:rsidR="00ED51BA" w:rsidRPr="00ED51BA" w:rsidRDefault="00ED51BA" w:rsidP="00ED51BA">
      <w:pPr>
        <w:keepNext/>
        <w:spacing w:after="0" w:line="240" w:lineRule="auto"/>
        <w:ind w:firstLine="567"/>
        <w:jc w:val="both"/>
        <w:outlineLvl w:val="0"/>
        <w:rPr>
          <w:rFonts w:ascii="Times New Roman" w:eastAsia="Times New Roman" w:hAnsi="Times New Roman" w:cs="Times New Roman"/>
          <w:b/>
          <w:bCs/>
          <w:sz w:val="24"/>
          <w:szCs w:val="24"/>
          <w:lang w:eastAsia="sk-SK"/>
        </w:rPr>
      </w:pPr>
    </w:p>
    <w:p w:rsidR="00ED51BA" w:rsidRPr="00ED51BA" w:rsidRDefault="00ED51BA" w:rsidP="00ED51BA">
      <w:pPr>
        <w:keepNext/>
        <w:numPr>
          <w:ilvl w:val="0"/>
          <w:numId w:val="1"/>
        </w:numPr>
        <w:spacing w:after="0" w:line="240" w:lineRule="auto"/>
        <w:ind w:left="360"/>
        <w:jc w:val="both"/>
        <w:outlineLvl w:val="4"/>
        <w:rPr>
          <w:rFonts w:ascii="Times New Roman" w:eastAsiaTheme="majorEastAsia" w:hAnsi="Times New Roman" w:cs="Times New Roman"/>
          <w:b/>
          <w:sz w:val="24"/>
          <w:szCs w:val="24"/>
          <w:lang w:eastAsia="sk-SK"/>
        </w:rPr>
      </w:pPr>
      <w:r w:rsidRPr="00ED51BA">
        <w:rPr>
          <w:rFonts w:ascii="Times New Roman" w:eastAsiaTheme="majorEastAsia" w:hAnsi="Times New Roman" w:cs="Times New Roman"/>
          <w:b/>
          <w:sz w:val="24"/>
          <w:szCs w:val="24"/>
          <w:lang w:eastAsia="sk-SK"/>
        </w:rPr>
        <w:t>ukladá</w:t>
      </w:r>
    </w:p>
    <w:p w:rsidR="00ED51BA" w:rsidRPr="00ED51BA" w:rsidRDefault="00ED51BA" w:rsidP="00ED51BA">
      <w:pPr>
        <w:keepNext/>
        <w:keepLines/>
        <w:spacing w:after="0" w:line="240" w:lineRule="auto"/>
        <w:ind w:firstLine="360"/>
        <w:jc w:val="both"/>
        <w:outlineLvl w:val="4"/>
        <w:rPr>
          <w:rFonts w:ascii="Times New Roman" w:eastAsiaTheme="majorEastAsia" w:hAnsi="Times New Roman" w:cs="Times New Roman"/>
          <w:b/>
          <w:sz w:val="24"/>
          <w:szCs w:val="24"/>
          <w:lang w:eastAsia="sk-SK"/>
        </w:rPr>
      </w:pPr>
      <w:r w:rsidRPr="00ED51BA">
        <w:rPr>
          <w:rFonts w:ascii="Times New Roman" w:eastAsiaTheme="majorEastAsia" w:hAnsi="Times New Roman" w:cs="Times New Roman"/>
          <w:b/>
          <w:sz w:val="24"/>
          <w:szCs w:val="24"/>
          <w:lang w:eastAsia="sk-SK"/>
        </w:rPr>
        <w:t>predsedovi výboru</w:t>
      </w:r>
    </w:p>
    <w:p w:rsidR="00ED51BA" w:rsidRPr="00ED51BA" w:rsidRDefault="00ED51BA"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ED51BA" w:rsidRPr="00ED51BA" w:rsidRDefault="00ED51BA" w:rsidP="00ED51BA">
      <w:pPr>
        <w:spacing w:after="0" w:line="240" w:lineRule="auto"/>
        <w:ind w:firstLine="567"/>
        <w:jc w:val="both"/>
        <w:rPr>
          <w:rFonts w:ascii="Times New Roman" w:eastAsia="Times New Roman" w:hAnsi="Times New Roman" w:cs="Times New Roman"/>
          <w:bCs/>
          <w:sz w:val="24"/>
          <w:szCs w:val="24"/>
          <w:lang w:eastAsia="sk-SK"/>
        </w:rPr>
      </w:pPr>
      <w:r w:rsidRPr="00ED51BA">
        <w:rPr>
          <w:rFonts w:ascii="Times New Roman" w:eastAsia="Times New Roman" w:hAnsi="Times New Roman" w:cs="Calibri"/>
          <w:sz w:val="24"/>
          <w:szCs w:val="24"/>
          <w:lang w:eastAsia="sk-SK"/>
        </w:rPr>
        <w:t xml:space="preserve"> </w:t>
      </w:r>
      <w:r w:rsidRPr="00ED51BA">
        <w:rPr>
          <w:rFonts w:ascii="Times New Roman" w:eastAsia="Times New Roman" w:hAnsi="Times New Roman" w:cs="Times New Roman"/>
          <w:bCs/>
          <w:sz w:val="24"/>
          <w:szCs w:val="24"/>
          <w:lang w:eastAsia="sk-SK"/>
        </w:rPr>
        <w:t>informovať predsedu Národnej rady Slovenskej republiky o výsledku prerokovania uvedeného návrhu zákona vo výbore.</w:t>
      </w:r>
    </w:p>
    <w:p w:rsidR="00ED51BA" w:rsidRPr="00ED51BA" w:rsidRDefault="00ED51BA"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ED51BA" w:rsidRDefault="00ED51BA" w:rsidP="00ED51BA">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b/>
          <w:sz w:val="24"/>
          <w:szCs w:val="24"/>
          <w:lang w:eastAsia="sk-SK"/>
        </w:rPr>
        <w:t>Ján Blcháč</w:t>
      </w:r>
    </w:p>
    <w:p w:rsidR="00ED51BA" w:rsidRPr="00ED51BA" w:rsidRDefault="00ED51BA" w:rsidP="00ED51B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ab/>
      </w:r>
      <w:r w:rsidRPr="00ED51BA">
        <w:rPr>
          <w:rFonts w:ascii="Times New Roman" w:eastAsia="Times New Roman" w:hAnsi="Times New Roman" w:cs="Times New Roman"/>
          <w:sz w:val="24"/>
          <w:szCs w:val="24"/>
          <w:lang w:eastAsia="sk-SK"/>
        </w:rPr>
        <w:tab/>
      </w:r>
      <w:r w:rsidRPr="00ED51BA">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Pr="00ED51BA">
        <w:rPr>
          <w:rFonts w:ascii="Times New Roman" w:eastAsia="Times New Roman" w:hAnsi="Times New Roman" w:cs="Times New Roman"/>
          <w:sz w:val="24"/>
          <w:szCs w:val="24"/>
          <w:lang w:eastAsia="sk-SK"/>
        </w:rPr>
        <w:t>predseda výboru</w:t>
      </w:r>
    </w:p>
    <w:p w:rsidR="00ED51BA" w:rsidRPr="00ED51BA" w:rsidRDefault="00ED51BA" w:rsidP="00ED51BA">
      <w:pPr>
        <w:spacing w:after="0" w:line="240" w:lineRule="auto"/>
        <w:rPr>
          <w:rFonts w:ascii="Times New Roman" w:eastAsia="Times New Roman" w:hAnsi="Times New Roman" w:cs="Times New Roman"/>
          <w:sz w:val="24"/>
          <w:szCs w:val="24"/>
          <w:lang w:eastAsia="sk-SK"/>
        </w:rPr>
      </w:pPr>
    </w:p>
    <w:p w:rsidR="00ED51BA" w:rsidRPr="00ED51BA" w:rsidRDefault="00ED51BA" w:rsidP="00ED51BA">
      <w:pPr>
        <w:spacing w:after="0" w:line="240" w:lineRule="auto"/>
        <w:rPr>
          <w:rFonts w:ascii="Times New Roman" w:eastAsia="Times New Roman" w:hAnsi="Times New Roman" w:cs="Times New Roman"/>
          <w:sz w:val="24"/>
          <w:szCs w:val="24"/>
          <w:lang w:eastAsia="sk-SK"/>
        </w:rPr>
      </w:pPr>
      <w:r w:rsidRPr="00ED51BA">
        <w:rPr>
          <w:rFonts w:ascii="Times New Roman" w:eastAsia="Times New Roman" w:hAnsi="Times New Roman" w:cs="Times New Roman"/>
          <w:b/>
          <w:sz w:val="24"/>
          <w:szCs w:val="24"/>
          <w:lang w:eastAsia="sk-SK"/>
        </w:rPr>
        <w:t xml:space="preserve">    </w:t>
      </w:r>
      <w:r w:rsidRPr="00ED51BA">
        <w:rPr>
          <w:rFonts w:ascii="Times New Roman" w:eastAsia="Times New Roman" w:hAnsi="Times New Roman" w:cs="Times New Roman"/>
          <w:b/>
          <w:bCs/>
          <w:sz w:val="24"/>
          <w:szCs w:val="24"/>
          <w:lang w:eastAsia="sk-SK"/>
        </w:rPr>
        <w:t xml:space="preserve">    Igor Válek     </w:t>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r>
      <w:r w:rsidRPr="00ED51BA">
        <w:rPr>
          <w:rFonts w:ascii="Times New Roman" w:eastAsia="Times New Roman" w:hAnsi="Times New Roman" w:cs="Times New Roman"/>
          <w:b/>
          <w:bCs/>
          <w:sz w:val="24"/>
          <w:szCs w:val="24"/>
          <w:lang w:eastAsia="sk-SK"/>
        </w:rPr>
        <w:tab/>
        <w:t xml:space="preserve">           </w:t>
      </w:r>
      <w:r w:rsidRPr="00ED51BA">
        <w:rPr>
          <w:rFonts w:ascii="Times New Roman" w:eastAsia="Times New Roman" w:hAnsi="Times New Roman" w:cs="Times New Roman"/>
          <w:sz w:val="24"/>
          <w:szCs w:val="24"/>
          <w:lang w:eastAsia="sk-SK"/>
        </w:rPr>
        <w:t xml:space="preserve">   </w:t>
      </w:r>
    </w:p>
    <w:p w:rsidR="00ED51BA" w:rsidRPr="00ED51BA" w:rsidRDefault="00ED51BA" w:rsidP="00ED51BA">
      <w:pPr>
        <w:spacing w:after="0" w:line="240" w:lineRule="auto"/>
        <w:rPr>
          <w:rFonts w:ascii="Times New Roman" w:eastAsia="Times New Roman" w:hAnsi="Times New Roman" w:cs="Times New Roman"/>
          <w:b/>
          <w:sz w:val="24"/>
          <w:szCs w:val="24"/>
          <w:lang w:eastAsia="sk-SK"/>
        </w:rPr>
      </w:pPr>
      <w:r w:rsidRPr="00ED51BA">
        <w:rPr>
          <w:rFonts w:ascii="Times New Roman" w:eastAsia="Times New Roman" w:hAnsi="Times New Roman" w:cs="Times New Roman"/>
          <w:b/>
          <w:sz w:val="24"/>
          <w:szCs w:val="24"/>
          <w:lang w:eastAsia="sk-SK"/>
        </w:rPr>
        <w:t xml:space="preserve">   Marián Viskupič</w:t>
      </w:r>
    </w:p>
    <w:p w:rsidR="00ED51BA" w:rsidRPr="00ED51BA" w:rsidRDefault="00ED51BA" w:rsidP="00ED51BA">
      <w:pPr>
        <w:spacing w:after="0" w:line="240" w:lineRule="auto"/>
        <w:rPr>
          <w:rFonts w:ascii="Times New Roman" w:eastAsia="Times New Roman" w:hAnsi="Times New Roman" w:cs="Times New Roman"/>
          <w:sz w:val="24"/>
          <w:szCs w:val="24"/>
          <w:lang w:eastAsia="sk-SK"/>
        </w:rPr>
      </w:pPr>
      <w:r w:rsidRPr="00ED51BA">
        <w:rPr>
          <w:rFonts w:ascii="Times New Roman" w:eastAsia="Times New Roman" w:hAnsi="Times New Roman" w:cs="Times New Roman"/>
          <w:sz w:val="24"/>
          <w:szCs w:val="24"/>
          <w:lang w:eastAsia="sk-SK"/>
        </w:rPr>
        <w:t xml:space="preserve">  overovatelia výboru</w:t>
      </w:r>
    </w:p>
    <w:p w:rsidR="00ED51BA" w:rsidRP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Default="00ED51BA" w:rsidP="00ED51BA">
      <w:pPr>
        <w:spacing w:after="0" w:line="240" w:lineRule="auto"/>
        <w:jc w:val="both"/>
        <w:rPr>
          <w:rFonts w:ascii="Times New Roman" w:eastAsia="Times New Roman" w:hAnsi="Times New Roman" w:cs="Times New Roman"/>
          <w:sz w:val="24"/>
          <w:szCs w:val="24"/>
          <w:lang w:eastAsia="sk-SK"/>
        </w:rPr>
      </w:pPr>
    </w:p>
    <w:p w:rsidR="005A02C0" w:rsidRDefault="005A02C0" w:rsidP="00ED51BA">
      <w:pPr>
        <w:spacing w:after="0" w:line="240" w:lineRule="auto"/>
        <w:jc w:val="both"/>
        <w:rPr>
          <w:rFonts w:ascii="Times New Roman" w:eastAsia="Times New Roman" w:hAnsi="Times New Roman" w:cs="Times New Roman"/>
          <w:sz w:val="24"/>
          <w:szCs w:val="24"/>
          <w:lang w:eastAsia="sk-SK"/>
        </w:rPr>
      </w:pPr>
    </w:p>
    <w:p w:rsidR="005A02C0" w:rsidRDefault="005A02C0" w:rsidP="00ED51BA">
      <w:pPr>
        <w:spacing w:after="0" w:line="240" w:lineRule="auto"/>
        <w:jc w:val="both"/>
        <w:rPr>
          <w:rFonts w:ascii="Times New Roman" w:eastAsia="Times New Roman" w:hAnsi="Times New Roman" w:cs="Times New Roman"/>
          <w:sz w:val="24"/>
          <w:szCs w:val="24"/>
          <w:lang w:eastAsia="sk-SK"/>
        </w:rPr>
      </w:pPr>
    </w:p>
    <w:p w:rsidR="005A02C0" w:rsidRDefault="005A02C0" w:rsidP="00ED51BA">
      <w:pPr>
        <w:spacing w:after="0" w:line="240" w:lineRule="auto"/>
        <w:jc w:val="both"/>
        <w:rPr>
          <w:rFonts w:ascii="Times New Roman" w:eastAsia="Times New Roman" w:hAnsi="Times New Roman" w:cs="Times New Roman"/>
          <w:sz w:val="24"/>
          <w:szCs w:val="24"/>
          <w:lang w:eastAsia="sk-SK"/>
        </w:rPr>
      </w:pPr>
    </w:p>
    <w:p w:rsidR="00ED51BA" w:rsidRPr="00ED51BA" w:rsidRDefault="00ED51BA" w:rsidP="00ED51BA">
      <w:pPr>
        <w:spacing w:after="0" w:line="240" w:lineRule="auto"/>
        <w:jc w:val="both"/>
        <w:rPr>
          <w:rFonts w:ascii="Times New Roman" w:eastAsia="Times New Roman" w:hAnsi="Times New Roman" w:cs="Times New Roman"/>
          <w:sz w:val="24"/>
          <w:szCs w:val="24"/>
          <w:lang w:eastAsia="sk-SK"/>
        </w:rPr>
      </w:pPr>
    </w:p>
    <w:p w:rsidR="00ED51BA" w:rsidRPr="00ED51BA" w:rsidRDefault="00ED51BA" w:rsidP="00ED51BA">
      <w:pPr>
        <w:keepNext/>
        <w:widowControl w:val="0"/>
        <w:spacing w:after="0" w:line="240" w:lineRule="auto"/>
        <w:outlineLvl w:val="3"/>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lastRenderedPageBreak/>
        <w:t>Výbor Národnej rady  Slovenskej republiky</w:t>
      </w:r>
    </w:p>
    <w:p w:rsidR="00ED51BA" w:rsidRPr="00ED51BA" w:rsidRDefault="00ED51BA" w:rsidP="00ED51BA">
      <w:pPr>
        <w:spacing w:after="0" w:line="240" w:lineRule="auto"/>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
          <w:bCs/>
          <w:sz w:val="24"/>
          <w:szCs w:val="24"/>
          <w:lang w:eastAsia="sk-SK"/>
        </w:rPr>
        <w:t xml:space="preserve">            pre financie a rozpočet </w:t>
      </w:r>
    </w:p>
    <w:p w:rsidR="00ED51BA" w:rsidRPr="00ED51BA" w:rsidRDefault="00ED51BA" w:rsidP="00ED51BA">
      <w:pPr>
        <w:spacing w:after="0" w:line="240" w:lineRule="auto"/>
        <w:jc w:val="right"/>
        <w:rPr>
          <w:rFonts w:ascii="Times New Roman" w:eastAsia="Times New Roman" w:hAnsi="Times New Roman" w:cs="Times New Roman"/>
          <w:bCs/>
          <w:sz w:val="24"/>
          <w:szCs w:val="24"/>
          <w:lang w:eastAsia="sk-SK"/>
        </w:rPr>
      </w:pPr>
      <w:r w:rsidRPr="00ED51BA">
        <w:rPr>
          <w:rFonts w:ascii="Times New Roman" w:eastAsia="Times New Roman" w:hAnsi="Times New Roman" w:cs="Times New Roman"/>
          <w:bCs/>
          <w:sz w:val="24"/>
          <w:szCs w:val="24"/>
          <w:lang w:eastAsia="sk-SK"/>
        </w:rPr>
        <w:t xml:space="preserve">                      </w:t>
      </w:r>
    </w:p>
    <w:p w:rsidR="00ED51BA" w:rsidRPr="00ED51BA" w:rsidRDefault="00ED51BA" w:rsidP="00ED51BA">
      <w:pPr>
        <w:spacing w:after="0" w:line="240" w:lineRule="auto"/>
        <w:jc w:val="right"/>
        <w:rPr>
          <w:rFonts w:ascii="Times New Roman" w:eastAsia="Times New Roman" w:hAnsi="Times New Roman" w:cs="Times New Roman"/>
          <w:b/>
          <w:bCs/>
          <w:sz w:val="24"/>
          <w:szCs w:val="24"/>
          <w:lang w:eastAsia="sk-SK"/>
        </w:rPr>
      </w:pPr>
      <w:r w:rsidRPr="00ED51BA">
        <w:rPr>
          <w:rFonts w:ascii="Times New Roman" w:eastAsia="Times New Roman" w:hAnsi="Times New Roman" w:cs="Times New Roman"/>
          <w:bCs/>
          <w:sz w:val="24"/>
          <w:szCs w:val="24"/>
          <w:lang w:eastAsia="sk-SK"/>
        </w:rPr>
        <w:t>Príloha k </w:t>
      </w:r>
      <w:proofErr w:type="spellStart"/>
      <w:r w:rsidRPr="00ED51BA">
        <w:rPr>
          <w:rFonts w:ascii="Times New Roman" w:eastAsia="Times New Roman" w:hAnsi="Times New Roman" w:cs="Times New Roman"/>
          <w:bCs/>
          <w:sz w:val="24"/>
          <w:szCs w:val="24"/>
          <w:lang w:eastAsia="sk-SK"/>
        </w:rPr>
        <w:t>uzn</w:t>
      </w:r>
      <w:proofErr w:type="spellEnd"/>
      <w:r w:rsidRPr="00ED51BA">
        <w:rPr>
          <w:rFonts w:ascii="Times New Roman" w:eastAsia="Times New Roman" w:hAnsi="Times New Roman" w:cs="Times New Roman"/>
          <w:bCs/>
          <w:sz w:val="24"/>
          <w:szCs w:val="24"/>
          <w:lang w:eastAsia="sk-SK"/>
        </w:rPr>
        <w:t xml:space="preserve">. </w:t>
      </w:r>
      <w:r w:rsidRPr="00ED51BA">
        <w:rPr>
          <w:rFonts w:ascii="Times New Roman" w:eastAsia="Times New Roman" w:hAnsi="Times New Roman" w:cs="Times New Roman"/>
          <w:b/>
          <w:bCs/>
          <w:sz w:val="24"/>
          <w:szCs w:val="24"/>
          <w:lang w:eastAsia="sk-SK"/>
        </w:rPr>
        <w:t xml:space="preserve">č. </w:t>
      </w:r>
      <w:r w:rsidR="003D5682">
        <w:rPr>
          <w:rFonts w:ascii="Times New Roman" w:eastAsia="Times New Roman" w:hAnsi="Times New Roman" w:cs="Times New Roman"/>
          <w:b/>
          <w:bCs/>
          <w:sz w:val="24"/>
          <w:szCs w:val="24"/>
          <w:lang w:eastAsia="sk-SK"/>
        </w:rPr>
        <w:t>109</w:t>
      </w:r>
    </w:p>
    <w:p w:rsidR="00ED51BA" w:rsidRPr="00ED51BA" w:rsidRDefault="00ED51BA" w:rsidP="00ED51BA">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28</w:t>
      </w:r>
      <w:r w:rsidRPr="00ED51BA">
        <w:rPr>
          <w:rFonts w:ascii="Times New Roman" w:eastAsia="Times New Roman" w:hAnsi="Times New Roman" w:cs="Times New Roman"/>
          <w:sz w:val="24"/>
          <w:szCs w:val="24"/>
          <w:lang w:eastAsia="sk-SK"/>
        </w:rPr>
        <w:t xml:space="preserve">. </w:t>
      </w:r>
      <w:r w:rsidRPr="00ED51BA">
        <w:rPr>
          <w:rFonts w:ascii="Times New Roman" w:eastAsia="Times New Roman" w:hAnsi="Times New Roman" w:cs="Times New Roman"/>
          <w:bCs/>
          <w:sz w:val="24"/>
          <w:szCs w:val="24"/>
          <w:lang w:eastAsia="sk-SK"/>
        </w:rPr>
        <w:t>schôdza</w:t>
      </w:r>
    </w:p>
    <w:p w:rsidR="00ED51BA" w:rsidRPr="00ED51BA" w:rsidRDefault="00ED51BA" w:rsidP="00ED51BA">
      <w:pPr>
        <w:spacing w:after="0" w:line="240" w:lineRule="auto"/>
        <w:jc w:val="center"/>
        <w:rPr>
          <w:rFonts w:ascii="Times New Roman" w:eastAsia="Times New Roman" w:hAnsi="Times New Roman" w:cs="Times New Roman"/>
          <w:b/>
          <w:bCs/>
          <w:sz w:val="24"/>
          <w:szCs w:val="24"/>
          <w:lang w:eastAsia="sk-SK"/>
        </w:rPr>
      </w:pPr>
    </w:p>
    <w:p w:rsidR="00ED51BA" w:rsidRPr="00ED51BA" w:rsidRDefault="00ED51BA" w:rsidP="00ED51BA">
      <w:pPr>
        <w:spacing w:after="0" w:line="240" w:lineRule="auto"/>
        <w:jc w:val="center"/>
        <w:rPr>
          <w:rFonts w:ascii="Times New Roman" w:eastAsia="Times New Roman" w:hAnsi="Times New Roman" w:cs="Times New Roman"/>
          <w:b/>
          <w:bCs/>
          <w:sz w:val="24"/>
          <w:szCs w:val="24"/>
          <w:lang w:eastAsia="sk-SK"/>
        </w:rPr>
      </w:pPr>
    </w:p>
    <w:p w:rsidR="00ED51BA" w:rsidRPr="00ED51BA" w:rsidRDefault="00ED51BA" w:rsidP="00ED51BA">
      <w:pPr>
        <w:spacing w:after="0" w:line="240" w:lineRule="auto"/>
        <w:jc w:val="center"/>
        <w:rPr>
          <w:rFonts w:ascii="Times New Roman" w:eastAsia="Times New Roman" w:hAnsi="Times New Roman" w:cs="Times New Roman"/>
          <w:b/>
          <w:sz w:val="24"/>
          <w:szCs w:val="24"/>
          <w:lang w:eastAsia="sk-SK"/>
        </w:rPr>
      </w:pPr>
      <w:r w:rsidRPr="00ED51BA">
        <w:rPr>
          <w:rFonts w:ascii="Times New Roman" w:eastAsia="Times New Roman" w:hAnsi="Times New Roman" w:cs="Times New Roman"/>
          <w:b/>
          <w:sz w:val="24"/>
          <w:szCs w:val="24"/>
          <w:lang w:eastAsia="sk-SK"/>
        </w:rPr>
        <w:t>Pozmeňujúce a doplňujúce návrhy</w:t>
      </w:r>
    </w:p>
    <w:p w:rsidR="003D5682" w:rsidRPr="003D5682" w:rsidRDefault="005A02C0" w:rsidP="003D5682">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Pr>
          <w:rFonts w:ascii="Times New Roman" w:eastAsia="Times New Roman" w:hAnsi="Times New Roman" w:cs="Times New Roman"/>
          <w:b/>
          <w:sz w:val="24"/>
          <w:szCs w:val="24"/>
          <w:lang w:eastAsia="sk-SK"/>
        </w:rPr>
        <w:t xml:space="preserve">k </w:t>
      </w:r>
      <w:r w:rsidR="003D5682">
        <w:rPr>
          <w:rFonts w:ascii="Times New Roman" w:eastAsia="Times New Roman" w:hAnsi="Times New Roman" w:cs="Times New Roman"/>
          <w:b/>
          <w:sz w:val="24"/>
          <w:szCs w:val="24"/>
          <w:lang w:eastAsia="sk-SK"/>
        </w:rPr>
        <w:t>v</w:t>
      </w:r>
      <w:r w:rsidR="003D5682" w:rsidRPr="003D5682">
        <w:rPr>
          <w:rFonts w:ascii="Times New Roman" w:eastAsia="Times New Roman" w:hAnsi="Times New Roman" w:cs="Times New Roman"/>
          <w:b/>
          <w:sz w:val="24"/>
          <w:szCs w:val="24"/>
          <w:lang w:eastAsia="sk-SK"/>
        </w:rPr>
        <w:t>ládn</w:t>
      </w:r>
      <w:r w:rsidR="003D5682">
        <w:rPr>
          <w:rFonts w:ascii="Times New Roman" w:eastAsia="Times New Roman" w:hAnsi="Times New Roman" w:cs="Times New Roman"/>
          <w:b/>
          <w:sz w:val="24"/>
          <w:szCs w:val="24"/>
          <w:lang w:eastAsia="sk-SK"/>
        </w:rPr>
        <w:t>emu</w:t>
      </w:r>
      <w:r w:rsidR="003D5682" w:rsidRPr="003D5682">
        <w:rPr>
          <w:rFonts w:ascii="Times New Roman" w:eastAsia="Times New Roman" w:hAnsi="Times New Roman" w:cs="Times New Roman"/>
          <w:b/>
          <w:sz w:val="24"/>
          <w:szCs w:val="24"/>
          <w:lang w:eastAsia="sk-SK"/>
        </w:rPr>
        <w:t xml:space="preserve"> návrh</w:t>
      </w:r>
      <w:r w:rsidR="003D5682">
        <w:rPr>
          <w:rFonts w:ascii="Times New Roman" w:eastAsia="Times New Roman" w:hAnsi="Times New Roman" w:cs="Times New Roman"/>
          <w:b/>
          <w:sz w:val="24"/>
          <w:szCs w:val="24"/>
          <w:lang w:eastAsia="sk-SK"/>
        </w:rPr>
        <w:t>u</w:t>
      </w:r>
      <w:r w:rsidR="003D5682" w:rsidRPr="003D5682">
        <w:rPr>
          <w:rFonts w:ascii="Times New Roman" w:eastAsia="Times New Roman" w:hAnsi="Times New Roman" w:cs="Times New Roman"/>
          <w:b/>
          <w:sz w:val="24"/>
          <w:szCs w:val="24"/>
          <w:lang w:eastAsia="sk-SK"/>
        </w:rPr>
        <w:t xml:space="preserve"> zákona o niektorých povinnostiach a oprávneniach v oblasti </w:t>
      </w:r>
      <w:proofErr w:type="spellStart"/>
      <w:r w:rsidR="003D5682" w:rsidRPr="003D5682">
        <w:rPr>
          <w:rFonts w:ascii="Times New Roman" w:eastAsia="Times New Roman" w:hAnsi="Times New Roman" w:cs="Times New Roman"/>
          <w:b/>
          <w:sz w:val="24"/>
          <w:szCs w:val="24"/>
          <w:lang w:eastAsia="sk-SK"/>
        </w:rPr>
        <w:t>kryptoaktív</w:t>
      </w:r>
      <w:proofErr w:type="spellEnd"/>
      <w:r w:rsidR="003D5682" w:rsidRPr="003D5682">
        <w:rPr>
          <w:rFonts w:ascii="Times New Roman" w:eastAsia="Times New Roman" w:hAnsi="Times New Roman" w:cs="Times New Roman"/>
          <w:b/>
          <w:sz w:val="24"/>
          <w:szCs w:val="24"/>
          <w:lang w:eastAsia="sk-SK"/>
        </w:rPr>
        <w:t xml:space="preserve"> a o zmene a doplnení niektorých zákonov (tlač 293)</w:t>
      </w:r>
    </w:p>
    <w:p w:rsidR="00ED51BA" w:rsidRPr="00ED51BA" w:rsidRDefault="00FF32FE" w:rsidP="00ED51BA">
      <w:pPr>
        <w:keepNext/>
        <w:pBdr>
          <w:bottom w:val="single" w:sz="6" w:space="1" w:color="auto"/>
        </w:pBdr>
        <w:spacing w:after="0" w:line="240" w:lineRule="auto"/>
        <w:ind w:left="360"/>
        <w:jc w:val="center"/>
        <w:outlineLvl w:val="0"/>
        <w:rPr>
          <w:rFonts w:ascii="Times New Roman" w:eastAsia="Times New Roman" w:hAnsi="Times New Roman" w:cs="Calibri"/>
          <w:b/>
          <w:sz w:val="24"/>
          <w:szCs w:val="24"/>
          <w:lang w:eastAsia="sk-SK"/>
        </w:rPr>
      </w:pPr>
      <w:r w:rsidRPr="00FF32FE">
        <w:rPr>
          <w:rFonts w:ascii="Times New Roman" w:eastAsia="Times New Roman" w:hAnsi="Times New Roman" w:cs="Times New Roman"/>
          <w:b/>
          <w:sz w:val="24"/>
          <w:szCs w:val="24"/>
          <w:lang w:eastAsia="sk-SK"/>
        </w:rPr>
        <w:t xml:space="preserve"> </w:t>
      </w:r>
    </w:p>
    <w:p w:rsidR="00ED51BA" w:rsidRPr="00ED51BA" w:rsidRDefault="00ED51BA" w:rsidP="00ED51BA">
      <w:pPr>
        <w:spacing w:after="200" w:line="240" w:lineRule="auto"/>
        <w:ind w:left="567"/>
        <w:contextualSpacing/>
        <w:jc w:val="both"/>
        <w:rPr>
          <w:rFonts w:ascii="Times New Roman" w:eastAsia="Times New Roman" w:hAnsi="Times New Roman" w:cs="Times New Roman"/>
          <w:sz w:val="24"/>
          <w:szCs w:val="24"/>
        </w:rPr>
      </w:pPr>
    </w:p>
    <w:p w:rsidR="00591697" w:rsidRPr="00591697" w:rsidRDefault="00591697" w:rsidP="00591697">
      <w:pPr>
        <w:numPr>
          <w:ilvl w:val="0"/>
          <w:numId w:val="4"/>
        </w:numPr>
        <w:spacing w:after="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V čl. I v § 2 ods. 1 sa za slová „tejto rezervy“ vkladá slovo „aktív“.</w:t>
      </w:r>
    </w:p>
    <w:p w:rsidR="00591697" w:rsidRPr="00591697" w:rsidRDefault="00591697" w:rsidP="00591697">
      <w:pPr>
        <w:spacing w:after="200" w:line="276" w:lineRule="auto"/>
        <w:ind w:left="2832"/>
        <w:contextualSpacing/>
        <w:jc w:val="both"/>
        <w:rPr>
          <w:rFonts w:ascii="Times New Roman" w:eastAsia="Calibri" w:hAnsi="Times New Roman" w:cs="Times New Roman"/>
          <w:sz w:val="24"/>
          <w:szCs w:val="24"/>
        </w:rPr>
      </w:pPr>
    </w:p>
    <w:p w:rsidR="00591697" w:rsidRPr="00591697" w:rsidRDefault="00591697" w:rsidP="00591697">
      <w:pPr>
        <w:spacing w:after="200" w:line="276" w:lineRule="auto"/>
        <w:ind w:left="2832"/>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Legislatívno-technická úprava dopĺňajúca absentujúce slovo, ktoré je súčasťou definovaného pojmu „rezerva aktív“.</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numPr>
          <w:ilvl w:val="0"/>
          <w:numId w:val="4"/>
        </w:numPr>
        <w:spacing w:after="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V čl. I v § 3 ods. 1 sa odkaz 19 umiestnený nad slovom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vypúšťa a umiestňuje sa nad slová „v mene klientov“.</w:t>
      </w:r>
    </w:p>
    <w:p w:rsidR="00591697" w:rsidRPr="00591697" w:rsidRDefault="00591697" w:rsidP="00591697">
      <w:pPr>
        <w:spacing w:after="200" w:line="276" w:lineRule="auto"/>
        <w:ind w:left="2832"/>
        <w:contextualSpacing/>
        <w:jc w:val="both"/>
        <w:rPr>
          <w:rFonts w:ascii="Times New Roman" w:eastAsia="Calibri" w:hAnsi="Times New Roman" w:cs="Times New Roman"/>
          <w:sz w:val="24"/>
          <w:szCs w:val="24"/>
        </w:rPr>
      </w:pPr>
    </w:p>
    <w:p w:rsidR="00591697" w:rsidRPr="00591697" w:rsidRDefault="00591697" w:rsidP="00591697">
      <w:pPr>
        <w:spacing w:after="200" w:line="276" w:lineRule="auto"/>
        <w:ind w:left="2832"/>
        <w:contextualSpacing/>
        <w:jc w:val="both"/>
        <w:rPr>
          <w:rFonts w:ascii="Times New Roman" w:eastAsia="Calibri" w:hAnsi="Times New Roman" w:cs="Times New Roman"/>
          <w:color w:val="000000"/>
          <w:sz w:val="24"/>
          <w:szCs w:val="24"/>
        </w:rPr>
      </w:pPr>
      <w:r w:rsidRPr="00591697">
        <w:rPr>
          <w:rFonts w:ascii="Times New Roman" w:eastAsia="Calibri" w:hAnsi="Times New Roman" w:cs="Times New Roman"/>
          <w:sz w:val="24"/>
          <w:szCs w:val="24"/>
        </w:rPr>
        <w:t xml:space="preserve">Legislatívno-technická úprava správne umiestňuje odkaz za pojem „poskytovanie úschovy a správa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v mene klientov“ definovaný v čl. 3 ods. 1 bod 17 </w:t>
      </w:r>
      <w:r w:rsidRPr="00591697">
        <w:rPr>
          <w:rFonts w:ascii="Times New Roman" w:eastAsia="Calibri" w:hAnsi="Times New Roman" w:cs="Times New Roman"/>
          <w:color w:val="000000"/>
          <w:sz w:val="24"/>
          <w:szCs w:val="24"/>
        </w:rPr>
        <w:t>nariadenia (EÚ) 2023/1114.</w:t>
      </w:r>
    </w:p>
    <w:p w:rsidR="00591697" w:rsidRPr="00591697" w:rsidRDefault="00591697" w:rsidP="00591697">
      <w:pPr>
        <w:spacing w:after="0" w:line="240" w:lineRule="auto"/>
        <w:jc w:val="both"/>
        <w:rPr>
          <w:rFonts w:ascii="Times New Roman" w:eastAsia="Times New Roman" w:hAnsi="Times New Roman" w:cs="Times New Roman"/>
          <w:sz w:val="24"/>
          <w:szCs w:val="24"/>
          <w:lang w:eastAsia="sk-SK"/>
        </w:rPr>
      </w:pPr>
    </w:p>
    <w:p w:rsidR="00591697" w:rsidRPr="00591697" w:rsidRDefault="00591697" w:rsidP="00591697">
      <w:pPr>
        <w:numPr>
          <w:ilvl w:val="0"/>
          <w:numId w:val="4"/>
        </w:numPr>
        <w:spacing w:after="0" w:line="240" w:lineRule="auto"/>
        <w:contextualSpacing/>
        <w:rPr>
          <w:rFonts w:ascii="Times New Roman" w:eastAsia="Calibri" w:hAnsi="Times New Roman" w:cs="Times New Roman"/>
          <w:sz w:val="24"/>
          <w:szCs w:val="24"/>
        </w:rPr>
      </w:pPr>
      <w:r w:rsidRPr="00591697">
        <w:rPr>
          <w:rFonts w:ascii="Times New Roman" w:eastAsia="Calibri" w:hAnsi="Times New Roman" w:cs="Times New Roman"/>
          <w:bCs/>
          <w:sz w:val="24"/>
          <w:szCs w:val="24"/>
        </w:rPr>
        <w:t xml:space="preserve">V čl. I </w:t>
      </w:r>
      <w:r w:rsidRPr="00591697">
        <w:rPr>
          <w:rFonts w:ascii="Times New Roman" w:eastAsia="Calibri" w:hAnsi="Times New Roman" w:cs="Times New Roman"/>
          <w:sz w:val="24"/>
          <w:szCs w:val="24"/>
        </w:rPr>
        <w:t>§ 4 vrátane nadpisu znie:</w:t>
      </w:r>
    </w:p>
    <w:p w:rsidR="00591697" w:rsidRPr="00591697" w:rsidRDefault="00591697" w:rsidP="00591697">
      <w:pPr>
        <w:keepNext/>
        <w:spacing w:after="0" w:line="240" w:lineRule="auto"/>
        <w:ind w:left="567"/>
        <w:jc w:val="center"/>
        <w:rPr>
          <w:rFonts w:ascii="Times New Roman" w:eastAsia="Times New Roman" w:hAnsi="Times New Roman" w:cs="Times New Roman"/>
          <w:b/>
          <w:sz w:val="24"/>
          <w:szCs w:val="24"/>
          <w:lang w:eastAsia="sk-SK"/>
        </w:rPr>
      </w:pPr>
      <w:r w:rsidRPr="00591697">
        <w:rPr>
          <w:rFonts w:ascii="Times New Roman" w:eastAsia="Times New Roman" w:hAnsi="Times New Roman" w:cs="Times New Roman"/>
          <w:bCs/>
          <w:sz w:val="24"/>
          <w:szCs w:val="24"/>
          <w:lang w:eastAsia="sk-SK"/>
        </w:rPr>
        <w:t>„</w:t>
      </w:r>
      <w:r w:rsidRPr="00591697">
        <w:rPr>
          <w:rFonts w:ascii="Times New Roman" w:eastAsia="Times New Roman" w:hAnsi="Times New Roman" w:cs="Times New Roman"/>
          <w:b/>
          <w:sz w:val="24"/>
          <w:szCs w:val="24"/>
          <w:lang w:eastAsia="sk-SK"/>
        </w:rPr>
        <w:t>§ 4</w:t>
      </w:r>
    </w:p>
    <w:p w:rsidR="00591697" w:rsidRPr="00591697" w:rsidRDefault="00591697" w:rsidP="00591697">
      <w:pPr>
        <w:keepNext/>
        <w:spacing w:after="0" w:line="240" w:lineRule="auto"/>
        <w:ind w:left="567"/>
        <w:jc w:val="center"/>
        <w:rPr>
          <w:rFonts w:ascii="Times New Roman" w:eastAsia="Times New Roman" w:hAnsi="Times New Roman" w:cs="Times New Roman"/>
          <w:b/>
          <w:sz w:val="24"/>
          <w:szCs w:val="24"/>
          <w:lang w:eastAsia="sk-SK"/>
        </w:rPr>
      </w:pPr>
      <w:r w:rsidRPr="00591697">
        <w:rPr>
          <w:rFonts w:ascii="Times New Roman" w:eastAsia="Times New Roman" w:hAnsi="Times New Roman" w:cs="Times New Roman"/>
          <w:b/>
          <w:sz w:val="24"/>
          <w:szCs w:val="24"/>
          <w:lang w:eastAsia="sk-SK"/>
        </w:rPr>
        <w:t xml:space="preserve">Poskytovanie poradenstva v oblasti </w:t>
      </w:r>
      <w:proofErr w:type="spellStart"/>
      <w:r w:rsidRPr="00591697">
        <w:rPr>
          <w:rFonts w:ascii="Times New Roman" w:eastAsia="Times New Roman" w:hAnsi="Times New Roman" w:cs="Times New Roman"/>
          <w:b/>
          <w:sz w:val="24"/>
          <w:szCs w:val="24"/>
          <w:lang w:eastAsia="sk-SK"/>
        </w:rPr>
        <w:t>kryptoaktív</w:t>
      </w:r>
      <w:proofErr w:type="spellEnd"/>
    </w:p>
    <w:p w:rsidR="00591697" w:rsidRPr="00591697" w:rsidRDefault="00591697" w:rsidP="00591697">
      <w:pPr>
        <w:keepNext/>
        <w:spacing w:after="0" w:line="240" w:lineRule="auto"/>
        <w:ind w:left="567"/>
        <w:jc w:val="both"/>
        <w:rPr>
          <w:rFonts w:ascii="Times New Roman" w:eastAsia="Times New Roman" w:hAnsi="Times New Roman" w:cs="Times New Roman"/>
          <w:sz w:val="24"/>
          <w:szCs w:val="24"/>
          <w:lang w:eastAsia="sk-SK"/>
        </w:rPr>
      </w:pPr>
    </w:p>
    <w:p w:rsidR="00591697" w:rsidRPr="00591697" w:rsidRDefault="00591697" w:rsidP="00591697">
      <w:pPr>
        <w:keepNext/>
        <w:numPr>
          <w:ilvl w:val="0"/>
          <w:numId w:val="5"/>
        </w:numPr>
        <w:spacing w:after="0" w:line="240" w:lineRule="auto"/>
        <w:ind w:left="993" w:hanging="567"/>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Na poskytovanie poradenstva v oblasti kryptoaktív</w:t>
      </w:r>
      <w:r w:rsidRPr="00591697">
        <w:rPr>
          <w:rFonts w:ascii="Times New Roman" w:eastAsia="Calibri" w:hAnsi="Times New Roman" w:cs="Times New Roman"/>
          <w:sz w:val="24"/>
          <w:szCs w:val="24"/>
          <w:vertAlign w:val="superscript"/>
        </w:rPr>
        <w:t>20</w:t>
      </w:r>
      <w:r w:rsidRPr="00591697">
        <w:rPr>
          <w:rFonts w:ascii="Times New Roman" w:eastAsia="Calibri" w:hAnsi="Times New Roman" w:cs="Times New Roman"/>
          <w:sz w:val="24"/>
          <w:szCs w:val="24"/>
        </w:rPr>
        <w:t>) sa osobitný predpis</w:t>
      </w:r>
      <w:r w:rsidRPr="00591697">
        <w:rPr>
          <w:rFonts w:ascii="Times New Roman" w:eastAsia="Calibri" w:hAnsi="Times New Roman" w:cs="Times New Roman"/>
          <w:sz w:val="24"/>
          <w:szCs w:val="24"/>
          <w:vertAlign w:val="superscript"/>
        </w:rPr>
        <w:t>21</w:t>
      </w:r>
      <w:r w:rsidRPr="00591697">
        <w:rPr>
          <w:rFonts w:ascii="Times New Roman" w:eastAsia="Calibri" w:hAnsi="Times New Roman" w:cs="Times New Roman"/>
          <w:sz w:val="24"/>
          <w:szCs w:val="24"/>
        </w:rPr>
        <w:t>) neuplatňuje.</w:t>
      </w:r>
    </w:p>
    <w:p w:rsidR="00591697" w:rsidRPr="00591697" w:rsidRDefault="00591697" w:rsidP="00591697">
      <w:pPr>
        <w:spacing w:after="0" w:line="240" w:lineRule="auto"/>
        <w:ind w:left="993" w:hanging="567"/>
        <w:jc w:val="both"/>
        <w:rPr>
          <w:rFonts w:ascii="Times New Roman" w:eastAsia="Times New Roman" w:hAnsi="Times New Roman" w:cs="Times New Roman"/>
          <w:sz w:val="24"/>
          <w:szCs w:val="24"/>
          <w:lang w:eastAsia="sk-SK"/>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Fyzická osoba, ktorá poskytuje poradenstvo alebo informácie o </w:t>
      </w:r>
      <w:proofErr w:type="spellStart"/>
      <w:r w:rsidRPr="00591697">
        <w:rPr>
          <w:rFonts w:ascii="Times New Roman" w:eastAsia="Calibri" w:hAnsi="Times New Roman" w:cs="Times New Roman"/>
          <w:sz w:val="24"/>
          <w:szCs w:val="24"/>
        </w:rPr>
        <w:t>kryptoaktívach</w:t>
      </w:r>
      <w:proofErr w:type="spellEnd"/>
      <w:r w:rsidRPr="00591697">
        <w:rPr>
          <w:rFonts w:ascii="Times New Roman" w:eastAsia="Calibri" w:hAnsi="Times New Roman" w:cs="Times New Roman"/>
          <w:sz w:val="24"/>
          <w:szCs w:val="24"/>
        </w:rPr>
        <w:t xml:space="preserve"> alebo o službách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v mene poskytovateľa služieb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ktorý poskytuje poradenstvo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(ďalej len „poradca“), musí mať podľa osobitného predpisu</w:t>
      </w:r>
      <w:r w:rsidRPr="00591697">
        <w:rPr>
          <w:rFonts w:ascii="Times New Roman" w:eastAsia="Calibri" w:hAnsi="Times New Roman" w:cs="Times New Roman"/>
          <w:sz w:val="24"/>
          <w:szCs w:val="24"/>
          <w:vertAlign w:val="superscript"/>
        </w:rPr>
        <w:t>22</w:t>
      </w:r>
      <w:r w:rsidRPr="00591697">
        <w:rPr>
          <w:rFonts w:ascii="Times New Roman" w:eastAsia="Calibri" w:hAnsi="Times New Roman" w:cs="Times New Roman"/>
          <w:sz w:val="24"/>
          <w:szCs w:val="24"/>
        </w:rPr>
        <w:t xml:space="preserve">) potrebné odborné znalosti a schopnosti na plnenie svojich povinností. </w:t>
      </w:r>
    </w:p>
    <w:p w:rsidR="00591697" w:rsidRPr="00591697" w:rsidRDefault="00591697" w:rsidP="00591697">
      <w:pPr>
        <w:spacing w:after="0" w:line="240" w:lineRule="auto"/>
        <w:ind w:left="993" w:hanging="567"/>
        <w:contextualSpacing/>
        <w:rPr>
          <w:rFonts w:ascii="Times New Roman" w:eastAsia="Calibri" w:hAnsi="Times New Roman" w:cs="Times New Roman"/>
          <w:sz w:val="24"/>
          <w:szCs w:val="24"/>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Národná banka Slovenska posudzuje odborné znalosti a schopnosti poradcov na základe vzdelávania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a odbornou skúškou podľa odsekov 4 až 6.</w:t>
      </w:r>
    </w:p>
    <w:p w:rsidR="00591697" w:rsidRPr="00591697" w:rsidRDefault="00591697" w:rsidP="00591697">
      <w:pPr>
        <w:spacing w:after="0" w:line="240" w:lineRule="auto"/>
        <w:ind w:left="993" w:hanging="567"/>
        <w:contextualSpacing/>
        <w:jc w:val="both"/>
        <w:rPr>
          <w:rFonts w:ascii="Times New Roman" w:eastAsia="Calibri" w:hAnsi="Times New Roman" w:cs="Times New Roman"/>
          <w:sz w:val="24"/>
          <w:szCs w:val="24"/>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Poradca musí absolvovať vzdelávanie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najmenej raz za kalendárny rok a pred tým, ako začne poskytovať poradenstvo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alebo informácie o </w:t>
      </w:r>
      <w:proofErr w:type="spellStart"/>
      <w:r w:rsidRPr="00591697">
        <w:rPr>
          <w:rFonts w:ascii="Times New Roman" w:eastAsia="Calibri" w:hAnsi="Times New Roman" w:cs="Times New Roman"/>
          <w:sz w:val="24"/>
          <w:szCs w:val="24"/>
        </w:rPr>
        <w:t>kryptoaktívach</w:t>
      </w:r>
      <w:proofErr w:type="spellEnd"/>
      <w:r w:rsidRPr="00591697">
        <w:rPr>
          <w:rFonts w:ascii="Times New Roman" w:eastAsia="Calibri" w:hAnsi="Times New Roman" w:cs="Times New Roman"/>
          <w:sz w:val="24"/>
          <w:szCs w:val="24"/>
        </w:rPr>
        <w:t xml:space="preserve"> alebo o službách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Poradca musí úspešne vykonať odbornú skúšku najmenej každé štyri roky a pred tým, ako začne poskytovať poradenstvo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alebo informácie o </w:t>
      </w:r>
      <w:proofErr w:type="spellStart"/>
      <w:r w:rsidRPr="00591697">
        <w:rPr>
          <w:rFonts w:ascii="Times New Roman" w:eastAsia="Calibri" w:hAnsi="Times New Roman" w:cs="Times New Roman"/>
          <w:sz w:val="24"/>
          <w:szCs w:val="24"/>
        </w:rPr>
        <w:t>kryptoaktívach</w:t>
      </w:r>
      <w:proofErr w:type="spellEnd"/>
      <w:r w:rsidRPr="00591697">
        <w:rPr>
          <w:rFonts w:ascii="Times New Roman" w:eastAsia="Calibri" w:hAnsi="Times New Roman" w:cs="Times New Roman"/>
          <w:sz w:val="24"/>
          <w:szCs w:val="24"/>
        </w:rPr>
        <w:t xml:space="preserve"> alebo o službách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Dodržiavanie povinností podľa prvej a druhej vety je </w:t>
      </w:r>
      <w:r w:rsidRPr="00591697">
        <w:rPr>
          <w:rFonts w:ascii="Times New Roman" w:eastAsia="Calibri" w:hAnsi="Times New Roman" w:cs="Times New Roman"/>
          <w:sz w:val="24"/>
          <w:szCs w:val="24"/>
        </w:rPr>
        <w:lastRenderedPageBreak/>
        <w:t xml:space="preserve">poskytovateľ služieb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ktorý poskytuje poradenstvo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povinný na požiadanie preukázať Národnej banke Slovenska.</w:t>
      </w:r>
    </w:p>
    <w:p w:rsidR="00591697" w:rsidRPr="00591697" w:rsidRDefault="00591697" w:rsidP="00591697">
      <w:pPr>
        <w:spacing w:after="0" w:line="240" w:lineRule="auto"/>
        <w:ind w:left="993" w:hanging="567"/>
        <w:contextualSpacing/>
        <w:rPr>
          <w:rFonts w:ascii="Times New Roman" w:eastAsia="Calibri" w:hAnsi="Times New Roman" w:cs="Times New Roman"/>
          <w:sz w:val="24"/>
          <w:szCs w:val="24"/>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Vzdelávanie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pre poradcov zabezpečuje poskytovateľ služieb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ktorý poskytuje poradenstvo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Obsah a rozsah vzdelávania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spôsob jeho vykonania a ďalšie podrobnosti o vzdelávaní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ustanoví opatrenie, ktoré vydá Národná banka Slovenska a ktoré sa vyhlasuje v Zbierke zákonov Slovenskej republiky (ďalej len „zbierka zákonov“).</w:t>
      </w:r>
    </w:p>
    <w:p w:rsidR="00591697" w:rsidRPr="00591697" w:rsidRDefault="00591697" w:rsidP="00591697">
      <w:pPr>
        <w:spacing w:after="0" w:line="240" w:lineRule="auto"/>
        <w:ind w:left="993" w:hanging="567"/>
        <w:jc w:val="both"/>
        <w:rPr>
          <w:rFonts w:ascii="Times New Roman" w:eastAsia="Times New Roman" w:hAnsi="Times New Roman" w:cs="Times New Roman"/>
          <w:sz w:val="24"/>
          <w:szCs w:val="24"/>
          <w:lang w:eastAsia="sk-SK"/>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Odbornú skúšku zabezpečuje Národná banka Slovenska alebo ňou poverená právnická osoba. Účastník odbornej skúšky je povinný pred jej vykonaním riadne a včas uhradiť poplatok, ktorý sa nevracia bez ohľadu na výsledok skúšky. Poplatok za vykonanie odbornej skúšky je príjmom Národnej banky Slovenska. Ak odbornú skúšku zabezpečuje právnická osoba poverená Národnou bankou Slovenska, je poplatok za jej vykonanie príjmom tejto právnickej osoby. Národná banka Slovenska schvaľuje skúšobný poriadok. Obsah a rozsah odbornej skúšky, spôsob jej vykonania, výšku poplatku za jej vykonanie, spôsob jeho uhrádzania a ďalšie podrobnosti o odbornej skúške ustanoví opatrenie, ktoré vydá Národná banka Slovenska a ktoré sa vyhlasuje v zbierke zákonov.</w:t>
      </w:r>
    </w:p>
    <w:p w:rsidR="00591697" w:rsidRPr="00591697" w:rsidRDefault="00591697" w:rsidP="00591697">
      <w:pPr>
        <w:spacing w:after="0" w:line="240" w:lineRule="auto"/>
        <w:ind w:left="993" w:hanging="567"/>
        <w:contextualSpacing/>
        <w:jc w:val="both"/>
        <w:rPr>
          <w:rFonts w:ascii="Times New Roman" w:eastAsia="Calibri" w:hAnsi="Times New Roman" w:cs="Times New Roman"/>
          <w:sz w:val="24"/>
          <w:szCs w:val="24"/>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Národná banka Slovenska vedie zoznam poradcov, ktorí absolvovali vzdelávanie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a úspešne vykonali odbornú skúšku (ďalej len „zoznam poradcov“). Do zoznamu poradcov sa zapisujú údaje v rozsahu meno, priezvisko, dátum narodenia, trvalý pobyt, prechodný pobyt na území Slovenskej republiky, ak existuje, dátum absolvovania vzdelávania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a dátum úspešného vykonania odbornej skúšky. </w:t>
      </w:r>
    </w:p>
    <w:p w:rsidR="00591697" w:rsidRPr="00591697" w:rsidRDefault="00591697" w:rsidP="00591697">
      <w:pPr>
        <w:spacing w:after="0" w:line="240" w:lineRule="auto"/>
        <w:ind w:left="993" w:hanging="567"/>
        <w:jc w:val="both"/>
        <w:rPr>
          <w:rFonts w:ascii="Times New Roman" w:eastAsia="Times New Roman" w:hAnsi="Times New Roman" w:cs="Times New Roman"/>
          <w:sz w:val="24"/>
          <w:szCs w:val="24"/>
          <w:lang w:eastAsia="sk-SK"/>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Poskytovateľ služieb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ktorý poskytuje poradenstvo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je povinný do desiatich pracovných dní od uskutočnenia vzdelávania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nahlásiť Národnej banke Slovenska účastníkov, ktorí vzdelávanie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absolvovali, a to v rozsahu meno, priezvisko, dátum narodenia, trvalý pobyt, prechodný pobyt na území Slovenskej republiky, ak existuje, a dátum absolvovania vzdelávania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w:t>
      </w:r>
    </w:p>
    <w:p w:rsidR="00591697" w:rsidRPr="00591697" w:rsidRDefault="00591697" w:rsidP="00591697">
      <w:pPr>
        <w:spacing w:after="0" w:line="240" w:lineRule="auto"/>
        <w:ind w:left="993" w:hanging="567"/>
        <w:contextualSpacing/>
        <w:jc w:val="both"/>
        <w:rPr>
          <w:rFonts w:ascii="Times New Roman" w:eastAsia="Calibri" w:hAnsi="Times New Roman" w:cs="Times New Roman"/>
          <w:sz w:val="24"/>
          <w:szCs w:val="24"/>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Účastník odbornej skúšky je na účely svojej identifikácie povinný poskytnúť Národnej banke Slovenska alebo ňou poverenej právnickej osobe podľa odseku 6 osobné údaje v rozsahu meno, priezvisko, dátum narodenia, trvalý pobyt, prechodný pobyt na území Slovenskej republiky, ak existuje. Tieto údaje sa využívajú aj v zozname poradcov.</w:t>
      </w:r>
    </w:p>
    <w:p w:rsidR="00591697" w:rsidRPr="00591697" w:rsidRDefault="00591697" w:rsidP="00591697">
      <w:pPr>
        <w:spacing w:after="0" w:line="240" w:lineRule="auto"/>
        <w:ind w:left="993" w:hanging="567"/>
        <w:jc w:val="both"/>
        <w:rPr>
          <w:rFonts w:ascii="Times New Roman" w:eastAsia="Times New Roman" w:hAnsi="Times New Roman" w:cs="Times New Roman"/>
          <w:sz w:val="24"/>
          <w:szCs w:val="24"/>
          <w:lang w:eastAsia="sk-SK"/>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Za správnosť a úplnosť údajov o vzdelávaní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v zozname poradcov zodpovedá poskytovateľ služieb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ktorý poskytuje poradenstvo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ktorý poradcov do zoznamu poradcov nahlásil. Za správnosť a úplnosť údajov o úspešnom vykonaní odbornej skúšky v zozname poradcov zodpovedá Národná banka Slovenska alebo ňou poverená právnická osoba podľa odseku 6.</w:t>
      </w:r>
    </w:p>
    <w:p w:rsidR="00591697" w:rsidRPr="00591697" w:rsidRDefault="00591697" w:rsidP="00591697">
      <w:pPr>
        <w:spacing w:after="0" w:line="240" w:lineRule="auto"/>
        <w:ind w:left="993" w:hanging="567"/>
        <w:jc w:val="both"/>
        <w:rPr>
          <w:rFonts w:ascii="Times New Roman" w:eastAsia="Times New Roman" w:hAnsi="Times New Roman" w:cs="Times New Roman"/>
          <w:sz w:val="24"/>
          <w:szCs w:val="24"/>
          <w:lang w:eastAsia="sk-SK"/>
        </w:rPr>
      </w:pPr>
    </w:p>
    <w:p w:rsidR="00591697" w:rsidRPr="00591697" w:rsidRDefault="00591697" w:rsidP="00591697">
      <w:pPr>
        <w:numPr>
          <w:ilvl w:val="0"/>
          <w:numId w:val="5"/>
        </w:numPr>
        <w:spacing w:after="0" w:line="240" w:lineRule="auto"/>
        <w:ind w:left="993" w:hanging="56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Národná banka Slovenska zverejňuje na svojom webovom sídle zo zoznamu poradcov údaje v rozsahu meno, priezvisko, trvalý pobyt, prechodný pobyt na území </w:t>
      </w:r>
      <w:r w:rsidRPr="00591697">
        <w:rPr>
          <w:rFonts w:ascii="Times New Roman" w:eastAsia="Calibri" w:hAnsi="Times New Roman" w:cs="Times New Roman"/>
          <w:sz w:val="24"/>
          <w:szCs w:val="24"/>
        </w:rPr>
        <w:lastRenderedPageBreak/>
        <w:t xml:space="preserve">Slovenskej republiky, ak existuje, dátum posledného absolvovania vzdelávania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a dátum posledného úspešného vykonania odbornej skúšky.“.</w:t>
      </w:r>
    </w:p>
    <w:p w:rsidR="00591697" w:rsidRPr="00591697" w:rsidRDefault="00591697" w:rsidP="00591697">
      <w:pPr>
        <w:spacing w:after="0" w:line="240" w:lineRule="auto"/>
        <w:ind w:left="720"/>
        <w:contextualSpacing/>
        <w:rPr>
          <w:rFonts w:ascii="Times New Roman" w:eastAsia="Calibri" w:hAnsi="Times New Roman" w:cs="Times New Roman"/>
          <w:sz w:val="24"/>
          <w:szCs w:val="24"/>
        </w:rPr>
      </w:pPr>
    </w:p>
    <w:p w:rsidR="00591697" w:rsidRPr="00591697" w:rsidRDefault="00591697" w:rsidP="00591697">
      <w:pPr>
        <w:spacing w:after="0" w:line="240" w:lineRule="auto"/>
        <w:ind w:left="2835"/>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 xml:space="preserve">Na účely zabezpečenia objektívnych kritérií na posúdenie odborných znalostí a schopností fyzických osôb, ktoré poskytujú poradenstvo alebo informácie o </w:t>
      </w:r>
      <w:proofErr w:type="spellStart"/>
      <w:r w:rsidRPr="00591697">
        <w:rPr>
          <w:rFonts w:ascii="Times New Roman" w:eastAsia="Times New Roman" w:hAnsi="Times New Roman" w:cs="Times New Roman"/>
          <w:iCs/>
          <w:sz w:val="24"/>
          <w:szCs w:val="24"/>
          <w:lang w:eastAsia="sk-SK"/>
        </w:rPr>
        <w:t>kryptoaktívach</w:t>
      </w:r>
      <w:proofErr w:type="spellEnd"/>
      <w:r w:rsidRPr="00591697">
        <w:rPr>
          <w:rFonts w:ascii="Times New Roman" w:eastAsia="Times New Roman" w:hAnsi="Times New Roman" w:cs="Times New Roman"/>
          <w:iCs/>
          <w:sz w:val="24"/>
          <w:szCs w:val="24"/>
          <w:lang w:eastAsia="sk-SK"/>
        </w:rPr>
        <w:t xml:space="preserve"> alebo o službách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v mene poskytovateľa služieb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ktorý poskytuje poradenstvo v oblasti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(ďalej len „poradcovia“) je nevyhnutné ustanoviť povinnosť pravidelného absolvovania vzdelávania v oblasti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a odbornej skúšky. Tieto povinnosti nie je možné ustanoviť opatrením vydaným Národnou bankou Slovenska, ale výlučne zákonom. Na tento účel sa navrhuje komplexná úprava kritérií na posúdenie odborných znalostí a schopností poradcov v súlade s požiadavkou článku 81 ods. 7 nariadenia Európskeho parlamentu a Rady (EÚ) 2023/1114 o trhoch s </w:t>
      </w:r>
      <w:proofErr w:type="spellStart"/>
      <w:r w:rsidRPr="00591697">
        <w:rPr>
          <w:rFonts w:ascii="Times New Roman" w:eastAsia="Times New Roman" w:hAnsi="Times New Roman" w:cs="Times New Roman"/>
          <w:iCs/>
          <w:sz w:val="24"/>
          <w:szCs w:val="24"/>
          <w:lang w:eastAsia="sk-SK"/>
        </w:rPr>
        <w:t>kryptoaktívami</w:t>
      </w:r>
      <w:proofErr w:type="spellEnd"/>
      <w:r w:rsidRPr="00591697">
        <w:rPr>
          <w:rFonts w:ascii="Times New Roman" w:eastAsia="Times New Roman" w:hAnsi="Times New Roman" w:cs="Times New Roman"/>
          <w:iCs/>
          <w:sz w:val="24"/>
          <w:szCs w:val="24"/>
          <w:lang w:eastAsia="sk-SK"/>
        </w:rPr>
        <w:t xml:space="preserve"> a o zmene nariadení (EÚ) č. 1093/2010 a (EÚ) č. 1095/2010 a smerníc 2013/36/EÚ a (EÚ) 2019/1937.</w:t>
      </w:r>
    </w:p>
    <w:p w:rsidR="00591697" w:rsidRPr="00591697" w:rsidRDefault="00591697" w:rsidP="00591697">
      <w:pPr>
        <w:spacing w:after="0" w:line="240" w:lineRule="auto"/>
        <w:ind w:left="2835"/>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 xml:space="preserve">Odborné znalosti a schopnosti poradcov sa navrhujú posudzovať na základe každoročného absolvovania vzdelávania v oblasti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a odbornej skúšky, ktorú je potrebné vykonať najmenej každé 4 roky a pred tým, ako poradcovia začnú poskytovať poradenstvo v oblasti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Vzdelávanie v oblasti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budú poskytovatelia služieb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zabezpečovať pre poradcov, ktorí poskytujú poradenstvo v ich mene. Poradcovia budú musieť absolvovať odbornú skúšku, ktorej vykonanie zabezpečí Národná banka Slovenska, alebo ňou poverená právnická osoba, vďaka čomu sa zaistí objektívne posúdenie odborných znalostí a schopností poradcov.</w:t>
      </w:r>
    </w:p>
    <w:p w:rsidR="00591697" w:rsidRPr="00591697" w:rsidRDefault="00591697" w:rsidP="00591697">
      <w:pPr>
        <w:spacing w:after="0" w:line="240" w:lineRule="auto"/>
        <w:ind w:left="2835"/>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 xml:space="preserve">Navrhuje sa, aby Národná banka Slovenska viedla zoznam poradcov, ktorí absolvovali vzdelávanie v oblasti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a úspešne vykonali odbornú skúšku. Relevantné informácie o zozname poradcov bude Národná banka Slovenska zverejňovať na svojom webovom sídle na účely informovania verejnosti.</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spacing w:after="200" w:line="360" w:lineRule="auto"/>
        <w:ind w:left="2832"/>
        <w:contextualSpacing/>
        <w:jc w:val="both"/>
        <w:rPr>
          <w:rFonts w:ascii="Times New Roman" w:eastAsia="Calibri" w:hAnsi="Times New Roman" w:cs="Times New Roman"/>
          <w:sz w:val="24"/>
          <w:szCs w:val="24"/>
        </w:rPr>
      </w:pPr>
    </w:p>
    <w:p w:rsidR="00591697" w:rsidRPr="00591697" w:rsidRDefault="00591697" w:rsidP="00591697">
      <w:pPr>
        <w:numPr>
          <w:ilvl w:val="0"/>
          <w:numId w:val="4"/>
        </w:numPr>
        <w:spacing w:after="0" w:line="240" w:lineRule="auto"/>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V čl.</w:t>
      </w:r>
      <w:r w:rsidRPr="00591697">
        <w:rPr>
          <w:rFonts w:ascii="Calibri" w:eastAsia="Calibri" w:hAnsi="Calibri" w:cs="Times New Roman"/>
        </w:rPr>
        <w:sym w:font="Times New Roman" w:char="00A0"/>
      </w:r>
      <w:r w:rsidRPr="00591697">
        <w:rPr>
          <w:rFonts w:ascii="Times New Roman" w:eastAsia="Calibri" w:hAnsi="Times New Roman" w:cs="Times New Roman"/>
          <w:sz w:val="24"/>
          <w:szCs w:val="24"/>
        </w:rPr>
        <w:t>I, v § 5 sa slová „ustanoveným požiadavkám podľa tohto opatrenia“ nahrádzajú slovami „ustanovenej metodike“.</w:t>
      </w:r>
    </w:p>
    <w:p w:rsidR="00591697" w:rsidRPr="00591697" w:rsidRDefault="00591697" w:rsidP="00591697">
      <w:pPr>
        <w:spacing w:after="0" w:line="240" w:lineRule="auto"/>
        <w:ind w:left="426"/>
        <w:contextualSpacing/>
        <w:jc w:val="both"/>
        <w:rPr>
          <w:rFonts w:ascii="Times New Roman" w:eastAsia="Calibri" w:hAnsi="Times New Roman" w:cs="Times New Roman"/>
          <w:sz w:val="24"/>
          <w:szCs w:val="24"/>
          <w:u w:val="single"/>
        </w:rPr>
      </w:pP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Zosúladenie ustanovenia súvisiaceho s plnením informačných povinností dohliadaných subjektov s obdobnými účinnými ustanoveniami v zákone o bankách, čím sa zabezpečí rovnaký už osvedčený postup v tejto oblasti.</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numPr>
          <w:ilvl w:val="0"/>
          <w:numId w:val="4"/>
        </w:numPr>
        <w:spacing w:after="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V čl. I v § 12 sa za slovami „služieb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vypúšťajú slová „podľa osobitného predpisu“.</w:t>
      </w:r>
    </w:p>
    <w:p w:rsidR="00591697" w:rsidRPr="00591697" w:rsidRDefault="00591697" w:rsidP="00591697">
      <w:pPr>
        <w:spacing w:after="200" w:line="276" w:lineRule="auto"/>
        <w:ind w:left="2832"/>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Legislatívno-technická úprava v súvislosti s vypustením nadbytočných slov v súlade s zaužívanou legislatívnou technikou </w:t>
      </w:r>
      <w:r w:rsidRPr="00591697">
        <w:rPr>
          <w:rFonts w:ascii="Times New Roman" w:eastAsia="Calibri" w:hAnsi="Times New Roman" w:cs="Times New Roman"/>
          <w:sz w:val="24"/>
          <w:szCs w:val="24"/>
        </w:rPr>
        <w:lastRenderedPageBreak/>
        <w:t xml:space="preserve">použitou aj v návrhu zákona (napr. § 2 ods. 1 a 3 – odkazy 2, 3 a 9, § 3 ods. 1 – odkazy 16, 18  a19), kedy sa pri definíciách pojmov, nachádzajúcich sa v nariadeniach EÚ, používa odkaz umiestnený bezprostredne nad pojmom, ktorý sa definuje, pri jeho prvom použití v právnom texte, pričom v príslušnej poznámke pod čiarou je konkretizované ustanovenie nariadenia EÚ. </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numPr>
          <w:ilvl w:val="0"/>
          <w:numId w:val="4"/>
        </w:numPr>
        <w:spacing w:after="0" w:line="240" w:lineRule="auto"/>
        <w:jc w:val="both"/>
        <w:rPr>
          <w:rFonts w:ascii="Times New Roman" w:eastAsia="Calibri" w:hAnsi="Times New Roman" w:cs="Times New Roman"/>
          <w:sz w:val="24"/>
          <w:szCs w:val="24"/>
        </w:rPr>
      </w:pPr>
      <w:r w:rsidRPr="00591697">
        <w:rPr>
          <w:rFonts w:ascii="Calibri" w:eastAsia="Calibri" w:hAnsi="Calibri" w:cs="Times New Roman"/>
        </w:rPr>
        <w:t xml:space="preserve"> </w:t>
      </w:r>
      <w:r w:rsidRPr="00591697">
        <w:rPr>
          <w:rFonts w:ascii="Times New Roman" w:eastAsia="Calibri" w:hAnsi="Times New Roman" w:cs="Times New Roman"/>
          <w:sz w:val="24"/>
          <w:szCs w:val="24"/>
        </w:rPr>
        <w:t>V čl.</w:t>
      </w:r>
      <w:r w:rsidRPr="00591697">
        <w:rPr>
          <w:rFonts w:ascii="Calibri" w:eastAsia="Calibri" w:hAnsi="Calibri" w:cs="Times New Roman"/>
        </w:rPr>
        <w:sym w:font="Times New Roman" w:char="00A0"/>
      </w:r>
      <w:r w:rsidRPr="00591697">
        <w:rPr>
          <w:rFonts w:ascii="Times New Roman" w:eastAsia="Calibri" w:hAnsi="Times New Roman" w:cs="Times New Roman"/>
          <w:sz w:val="24"/>
          <w:szCs w:val="24"/>
        </w:rPr>
        <w:t>I, v § 12 sa slová „1. júla 2026“ nahrádzajú slovami „30. decembra 2025“ a slová „1. júlom 2026“ sa nahrádzajú slovami „30. decembrom 2025“.</w:t>
      </w:r>
    </w:p>
    <w:p w:rsidR="00591697" w:rsidRPr="00591697" w:rsidRDefault="00591697" w:rsidP="00591697">
      <w:pPr>
        <w:spacing w:after="0" w:line="240" w:lineRule="auto"/>
        <w:ind w:left="360"/>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 xml:space="preserve">Na poskytovanie služieb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v súčasnosti v Slovenskej republike postačuje živnostenské oprávnenie (viazaná živnosť – poskytovanie služieb zmenárne virtuálnej meny a poskytovanie služieb peňaženky virtuálnej meny). Podmienky na získanie živnostenského oprávnenia sú veľmi ľahko splniteľné, vďaka čomu disponujú týmito živnosťami stovky subjektov. Slovenská republika je aj medzinárodne vnímaná ako jurisdikcia, kde je veľmi ľahké poskytovať služby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bez potreby splnenia podmienok, ktoré sú bežné v mnohých iných členských štátoch. Súčasný stav výrazne zvyšuje riziko prania špinavých peňazí ako aj vykonávania ďalších trestných činov prostredníctvom poskytovateľov služieb peňaženky virtuálnej meny a zmenárne virtuálnej meny. </w:t>
      </w: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 xml:space="preserve">Na základe návrhu zákona by tieto subjekty mohli pokračovať vo svojej činnosti počas prechodného obdobia ďalších 18 mesiacov. Toto prechodné obdobie by mali využiť na získanie príslušného povolenia na poskytovanie služieb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Na základe čl. 143 ods. 3 nariadenia Európskeho parlamentu a Rady (EÚ) 2023/1114 o trhoch s </w:t>
      </w:r>
      <w:proofErr w:type="spellStart"/>
      <w:r w:rsidRPr="00591697">
        <w:rPr>
          <w:rFonts w:ascii="Times New Roman" w:eastAsia="Times New Roman" w:hAnsi="Times New Roman" w:cs="Times New Roman"/>
          <w:iCs/>
          <w:sz w:val="24"/>
          <w:szCs w:val="24"/>
          <w:lang w:eastAsia="sk-SK"/>
        </w:rPr>
        <w:t>kryptoaktívami</w:t>
      </w:r>
      <w:proofErr w:type="spellEnd"/>
      <w:r w:rsidRPr="00591697">
        <w:rPr>
          <w:rFonts w:ascii="Times New Roman" w:eastAsia="Times New Roman" w:hAnsi="Times New Roman" w:cs="Times New Roman"/>
          <w:iCs/>
          <w:sz w:val="24"/>
          <w:szCs w:val="24"/>
          <w:lang w:eastAsia="sk-SK"/>
        </w:rPr>
        <w:t xml:space="preserve"> a o zmene nariadení (EÚ) č. 1093/2010 a (EÚ) č. 1095/2010 a smerníc 2013/36/EÚ a (EÚ) 2019/1937 má Slovenská republika možnosť skrátiť trvanie prechodného obdobia. Vzhľadom na vyššie uvedené riziká sa navrhuje skrátenie prechodného obdobia o 6 mesiacov. Prechodné obdobie v trvaní 12 mesiacov by malo byť postačujúce na získanie príslušného povolenia na poskytovanie služieb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 xml:space="preserve"> a zároveň by prispelo k skoršiemu obmedzeniu prania špinavých peňazí a vykonávania ďalších trestných činov prostredníctvom poskytovateľov služieb peňaženky virtuálnej meny a poskytovateľov služieb zmenárne virtuálnej meny.</w:t>
      </w:r>
      <w:r w:rsidRPr="00591697">
        <w:rPr>
          <w:rFonts w:ascii="Times New Roman" w:eastAsia="Times New Roman" w:hAnsi="Times New Roman" w:cs="Times New Roman"/>
          <w:sz w:val="24"/>
          <w:szCs w:val="24"/>
          <w:lang w:eastAsia="sk-SK"/>
        </w:rPr>
        <w:t xml:space="preserve"> </w:t>
      </w:r>
      <w:r w:rsidRPr="00591697">
        <w:rPr>
          <w:rFonts w:ascii="Times New Roman" w:eastAsia="Times New Roman" w:hAnsi="Times New Roman" w:cs="Times New Roman"/>
          <w:iCs/>
          <w:sz w:val="24"/>
          <w:szCs w:val="24"/>
          <w:lang w:eastAsia="sk-SK"/>
        </w:rPr>
        <w:t xml:space="preserve">Navrhované 12 mesačné prechodné obdobie je v súlade s </w:t>
      </w:r>
      <w:hyperlink r:id="rId5" w:history="1">
        <w:r w:rsidRPr="00591697">
          <w:rPr>
            <w:rFonts w:ascii="Times New Roman" w:eastAsia="Times New Roman" w:hAnsi="Times New Roman" w:cs="Times New Roman"/>
            <w:iCs/>
            <w:color w:val="0563C1"/>
            <w:sz w:val="24"/>
            <w:szCs w:val="24"/>
            <w:u w:val="single"/>
            <w:lang w:eastAsia="sk-SK"/>
          </w:rPr>
          <w:t>odporúčaním</w:t>
        </w:r>
      </w:hyperlink>
      <w:r w:rsidRPr="00591697">
        <w:rPr>
          <w:rFonts w:ascii="Times New Roman" w:eastAsia="Times New Roman" w:hAnsi="Times New Roman" w:cs="Times New Roman"/>
          <w:iCs/>
          <w:color w:val="0563C1"/>
          <w:sz w:val="24"/>
          <w:szCs w:val="24"/>
          <w:u w:val="single"/>
          <w:lang w:eastAsia="sk-SK"/>
        </w:rPr>
        <w:t xml:space="preserve"> </w:t>
      </w:r>
      <w:r w:rsidRPr="00591697">
        <w:rPr>
          <w:rFonts w:ascii="Times New Roman" w:eastAsia="Times New Roman" w:hAnsi="Times New Roman" w:cs="Times New Roman"/>
          <w:iCs/>
          <w:sz w:val="24"/>
          <w:szCs w:val="24"/>
          <w:lang w:eastAsia="sk-SK"/>
        </w:rPr>
        <w:t xml:space="preserve">Európskeho orgánu pre cenné papiere a trhy (ESMA), ktorého členom je aj Národná banka Slovenska ako budúci orgán dohľadu nad sektorom </w:t>
      </w:r>
      <w:proofErr w:type="spellStart"/>
      <w:r w:rsidRPr="00591697">
        <w:rPr>
          <w:rFonts w:ascii="Times New Roman" w:eastAsia="Times New Roman" w:hAnsi="Times New Roman" w:cs="Times New Roman"/>
          <w:iCs/>
          <w:sz w:val="24"/>
          <w:szCs w:val="24"/>
          <w:lang w:eastAsia="sk-SK"/>
        </w:rPr>
        <w:t>kryptoaktív</w:t>
      </w:r>
      <w:proofErr w:type="spellEnd"/>
      <w:r w:rsidRPr="00591697">
        <w:rPr>
          <w:rFonts w:ascii="Times New Roman" w:eastAsia="Times New Roman" w:hAnsi="Times New Roman" w:cs="Times New Roman"/>
          <w:iCs/>
          <w:sz w:val="24"/>
          <w:szCs w:val="24"/>
          <w:lang w:eastAsia="sk-SK"/>
        </w:rPr>
        <w:t>.</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p>
    <w:p w:rsidR="00591697" w:rsidRPr="00591697" w:rsidRDefault="00591697" w:rsidP="00591697">
      <w:pPr>
        <w:numPr>
          <w:ilvl w:val="0"/>
          <w:numId w:val="4"/>
        </w:numPr>
        <w:spacing w:after="20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V čl. III v bode 3 v § 96d ods. 7 v tretej vete sa slová „vlastník </w:t>
      </w:r>
      <w:proofErr w:type="spellStart"/>
      <w:r w:rsidRPr="00591697">
        <w:rPr>
          <w:rFonts w:ascii="Times New Roman" w:eastAsia="Calibri" w:hAnsi="Times New Roman" w:cs="Times New Roman"/>
          <w:sz w:val="24"/>
          <w:szCs w:val="24"/>
        </w:rPr>
        <w:t>kryptoaktíva</w:t>
      </w:r>
      <w:proofErr w:type="spellEnd"/>
      <w:r w:rsidRPr="00591697">
        <w:rPr>
          <w:rFonts w:ascii="Times New Roman" w:eastAsia="Calibri" w:hAnsi="Times New Roman" w:cs="Times New Roman"/>
          <w:sz w:val="24"/>
          <w:szCs w:val="24"/>
        </w:rPr>
        <w:t xml:space="preserve"> alebo“ nahrádzajú slovami „vlastník </w:t>
      </w:r>
      <w:proofErr w:type="spellStart"/>
      <w:r w:rsidRPr="00591697">
        <w:rPr>
          <w:rFonts w:ascii="Times New Roman" w:eastAsia="Calibri" w:hAnsi="Times New Roman" w:cs="Times New Roman"/>
          <w:sz w:val="24"/>
          <w:szCs w:val="24"/>
        </w:rPr>
        <w:t>kryptoaktíva</w:t>
      </w:r>
      <w:proofErr w:type="spellEnd"/>
      <w:r w:rsidRPr="00591697">
        <w:rPr>
          <w:rFonts w:ascii="Times New Roman" w:eastAsia="Calibri" w:hAnsi="Times New Roman" w:cs="Times New Roman"/>
          <w:sz w:val="24"/>
          <w:szCs w:val="24"/>
        </w:rPr>
        <w:t>, ktoré bolo zaistené, alebo“.</w:t>
      </w:r>
    </w:p>
    <w:p w:rsidR="00591697" w:rsidRPr="00591697" w:rsidRDefault="00591697" w:rsidP="00591697">
      <w:pPr>
        <w:spacing w:after="200" w:line="276" w:lineRule="auto"/>
        <w:ind w:left="2832"/>
        <w:contextualSpacing/>
        <w:jc w:val="both"/>
        <w:rPr>
          <w:rFonts w:ascii="Times New Roman" w:eastAsia="Calibri" w:hAnsi="Times New Roman" w:cs="Times New Roman"/>
          <w:sz w:val="24"/>
          <w:szCs w:val="24"/>
        </w:rPr>
      </w:pPr>
    </w:p>
    <w:p w:rsidR="00591697" w:rsidRPr="00591697" w:rsidRDefault="00591697" w:rsidP="00591697">
      <w:pPr>
        <w:spacing w:after="200" w:line="276" w:lineRule="auto"/>
        <w:ind w:left="2832"/>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Spresnenie dikcie ustanovenia v kontexte s prvou vetou.</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tabs>
          <w:tab w:val="left" w:pos="993"/>
        </w:tabs>
        <w:spacing w:after="0" w:line="240" w:lineRule="auto"/>
        <w:ind w:left="720" w:firstLine="979"/>
        <w:jc w:val="both"/>
        <w:rPr>
          <w:rFonts w:ascii="Times New Roman" w:eastAsia="Times New Roman" w:hAnsi="Times New Roman" w:cs="Times New Roman"/>
          <w:b/>
          <w:sz w:val="24"/>
          <w:szCs w:val="24"/>
          <w:lang w:eastAsia="sk-SK"/>
        </w:rPr>
      </w:pPr>
      <w:r w:rsidRPr="00591697">
        <w:rPr>
          <w:rFonts w:ascii="Times New Roman" w:eastAsia="Times New Roman" w:hAnsi="Times New Roman" w:cs="Times New Roman"/>
          <w:b/>
          <w:sz w:val="24"/>
          <w:szCs w:val="20"/>
          <w:lang w:eastAsia="sk-SK"/>
        </w:rPr>
        <w:t xml:space="preserve">   </w:t>
      </w:r>
    </w:p>
    <w:p w:rsidR="00591697" w:rsidRPr="00591697" w:rsidRDefault="00591697" w:rsidP="00591697">
      <w:pPr>
        <w:numPr>
          <w:ilvl w:val="0"/>
          <w:numId w:val="4"/>
        </w:numPr>
        <w:spacing w:after="20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lastRenderedPageBreak/>
        <w:t>V čl. IV bod 1 znie:</w:t>
      </w:r>
    </w:p>
    <w:p w:rsidR="00591697" w:rsidRPr="00591697" w:rsidRDefault="00591697" w:rsidP="00591697">
      <w:pPr>
        <w:spacing w:after="200" w:line="360" w:lineRule="auto"/>
        <w:ind w:left="708" w:firstLine="282"/>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„1. V § 3 ods. 2 písm. a) sa za slovo „úvery,</w:t>
      </w:r>
      <w:r w:rsidRPr="00591697">
        <w:rPr>
          <w:rFonts w:ascii="Times New Roman" w:eastAsia="Calibri" w:hAnsi="Times New Roman" w:cs="Times New Roman"/>
          <w:sz w:val="24"/>
          <w:szCs w:val="24"/>
          <w:vertAlign w:val="superscript"/>
        </w:rPr>
        <w:t>14b</w:t>
      </w:r>
      <w:r w:rsidRPr="00591697">
        <w:rPr>
          <w:rFonts w:ascii="Times New Roman" w:eastAsia="Calibri" w:hAnsi="Times New Roman" w:cs="Times New Roman"/>
          <w:sz w:val="24"/>
          <w:szCs w:val="24"/>
        </w:rPr>
        <w:t>)“ vkladajú slová „emitentov tokenov naviazaných na aktíva,</w:t>
      </w:r>
      <w:r w:rsidRPr="00591697">
        <w:rPr>
          <w:rFonts w:ascii="Times New Roman" w:eastAsia="Calibri" w:hAnsi="Times New Roman" w:cs="Times New Roman"/>
          <w:sz w:val="24"/>
          <w:szCs w:val="24"/>
          <w:vertAlign w:val="superscript"/>
        </w:rPr>
        <w:t>14ba</w:t>
      </w:r>
      <w:r w:rsidRPr="00591697">
        <w:rPr>
          <w:rFonts w:ascii="Times New Roman" w:eastAsia="Calibri" w:hAnsi="Times New Roman" w:cs="Times New Roman"/>
          <w:sz w:val="24"/>
          <w:szCs w:val="24"/>
        </w:rPr>
        <w:t>) poskytovateľov služieb kryptoaktív,</w:t>
      </w:r>
      <w:r w:rsidRPr="00591697">
        <w:rPr>
          <w:rFonts w:ascii="Times New Roman" w:eastAsia="Calibri" w:hAnsi="Times New Roman" w:cs="Times New Roman"/>
          <w:sz w:val="24"/>
          <w:szCs w:val="24"/>
          <w:vertAlign w:val="superscript"/>
        </w:rPr>
        <w:t>14bb</w:t>
      </w:r>
      <w:r w:rsidRPr="00591697">
        <w:rPr>
          <w:rFonts w:ascii="Times New Roman" w:eastAsia="Calibri" w:hAnsi="Times New Roman" w:cs="Times New Roman"/>
          <w:sz w:val="24"/>
          <w:szCs w:val="24"/>
        </w:rPr>
        <w:t xml:space="preserve">) iných osôb oprávnených vykonávať činnosť v oblasti </w:t>
      </w:r>
      <w:proofErr w:type="spellStart"/>
      <w:r w:rsidRPr="00591697">
        <w:rPr>
          <w:rFonts w:ascii="Times New Roman" w:eastAsia="Calibri" w:hAnsi="Times New Roman" w:cs="Times New Roman"/>
          <w:sz w:val="24"/>
          <w:szCs w:val="24"/>
        </w:rPr>
        <w:t>kryptoaktív</w:t>
      </w:r>
      <w:proofErr w:type="spellEnd"/>
      <w:r w:rsidRPr="00591697">
        <w:rPr>
          <w:rFonts w:ascii="Times New Roman" w:eastAsia="Calibri" w:hAnsi="Times New Roman" w:cs="Times New Roman"/>
          <w:sz w:val="24"/>
          <w:szCs w:val="24"/>
        </w:rPr>
        <w:t xml:space="preserve"> podľa osobitných predpisov,</w:t>
      </w:r>
      <w:r w:rsidRPr="00591697">
        <w:rPr>
          <w:rFonts w:ascii="Times New Roman" w:eastAsia="Calibri" w:hAnsi="Times New Roman" w:cs="Times New Roman"/>
          <w:sz w:val="24"/>
          <w:szCs w:val="24"/>
          <w:vertAlign w:val="superscript"/>
        </w:rPr>
        <w:t>14bc</w:t>
      </w:r>
      <w:r w:rsidRPr="00591697">
        <w:rPr>
          <w:rFonts w:ascii="Times New Roman" w:eastAsia="Calibri" w:hAnsi="Times New Roman" w:cs="Times New Roman"/>
          <w:sz w:val="24"/>
          <w:szCs w:val="24"/>
        </w:rPr>
        <w:t>)“.</w:t>
      </w:r>
    </w:p>
    <w:p w:rsidR="00591697" w:rsidRPr="00591697" w:rsidRDefault="00591697" w:rsidP="00591697">
      <w:pPr>
        <w:spacing w:after="200" w:line="360" w:lineRule="auto"/>
        <w:ind w:left="426"/>
        <w:contextualSpacing/>
        <w:jc w:val="both"/>
        <w:rPr>
          <w:rFonts w:ascii="Times New Roman" w:eastAsia="Calibri" w:hAnsi="Times New Roman" w:cs="Times New Roman"/>
          <w:sz w:val="24"/>
          <w:szCs w:val="24"/>
        </w:rPr>
      </w:pPr>
    </w:p>
    <w:p w:rsidR="00591697" w:rsidRPr="00591697" w:rsidRDefault="00591697" w:rsidP="00591697">
      <w:pPr>
        <w:spacing w:after="200" w:line="360" w:lineRule="auto"/>
        <w:ind w:left="426" w:firstLine="282"/>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Poznámky pod čiarou k odkazom 14ba až 14bc znejú:</w:t>
      </w:r>
    </w:p>
    <w:p w:rsidR="00591697" w:rsidRPr="00591697" w:rsidRDefault="00591697" w:rsidP="00591697">
      <w:pPr>
        <w:spacing w:after="200" w:line="360" w:lineRule="auto"/>
        <w:ind w:left="851" w:hanging="143"/>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w:t>
      </w:r>
      <w:r w:rsidRPr="00591697">
        <w:rPr>
          <w:rFonts w:ascii="Times New Roman" w:eastAsia="Calibri" w:hAnsi="Times New Roman" w:cs="Times New Roman"/>
          <w:sz w:val="24"/>
          <w:szCs w:val="24"/>
          <w:vertAlign w:val="superscript"/>
        </w:rPr>
        <w:t>14ba</w:t>
      </w:r>
      <w:r w:rsidRPr="00591697">
        <w:rPr>
          <w:rFonts w:ascii="Times New Roman" w:eastAsia="Calibri" w:hAnsi="Times New Roman" w:cs="Times New Roman"/>
          <w:sz w:val="24"/>
          <w:szCs w:val="24"/>
        </w:rPr>
        <w:t>) Čl. 3 ods. 1 bod 6 nariadenia Európskeho parlamentu a Rady (EÚ) 2023/1114 z 31. mája 2023 o trhoch s </w:t>
      </w:r>
      <w:proofErr w:type="spellStart"/>
      <w:r w:rsidRPr="00591697">
        <w:rPr>
          <w:rFonts w:ascii="Times New Roman" w:eastAsia="Calibri" w:hAnsi="Times New Roman" w:cs="Times New Roman"/>
          <w:sz w:val="24"/>
          <w:szCs w:val="24"/>
        </w:rPr>
        <w:t>kryptoaktívami</w:t>
      </w:r>
      <w:proofErr w:type="spellEnd"/>
      <w:r w:rsidRPr="00591697">
        <w:rPr>
          <w:rFonts w:ascii="Times New Roman" w:eastAsia="Calibri" w:hAnsi="Times New Roman" w:cs="Times New Roman"/>
          <w:sz w:val="24"/>
          <w:szCs w:val="24"/>
        </w:rPr>
        <w:t xml:space="preserve"> a o zmene nariadení (EÚ) č. 1093/2010 a (EÚ) č. 1095/2010 a smerníc 2013/36/EÚ a (EÚ) 2019/1937 (Ú. v. EÚ L 150, 9.6.2023) v platnom znení.</w:t>
      </w:r>
    </w:p>
    <w:p w:rsidR="00591697" w:rsidRPr="00591697" w:rsidRDefault="00591697" w:rsidP="00591697">
      <w:pPr>
        <w:spacing w:after="200" w:line="360" w:lineRule="auto"/>
        <w:ind w:left="851" w:hanging="143"/>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vertAlign w:val="superscript"/>
        </w:rPr>
        <w:t>14bb</w:t>
      </w:r>
      <w:r w:rsidRPr="00591697">
        <w:rPr>
          <w:rFonts w:ascii="Times New Roman" w:eastAsia="Calibri" w:hAnsi="Times New Roman" w:cs="Times New Roman"/>
          <w:sz w:val="24"/>
          <w:szCs w:val="24"/>
        </w:rPr>
        <w:t>) Čl. 3 ods. 1 bod 15 nariadenia (EÚ) 2023/1114 v platnom znení.</w:t>
      </w:r>
    </w:p>
    <w:p w:rsidR="00591697" w:rsidRPr="00591697" w:rsidRDefault="00591697" w:rsidP="00591697">
      <w:pPr>
        <w:keepNext/>
        <w:spacing w:after="200" w:line="360" w:lineRule="auto"/>
        <w:ind w:left="851" w:hanging="143"/>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vertAlign w:val="superscript"/>
        </w:rPr>
        <w:t>14bc</w:t>
      </w:r>
      <w:r w:rsidRPr="00591697">
        <w:rPr>
          <w:rFonts w:ascii="Times New Roman" w:eastAsia="Calibri" w:hAnsi="Times New Roman" w:cs="Times New Roman"/>
          <w:sz w:val="24"/>
          <w:szCs w:val="24"/>
        </w:rPr>
        <w:t xml:space="preserve">) Nariadenie (EÚ) 2023/1114 v platnom znení. </w:t>
      </w:r>
    </w:p>
    <w:p w:rsidR="00591697" w:rsidRPr="00591697" w:rsidRDefault="00591697" w:rsidP="00591697">
      <w:pPr>
        <w:keepNext/>
        <w:spacing w:after="200" w:line="360" w:lineRule="auto"/>
        <w:ind w:left="851"/>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Zákon č. .../2024 Z. z. </w:t>
      </w:r>
      <w:r w:rsidRPr="00591697">
        <w:rPr>
          <w:rFonts w:ascii="Times New Roman" w:eastAsia="Calibri" w:hAnsi="Times New Roman" w:cs="Times New Roman"/>
          <w:bCs/>
          <w:sz w:val="24"/>
          <w:szCs w:val="24"/>
        </w:rPr>
        <w:t xml:space="preserve">o niektorých povinnostiach a oprávneniach v oblasti </w:t>
      </w:r>
      <w:proofErr w:type="spellStart"/>
      <w:r w:rsidRPr="00591697">
        <w:rPr>
          <w:rFonts w:ascii="Times New Roman" w:eastAsia="Calibri" w:hAnsi="Times New Roman" w:cs="Times New Roman"/>
          <w:bCs/>
          <w:sz w:val="24"/>
          <w:szCs w:val="24"/>
        </w:rPr>
        <w:t>kryptoaktív</w:t>
      </w:r>
      <w:proofErr w:type="spellEnd"/>
      <w:r w:rsidRPr="00591697">
        <w:rPr>
          <w:rFonts w:ascii="Times New Roman" w:eastAsia="Calibri" w:hAnsi="Times New Roman" w:cs="Times New Roman"/>
          <w:bCs/>
          <w:sz w:val="24"/>
          <w:szCs w:val="24"/>
        </w:rPr>
        <w:t xml:space="preserve"> a o zmene a doplnení niektorých zákonov.</w:t>
      </w:r>
      <w:r w:rsidRPr="00591697">
        <w:rPr>
          <w:rFonts w:ascii="Times New Roman" w:eastAsia="Calibri" w:hAnsi="Times New Roman" w:cs="Times New Roman"/>
          <w:sz w:val="24"/>
          <w:szCs w:val="24"/>
        </w:rPr>
        <w:t>“.“.</w:t>
      </w:r>
    </w:p>
    <w:p w:rsidR="00591697" w:rsidRPr="00591697" w:rsidRDefault="00591697" w:rsidP="00591697">
      <w:pPr>
        <w:keepNext/>
        <w:spacing w:after="200" w:line="360" w:lineRule="auto"/>
        <w:ind w:left="851"/>
        <w:contextualSpacing/>
        <w:jc w:val="both"/>
        <w:rPr>
          <w:rFonts w:ascii="Times New Roman" w:eastAsia="Calibri" w:hAnsi="Times New Roman" w:cs="Times New Roman"/>
          <w:sz w:val="24"/>
          <w:szCs w:val="24"/>
        </w:rPr>
      </w:pPr>
    </w:p>
    <w:p w:rsidR="00591697" w:rsidRPr="00591697" w:rsidRDefault="00591697" w:rsidP="00591697">
      <w:pPr>
        <w:keepNext/>
        <w:spacing w:after="200" w:line="276" w:lineRule="auto"/>
        <w:ind w:left="2835"/>
        <w:contextualSpacing/>
        <w:jc w:val="both"/>
        <w:rPr>
          <w:rFonts w:ascii="Times New Roman" w:eastAsia="Calibri" w:hAnsi="Times New Roman" w:cs="Times New Roman"/>
          <w:sz w:val="24"/>
          <w:szCs w:val="24"/>
        </w:rPr>
      </w:pPr>
      <w:proofErr w:type="spellStart"/>
      <w:r w:rsidRPr="00591697">
        <w:rPr>
          <w:rFonts w:ascii="Times New Roman" w:eastAsia="Calibri" w:hAnsi="Times New Roman" w:cs="Times New Roman"/>
          <w:sz w:val="24"/>
          <w:szCs w:val="24"/>
        </w:rPr>
        <w:t>Legislatívno</w:t>
      </w:r>
      <w:proofErr w:type="spellEnd"/>
      <w:r w:rsidRPr="00591697">
        <w:rPr>
          <w:rFonts w:ascii="Times New Roman" w:eastAsia="Calibri" w:hAnsi="Times New Roman" w:cs="Times New Roman"/>
          <w:sz w:val="24"/>
          <w:szCs w:val="24"/>
        </w:rPr>
        <w:t xml:space="preserve"> – technická oprava nesprávne dopĺňaných nových slov, nesprávne formulovanej zmeny platného ustanovenia a  označených vkladaných poznámok pod čiarou a doplnenie čiarky za slovami „osobitných predpisov“.</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sz w:val="24"/>
          <w:szCs w:val="24"/>
        </w:rPr>
      </w:pPr>
    </w:p>
    <w:p w:rsidR="00591697" w:rsidRPr="00591697" w:rsidRDefault="00591697" w:rsidP="00591697">
      <w:pPr>
        <w:numPr>
          <w:ilvl w:val="0"/>
          <w:numId w:val="4"/>
        </w:numPr>
        <w:spacing w:after="20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V čl. IV v bode 2 sa označenie vkladaného „§ 80ao“ nahrádza označením „§ 80ap“ pričom sa táto zmena premietne do úvodnej vety tohto bodu a zmení sa označenie        „§ 80an“ na označenie „§ 80ao“.</w:t>
      </w:r>
    </w:p>
    <w:p w:rsidR="00591697" w:rsidRPr="00591697" w:rsidRDefault="00591697" w:rsidP="00591697">
      <w:pPr>
        <w:spacing w:after="200" w:line="240" w:lineRule="auto"/>
        <w:ind w:left="2835"/>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Oprava označenia dopĺňaného prechodného ustanovenia s ohľadom na medzičasom doplnený § 80ao zákonom č.  161/2024 Z. z., ktorým sa mení a dopĺňa zákon č. 143/1998 Z. z. o civilnom letectve (letecký zákon) a o zmene a doplnení niektorých zákonov v znení neskorších predpisov a ktorým sa menia a dopĺňajú niektoré zákony.</w:t>
      </w:r>
    </w:p>
    <w:p w:rsidR="00591697" w:rsidRPr="00591697" w:rsidRDefault="00591697" w:rsidP="00591697">
      <w:pPr>
        <w:keepNext/>
        <w:numPr>
          <w:ilvl w:val="0"/>
          <w:numId w:val="4"/>
        </w:numPr>
        <w:spacing w:after="0" w:line="240" w:lineRule="auto"/>
        <w:jc w:val="both"/>
        <w:rPr>
          <w:rFonts w:ascii="Times New Roman" w:eastAsia="Calibri" w:hAnsi="Times New Roman" w:cs="Times New Roman"/>
          <w:sz w:val="24"/>
        </w:rPr>
      </w:pPr>
      <w:r w:rsidRPr="00591697">
        <w:rPr>
          <w:rFonts w:ascii="Times New Roman" w:eastAsia="Calibri" w:hAnsi="Times New Roman" w:cs="Times New Roman"/>
          <w:sz w:val="24"/>
        </w:rPr>
        <w:t>V čl. IV v bode 2 sa slová „1. júla 2026“ nahrádzajú slovami „30. decembra 2025“ a slová „1. júlom 2026“ sa nahrádzajú slovami „30. decembrom 2025“.</w:t>
      </w:r>
    </w:p>
    <w:p w:rsidR="00591697" w:rsidRPr="00591697" w:rsidRDefault="00591697" w:rsidP="00591697">
      <w:pPr>
        <w:spacing w:after="0" w:line="240" w:lineRule="auto"/>
        <w:ind w:left="426"/>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 xml:space="preserve">V súvislosti so skrátením prechodného obdobia v čl. I v § 12 je nutné upraviť znenie a skrátiť prechodné obdobie aj vo vecne súvisiacom § 80ao Živnostenského zákona. </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spacing w:after="0" w:line="240" w:lineRule="auto"/>
        <w:ind w:left="426"/>
        <w:jc w:val="both"/>
        <w:rPr>
          <w:rFonts w:ascii="Times New Roman" w:eastAsia="Times New Roman" w:hAnsi="Times New Roman" w:cs="Times New Roman"/>
          <w:sz w:val="24"/>
          <w:szCs w:val="24"/>
          <w:lang w:eastAsia="sk-SK"/>
        </w:rPr>
      </w:pPr>
    </w:p>
    <w:p w:rsidR="00591697" w:rsidRPr="00591697" w:rsidRDefault="00591697" w:rsidP="00591697">
      <w:pPr>
        <w:numPr>
          <w:ilvl w:val="0"/>
          <w:numId w:val="4"/>
        </w:numPr>
        <w:spacing w:after="20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V čl. V bod 4 znie:</w:t>
      </w:r>
    </w:p>
    <w:p w:rsidR="00591697" w:rsidRPr="00591697" w:rsidRDefault="00591697" w:rsidP="00591697">
      <w:pPr>
        <w:spacing w:after="200" w:line="360" w:lineRule="auto"/>
        <w:ind w:left="92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lastRenderedPageBreak/>
        <w:t>„4. V § 3 ods. 1 prvej vete sa čiarka za slovom „vklady“ nahrádza bodkou a vypúšťajú sa slová „ak osobitný predpis neustanovuje inak.</w:t>
      </w:r>
      <w:r w:rsidRPr="00591697">
        <w:rPr>
          <w:rFonts w:ascii="Times New Roman" w:eastAsia="Calibri" w:hAnsi="Times New Roman" w:cs="Times New Roman"/>
          <w:sz w:val="24"/>
          <w:szCs w:val="24"/>
          <w:vertAlign w:val="superscript"/>
        </w:rPr>
        <w:t>5</w:t>
      </w:r>
      <w:r w:rsidRPr="00591697">
        <w:rPr>
          <w:rFonts w:ascii="Times New Roman" w:eastAsia="Calibri" w:hAnsi="Times New Roman" w:cs="Times New Roman"/>
          <w:sz w:val="24"/>
          <w:szCs w:val="24"/>
        </w:rPr>
        <w:t>)“.“.</w:t>
      </w:r>
    </w:p>
    <w:p w:rsidR="00591697" w:rsidRPr="00591697" w:rsidRDefault="00591697" w:rsidP="00591697">
      <w:pPr>
        <w:spacing w:after="200" w:line="276" w:lineRule="auto"/>
        <w:ind w:left="92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ab/>
      </w:r>
      <w:r w:rsidRPr="00591697">
        <w:rPr>
          <w:rFonts w:ascii="Times New Roman" w:eastAsia="Calibri" w:hAnsi="Times New Roman" w:cs="Times New Roman"/>
          <w:sz w:val="24"/>
          <w:szCs w:val="24"/>
        </w:rPr>
        <w:tab/>
      </w:r>
    </w:p>
    <w:p w:rsidR="00591697" w:rsidRPr="00591697" w:rsidRDefault="00591697" w:rsidP="00591697">
      <w:pPr>
        <w:tabs>
          <w:tab w:val="left" w:pos="2835"/>
        </w:tabs>
        <w:spacing w:after="200" w:line="276" w:lineRule="auto"/>
        <w:ind w:left="927"/>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ab/>
      </w:r>
      <w:proofErr w:type="spellStart"/>
      <w:r w:rsidRPr="00591697">
        <w:rPr>
          <w:rFonts w:ascii="Times New Roman" w:eastAsia="Calibri" w:hAnsi="Times New Roman" w:cs="Times New Roman"/>
          <w:sz w:val="24"/>
          <w:szCs w:val="24"/>
        </w:rPr>
        <w:t>Legislatívno</w:t>
      </w:r>
      <w:proofErr w:type="spellEnd"/>
      <w:r w:rsidRPr="00591697">
        <w:rPr>
          <w:rFonts w:ascii="Times New Roman" w:eastAsia="Calibri" w:hAnsi="Times New Roman" w:cs="Times New Roman"/>
          <w:sz w:val="24"/>
          <w:szCs w:val="24"/>
        </w:rPr>
        <w:t xml:space="preserve"> – technická úprava dikcie ustanovenia.</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numPr>
          <w:ilvl w:val="0"/>
          <w:numId w:val="4"/>
        </w:numPr>
        <w:spacing w:after="20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V čl. V </w:t>
      </w:r>
      <w:proofErr w:type="spellStart"/>
      <w:r w:rsidRPr="00591697">
        <w:rPr>
          <w:rFonts w:ascii="Times New Roman" w:eastAsia="Calibri" w:hAnsi="Times New Roman" w:cs="Times New Roman"/>
          <w:sz w:val="24"/>
          <w:szCs w:val="24"/>
        </w:rPr>
        <w:t>v</w:t>
      </w:r>
      <w:proofErr w:type="spellEnd"/>
      <w:r w:rsidRPr="00591697">
        <w:rPr>
          <w:rFonts w:ascii="Times New Roman" w:eastAsia="Calibri" w:hAnsi="Times New Roman" w:cs="Times New Roman"/>
          <w:sz w:val="24"/>
          <w:szCs w:val="24"/>
        </w:rPr>
        <w:t> bode 21 v § 20ab ods. 4 sa slová „alebo rozhodnutie“ nahrádzajú slovami „alebo na rozhodnutie“.</w:t>
      </w:r>
    </w:p>
    <w:p w:rsidR="00591697" w:rsidRPr="00591697" w:rsidRDefault="00591697" w:rsidP="00591697">
      <w:pPr>
        <w:spacing w:after="200" w:line="276" w:lineRule="auto"/>
        <w:ind w:left="2835"/>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Gramatická úprava textu.</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numPr>
          <w:ilvl w:val="0"/>
          <w:numId w:val="4"/>
        </w:numPr>
        <w:spacing w:after="0" w:line="240" w:lineRule="auto"/>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V čl. V bode 21 v § 20ab ods. 9 sa za slovo „požadovať“ vkladajú slová „od finančnej holdingovej spoločnosti alebo zmiešanej finančnej holdingovej spoločnosti“.</w:t>
      </w:r>
    </w:p>
    <w:p w:rsidR="00591697" w:rsidRPr="00591697" w:rsidRDefault="00591697" w:rsidP="00591697">
      <w:pPr>
        <w:spacing w:after="0" w:line="240" w:lineRule="auto"/>
        <w:ind w:left="720"/>
        <w:contextualSpacing/>
        <w:jc w:val="both"/>
        <w:rPr>
          <w:rFonts w:ascii="Times New Roman" w:eastAsia="Calibri" w:hAnsi="Times New Roman" w:cs="Times New Roman"/>
          <w:sz w:val="24"/>
          <w:szCs w:val="24"/>
          <w:u w:val="single"/>
        </w:rPr>
      </w:pP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 xml:space="preserve">Precizovanie ustanovenia z dôvodu dôslednej transpozície čl. 21a ods. 2 písm. e) smernice 2013/36/EÚ v súlade s pripomienkou odboru legislatívy a aproximácie práva Kancelárie Národnej rady SR. </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numPr>
          <w:ilvl w:val="0"/>
          <w:numId w:val="4"/>
        </w:numPr>
        <w:spacing w:after="0" w:line="240" w:lineRule="auto"/>
        <w:jc w:val="both"/>
        <w:rPr>
          <w:rFonts w:ascii="Times New Roman" w:eastAsia="Calibri" w:hAnsi="Times New Roman" w:cs="Times New Roman"/>
          <w:sz w:val="24"/>
        </w:rPr>
      </w:pPr>
      <w:bookmarkStart w:id="0" w:name="_GoBack"/>
      <w:bookmarkEnd w:id="0"/>
      <w:r w:rsidRPr="00591697">
        <w:rPr>
          <w:rFonts w:ascii="Times New Roman" w:eastAsia="Calibri" w:hAnsi="Times New Roman" w:cs="Times New Roman"/>
          <w:sz w:val="24"/>
        </w:rPr>
        <w:t>V čl. V sa za doterajší bod 24 vkladá nový bod 25, ktorý znie:</w:t>
      </w:r>
    </w:p>
    <w:p w:rsidR="00591697" w:rsidRPr="00591697" w:rsidRDefault="00591697" w:rsidP="00591697">
      <w:pPr>
        <w:tabs>
          <w:tab w:val="left" w:pos="993"/>
        </w:tabs>
        <w:spacing w:after="0" w:line="240" w:lineRule="auto"/>
        <w:ind w:left="709"/>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„25. V § 27 sa odsek 9 dopĺňa písmenom d) ktoré znie:</w:t>
      </w:r>
    </w:p>
    <w:p w:rsidR="00591697" w:rsidRPr="00591697" w:rsidRDefault="00591697" w:rsidP="00591697">
      <w:pPr>
        <w:spacing w:after="0" w:line="240" w:lineRule="auto"/>
        <w:ind w:left="1560" w:hanging="426"/>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„d) rozlišovať medzi založenými aktívami a nezaťaženými aktívami tak, aby zohľadnili právnickú osobu, v ktorej sa aktíva nachádzajú, štát, v ktorom sú evidované alebo registrované, ich prípustnosť a zabezpečiť monitorovanie za účelom ich dostupnosti najmä počas krízovej situácie.“.“.</w:t>
      </w:r>
    </w:p>
    <w:p w:rsidR="00591697" w:rsidRPr="00591697" w:rsidRDefault="00591697" w:rsidP="00591697">
      <w:pPr>
        <w:spacing w:after="0" w:line="240" w:lineRule="auto"/>
        <w:ind w:left="426"/>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851"/>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Nasledujúce body sa primerane prečíslujú.</w:t>
      </w:r>
    </w:p>
    <w:p w:rsidR="00591697" w:rsidRPr="00591697" w:rsidRDefault="00591697" w:rsidP="00591697">
      <w:pPr>
        <w:spacing w:after="0" w:line="240" w:lineRule="auto"/>
        <w:ind w:left="851"/>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851"/>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Tento nový bod nadobúda účinnosť 1. novembra 2024, čo sa premietne do ustanovenia o účinnosti zákona pri spracúvaní čistopisu schváleného znenia.</w:t>
      </w:r>
    </w:p>
    <w:p w:rsidR="00591697" w:rsidRPr="00591697" w:rsidRDefault="00591697" w:rsidP="00591697">
      <w:pPr>
        <w:spacing w:after="0" w:line="240" w:lineRule="auto"/>
        <w:ind w:left="426"/>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 xml:space="preserve">Dôsledná transpozícia čl. 86 ods. 5 smernice 2013/36/EÚ, ktorú vytkla Európska komisia. Banky a pobočky zahraničných bánk budú povinné rozlišovať medzi založenými aktívami (aktívami poskytnutými ako zabezpečenie) a nezaťaženými aktívami, ktoré sú vždy dostupné, najmä v naliehavých situáciách. Taktiež musia zohľadňovať právnickú osobu, v ktorej sa aktíva nachádzajú, štát, v ktorom sú aktíva v súlade so zákonom evidované alebo registrované, prípustnosť aktív a musia sledovať ich dostupnosť, najmä počas krízovej situácie. </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numPr>
          <w:ilvl w:val="0"/>
          <w:numId w:val="4"/>
        </w:numPr>
        <w:spacing w:after="20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V čl. V </w:t>
      </w:r>
      <w:proofErr w:type="spellStart"/>
      <w:r w:rsidRPr="00591697">
        <w:rPr>
          <w:rFonts w:ascii="Times New Roman" w:eastAsia="Calibri" w:hAnsi="Times New Roman" w:cs="Times New Roman"/>
          <w:sz w:val="24"/>
          <w:szCs w:val="24"/>
        </w:rPr>
        <w:t>v</w:t>
      </w:r>
      <w:proofErr w:type="spellEnd"/>
      <w:r w:rsidRPr="00591697">
        <w:rPr>
          <w:rFonts w:ascii="Times New Roman" w:eastAsia="Calibri" w:hAnsi="Times New Roman" w:cs="Times New Roman"/>
          <w:sz w:val="24"/>
          <w:szCs w:val="24"/>
        </w:rPr>
        <w:t> bode 42 sa označenie vkladaných „§ 122yg“ a „§ 122yh“ nahrádza označením „§ 122yh“ a „§ 122yi“ pričom sa táto zmena premietne do úvodnej vety tohto bodu + do čl. XIII a zmení sa označenie  „§ 122yf“ na označenie „§ 122yg“.</w:t>
      </w:r>
    </w:p>
    <w:p w:rsidR="00591697" w:rsidRPr="00591697" w:rsidRDefault="00591697" w:rsidP="00591697">
      <w:pPr>
        <w:spacing w:after="200" w:line="240" w:lineRule="auto"/>
        <w:ind w:left="2832"/>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Oprava označenia dopĺňaných prechodných ustanovení s ohľadom na medzičasom doplnený § 122yg zákonom č.  108/2024 Z. z. o ochrane spotrebiteľa a o zmene a doplnení niektorých zákonov.</w:t>
      </w:r>
    </w:p>
    <w:p w:rsidR="00591697" w:rsidRPr="00591697" w:rsidRDefault="00591697" w:rsidP="00591697">
      <w:pPr>
        <w:numPr>
          <w:ilvl w:val="0"/>
          <w:numId w:val="4"/>
        </w:numPr>
        <w:spacing w:after="20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lastRenderedPageBreak/>
        <w:t xml:space="preserve">V čl. V </w:t>
      </w:r>
      <w:proofErr w:type="spellStart"/>
      <w:r w:rsidRPr="00591697">
        <w:rPr>
          <w:rFonts w:ascii="Times New Roman" w:eastAsia="Calibri" w:hAnsi="Times New Roman" w:cs="Times New Roman"/>
          <w:sz w:val="24"/>
          <w:szCs w:val="24"/>
        </w:rPr>
        <w:t>v</w:t>
      </w:r>
      <w:proofErr w:type="spellEnd"/>
      <w:r w:rsidRPr="00591697">
        <w:rPr>
          <w:rFonts w:ascii="Times New Roman" w:eastAsia="Calibri" w:hAnsi="Times New Roman" w:cs="Times New Roman"/>
          <w:sz w:val="24"/>
          <w:szCs w:val="24"/>
        </w:rPr>
        <w:t> bode 43 sa označenie dopĺňaného bodu v Prílohe „14.“  nahrádza označením „15.“ pričom sa táto zmena premietne do úvodnej vety tohto bodu.</w:t>
      </w:r>
    </w:p>
    <w:p w:rsidR="00591697" w:rsidRPr="00591697" w:rsidRDefault="00591697" w:rsidP="00591697">
      <w:pPr>
        <w:spacing w:after="200" w:line="240" w:lineRule="auto"/>
        <w:ind w:left="2835"/>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Oprava označenia dopĺňaného bodu Prílohy s ohľadom na medzičasom doplnený bod 14 zákonom č. 106/2024 Z. z. o  správcoch úverov a nákupcoch úverov a o zmene a doplnení niektorých zákonov.</w:t>
      </w:r>
    </w:p>
    <w:p w:rsidR="00591697" w:rsidRPr="00591697" w:rsidRDefault="00591697" w:rsidP="00591697">
      <w:pPr>
        <w:numPr>
          <w:ilvl w:val="0"/>
          <w:numId w:val="4"/>
        </w:numPr>
        <w:spacing w:after="0" w:line="240" w:lineRule="auto"/>
        <w:jc w:val="both"/>
        <w:rPr>
          <w:rFonts w:ascii="Times New Roman" w:eastAsia="Calibri" w:hAnsi="Times New Roman" w:cs="Times New Roman"/>
          <w:sz w:val="24"/>
        </w:rPr>
      </w:pPr>
      <w:r w:rsidRPr="00591697">
        <w:rPr>
          <w:rFonts w:ascii="Times New Roman" w:eastAsia="Calibri" w:hAnsi="Times New Roman" w:cs="Times New Roman"/>
          <w:b/>
          <w:sz w:val="24"/>
        </w:rPr>
        <w:t>V čl. XI</w:t>
      </w:r>
      <w:r w:rsidRPr="00591697">
        <w:rPr>
          <w:rFonts w:ascii="Times New Roman" w:eastAsia="Calibri" w:hAnsi="Times New Roman" w:cs="Times New Roman"/>
          <w:sz w:val="24"/>
        </w:rPr>
        <w:t xml:space="preserve"> sa za doterajší bod 1 vkladá nový bod 2, ktorý znie:</w:t>
      </w:r>
    </w:p>
    <w:p w:rsidR="00591697" w:rsidRPr="00591697" w:rsidRDefault="00591697" w:rsidP="00591697">
      <w:pPr>
        <w:tabs>
          <w:tab w:val="left" w:pos="993"/>
        </w:tabs>
        <w:spacing w:after="0" w:line="240" w:lineRule="auto"/>
        <w:ind w:left="1134" w:hanging="425"/>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 xml:space="preserve">„2. </w:t>
      </w:r>
      <w:r w:rsidRPr="00591697">
        <w:rPr>
          <w:rFonts w:ascii="Times New Roman" w:eastAsia="Times New Roman" w:hAnsi="Times New Roman" w:cs="Times New Roman"/>
          <w:sz w:val="24"/>
          <w:szCs w:val="24"/>
          <w:lang w:eastAsia="sk-SK"/>
        </w:rPr>
        <w:tab/>
        <w:t>V § 1 ods. 3 písm. k) úvodnej vete sa vypúšťajú slová „alebo obdobných technických prostriedkoch uchovávajúcich majetkovú hodnotu elektronicky“ a slová „alebo len na osobitný účel“.“.</w:t>
      </w:r>
    </w:p>
    <w:p w:rsidR="00591697" w:rsidRPr="00591697" w:rsidRDefault="00591697" w:rsidP="00591697">
      <w:pPr>
        <w:spacing w:after="0" w:line="240" w:lineRule="auto"/>
        <w:ind w:left="426"/>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709"/>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Nasledujúce body sa primerane prečíslujú.</w:t>
      </w:r>
    </w:p>
    <w:p w:rsidR="00591697" w:rsidRPr="00591697" w:rsidRDefault="00591697" w:rsidP="00591697">
      <w:pPr>
        <w:tabs>
          <w:tab w:val="left" w:pos="993"/>
        </w:tabs>
        <w:spacing w:after="0" w:line="240" w:lineRule="auto"/>
        <w:ind w:left="709"/>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709"/>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Tento nový bod nadobúda účinnosť 1. novembra 2024, čo sa premietne do ustanovenia o účinnosti zákona pri spracúvaní čistopisu schváleného znenia.</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tabs>
          <w:tab w:val="left" w:pos="993"/>
        </w:tabs>
        <w:spacing w:after="0" w:line="240" w:lineRule="auto"/>
        <w:jc w:val="both"/>
        <w:rPr>
          <w:rFonts w:ascii="Times New Roman" w:eastAsia="Times New Roman" w:hAnsi="Times New Roman" w:cs="Times New Roman"/>
          <w:sz w:val="24"/>
          <w:szCs w:val="24"/>
          <w:lang w:eastAsia="sk-SK"/>
        </w:rPr>
      </w:pPr>
    </w:p>
    <w:p w:rsidR="00591697" w:rsidRPr="00591697" w:rsidRDefault="00591697" w:rsidP="00591697">
      <w:pPr>
        <w:numPr>
          <w:ilvl w:val="0"/>
          <w:numId w:val="4"/>
        </w:numPr>
        <w:spacing w:after="0" w:line="240" w:lineRule="auto"/>
        <w:ind w:left="709"/>
        <w:jc w:val="both"/>
        <w:rPr>
          <w:rFonts w:ascii="Times New Roman" w:eastAsia="Calibri" w:hAnsi="Times New Roman" w:cs="Times New Roman"/>
          <w:sz w:val="24"/>
        </w:rPr>
      </w:pPr>
      <w:r w:rsidRPr="00591697">
        <w:rPr>
          <w:rFonts w:ascii="Times New Roman" w:eastAsia="Calibri" w:hAnsi="Times New Roman" w:cs="Times New Roman"/>
          <w:sz w:val="24"/>
        </w:rPr>
        <w:t>V čl. XI doterajší bod 2 znie:</w:t>
      </w:r>
    </w:p>
    <w:p w:rsidR="00591697" w:rsidRPr="00591697" w:rsidRDefault="00591697" w:rsidP="00591697">
      <w:pPr>
        <w:tabs>
          <w:tab w:val="left" w:pos="1276"/>
        </w:tabs>
        <w:spacing w:after="0" w:line="240" w:lineRule="auto"/>
        <w:ind w:left="1276" w:hanging="567"/>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 xml:space="preserve">„2. </w:t>
      </w:r>
      <w:r w:rsidRPr="00591697">
        <w:rPr>
          <w:rFonts w:ascii="Times New Roman" w:eastAsia="Times New Roman" w:hAnsi="Times New Roman" w:cs="Times New Roman"/>
          <w:sz w:val="24"/>
          <w:szCs w:val="24"/>
          <w:lang w:eastAsia="sk-SK"/>
        </w:rPr>
        <w:tab/>
        <w:t xml:space="preserve">V § 1 ods. 3 písm. k) tretí bod znie: </w:t>
      </w:r>
    </w:p>
    <w:p w:rsidR="00591697" w:rsidRPr="00591697" w:rsidRDefault="00591697" w:rsidP="00591697">
      <w:pPr>
        <w:tabs>
          <w:tab w:val="left" w:pos="1276"/>
        </w:tabs>
        <w:spacing w:after="0" w:line="240" w:lineRule="auto"/>
        <w:ind w:left="1276" w:hanging="567"/>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ab/>
        <w:t>„3. sú platné len na území Slovenskej republiky, vydávané na žiadosť podniku alebo miestneho orgánu štátnej správy, obce, vyššieho územného celku alebo obdobného orgánu na osobitné sociálne účely alebo daňové účely na nákup konkrétneho tovaru alebo konkrétnych služieb od poskytovateľa tohto tovaru alebo služieb na základe obchodnej dohody uzatvorenej s vydavateľom osobitných platobných prostriedkov,“.“.</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numPr>
          <w:ilvl w:val="0"/>
          <w:numId w:val="4"/>
        </w:numPr>
        <w:spacing w:after="0" w:line="240" w:lineRule="auto"/>
        <w:ind w:left="709"/>
        <w:jc w:val="both"/>
        <w:rPr>
          <w:rFonts w:ascii="Times New Roman" w:eastAsia="Calibri" w:hAnsi="Times New Roman" w:cs="Times New Roman"/>
          <w:sz w:val="24"/>
        </w:rPr>
      </w:pPr>
      <w:r w:rsidRPr="00591697">
        <w:rPr>
          <w:rFonts w:ascii="Times New Roman" w:eastAsia="Calibri" w:hAnsi="Times New Roman" w:cs="Times New Roman"/>
          <w:sz w:val="24"/>
        </w:rPr>
        <w:t>V čl. XI sa za doterajší bod 32 vkladá nový bod 33, ktorý znie:</w:t>
      </w:r>
    </w:p>
    <w:p w:rsidR="00591697" w:rsidRPr="00591697" w:rsidRDefault="00591697" w:rsidP="00591697">
      <w:pPr>
        <w:tabs>
          <w:tab w:val="left" w:pos="1276"/>
        </w:tabs>
        <w:spacing w:after="0" w:line="240" w:lineRule="auto"/>
        <w:ind w:left="1276" w:hanging="567"/>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 xml:space="preserve">„33. </w:t>
      </w:r>
      <w:r w:rsidRPr="00591697">
        <w:rPr>
          <w:rFonts w:ascii="Times New Roman" w:eastAsia="Times New Roman" w:hAnsi="Times New Roman" w:cs="Times New Roman"/>
          <w:sz w:val="24"/>
          <w:szCs w:val="24"/>
          <w:lang w:eastAsia="sk-SK"/>
        </w:rPr>
        <w:tab/>
        <w:t>V § 97a ods. 3 písm. c) sa za slovo „sa“ vkladá slovo „osobitný“ a vypúšťajú sa slová „alebo obdobný technický prostriedok“.“.</w:t>
      </w:r>
    </w:p>
    <w:p w:rsidR="00591697" w:rsidRPr="00591697" w:rsidRDefault="00591697" w:rsidP="00591697">
      <w:pPr>
        <w:tabs>
          <w:tab w:val="left" w:pos="993"/>
        </w:tabs>
        <w:spacing w:after="0" w:line="240" w:lineRule="auto"/>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709"/>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Nasledujúce body sa primerane prečíslujú.</w:t>
      </w:r>
    </w:p>
    <w:p w:rsidR="00591697" w:rsidRPr="00591697" w:rsidRDefault="00591697" w:rsidP="00591697">
      <w:pPr>
        <w:tabs>
          <w:tab w:val="left" w:pos="993"/>
        </w:tabs>
        <w:spacing w:after="0" w:line="240" w:lineRule="auto"/>
        <w:ind w:left="709"/>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709"/>
        <w:jc w:val="both"/>
        <w:rPr>
          <w:rFonts w:ascii="Times New Roman" w:eastAsia="Times New Roman" w:hAnsi="Times New Roman" w:cs="Times New Roman"/>
          <w:sz w:val="24"/>
          <w:szCs w:val="24"/>
          <w:lang w:eastAsia="sk-SK"/>
        </w:rPr>
      </w:pPr>
      <w:r w:rsidRPr="00591697">
        <w:rPr>
          <w:rFonts w:ascii="Times New Roman" w:eastAsia="Times New Roman" w:hAnsi="Times New Roman" w:cs="Times New Roman"/>
          <w:sz w:val="24"/>
          <w:szCs w:val="24"/>
          <w:lang w:eastAsia="sk-SK"/>
        </w:rPr>
        <w:t>Tento nový bod nadobúda účinnosť 1. novembra 2024, čo sa premietne do ustanovenia o účinnosti zákona pri spracúvaní čistopisu schváleného znenia.</w:t>
      </w:r>
    </w:p>
    <w:p w:rsidR="00591697" w:rsidRPr="00591697" w:rsidRDefault="00591697" w:rsidP="00591697">
      <w:pPr>
        <w:tabs>
          <w:tab w:val="left" w:pos="993"/>
        </w:tabs>
        <w:spacing w:after="0" w:line="240" w:lineRule="auto"/>
        <w:jc w:val="both"/>
        <w:rPr>
          <w:rFonts w:ascii="Times New Roman" w:eastAsia="Times New Roman" w:hAnsi="Times New Roman" w:cs="Times New Roman"/>
          <w:sz w:val="24"/>
          <w:szCs w:val="24"/>
          <w:lang w:eastAsia="sk-SK"/>
        </w:rPr>
      </w:pP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r w:rsidRPr="00591697">
        <w:rPr>
          <w:rFonts w:ascii="Times New Roman" w:eastAsia="Times New Roman" w:hAnsi="Times New Roman" w:cs="Times New Roman"/>
          <w:iCs/>
          <w:sz w:val="24"/>
          <w:szCs w:val="24"/>
          <w:lang w:eastAsia="sk-SK"/>
        </w:rPr>
        <w:t>Ide o presun úprav z návrhu zákona, ktorým sa mení a dopĺňa zákon č. 747/2004  Z. z. o dohľade nad finančným trhom a o zmene a doplnení niektorých zákonov v znení neskorších predpisov a ktorým sa menia a dopĺňajú niektoré zákony s cieľom minimalizovať úpravy daných ustanovení naprieč viacerými návrhmi zákonov. Navrhovaná právna úprava sa viaže k spresneniu služieb založených na osobitných platobných prostriedkoch alebo obdobných technických prostriedkoch vymedzených v § 1 ods. 3 písm. k) treťom bode. Ide o osobitné platobné prostriedky, ktoré môžu byť vydávané na žiadosť orgánu štátnej správy alebo podniku, ktorý nemusí byť orgánom štátnej správy. Aplikačná prax potvrdila existenciu aj podnikov poskytujúcich takéto služby, ktoré nie sú štátnymi orgánmi.</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Pr="00591697" w:rsidRDefault="00591697" w:rsidP="00591697">
      <w:pPr>
        <w:spacing w:after="0" w:line="240" w:lineRule="auto"/>
        <w:ind w:left="2127"/>
        <w:jc w:val="both"/>
        <w:rPr>
          <w:rFonts w:ascii="Times New Roman" w:eastAsia="Times New Roman" w:hAnsi="Times New Roman" w:cs="Times New Roman"/>
          <w:iCs/>
          <w:sz w:val="24"/>
          <w:szCs w:val="24"/>
          <w:lang w:eastAsia="sk-SK"/>
        </w:rPr>
      </w:pPr>
    </w:p>
    <w:p w:rsidR="00591697" w:rsidRPr="00591697" w:rsidRDefault="00591697" w:rsidP="00591697">
      <w:pPr>
        <w:numPr>
          <w:ilvl w:val="0"/>
          <w:numId w:val="4"/>
        </w:numPr>
        <w:spacing w:after="200" w:line="360" w:lineRule="auto"/>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lastRenderedPageBreak/>
        <w:t xml:space="preserve">V čl. XIII   sa slová „15. októbra“ nahrádzajú slovami „1. novembra“. </w:t>
      </w:r>
    </w:p>
    <w:p w:rsidR="00591697" w:rsidRPr="00591697" w:rsidRDefault="00591697" w:rsidP="00591697">
      <w:pPr>
        <w:spacing w:after="200" w:line="360" w:lineRule="auto"/>
        <w:ind w:left="993"/>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V tejto súvislosti v čl. V </w:t>
      </w:r>
      <w:proofErr w:type="spellStart"/>
      <w:r w:rsidRPr="00591697">
        <w:rPr>
          <w:rFonts w:ascii="Times New Roman" w:eastAsia="Calibri" w:hAnsi="Times New Roman" w:cs="Times New Roman"/>
          <w:sz w:val="24"/>
          <w:szCs w:val="24"/>
        </w:rPr>
        <w:t>v</w:t>
      </w:r>
      <w:proofErr w:type="spellEnd"/>
      <w:r w:rsidRPr="00591697">
        <w:rPr>
          <w:rFonts w:ascii="Times New Roman" w:eastAsia="Calibri" w:hAnsi="Times New Roman" w:cs="Times New Roman"/>
          <w:sz w:val="24"/>
          <w:szCs w:val="24"/>
        </w:rPr>
        <w:t> 42. bode v § 122yg v nadpise a v texte sa slová „15.    októbra“ vo všetkých tvaroch nahrádzajú slovami „1. novembra“ v príslušnom tvare.</w:t>
      </w:r>
    </w:p>
    <w:p w:rsidR="00591697" w:rsidRPr="00591697" w:rsidRDefault="00591697" w:rsidP="00591697">
      <w:pPr>
        <w:spacing w:after="200" w:line="276" w:lineRule="auto"/>
        <w:ind w:left="2268"/>
        <w:contextualSpacing/>
        <w:jc w:val="both"/>
        <w:rPr>
          <w:rFonts w:ascii="Times New Roman" w:eastAsia="Calibri" w:hAnsi="Times New Roman" w:cs="Times New Roman"/>
          <w:sz w:val="24"/>
          <w:szCs w:val="24"/>
        </w:rPr>
      </w:pPr>
    </w:p>
    <w:p w:rsidR="00591697" w:rsidRPr="00591697" w:rsidRDefault="00591697" w:rsidP="00591697">
      <w:pPr>
        <w:spacing w:after="200" w:line="276" w:lineRule="auto"/>
        <w:ind w:left="2835"/>
        <w:contextualSpacing/>
        <w:jc w:val="both"/>
        <w:rPr>
          <w:rFonts w:ascii="Times New Roman" w:eastAsia="Calibri" w:hAnsi="Times New Roman" w:cs="Times New Roman"/>
          <w:sz w:val="24"/>
          <w:szCs w:val="24"/>
        </w:rPr>
      </w:pPr>
      <w:r w:rsidRPr="00591697">
        <w:rPr>
          <w:rFonts w:ascii="Times New Roman" w:eastAsia="Calibri" w:hAnsi="Times New Roman" w:cs="Times New Roman"/>
          <w:sz w:val="24"/>
          <w:szCs w:val="24"/>
        </w:rPr>
        <w:t xml:space="preserve">Posunutie účinnosti a s tým súvisiaca úprava prechodných ustanovení zohľadňuje zákonné lehoty v legislatívnom procese schvaľovania zákona ako aj potrebnú </w:t>
      </w:r>
      <w:proofErr w:type="spellStart"/>
      <w:r w:rsidRPr="00591697">
        <w:rPr>
          <w:rFonts w:ascii="Times New Roman" w:eastAsia="Calibri" w:hAnsi="Times New Roman" w:cs="Times New Roman"/>
          <w:sz w:val="24"/>
          <w:szCs w:val="24"/>
        </w:rPr>
        <w:t>legisvakanciu</w:t>
      </w:r>
      <w:proofErr w:type="spellEnd"/>
      <w:r w:rsidRPr="00591697">
        <w:rPr>
          <w:rFonts w:ascii="Times New Roman" w:eastAsia="Calibri" w:hAnsi="Times New Roman" w:cs="Times New Roman"/>
          <w:sz w:val="24"/>
          <w:szCs w:val="24"/>
        </w:rPr>
        <w:t xml:space="preserve">. </w:t>
      </w:r>
    </w:p>
    <w:p w:rsidR="00591697" w:rsidRPr="00591697" w:rsidRDefault="00591697" w:rsidP="00591697">
      <w:pPr>
        <w:spacing w:after="0" w:line="240" w:lineRule="auto"/>
        <w:ind w:left="1714" w:firstLine="696"/>
        <w:contextualSpacing/>
        <w:jc w:val="both"/>
        <w:rPr>
          <w:rFonts w:ascii="Times New Roman" w:eastAsia="Calibri" w:hAnsi="Times New Roman" w:cs="Times New Roman"/>
          <w:b/>
          <w:sz w:val="24"/>
          <w:szCs w:val="24"/>
        </w:rPr>
      </w:pPr>
    </w:p>
    <w:p w:rsidR="00591697" w:rsidRDefault="00591697"/>
    <w:sectPr w:rsidR="00591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T*Zurich Calligraphic">
    <w:altName w:val="Times New Roman"/>
    <w:charset w:val="00"/>
    <w:family w:val="auto"/>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1" w15:restartNumberingAfterBreak="0">
    <w:nsid w:val="62937482"/>
    <w:multiLevelType w:val="hybridMultilevel"/>
    <w:tmpl w:val="540010D4"/>
    <w:lvl w:ilvl="0" w:tplc="D188DBD0">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6A8C4556"/>
    <w:multiLevelType w:val="hybridMultilevel"/>
    <w:tmpl w:val="730CF880"/>
    <w:lvl w:ilvl="0" w:tplc="3192F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FCB51AB"/>
    <w:multiLevelType w:val="hybridMultilevel"/>
    <w:tmpl w:val="6E08C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BA"/>
    <w:rsid w:val="003A24C0"/>
    <w:rsid w:val="003D5682"/>
    <w:rsid w:val="00591697"/>
    <w:rsid w:val="005A02C0"/>
    <w:rsid w:val="006A23A8"/>
    <w:rsid w:val="008E4F14"/>
    <w:rsid w:val="00943D2C"/>
    <w:rsid w:val="00B0327E"/>
    <w:rsid w:val="00ED51BA"/>
    <w:rsid w:val="00FF32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3AF8"/>
  <w15:chartTrackingRefBased/>
  <w15:docId w15:val="{62710D6A-C6EA-4757-BB4B-2C803890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ED51BA"/>
    <w:pPr>
      <w:spacing w:after="120"/>
    </w:pPr>
  </w:style>
  <w:style w:type="character" w:customStyle="1" w:styleId="ZkladntextChar">
    <w:name w:val="Základný text Char"/>
    <w:basedOn w:val="Predvolenpsmoodseku"/>
    <w:link w:val="Zkladntext"/>
    <w:uiPriority w:val="99"/>
    <w:rsid w:val="00ED51BA"/>
  </w:style>
  <w:style w:type="paragraph" w:styleId="Textbubliny">
    <w:name w:val="Balloon Text"/>
    <w:basedOn w:val="Normlny"/>
    <w:link w:val="TextbublinyChar"/>
    <w:uiPriority w:val="99"/>
    <w:semiHidden/>
    <w:unhideWhenUsed/>
    <w:rsid w:val="00B032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327E"/>
    <w:rPr>
      <w:rFonts w:ascii="Segoe UI" w:hAnsi="Segoe UI" w:cs="Segoe UI"/>
      <w:sz w:val="18"/>
      <w:szCs w:val="18"/>
    </w:rPr>
  </w:style>
  <w:style w:type="paragraph" w:styleId="Odsekzoznamu">
    <w:name w:val="List Paragraph"/>
    <w:aliases w:val="Odsek zoznamu1,Odsek,body,Odsek zoznamu2"/>
    <w:basedOn w:val="Normlny"/>
    <w:link w:val="OdsekzoznamuChar"/>
    <w:uiPriority w:val="34"/>
    <w:qFormat/>
    <w:rsid w:val="00943D2C"/>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awspan1">
    <w:name w:val="awspan1"/>
    <w:basedOn w:val="Predvolenpsmoodseku"/>
    <w:rsid w:val="00943D2C"/>
    <w:rPr>
      <w:color w:val="000000"/>
      <w:sz w:val="24"/>
      <w:szCs w:val="24"/>
    </w:rPr>
  </w:style>
  <w:style w:type="character" w:customStyle="1" w:styleId="OdsekzoznamuChar">
    <w:name w:val="Odsek zoznamu Char"/>
    <w:aliases w:val="Odsek zoznamu1 Char,Odsek Char,body Char,Odsek zoznamu2 Char"/>
    <w:basedOn w:val="Predvolenpsmoodseku"/>
    <w:link w:val="Odsekzoznamu"/>
    <w:uiPriority w:val="34"/>
    <w:locked/>
    <w:rsid w:val="00943D2C"/>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591697"/>
    <w:pPr>
      <w:spacing w:after="120" w:line="480" w:lineRule="auto"/>
    </w:pPr>
  </w:style>
  <w:style w:type="character" w:customStyle="1" w:styleId="Zkladntext2Char">
    <w:name w:val="Základný text 2 Char"/>
    <w:basedOn w:val="Predvolenpsmoodseku"/>
    <w:link w:val="Zkladntext2"/>
    <w:uiPriority w:val="99"/>
    <w:semiHidden/>
    <w:rsid w:val="0059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ma.europa.eu/sites/default/files/2023-10/ESMA75-840896669-45_Letter_to_MS_on_effective_MiCA_app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2760</Words>
  <Characters>15732</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Číková, Andrea, PhDr., PhD.</dc:creator>
  <cp:keywords/>
  <dc:description/>
  <cp:lastModifiedBy>Číková, Andrea, PhDr., PhD.</cp:lastModifiedBy>
  <cp:revision>5</cp:revision>
  <cp:lastPrinted>2024-08-19T08:54:00Z</cp:lastPrinted>
  <dcterms:created xsi:type="dcterms:W3CDTF">2024-08-19T08:58:00Z</dcterms:created>
  <dcterms:modified xsi:type="dcterms:W3CDTF">2024-09-10T13:37:00Z</dcterms:modified>
</cp:coreProperties>
</file>