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29FD3" w14:textId="77777777" w:rsidR="00113AE4" w:rsidRDefault="00A340BB" w:rsidP="001B23B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14:paraId="46FA5EB5" w14:textId="77777777" w:rsidR="001B23B7" w:rsidRPr="006045CB" w:rsidRDefault="001B23B7" w:rsidP="001B23B7">
      <w:pPr>
        <w:spacing w:after="0" w:line="240" w:lineRule="auto"/>
        <w:jc w:val="center"/>
        <w:rPr>
          <w:rFonts w:ascii="Times New Roman" w:eastAsia="Times New Roman" w:hAnsi="Times New Roman" w:cs="Times New Roman"/>
          <w:b/>
          <w:sz w:val="28"/>
          <w:szCs w:val="28"/>
          <w:lang w:eastAsia="sk-SK"/>
        </w:rPr>
      </w:pPr>
    </w:p>
    <w:p w14:paraId="0E1025BE" w14:textId="77777777"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14:paraId="24C67E41" w14:textId="77777777" w:rsidTr="7689D60A">
        <w:tc>
          <w:tcPr>
            <w:tcW w:w="9180" w:type="dxa"/>
            <w:gridSpan w:val="11"/>
            <w:tcBorders>
              <w:bottom w:val="single" w:sz="4" w:space="0" w:color="FFFFFF" w:themeColor="background1"/>
            </w:tcBorders>
            <w:shd w:val="clear" w:color="auto" w:fill="E2E2E2"/>
          </w:tcPr>
          <w:p w14:paraId="1C84914A" w14:textId="77777777" w:rsidR="001B23B7" w:rsidRPr="00B043B4" w:rsidRDefault="001B23B7" w:rsidP="00163569">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14:paraId="36B93E0D" w14:textId="77777777" w:rsidTr="7689D60A">
        <w:tc>
          <w:tcPr>
            <w:tcW w:w="9180" w:type="dxa"/>
            <w:gridSpan w:val="11"/>
            <w:tcBorders>
              <w:bottom w:val="single" w:sz="4" w:space="0" w:color="FFFFFF" w:themeColor="background1"/>
            </w:tcBorders>
            <w:shd w:val="clear" w:color="auto" w:fill="E2E2E2"/>
          </w:tcPr>
          <w:p w14:paraId="6DE64A31" w14:textId="77777777" w:rsidR="001B23B7" w:rsidRPr="00B043B4" w:rsidRDefault="001B23B7" w:rsidP="00163569">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14:paraId="184E7A76" w14:textId="77777777" w:rsidTr="7689D60A">
        <w:tc>
          <w:tcPr>
            <w:tcW w:w="9180" w:type="dxa"/>
            <w:gridSpan w:val="11"/>
            <w:tcBorders>
              <w:top w:val="single" w:sz="4" w:space="0" w:color="FFFFFF" w:themeColor="background1"/>
              <w:bottom w:val="single" w:sz="4" w:space="0" w:color="auto"/>
            </w:tcBorders>
          </w:tcPr>
          <w:p w14:paraId="1BB20AA1" w14:textId="774A7584" w:rsidR="001B23B7" w:rsidRPr="00B043B4" w:rsidRDefault="00315096" w:rsidP="00163569">
            <w:pPr>
              <w:rPr>
                <w:rFonts w:ascii="Times New Roman" w:eastAsia="Times New Roman" w:hAnsi="Times New Roman" w:cs="Times New Roman"/>
                <w:sz w:val="20"/>
                <w:szCs w:val="20"/>
                <w:lang w:eastAsia="sk-SK"/>
              </w:rPr>
            </w:pPr>
            <w:r w:rsidRPr="00315096">
              <w:rPr>
                <w:rFonts w:ascii="Times New Roman" w:eastAsia="Times New Roman" w:hAnsi="Times New Roman" w:cs="Times New Roman"/>
                <w:sz w:val="20"/>
                <w:szCs w:val="20"/>
                <w:lang w:eastAsia="sk-SK"/>
              </w:rPr>
              <w:t>Návrh zákona, ktorým sa mení a dopĺňa zákon č. 414/2012 Z. z. o obchodovaní s emisnými kvótami a o zmene a doplnení niektorých zákonov v znení neskorších predpisov a ktorým sa menia a dopĺňajú niektoré zákony</w:t>
            </w:r>
          </w:p>
        </w:tc>
      </w:tr>
      <w:tr w:rsidR="001B23B7" w:rsidRPr="00B043B4" w14:paraId="07505840" w14:textId="77777777" w:rsidTr="7689D60A">
        <w:tc>
          <w:tcPr>
            <w:tcW w:w="9180" w:type="dxa"/>
            <w:gridSpan w:val="11"/>
            <w:tcBorders>
              <w:top w:val="single" w:sz="4" w:space="0" w:color="auto"/>
              <w:left w:val="single" w:sz="4" w:space="0" w:color="auto"/>
              <w:bottom w:val="single" w:sz="4" w:space="0" w:color="FFFFFF" w:themeColor="background1"/>
            </w:tcBorders>
            <w:shd w:val="clear" w:color="auto" w:fill="E2E2E2"/>
          </w:tcPr>
          <w:p w14:paraId="15BCCEA5" w14:textId="77777777" w:rsidR="001B23B7" w:rsidRPr="00B043B4" w:rsidRDefault="001B23B7" w:rsidP="00163569">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14:paraId="597A3D0F" w14:textId="77777777" w:rsidTr="7689D60A">
        <w:tc>
          <w:tcPr>
            <w:tcW w:w="9180" w:type="dxa"/>
            <w:gridSpan w:val="11"/>
            <w:tcBorders>
              <w:top w:val="single" w:sz="4" w:space="0" w:color="FFFFFF" w:themeColor="background1"/>
              <w:left w:val="single" w:sz="4" w:space="0" w:color="auto"/>
              <w:bottom w:val="single" w:sz="4" w:space="0" w:color="auto"/>
            </w:tcBorders>
            <w:shd w:val="clear" w:color="auto" w:fill="FFFFFF" w:themeFill="background1"/>
          </w:tcPr>
          <w:p w14:paraId="30564D97" w14:textId="3E73EBA4" w:rsidR="001B23B7" w:rsidRPr="00B043B4" w:rsidRDefault="00D944D2" w:rsidP="00163569">
            <w:pPr>
              <w:rPr>
                <w:rFonts w:ascii="Times New Roman" w:eastAsia="Times New Roman" w:hAnsi="Times New Roman" w:cs="Times New Roman"/>
                <w:sz w:val="20"/>
                <w:szCs w:val="20"/>
                <w:lang w:eastAsia="sk-SK"/>
              </w:rPr>
            </w:pPr>
            <w:r w:rsidRPr="00D944D2">
              <w:rPr>
                <w:rFonts w:ascii="Times New Roman" w:eastAsia="Times New Roman" w:hAnsi="Times New Roman" w:cs="Times New Roman"/>
                <w:sz w:val="20"/>
                <w:szCs w:val="20"/>
                <w:lang w:eastAsia="sk-SK"/>
              </w:rPr>
              <w:t>Ministerstvo životného prostredia Slovenskej republiky</w:t>
            </w:r>
            <w:r w:rsidR="00405EE4">
              <w:rPr>
                <w:rFonts w:ascii="Times New Roman" w:eastAsia="Times New Roman" w:hAnsi="Times New Roman" w:cs="Times New Roman"/>
                <w:sz w:val="20"/>
                <w:szCs w:val="20"/>
                <w:lang w:eastAsia="sk-SK"/>
              </w:rPr>
              <w:t xml:space="preserve"> (ďalej len „ministerstvo“)</w:t>
            </w:r>
          </w:p>
          <w:p w14:paraId="79EB787D" w14:textId="77777777" w:rsidR="001B23B7" w:rsidRPr="00B043B4" w:rsidRDefault="001B23B7" w:rsidP="00163569">
            <w:pPr>
              <w:rPr>
                <w:rFonts w:ascii="Times New Roman" w:eastAsia="Times New Roman" w:hAnsi="Times New Roman" w:cs="Times New Roman"/>
                <w:sz w:val="20"/>
                <w:szCs w:val="20"/>
                <w:lang w:eastAsia="sk-SK"/>
              </w:rPr>
            </w:pPr>
          </w:p>
        </w:tc>
      </w:tr>
      <w:tr w:rsidR="001B23B7" w:rsidRPr="00B043B4" w14:paraId="1A722337" w14:textId="77777777" w:rsidTr="7689D60A">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14:paraId="418546C9" w14:textId="77777777" w:rsidR="001B23B7" w:rsidRPr="00B043B4" w:rsidRDefault="001B23B7" w:rsidP="00163569">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14:paraId="30F95ACC" w14:textId="77777777" w:rsidR="001B23B7" w:rsidRPr="00B043B4" w:rsidRDefault="000013C3" w:rsidP="00163569">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hemeFill="background1"/>
          </w:tcPr>
          <w:p w14:paraId="691D0C6A" w14:textId="77777777" w:rsidR="001B23B7" w:rsidRPr="00B043B4" w:rsidRDefault="001B23B7" w:rsidP="00163569">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14:paraId="6FFFFADC" w14:textId="77777777" w:rsidTr="7689D60A">
        <w:tc>
          <w:tcPr>
            <w:tcW w:w="4212" w:type="dxa"/>
            <w:gridSpan w:val="2"/>
            <w:vMerge/>
          </w:tcPr>
          <w:p w14:paraId="27BDAD41" w14:textId="77777777" w:rsidR="001B23B7" w:rsidRPr="00B043B4" w:rsidRDefault="001B23B7" w:rsidP="00163569">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14:paraId="32AC59E6" w14:textId="77777777" w:rsidR="001B23B7" w:rsidRPr="00B043B4" w:rsidRDefault="00D944D2"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hemeFill="background1"/>
          </w:tcPr>
          <w:p w14:paraId="1901AABE" w14:textId="77777777" w:rsidR="001B23B7" w:rsidRPr="00B043B4" w:rsidRDefault="001B23B7" w:rsidP="00163569">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14:paraId="4D2CBEF9" w14:textId="77777777" w:rsidTr="7689D60A">
        <w:tc>
          <w:tcPr>
            <w:tcW w:w="4212" w:type="dxa"/>
            <w:gridSpan w:val="2"/>
            <w:vMerge/>
          </w:tcPr>
          <w:p w14:paraId="4A47C0D5" w14:textId="77777777" w:rsidR="001B23B7" w:rsidRPr="00B043B4" w:rsidRDefault="001B23B7" w:rsidP="00163569">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14:paraId="3DBD8F69" w14:textId="77777777" w:rsidR="001B23B7" w:rsidRPr="00B043B4" w:rsidRDefault="00D944D2" w:rsidP="00163569">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hemeFill="background1"/>
          </w:tcPr>
          <w:p w14:paraId="2C33756E" w14:textId="77777777" w:rsidR="001B23B7" w:rsidRPr="00B043B4" w:rsidRDefault="001B23B7" w:rsidP="00163569">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1B23B7" w:rsidRPr="00B043B4" w14:paraId="5AEC409E" w14:textId="77777777" w:rsidTr="7689D60A">
        <w:tc>
          <w:tcPr>
            <w:tcW w:w="9180" w:type="dxa"/>
            <w:gridSpan w:val="11"/>
            <w:tcBorders>
              <w:top w:val="single" w:sz="4" w:space="0" w:color="auto"/>
              <w:left w:val="single" w:sz="4" w:space="0" w:color="auto"/>
              <w:bottom w:val="single" w:sz="4" w:space="0" w:color="FFFFFF" w:themeColor="background1"/>
            </w:tcBorders>
            <w:shd w:val="clear" w:color="auto" w:fill="FFFFFF" w:themeFill="background1"/>
          </w:tcPr>
          <w:p w14:paraId="48A73145" w14:textId="77777777" w:rsidR="001B23B7" w:rsidRDefault="001B23B7" w:rsidP="00163569">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14:paraId="511A0399" w14:textId="77777777" w:rsidR="00D944D2" w:rsidRDefault="00D944D2" w:rsidP="00163569">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Smernica</w:t>
            </w:r>
            <w:r w:rsidRPr="00D944D2">
              <w:rPr>
                <w:rFonts w:ascii="Times New Roman" w:eastAsia="Times New Roman" w:hAnsi="Times New Roman" w:cs="Times New Roman"/>
                <w:sz w:val="20"/>
                <w:szCs w:val="20"/>
                <w:lang w:eastAsia="sk-SK"/>
              </w:rPr>
              <w:t xml:space="preserve"> Európskeho parlamentu a Rady (EÚ) 2023/959 z 10. mája 2023, ktorou sa mení smernica 2003/87/ES o vytvorení systému obchodovania s emisnými kvótami skleníkových plynov v Únii a rozhodnutie (EÚ) 2015/1814 o zriadení a prevádzke trhovej stabilizačnej rezervy systému obchodovania s emisnými kvóta</w:t>
            </w:r>
            <w:r>
              <w:rPr>
                <w:rFonts w:ascii="Times New Roman" w:eastAsia="Times New Roman" w:hAnsi="Times New Roman" w:cs="Times New Roman"/>
                <w:sz w:val="20"/>
                <w:szCs w:val="20"/>
                <w:lang w:eastAsia="sk-SK"/>
              </w:rPr>
              <w:t>mi skleníkových plynov v Únii.</w:t>
            </w:r>
          </w:p>
          <w:p w14:paraId="6E08F51F" w14:textId="77777777" w:rsidR="00D944D2" w:rsidRPr="00D944D2" w:rsidRDefault="00D944D2" w:rsidP="00163569">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Smernica</w:t>
            </w:r>
            <w:r w:rsidRPr="00D944D2">
              <w:rPr>
                <w:rFonts w:ascii="Times New Roman" w:eastAsia="Times New Roman" w:hAnsi="Times New Roman" w:cs="Times New Roman"/>
                <w:sz w:val="20"/>
                <w:szCs w:val="20"/>
                <w:lang w:eastAsia="sk-SK"/>
              </w:rPr>
              <w:t xml:space="preserve"> Európskeho parlamentu a Rady (EÚ) 2023/958 z 10. mája 2023, ktorou sa mení smernica 2003/87/ES, pokiaľ ide o príspevok leteckej dopravy k cieľu Únie v oblasti znižovania emisií v celom hospodárstve a ktorou sa primerane vykonáva globálne trhové opatrenie.</w:t>
            </w:r>
          </w:p>
          <w:p w14:paraId="68B09FB8" w14:textId="77777777" w:rsidR="001B23B7" w:rsidRPr="00B043B4" w:rsidRDefault="001B23B7" w:rsidP="00163569">
            <w:pPr>
              <w:rPr>
                <w:rFonts w:ascii="Times New Roman" w:eastAsia="Times New Roman" w:hAnsi="Times New Roman" w:cs="Times New Roman"/>
                <w:sz w:val="20"/>
                <w:szCs w:val="20"/>
                <w:lang w:eastAsia="sk-SK"/>
              </w:rPr>
            </w:pPr>
          </w:p>
        </w:tc>
      </w:tr>
      <w:tr w:rsidR="001B23B7" w:rsidRPr="00B043B4" w14:paraId="0CA6AFD9" w14:textId="77777777" w:rsidTr="7689D60A">
        <w:tc>
          <w:tcPr>
            <w:tcW w:w="5949" w:type="dxa"/>
            <w:gridSpan w:val="6"/>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14:paraId="3477C105" w14:textId="77777777" w:rsidR="001B23B7" w:rsidRPr="00B043B4" w:rsidRDefault="001B23B7" w:rsidP="00163569">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themeColor="text1"/>
              <w:left w:val="single" w:sz="4" w:space="0" w:color="auto"/>
              <w:bottom w:val="single" w:sz="4" w:space="0" w:color="auto"/>
              <w:right w:val="single" w:sz="4" w:space="0" w:color="auto"/>
            </w:tcBorders>
          </w:tcPr>
          <w:p w14:paraId="7134AB90" w14:textId="63112BDF" w:rsidR="001B23B7" w:rsidRPr="003746E1" w:rsidRDefault="003746E1" w:rsidP="00163569">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19. 3. – 28. 3. 2024</w:t>
            </w:r>
          </w:p>
        </w:tc>
      </w:tr>
      <w:tr w:rsidR="001B23B7" w:rsidRPr="00B043B4" w14:paraId="326B572D" w14:textId="77777777" w:rsidTr="7689D60A">
        <w:tc>
          <w:tcPr>
            <w:tcW w:w="5949"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71B4C71C" w14:textId="77777777" w:rsidR="001B23B7" w:rsidRPr="00B043B4" w:rsidRDefault="001B23B7" w:rsidP="00A340BB">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 xml:space="preserve">adaný termín predloženia na </w:t>
            </w:r>
            <w:r w:rsidR="00A340BB">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3F476E9D" w14:textId="23FDF5AD" w:rsidR="001B23B7" w:rsidRPr="00D944D2" w:rsidRDefault="003746E1" w:rsidP="00163569">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Apríl 2024</w:t>
            </w:r>
          </w:p>
        </w:tc>
      </w:tr>
      <w:tr w:rsidR="001B23B7" w:rsidRPr="00B043B4" w14:paraId="55F62EC9" w14:textId="77777777" w:rsidTr="7689D60A">
        <w:trPr>
          <w:trHeight w:val="320"/>
        </w:trPr>
        <w:tc>
          <w:tcPr>
            <w:tcW w:w="5949"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5AFC2087" w14:textId="77777777" w:rsidR="001B23B7" w:rsidRPr="00B043B4" w:rsidRDefault="001B23B7" w:rsidP="00D2313B">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1578CA50" w14:textId="77777777" w:rsidR="001B23B7" w:rsidRPr="00B043B4" w:rsidRDefault="001B23B7">
            <w:pPr>
              <w:rPr>
                <w:rFonts w:ascii="Times New Roman" w:eastAsia="Times New Roman" w:hAnsi="Times New Roman" w:cs="Times New Roman"/>
                <w:i/>
                <w:sz w:val="20"/>
                <w:szCs w:val="20"/>
                <w:lang w:eastAsia="sk-SK"/>
              </w:rPr>
            </w:pPr>
          </w:p>
        </w:tc>
      </w:tr>
      <w:tr w:rsidR="001B23B7" w:rsidRPr="00B043B4" w14:paraId="5D9784BD" w14:textId="77777777" w:rsidTr="7689D60A">
        <w:tc>
          <w:tcPr>
            <w:tcW w:w="5949"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606DB90C" w14:textId="77777777" w:rsidR="001B23B7" w:rsidRPr="00D22304" w:rsidRDefault="001B23B7" w:rsidP="00163569">
            <w:pPr>
              <w:spacing w:after="200" w:line="276" w:lineRule="auto"/>
              <w:ind w:left="142"/>
              <w:contextualSpacing/>
              <w:jc w:val="both"/>
              <w:rPr>
                <w:rFonts w:ascii="Times New Roman" w:eastAsia="Calibri" w:hAnsi="Times New Roman" w:cs="Times New Roman"/>
                <w:b/>
              </w:rPr>
            </w:pPr>
            <w:r w:rsidRPr="00D2230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6C60EE01" w14:textId="0EC328A5" w:rsidR="001B23B7" w:rsidRPr="00D22304" w:rsidRDefault="01CB2752" w:rsidP="00163569">
            <w:pPr>
              <w:rPr>
                <w:rFonts w:ascii="Times New Roman" w:eastAsia="Times New Roman" w:hAnsi="Times New Roman" w:cs="Times New Roman"/>
                <w:sz w:val="20"/>
                <w:szCs w:val="20"/>
                <w:lang w:eastAsia="sk-SK"/>
              </w:rPr>
            </w:pPr>
            <w:r w:rsidRPr="2EDE1B26">
              <w:rPr>
                <w:rFonts w:ascii="Times New Roman" w:eastAsia="Times New Roman" w:hAnsi="Times New Roman" w:cs="Times New Roman"/>
                <w:sz w:val="20"/>
                <w:szCs w:val="20"/>
                <w:lang w:eastAsia="sk-SK"/>
              </w:rPr>
              <w:t>September</w:t>
            </w:r>
            <w:r w:rsidR="00D22304" w:rsidRPr="2EDE1B26">
              <w:rPr>
                <w:rFonts w:ascii="Times New Roman" w:eastAsia="Times New Roman" w:hAnsi="Times New Roman" w:cs="Times New Roman"/>
                <w:sz w:val="20"/>
                <w:szCs w:val="20"/>
                <w:lang w:eastAsia="sk-SK"/>
              </w:rPr>
              <w:t xml:space="preserve"> 2024</w:t>
            </w:r>
          </w:p>
        </w:tc>
      </w:tr>
      <w:tr w:rsidR="001B23B7" w:rsidRPr="00B043B4" w14:paraId="6A2FDE5C" w14:textId="77777777" w:rsidTr="7689D60A">
        <w:tc>
          <w:tcPr>
            <w:tcW w:w="9180" w:type="dxa"/>
            <w:gridSpan w:val="11"/>
            <w:tcBorders>
              <w:top w:val="single" w:sz="4" w:space="0" w:color="auto"/>
              <w:left w:val="nil"/>
              <w:bottom w:val="single" w:sz="4" w:space="0" w:color="auto"/>
              <w:right w:val="nil"/>
            </w:tcBorders>
            <w:shd w:val="clear" w:color="auto" w:fill="FFFFFF" w:themeFill="background1"/>
          </w:tcPr>
          <w:p w14:paraId="18CC218D" w14:textId="77777777" w:rsidR="001B23B7" w:rsidRPr="00B043B4" w:rsidRDefault="001B23B7" w:rsidP="00163569">
            <w:pPr>
              <w:rPr>
                <w:rFonts w:ascii="Times New Roman" w:eastAsia="Times New Roman" w:hAnsi="Times New Roman" w:cs="Times New Roman"/>
                <w:sz w:val="20"/>
                <w:szCs w:val="20"/>
                <w:lang w:eastAsia="sk-SK"/>
              </w:rPr>
            </w:pPr>
          </w:p>
        </w:tc>
      </w:tr>
      <w:tr w:rsidR="001B23B7" w:rsidRPr="00B043B4" w14:paraId="433A40F0" w14:textId="77777777" w:rsidTr="7689D60A">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tcPr>
          <w:p w14:paraId="49725BD8" w14:textId="77777777" w:rsidR="001B23B7" w:rsidRPr="00B043B4" w:rsidRDefault="001B23B7" w:rsidP="00163569">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1B23B7" w:rsidRPr="00B043B4" w14:paraId="3B91CCD4" w14:textId="77777777" w:rsidTr="7689D60A">
        <w:trPr>
          <w:trHeight w:val="718"/>
        </w:trPr>
        <w:tc>
          <w:tcPr>
            <w:tcW w:w="9180" w:type="dxa"/>
            <w:gridSpan w:val="11"/>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2CDA1E5E" w14:textId="77777777" w:rsidR="001B23B7" w:rsidRDefault="001B23B7" w:rsidP="00163569">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46CBB432" w14:textId="77777777" w:rsidR="00A41ADA" w:rsidRPr="00B043B4" w:rsidRDefault="00A41ADA" w:rsidP="00163569">
            <w:pPr>
              <w:jc w:val="both"/>
              <w:rPr>
                <w:rFonts w:ascii="Times New Roman" w:eastAsia="Times New Roman" w:hAnsi="Times New Roman" w:cs="Times New Roman"/>
                <w:i/>
                <w:sz w:val="20"/>
                <w:szCs w:val="20"/>
                <w:lang w:eastAsia="sk-SK"/>
              </w:rPr>
            </w:pPr>
          </w:p>
          <w:p w14:paraId="0FCCB6E9" w14:textId="1F337973" w:rsidR="001B23B7" w:rsidRPr="00A41ADA" w:rsidRDefault="00A41ADA" w:rsidP="00163569">
            <w:pPr>
              <w:rPr>
                <w:rFonts w:ascii="Times New Roman" w:eastAsia="Times New Roman" w:hAnsi="Times New Roman" w:cs="Times New Roman"/>
                <w:sz w:val="20"/>
                <w:szCs w:val="20"/>
                <w:lang w:eastAsia="sk-SK"/>
              </w:rPr>
            </w:pPr>
            <w:r w:rsidRPr="00A41ADA">
              <w:rPr>
                <w:rFonts w:ascii="Times New Roman" w:eastAsia="Times New Roman" w:hAnsi="Times New Roman" w:cs="Times New Roman"/>
                <w:sz w:val="20"/>
                <w:szCs w:val="20"/>
                <w:lang w:eastAsia="sk-SK"/>
              </w:rPr>
              <w:t>Návrh zákona sa pripravuje z dôvodu povinnosti transpozície smernice Európskeho parlamentu a Rady (EÚ) 2023/959 z 10. mája 2023, ktorou sa mení smernica 2003/87/ES o vytvorení systému obchodovania s emisnými kvótami skleníkových plynov v Únii a rozhodnutie (EÚ) 2015/1814 o zriadení a prevádzke trhovej stabilizačnej rezervy systému obchodovania s emisnými kvótami skleníkových plynov v Únii a smernice Európskeho parlamentu a Rady (EÚ) 2023/958 z 10. mája 2023, ktorou sa mení smernica 2003/87/ES, pokiaľ ide o príspevok leteckej dopravy k cieľu Únie v oblasti znižovania emisií v celom hospodárstve a ktorou sa primerane vykonáva globálne trhové opatrenie.</w:t>
            </w:r>
            <w:r w:rsidR="00D91E73">
              <w:rPr>
                <w:rFonts w:ascii="Times New Roman" w:eastAsia="Times New Roman" w:hAnsi="Times New Roman" w:cs="Times New Roman"/>
                <w:sz w:val="20"/>
                <w:szCs w:val="20"/>
                <w:lang w:eastAsia="sk-SK"/>
              </w:rPr>
              <w:t xml:space="preserve"> Návrh </w:t>
            </w:r>
            <w:r w:rsidR="00D91E73" w:rsidRPr="00D91E73">
              <w:rPr>
                <w:rFonts w:ascii="Times New Roman" w:eastAsia="Times New Roman" w:hAnsi="Times New Roman" w:cs="Times New Roman"/>
                <w:sz w:val="20"/>
                <w:szCs w:val="20"/>
                <w:lang w:eastAsia="sk-SK"/>
              </w:rPr>
              <w:t>zákon</w:t>
            </w:r>
            <w:r w:rsidR="00D91E73">
              <w:rPr>
                <w:rFonts w:ascii="Times New Roman" w:eastAsia="Times New Roman" w:hAnsi="Times New Roman" w:cs="Times New Roman"/>
                <w:sz w:val="20"/>
                <w:szCs w:val="20"/>
                <w:lang w:eastAsia="sk-SK"/>
              </w:rPr>
              <w:t>a</w:t>
            </w:r>
            <w:r w:rsidR="00D91E73" w:rsidRPr="00D91E73">
              <w:rPr>
                <w:rFonts w:ascii="Times New Roman" w:eastAsia="Times New Roman" w:hAnsi="Times New Roman" w:cs="Times New Roman"/>
                <w:sz w:val="20"/>
                <w:szCs w:val="20"/>
                <w:lang w:eastAsia="sk-SK"/>
              </w:rPr>
              <w:t xml:space="preserve"> ob</w:t>
            </w:r>
            <w:r w:rsidR="00D91E73">
              <w:rPr>
                <w:rFonts w:ascii="Times New Roman" w:eastAsia="Times New Roman" w:hAnsi="Times New Roman" w:cs="Times New Roman"/>
                <w:sz w:val="20"/>
                <w:szCs w:val="20"/>
                <w:lang w:eastAsia="sk-SK"/>
              </w:rPr>
              <w:t>sahuje aj ustanovenia nariadenia</w:t>
            </w:r>
            <w:r w:rsidR="00D91E73" w:rsidRPr="00D91E73">
              <w:rPr>
                <w:rFonts w:ascii="Times New Roman" w:eastAsia="Times New Roman" w:hAnsi="Times New Roman" w:cs="Times New Roman"/>
                <w:sz w:val="20"/>
                <w:szCs w:val="20"/>
                <w:lang w:eastAsia="sk-SK"/>
              </w:rPr>
              <w:t xml:space="preserve"> Eu</w:t>
            </w:r>
            <w:r w:rsidR="00D91E73">
              <w:rPr>
                <w:rFonts w:ascii="Times New Roman" w:eastAsia="Times New Roman" w:hAnsi="Times New Roman" w:cs="Times New Roman"/>
                <w:sz w:val="20"/>
                <w:szCs w:val="20"/>
                <w:lang w:eastAsia="sk-SK"/>
              </w:rPr>
              <w:t xml:space="preserve">rópskeho parlamentu a Rady (EÚ) </w:t>
            </w:r>
            <w:r w:rsidR="00D91E73" w:rsidRPr="00D91E73">
              <w:rPr>
                <w:rFonts w:ascii="Times New Roman" w:eastAsia="Times New Roman" w:hAnsi="Times New Roman" w:cs="Times New Roman"/>
                <w:sz w:val="20"/>
                <w:szCs w:val="20"/>
                <w:lang w:eastAsia="sk-SK"/>
              </w:rPr>
              <w:t>2023/956</w:t>
            </w:r>
            <w:r w:rsidR="00D91E73">
              <w:rPr>
                <w:rFonts w:ascii="Times New Roman" w:eastAsia="Times New Roman" w:hAnsi="Times New Roman" w:cs="Times New Roman"/>
                <w:sz w:val="20"/>
                <w:szCs w:val="20"/>
                <w:lang w:eastAsia="sk-SK"/>
              </w:rPr>
              <w:t xml:space="preserve"> z 10. mája 2023,</w:t>
            </w:r>
            <w:r w:rsidR="00D91E73" w:rsidRPr="00D91E73">
              <w:rPr>
                <w:rFonts w:ascii="Times New Roman" w:eastAsia="Times New Roman" w:hAnsi="Times New Roman" w:cs="Times New Roman"/>
                <w:sz w:val="20"/>
                <w:szCs w:val="20"/>
                <w:lang w:eastAsia="sk-SK"/>
              </w:rPr>
              <w:t xml:space="preserve"> ktorým sa zriaďuje mechanizmus uhlíkovej kompenzácie na hraniciach, kde definuje povinnosti a funkcie príslušného orgánu, ktoré zriaďuje Ministerstvo životného prostredia SR.</w:t>
            </w:r>
            <w:r w:rsidR="004635CA">
              <w:rPr>
                <w:rFonts w:ascii="Times New Roman" w:eastAsia="Times New Roman" w:hAnsi="Times New Roman" w:cs="Times New Roman"/>
                <w:sz w:val="20"/>
                <w:szCs w:val="20"/>
                <w:lang w:eastAsia="sk-SK"/>
              </w:rPr>
              <w:t xml:space="preserve"> </w:t>
            </w:r>
            <w:r w:rsidR="004635CA" w:rsidRPr="007418E7">
              <w:rPr>
                <w:rFonts w:ascii="Times New Roman" w:eastAsia="Times New Roman" w:hAnsi="Times New Roman" w:cs="Times New Roman"/>
                <w:sz w:val="20"/>
                <w:szCs w:val="20"/>
                <w:lang w:eastAsia="sk-SK"/>
              </w:rPr>
              <w:t>Návrh zákona ďalej upravuje využitie výnosov získan</w:t>
            </w:r>
            <w:r w:rsidR="004635CA">
              <w:rPr>
                <w:rFonts w:ascii="Times New Roman" w:eastAsia="Times New Roman" w:hAnsi="Times New Roman" w:cs="Times New Roman"/>
                <w:sz w:val="20"/>
                <w:szCs w:val="20"/>
                <w:lang w:eastAsia="sk-SK"/>
              </w:rPr>
              <w:t>ých z dražieb kvót</w:t>
            </w:r>
            <w:r w:rsidR="004635CA" w:rsidRPr="007418E7">
              <w:rPr>
                <w:rFonts w:ascii="Times New Roman" w:eastAsia="Times New Roman" w:hAnsi="Times New Roman" w:cs="Times New Roman"/>
                <w:sz w:val="20"/>
                <w:szCs w:val="20"/>
                <w:lang w:eastAsia="sk-SK"/>
              </w:rPr>
              <w:t>.</w:t>
            </w:r>
          </w:p>
        </w:tc>
      </w:tr>
      <w:tr w:rsidR="001B23B7" w:rsidRPr="00B043B4" w14:paraId="389B61D5" w14:textId="77777777" w:rsidTr="7689D60A">
        <w:tc>
          <w:tcPr>
            <w:tcW w:w="9180" w:type="dxa"/>
            <w:gridSpan w:val="11"/>
            <w:tcBorders>
              <w:top w:val="single" w:sz="4" w:space="0" w:color="auto"/>
              <w:left w:val="single" w:sz="4" w:space="0" w:color="auto"/>
              <w:bottom w:val="nil"/>
              <w:right w:val="single" w:sz="4" w:space="0" w:color="auto"/>
            </w:tcBorders>
            <w:shd w:val="clear" w:color="auto" w:fill="E2E2E2"/>
          </w:tcPr>
          <w:p w14:paraId="636BC618" w14:textId="77777777" w:rsidR="001B23B7" w:rsidRPr="00B043B4" w:rsidRDefault="001B23B7" w:rsidP="00163569">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1B23B7" w:rsidRPr="00B043B4" w14:paraId="7F22266D" w14:textId="77777777" w:rsidTr="7689D60A">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hemeFill="background1"/>
          </w:tcPr>
          <w:p w14:paraId="3C04FD6C" w14:textId="77777777" w:rsidR="001B23B7" w:rsidRDefault="001B23B7" w:rsidP="00163569">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hlavné ciele predkladaného materiálu (aký výsledný stav má byť prijatím materiálu dosiahnutý, pričom dosiahnutý stav musí byť odlišný od stavu popísaného v bod</w:t>
            </w:r>
            <w:r>
              <w:rPr>
                <w:rFonts w:ascii="Times New Roman" w:eastAsia="Times New Roman" w:hAnsi="Times New Roman" w:cs="Times New Roman"/>
                <w:i/>
                <w:sz w:val="20"/>
                <w:szCs w:val="20"/>
                <w:lang w:eastAsia="sk-SK"/>
              </w:rPr>
              <w:t>e</w:t>
            </w:r>
            <w:r w:rsidRPr="00B043B4">
              <w:rPr>
                <w:rFonts w:ascii="Times New Roman" w:eastAsia="Times New Roman" w:hAnsi="Times New Roman" w:cs="Times New Roman"/>
                <w:i/>
                <w:sz w:val="20"/>
                <w:szCs w:val="20"/>
                <w:lang w:eastAsia="sk-SK"/>
              </w:rPr>
              <w:t xml:space="preserve"> 2. Definovanie problému). </w:t>
            </w:r>
          </w:p>
          <w:p w14:paraId="267AF84B" w14:textId="77777777" w:rsidR="00A41ADA" w:rsidRPr="00B043B4" w:rsidRDefault="00A41ADA" w:rsidP="00163569">
            <w:pPr>
              <w:rPr>
                <w:rFonts w:ascii="Times New Roman" w:eastAsia="Times New Roman" w:hAnsi="Times New Roman" w:cs="Times New Roman"/>
                <w:i/>
                <w:sz w:val="20"/>
                <w:szCs w:val="20"/>
                <w:lang w:eastAsia="sk-SK"/>
              </w:rPr>
            </w:pPr>
          </w:p>
          <w:p w14:paraId="569429D7" w14:textId="77777777" w:rsidR="00A41ADA" w:rsidRPr="00A41ADA" w:rsidRDefault="00A41ADA" w:rsidP="00A41ADA">
            <w:pPr>
              <w:rPr>
                <w:rFonts w:ascii="Times New Roman" w:eastAsia="Times New Roman" w:hAnsi="Times New Roman" w:cs="Times New Roman"/>
                <w:sz w:val="20"/>
                <w:szCs w:val="20"/>
                <w:lang w:eastAsia="sk-SK"/>
              </w:rPr>
            </w:pPr>
            <w:r w:rsidRPr="00A41ADA">
              <w:rPr>
                <w:rFonts w:ascii="Times New Roman" w:eastAsia="Times New Roman" w:hAnsi="Times New Roman" w:cs="Times New Roman"/>
                <w:sz w:val="20"/>
                <w:szCs w:val="20"/>
                <w:lang w:eastAsia="sk-SK"/>
              </w:rPr>
              <w:t>Cieľom návrhu zákona je prispôsobiť systém obchodovania s emisnými kvótami skleníkových plynov (EÚ ETS) na celkovú ambíc</w:t>
            </w:r>
            <w:r>
              <w:rPr>
                <w:rFonts w:ascii="Times New Roman" w:eastAsia="Times New Roman" w:hAnsi="Times New Roman" w:cs="Times New Roman"/>
                <w:sz w:val="20"/>
                <w:szCs w:val="20"/>
                <w:lang w:eastAsia="sk-SK"/>
              </w:rPr>
              <w:t>iu zníženia emisií do roku 2030.</w:t>
            </w:r>
          </w:p>
          <w:p w14:paraId="0D15F9B8" w14:textId="77777777" w:rsidR="00A15A1D" w:rsidRDefault="00A41ADA" w:rsidP="00A41ADA">
            <w:pPr>
              <w:rPr>
                <w:rFonts w:ascii="Times New Roman" w:eastAsia="Times New Roman" w:hAnsi="Times New Roman" w:cs="Times New Roman"/>
                <w:sz w:val="20"/>
                <w:szCs w:val="20"/>
                <w:lang w:eastAsia="sk-SK"/>
              </w:rPr>
            </w:pPr>
            <w:r w:rsidRPr="00A41ADA">
              <w:rPr>
                <w:rFonts w:ascii="Times New Roman" w:eastAsia="Times New Roman" w:hAnsi="Times New Roman" w:cs="Times New Roman"/>
                <w:sz w:val="20"/>
                <w:szCs w:val="20"/>
                <w:lang w:eastAsia="sk-SK"/>
              </w:rPr>
              <w:t>Po prvýkrát sa do rozsahu pôsobnosti EÚ ETS za</w:t>
            </w:r>
            <w:r w:rsidR="00E907CD">
              <w:rPr>
                <w:rFonts w:ascii="Times New Roman" w:eastAsia="Times New Roman" w:hAnsi="Times New Roman" w:cs="Times New Roman"/>
                <w:sz w:val="20"/>
                <w:szCs w:val="20"/>
                <w:lang w:eastAsia="sk-SK"/>
              </w:rPr>
              <w:t>hŕňajú emisie z lodnej dopravy. Návrh zákona upravuje základné pojmy, monitorovanie a podávanie správ, prideľovanie a odovzdanie kvót a povinnosti lodných spoločností.</w:t>
            </w:r>
          </w:p>
          <w:p w14:paraId="1F19CECE" w14:textId="77777777" w:rsidR="00A15A1D" w:rsidRDefault="00A41ADA" w:rsidP="00A41ADA">
            <w:pPr>
              <w:rPr>
                <w:rFonts w:ascii="Times New Roman" w:eastAsia="Times New Roman" w:hAnsi="Times New Roman" w:cs="Times New Roman"/>
                <w:sz w:val="20"/>
                <w:szCs w:val="20"/>
                <w:lang w:eastAsia="sk-SK"/>
              </w:rPr>
            </w:pPr>
            <w:r w:rsidRPr="00A41ADA">
              <w:rPr>
                <w:rFonts w:ascii="Times New Roman" w:eastAsia="Times New Roman" w:hAnsi="Times New Roman" w:cs="Times New Roman"/>
                <w:sz w:val="20"/>
                <w:szCs w:val="20"/>
                <w:lang w:eastAsia="sk-SK"/>
              </w:rPr>
              <w:t>Zriaďuje sa nový samostatný systém obchodovania s emisiami pre odvetvie budov, odvetvie cestnej dopravy a ďalšie odvetvia (najmä malý priemysel). Nový systém sa bude vzťahovať na distribútorov, ktorí dodávajú palivá do budov, cestnej dopravy a ďalších sektorov od roku 2027.</w:t>
            </w:r>
            <w:r w:rsidR="00A15A1D">
              <w:rPr>
                <w:rFonts w:ascii="Times New Roman" w:eastAsia="Times New Roman" w:hAnsi="Times New Roman" w:cs="Times New Roman"/>
                <w:sz w:val="20"/>
                <w:szCs w:val="20"/>
                <w:lang w:eastAsia="sk-SK"/>
              </w:rPr>
              <w:t xml:space="preserve"> Návrh zákona definuje regulovaný subjekt, palivo, uvedenie do daňového voľného obehu a povolenie na emisie skleníkových plynov pre regulované subjekty. Ustanovuje náležitosti, zmeny, zrušenie povolenia a povinnosti regulovaných subjektov.</w:t>
            </w:r>
          </w:p>
          <w:p w14:paraId="3C1F68D6" w14:textId="77777777" w:rsidR="00A41ADA" w:rsidRPr="00A41ADA" w:rsidRDefault="00A41ADA" w:rsidP="00A41ADA">
            <w:pPr>
              <w:rPr>
                <w:rFonts w:ascii="Times New Roman" w:eastAsia="Times New Roman" w:hAnsi="Times New Roman" w:cs="Times New Roman"/>
                <w:sz w:val="20"/>
                <w:szCs w:val="20"/>
                <w:lang w:eastAsia="sk-SK"/>
              </w:rPr>
            </w:pPr>
            <w:r w:rsidRPr="00A41ADA">
              <w:rPr>
                <w:rFonts w:ascii="Times New Roman" w:eastAsia="Times New Roman" w:hAnsi="Times New Roman" w:cs="Times New Roman"/>
                <w:sz w:val="20"/>
                <w:szCs w:val="20"/>
                <w:lang w:eastAsia="sk-SK"/>
              </w:rPr>
              <w:lastRenderedPageBreak/>
              <w:t>Zároveň sa zriaďuje nový Sociálno-klimatický fond, prostredníctvom ktorého sa členským štátom poskytnú osobitné finančné prostriedky na podporu najmä zraniteľných domácností, používateľov dopravy a mikropodnikov.</w:t>
            </w:r>
          </w:p>
          <w:p w14:paraId="1C05B5D5" w14:textId="77777777" w:rsidR="00E907CD" w:rsidRDefault="00E907CD" w:rsidP="00A41ADA">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Návrh zákona upravuje v akých prípadoch môže dôjsť k zníženiu bezodplatného prideľovania emisných kvót pre stacionárne prevádzky (</w:t>
            </w:r>
            <w:r w:rsidR="009E046D">
              <w:rPr>
                <w:rFonts w:ascii="Times New Roman" w:eastAsia="Times New Roman" w:hAnsi="Times New Roman" w:cs="Times New Roman"/>
                <w:sz w:val="20"/>
                <w:szCs w:val="20"/>
                <w:lang w:eastAsia="sk-SK"/>
              </w:rPr>
              <w:t>nevykonanie odporúčaní</w:t>
            </w:r>
            <w:r w:rsidRPr="00E907CD">
              <w:rPr>
                <w:rFonts w:ascii="Times New Roman" w:eastAsia="Times New Roman" w:hAnsi="Times New Roman" w:cs="Times New Roman"/>
                <w:sz w:val="20"/>
                <w:szCs w:val="20"/>
                <w:lang w:eastAsia="sk-SK"/>
              </w:rPr>
              <w:t xml:space="preserve"> z energetického auditu</w:t>
            </w:r>
            <w:r w:rsidR="009E046D">
              <w:rPr>
                <w:rFonts w:ascii="Times New Roman" w:eastAsia="Times New Roman" w:hAnsi="Times New Roman" w:cs="Times New Roman"/>
                <w:sz w:val="20"/>
                <w:szCs w:val="20"/>
                <w:lang w:eastAsia="sk-SK"/>
              </w:rPr>
              <w:t>, nepredloženie plánu klimatickej neutrality dotknutých prevádzok</w:t>
            </w:r>
            <w:r>
              <w:rPr>
                <w:rFonts w:ascii="Times New Roman" w:eastAsia="Times New Roman" w:hAnsi="Times New Roman" w:cs="Times New Roman"/>
                <w:sz w:val="20"/>
                <w:szCs w:val="20"/>
                <w:lang w:eastAsia="sk-SK"/>
              </w:rPr>
              <w:t>)</w:t>
            </w:r>
            <w:r w:rsidR="009E046D">
              <w:rPr>
                <w:rFonts w:ascii="Times New Roman" w:eastAsia="Times New Roman" w:hAnsi="Times New Roman" w:cs="Times New Roman"/>
                <w:sz w:val="20"/>
                <w:szCs w:val="20"/>
                <w:lang w:eastAsia="sk-SK"/>
              </w:rPr>
              <w:t>.</w:t>
            </w:r>
            <w:r w:rsidRPr="00A41ADA">
              <w:rPr>
                <w:rFonts w:ascii="Times New Roman" w:eastAsia="Times New Roman" w:hAnsi="Times New Roman" w:cs="Times New Roman"/>
                <w:sz w:val="20"/>
                <w:szCs w:val="20"/>
                <w:lang w:eastAsia="sk-SK"/>
              </w:rPr>
              <w:t xml:space="preserve"> Bezodplatné emisné kvóty pre sektor letectva sa budú postupne rušiť a od roku 2026 sa zavedie úplné obchodovanie formou aukcie.</w:t>
            </w:r>
            <w:r>
              <w:rPr>
                <w:rFonts w:ascii="Times New Roman" w:eastAsia="Times New Roman" w:hAnsi="Times New Roman" w:cs="Times New Roman"/>
                <w:sz w:val="20"/>
                <w:szCs w:val="20"/>
                <w:lang w:eastAsia="sk-SK"/>
              </w:rPr>
              <w:t xml:space="preserve"> </w:t>
            </w:r>
          </w:p>
          <w:p w14:paraId="38375AA1" w14:textId="77777777" w:rsidR="00D91E73" w:rsidRDefault="00D91E73" w:rsidP="00A41ADA">
            <w:pPr>
              <w:rPr>
                <w:rFonts w:ascii="Times New Roman" w:eastAsia="Times New Roman" w:hAnsi="Times New Roman" w:cs="Times New Roman"/>
                <w:sz w:val="20"/>
                <w:szCs w:val="20"/>
                <w:lang w:eastAsia="sk-SK"/>
              </w:rPr>
            </w:pPr>
            <w:r w:rsidRPr="00D91E73">
              <w:rPr>
                <w:rFonts w:ascii="Times New Roman" w:eastAsia="Times New Roman" w:hAnsi="Times New Roman" w:cs="Times New Roman"/>
                <w:sz w:val="20"/>
                <w:szCs w:val="20"/>
                <w:lang w:eastAsia="sk-SK"/>
              </w:rPr>
              <w:t xml:space="preserve">Mechanizmus uhlíkovej kompenzácie na hraniciach CBAM by mal postupne nahradiť existujúce bezodplatného prideľovania kvót v rámci EU ETS zabezpečením ekvivalentného stanovovania cien uhlíka na tovar dovážaný na colné územie EÚ z tretích krajín okrem prípadov, keď jeho výroba podlieha obdobnému systému oceňovania uhlíka ako je EU ETS prostredníctvom jeho uplatňovania v tretích krajinách. Zároveň má slúžiť ako opatrenie na predchádzanie riziku úniku uhlíka. </w:t>
            </w:r>
          </w:p>
          <w:p w14:paraId="5D4EF695" w14:textId="09C3D10B" w:rsidR="00A41ADA" w:rsidRPr="00A41ADA" w:rsidRDefault="00A41ADA" w:rsidP="00A41ADA">
            <w:pPr>
              <w:rPr>
                <w:rFonts w:ascii="Times New Roman" w:eastAsia="Times New Roman" w:hAnsi="Times New Roman" w:cs="Times New Roman"/>
                <w:sz w:val="20"/>
                <w:szCs w:val="20"/>
                <w:lang w:eastAsia="sk-SK"/>
              </w:rPr>
            </w:pPr>
            <w:r w:rsidRPr="00A41ADA">
              <w:rPr>
                <w:rFonts w:ascii="Times New Roman" w:eastAsia="Times New Roman" w:hAnsi="Times New Roman" w:cs="Times New Roman"/>
                <w:sz w:val="20"/>
                <w:szCs w:val="20"/>
                <w:lang w:eastAsia="sk-SK"/>
              </w:rPr>
              <w:t>Od 1. januára 2024 sa monitorovania emisií a podávanie správ o emisiách rozširuje aj na spaľovanie palív v zariadeniach na spaľovanie komunálneho odpadu s celkovým menovitým tepelným príkonom väčším ako 20 MW s cieľom posúdiť ich začlenenie do EÚ ETS od roku 2028.</w:t>
            </w:r>
          </w:p>
          <w:p w14:paraId="39568B98" w14:textId="15679075" w:rsidR="001B23B7" w:rsidRDefault="00A41ADA" w:rsidP="00A41ADA">
            <w:pPr>
              <w:rPr>
                <w:rFonts w:ascii="Times New Roman" w:eastAsia="Times New Roman" w:hAnsi="Times New Roman" w:cs="Times New Roman"/>
                <w:sz w:val="20"/>
                <w:szCs w:val="20"/>
                <w:lang w:eastAsia="sk-SK"/>
              </w:rPr>
            </w:pPr>
            <w:r w:rsidRPr="200D816C">
              <w:rPr>
                <w:rFonts w:ascii="Times New Roman" w:eastAsia="Times New Roman" w:hAnsi="Times New Roman" w:cs="Times New Roman"/>
                <w:sz w:val="20"/>
                <w:szCs w:val="20"/>
                <w:lang w:eastAsia="sk-SK"/>
              </w:rPr>
              <w:t>Návrh zákona ďalej upravuje fungovanie modernizačného fondu, pôsobnosť orgánov štátnej správy</w:t>
            </w:r>
            <w:r w:rsidR="009E046D" w:rsidRPr="200D816C">
              <w:rPr>
                <w:rFonts w:ascii="Times New Roman" w:eastAsia="Times New Roman" w:hAnsi="Times New Roman" w:cs="Times New Roman"/>
                <w:sz w:val="20"/>
                <w:szCs w:val="20"/>
                <w:lang w:eastAsia="sk-SK"/>
              </w:rPr>
              <w:t xml:space="preserve">, </w:t>
            </w:r>
            <w:r w:rsidRPr="200D816C">
              <w:rPr>
                <w:rFonts w:ascii="Times New Roman" w:eastAsia="Times New Roman" w:hAnsi="Times New Roman" w:cs="Times New Roman"/>
                <w:sz w:val="20"/>
                <w:szCs w:val="20"/>
                <w:lang w:eastAsia="sk-SK"/>
              </w:rPr>
              <w:t>využitie výnosov získaných z dražieb kvót</w:t>
            </w:r>
            <w:r w:rsidR="004635CA" w:rsidRPr="200D816C">
              <w:rPr>
                <w:rFonts w:ascii="Times New Roman" w:eastAsia="Times New Roman" w:hAnsi="Times New Roman" w:cs="Times New Roman"/>
                <w:sz w:val="20"/>
                <w:szCs w:val="20"/>
                <w:lang w:eastAsia="sk-SK"/>
              </w:rPr>
              <w:t>, spôsob ich použitia</w:t>
            </w:r>
            <w:r w:rsidRPr="200D816C">
              <w:rPr>
                <w:rFonts w:ascii="Times New Roman" w:eastAsia="Times New Roman" w:hAnsi="Times New Roman" w:cs="Times New Roman"/>
                <w:sz w:val="20"/>
                <w:szCs w:val="20"/>
                <w:lang w:eastAsia="sk-SK"/>
              </w:rPr>
              <w:t xml:space="preserve"> a</w:t>
            </w:r>
            <w:r w:rsidR="004635CA" w:rsidRPr="200D816C">
              <w:rPr>
                <w:rFonts w:ascii="Times New Roman" w:eastAsia="Times New Roman" w:hAnsi="Times New Roman" w:cs="Times New Roman"/>
                <w:sz w:val="20"/>
                <w:szCs w:val="20"/>
                <w:lang w:eastAsia="sk-SK"/>
              </w:rPr>
              <w:t xml:space="preserve"> ich </w:t>
            </w:r>
            <w:r w:rsidRPr="200D816C">
              <w:rPr>
                <w:rFonts w:ascii="Times New Roman" w:eastAsia="Times New Roman" w:hAnsi="Times New Roman" w:cs="Times New Roman"/>
                <w:sz w:val="20"/>
                <w:szCs w:val="20"/>
                <w:lang w:eastAsia="sk-SK"/>
              </w:rPr>
              <w:t xml:space="preserve">poskytovanie </w:t>
            </w:r>
            <w:r w:rsidR="004635CA" w:rsidRPr="200D816C">
              <w:rPr>
                <w:rFonts w:ascii="Times New Roman" w:eastAsia="Times New Roman" w:hAnsi="Times New Roman" w:cs="Times New Roman"/>
                <w:sz w:val="20"/>
                <w:szCs w:val="20"/>
                <w:lang w:eastAsia="sk-SK"/>
              </w:rPr>
              <w:t>prostredníctvom</w:t>
            </w:r>
            <w:r w:rsidRPr="200D816C">
              <w:rPr>
                <w:rFonts w:ascii="Times New Roman" w:eastAsia="Times New Roman" w:hAnsi="Times New Roman" w:cs="Times New Roman"/>
                <w:sz w:val="20"/>
                <w:szCs w:val="20"/>
                <w:lang w:eastAsia="sk-SK"/>
              </w:rPr>
              <w:t xml:space="preserve"> Environmentálneho fondu.</w:t>
            </w:r>
          </w:p>
          <w:p w14:paraId="48361B69" w14:textId="77777777" w:rsidR="009E046D" w:rsidRDefault="009E046D" w:rsidP="00A41ADA">
            <w:pPr>
              <w:rPr>
                <w:rFonts w:ascii="Times New Roman" w:eastAsia="Times New Roman" w:hAnsi="Times New Roman" w:cs="Times New Roman"/>
                <w:sz w:val="20"/>
                <w:szCs w:val="20"/>
                <w:lang w:eastAsia="sk-SK"/>
              </w:rPr>
            </w:pPr>
          </w:p>
          <w:p w14:paraId="5EC67923" w14:textId="77777777" w:rsidR="009E046D" w:rsidRPr="00B043B4" w:rsidRDefault="009E046D" w:rsidP="009E046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Výsledným stavom bude implementácia transponovaných predpisov. </w:t>
            </w:r>
          </w:p>
        </w:tc>
      </w:tr>
      <w:tr w:rsidR="001B23B7" w:rsidRPr="00B043B4" w14:paraId="31D65B38" w14:textId="77777777" w:rsidTr="7689D60A">
        <w:tc>
          <w:tcPr>
            <w:tcW w:w="9180" w:type="dxa"/>
            <w:gridSpan w:val="11"/>
            <w:tcBorders>
              <w:top w:val="single" w:sz="4" w:space="0" w:color="auto"/>
              <w:left w:val="single" w:sz="4" w:space="0" w:color="auto"/>
              <w:bottom w:val="nil"/>
              <w:right w:val="single" w:sz="4" w:space="0" w:color="auto"/>
            </w:tcBorders>
            <w:shd w:val="clear" w:color="auto" w:fill="E2E2E2"/>
          </w:tcPr>
          <w:p w14:paraId="5C292752" w14:textId="77777777" w:rsidR="001B23B7" w:rsidRPr="00B043B4" w:rsidRDefault="001B23B7" w:rsidP="00163569">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Dotknuté subjekty</w:t>
            </w:r>
          </w:p>
        </w:tc>
      </w:tr>
      <w:tr w:rsidR="001B23B7" w:rsidRPr="00B043B4" w14:paraId="6A19DDB6" w14:textId="77777777" w:rsidTr="7689D60A">
        <w:tc>
          <w:tcPr>
            <w:tcW w:w="9180" w:type="dxa"/>
            <w:gridSpan w:val="11"/>
            <w:tcBorders>
              <w:top w:val="nil"/>
              <w:left w:val="single" w:sz="4" w:space="0" w:color="auto"/>
              <w:bottom w:val="single" w:sz="4" w:space="0" w:color="auto"/>
              <w:right w:val="single" w:sz="4" w:space="0" w:color="auto"/>
            </w:tcBorders>
            <w:shd w:val="clear" w:color="auto" w:fill="FFFFFF" w:themeFill="background1"/>
          </w:tcPr>
          <w:p w14:paraId="07763270" w14:textId="77777777" w:rsidR="001B23B7" w:rsidRDefault="001B23B7" w:rsidP="00163569">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5C79A3EA" w14:textId="77777777" w:rsidR="00A41ADA" w:rsidRPr="00B043B4" w:rsidRDefault="00A41ADA" w:rsidP="00163569">
            <w:pPr>
              <w:rPr>
                <w:rFonts w:ascii="Times New Roman" w:eastAsia="Times New Roman" w:hAnsi="Times New Roman" w:cs="Times New Roman"/>
                <w:b/>
                <w:sz w:val="20"/>
                <w:szCs w:val="20"/>
                <w:lang w:eastAsia="sk-SK"/>
              </w:rPr>
            </w:pPr>
          </w:p>
          <w:p w14:paraId="49CD25B9" w14:textId="77777777" w:rsidR="00A226BF" w:rsidRDefault="00A41ADA" w:rsidP="00A226BF">
            <w:pPr>
              <w:pStyle w:val="Odsekzoznamu"/>
              <w:numPr>
                <w:ilvl w:val="0"/>
                <w:numId w:val="31"/>
              </w:numPr>
              <w:ind w:left="306" w:hanging="284"/>
              <w:rPr>
                <w:rFonts w:ascii="Times New Roman" w:eastAsia="Times New Roman" w:hAnsi="Times New Roman" w:cs="Times New Roman"/>
                <w:sz w:val="20"/>
                <w:szCs w:val="20"/>
                <w:lang w:eastAsia="sk-SK"/>
              </w:rPr>
            </w:pPr>
            <w:r w:rsidRPr="00A226BF">
              <w:rPr>
                <w:rFonts w:ascii="Times New Roman" w:eastAsia="Times New Roman" w:hAnsi="Times New Roman" w:cs="Times New Roman"/>
                <w:sz w:val="20"/>
                <w:szCs w:val="20"/>
                <w:lang w:eastAsia="sk-SK"/>
              </w:rPr>
              <w:t>Ministerstvo životného prostredia Slovenskej republiky</w:t>
            </w:r>
          </w:p>
          <w:p w14:paraId="310E2CA1" w14:textId="77777777" w:rsidR="00A226BF" w:rsidRDefault="00A41ADA" w:rsidP="00A226BF">
            <w:pPr>
              <w:pStyle w:val="Odsekzoznamu"/>
              <w:numPr>
                <w:ilvl w:val="0"/>
                <w:numId w:val="31"/>
              </w:numPr>
              <w:ind w:left="306" w:hanging="284"/>
              <w:rPr>
                <w:rFonts w:ascii="Times New Roman" w:eastAsia="Times New Roman" w:hAnsi="Times New Roman" w:cs="Times New Roman"/>
                <w:sz w:val="20"/>
                <w:szCs w:val="20"/>
                <w:lang w:eastAsia="sk-SK"/>
              </w:rPr>
            </w:pPr>
            <w:r w:rsidRPr="00A226BF">
              <w:rPr>
                <w:rFonts w:ascii="Times New Roman" w:eastAsia="Times New Roman" w:hAnsi="Times New Roman" w:cs="Times New Roman"/>
                <w:sz w:val="20"/>
                <w:szCs w:val="20"/>
                <w:lang w:eastAsia="sk-SK"/>
              </w:rPr>
              <w:t>Environmentálny fond</w:t>
            </w:r>
          </w:p>
          <w:p w14:paraId="6B74A10E" w14:textId="77777777" w:rsidR="00A226BF" w:rsidRDefault="00B32A92" w:rsidP="00A226BF">
            <w:pPr>
              <w:pStyle w:val="Odsekzoznamu"/>
              <w:numPr>
                <w:ilvl w:val="0"/>
                <w:numId w:val="31"/>
              </w:numPr>
              <w:ind w:left="306" w:hanging="284"/>
              <w:rPr>
                <w:rFonts w:ascii="Times New Roman" w:eastAsia="Times New Roman" w:hAnsi="Times New Roman" w:cs="Times New Roman"/>
                <w:sz w:val="20"/>
                <w:szCs w:val="20"/>
                <w:lang w:eastAsia="sk-SK"/>
              </w:rPr>
            </w:pPr>
            <w:r w:rsidRPr="00A226BF">
              <w:rPr>
                <w:rFonts w:ascii="Times New Roman" w:eastAsia="Times New Roman" w:hAnsi="Times New Roman" w:cs="Times New Roman"/>
                <w:sz w:val="20"/>
                <w:szCs w:val="20"/>
                <w:lang w:eastAsia="sk-SK"/>
              </w:rPr>
              <w:t>Ministerstvo dopravy Slovenskej republiky</w:t>
            </w:r>
          </w:p>
          <w:p w14:paraId="31F653FC" w14:textId="77777777" w:rsidR="00A226BF" w:rsidRDefault="00A41ADA" w:rsidP="00A226BF">
            <w:pPr>
              <w:pStyle w:val="Odsekzoznamu"/>
              <w:numPr>
                <w:ilvl w:val="0"/>
                <w:numId w:val="31"/>
              </w:numPr>
              <w:ind w:left="306" w:hanging="284"/>
              <w:rPr>
                <w:rFonts w:ascii="Times New Roman" w:eastAsia="Times New Roman" w:hAnsi="Times New Roman" w:cs="Times New Roman"/>
                <w:sz w:val="20"/>
                <w:szCs w:val="20"/>
                <w:lang w:eastAsia="sk-SK"/>
              </w:rPr>
            </w:pPr>
            <w:r w:rsidRPr="00A226BF">
              <w:rPr>
                <w:rFonts w:ascii="Times New Roman" w:eastAsia="Times New Roman" w:hAnsi="Times New Roman" w:cs="Times New Roman"/>
                <w:sz w:val="20"/>
                <w:szCs w:val="20"/>
                <w:lang w:eastAsia="sk-SK"/>
              </w:rPr>
              <w:t>Ministerstvo financií Slovenskej republiky</w:t>
            </w:r>
          </w:p>
          <w:p w14:paraId="1EAE5EC3" w14:textId="0059B153" w:rsidR="00A226BF" w:rsidRDefault="00A41ADA" w:rsidP="00A226BF">
            <w:pPr>
              <w:pStyle w:val="Odsekzoznamu"/>
              <w:numPr>
                <w:ilvl w:val="0"/>
                <w:numId w:val="31"/>
              </w:numPr>
              <w:ind w:left="306" w:hanging="284"/>
              <w:rPr>
                <w:rFonts w:ascii="Times New Roman" w:eastAsia="Times New Roman" w:hAnsi="Times New Roman" w:cs="Times New Roman"/>
                <w:sz w:val="20"/>
                <w:szCs w:val="20"/>
                <w:lang w:eastAsia="sk-SK"/>
              </w:rPr>
            </w:pPr>
            <w:r w:rsidRPr="00A226BF">
              <w:rPr>
                <w:rFonts w:ascii="Times New Roman" w:eastAsia="Times New Roman" w:hAnsi="Times New Roman" w:cs="Times New Roman"/>
                <w:sz w:val="20"/>
                <w:szCs w:val="20"/>
                <w:lang w:eastAsia="sk-SK"/>
              </w:rPr>
              <w:t>Ministerstvo hospodárstva Slovenskej republiky</w:t>
            </w:r>
          </w:p>
          <w:p w14:paraId="0BF4756D" w14:textId="036040D3" w:rsidR="00315096" w:rsidRPr="00315096" w:rsidRDefault="00315096" w:rsidP="00315096">
            <w:pPr>
              <w:pStyle w:val="Odsekzoznamu"/>
              <w:numPr>
                <w:ilvl w:val="0"/>
                <w:numId w:val="31"/>
              </w:numPr>
              <w:ind w:left="306" w:hanging="284"/>
              <w:rPr>
                <w:rFonts w:ascii="Times New Roman" w:eastAsia="Times New Roman" w:hAnsi="Times New Roman" w:cs="Times New Roman"/>
                <w:sz w:val="20"/>
                <w:szCs w:val="20"/>
                <w:lang w:eastAsia="sk-SK"/>
              </w:rPr>
            </w:pPr>
            <w:r w:rsidRPr="00A226BF">
              <w:rPr>
                <w:rFonts w:ascii="Times New Roman" w:eastAsia="Times New Roman" w:hAnsi="Times New Roman" w:cs="Times New Roman"/>
                <w:sz w:val="20"/>
                <w:szCs w:val="20"/>
                <w:lang w:eastAsia="sk-SK"/>
              </w:rPr>
              <w:t xml:space="preserve">Ministerstvo </w:t>
            </w:r>
            <w:r>
              <w:rPr>
                <w:rFonts w:ascii="Times New Roman" w:eastAsia="Times New Roman" w:hAnsi="Times New Roman" w:cs="Times New Roman"/>
                <w:sz w:val="20"/>
                <w:szCs w:val="20"/>
                <w:lang w:eastAsia="sk-SK"/>
              </w:rPr>
              <w:t>pôdohospodárstva a rozvoja vidieka</w:t>
            </w:r>
            <w:bookmarkStart w:id="0" w:name="_GoBack"/>
            <w:bookmarkEnd w:id="0"/>
            <w:r w:rsidRPr="00A226BF">
              <w:rPr>
                <w:rFonts w:ascii="Times New Roman" w:eastAsia="Times New Roman" w:hAnsi="Times New Roman" w:cs="Times New Roman"/>
                <w:sz w:val="20"/>
                <w:szCs w:val="20"/>
                <w:lang w:eastAsia="sk-SK"/>
              </w:rPr>
              <w:t xml:space="preserve"> Slovenskej republiky</w:t>
            </w:r>
          </w:p>
          <w:p w14:paraId="49BB8DA6" w14:textId="77777777" w:rsidR="00A226BF" w:rsidRDefault="006E2AB7" w:rsidP="00A226BF">
            <w:pPr>
              <w:pStyle w:val="Odsekzoznamu"/>
              <w:numPr>
                <w:ilvl w:val="0"/>
                <w:numId w:val="31"/>
              </w:numPr>
              <w:ind w:left="306" w:hanging="284"/>
              <w:rPr>
                <w:rFonts w:ascii="Times New Roman" w:eastAsia="Times New Roman" w:hAnsi="Times New Roman" w:cs="Times New Roman"/>
                <w:sz w:val="20"/>
                <w:szCs w:val="20"/>
                <w:lang w:eastAsia="sk-SK"/>
              </w:rPr>
            </w:pPr>
            <w:r w:rsidRPr="00A226BF">
              <w:rPr>
                <w:rFonts w:ascii="Times New Roman" w:eastAsia="Times New Roman" w:hAnsi="Times New Roman" w:cs="Times New Roman"/>
                <w:sz w:val="20"/>
                <w:szCs w:val="20"/>
                <w:lang w:eastAsia="sk-SK"/>
              </w:rPr>
              <w:t>Okresné úrady, odbory starostlivosti o životné prostredie</w:t>
            </w:r>
          </w:p>
          <w:p w14:paraId="370CD9C0" w14:textId="77777777" w:rsidR="00A226BF" w:rsidRDefault="00A41ADA" w:rsidP="00A226BF">
            <w:pPr>
              <w:pStyle w:val="Odsekzoznamu"/>
              <w:numPr>
                <w:ilvl w:val="0"/>
                <w:numId w:val="31"/>
              </w:numPr>
              <w:ind w:left="306" w:hanging="284"/>
              <w:rPr>
                <w:rFonts w:ascii="Times New Roman" w:eastAsia="Times New Roman" w:hAnsi="Times New Roman" w:cs="Times New Roman"/>
                <w:sz w:val="20"/>
                <w:szCs w:val="20"/>
                <w:lang w:eastAsia="sk-SK"/>
              </w:rPr>
            </w:pPr>
            <w:r w:rsidRPr="00A226BF">
              <w:rPr>
                <w:rFonts w:ascii="Times New Roman" w:eastAsia="Times New Roman" w:hAnsi="Times New Roman" w:cs="Times New Roman"/>
                <w:sz w:val="20"/>
                <w:szCs w:val="20"/>
                <w:lang w:eastAsia="sk-SK"/>
              </w:rPr>
              <w:t>Účastníci systému obchodovania</w:t>
            </w:r>
            <w:r w:rsidR="00A226BF" w:rsidRPr="00A226BF">
              <w:rPr>
                <w:rFonts w:ascii="Times New Roman" w:eastAsia="Times New Roman" w:hAnsi="Times New Roman" w:cs="Times New Roman"/>
                <w:sz w:val="20"/>
                <w:szCs w:val="20"/>
                <w:lang w:eastAsia="sk-SK"/>
              </w:rPr>
              <w:t xml:space="preserve"> – existujúce prevádzky najmä zo sektorov: výroba potravín, spracovanie dreva a výroba výrobkov z dreva a korku, výroba papiera a papierových výrobkov, výroba koksu a rafinovaných ropných produktov, výroba chemikálií a chemických produktov, výroba základných farmaceutických výrobkov a farmaceutických prípravkov, výroba výrobkov z gumy a plastu, výroba ostatných nekovových minerálnych výrobkov, výroba a spracovanie kovov, výroba strojov a zariadení, výroba motorových vozidiel, návesov a prívesov, dodávka elektriny, plynu, pary a studeného vzduchu, zber spracúvanie a likvidácia odpadov, recyklácia materiálov, pozemná doprava a doprava potrubím, iná ťažba a dobývanie, pomocné činnosti pri ťažbe</w:t>
            </w:r>
          </w:p>
          <w:p w14:paraId="1BC857F4" w14:textId="77777777" w:rsidR="00A226BF" w:rsidRDefault="00C13574" w:rsidP="00A226BF">
            <w:pPr>
              <w:pStyle w:val="Odsekzoznamu"/>
              <w:numPr>
                <w:ilvl w:val="0"/>
                <w:numId w:val="31"/>
              </w:numPr>
              <w:ind w:left="306" w:hanging="284"/>
              <w:rPr>
                <w:rFonts w:ascii="Times New Roman" w:eastAsia="Times New Roman" w:hAnsi="Times New Roman" w:cs="Times New Roman"/>
                <w:sz w:val="20"/>
                <w:szCs w:val="20"/>
                <w:lang w:eastAsia="sk-SK"/>
              </w:rPr>
            </w:pPr>
            <w:r w:rsidRPr="00A226BF">
              <w:rPr>
                <w:rFonts w:ascii="Times New Roman" w:eastAsia="Times New Roman" w:hAnsi="Times New Roman" w:cs="Times New Roman"/>
                <w:sz w:val="20"/>
                <w:szCs w:val="20"/>
                <w:lang w:eastAsia="sk-SK"/>
              </w:rPr>
              <w:t>Slovenská inšpekcia životného prostredia</w:t>
            </w:r>
          </w:p>
          <w:p w14:paraId="6E91CAB1" w14:textId="756416B7" w:rsidR="00C13574" w:rsidRPr="00A226BF" w:rsidRDefault="00C13574" w:rsidP="00A226BF">
            <w:pPr>
              <w:pStyle w:val="Odsekzoznamu"/>
              <w:numPr>
                <w:ilvl w:val="0"/>
                <w:numId w:val="31"/>
              </w:numPr>
              <w:ind w:left="306" w:hanging="284"/>
              <w:rPr>
                <w:rFonts w:ascii="Times New Roman" w:eastAsia="Times New Roman" w:hAnsi="Times New Roman" w:cs="Times New Roman"/>
                <w:sz w:val="20"/>
                <w:szCs w:val="20"/>
                <w:lang w:eastAsia="sk-SK"/>
              </w:rPr>
            </w:pPr>
            <w:r w:rsidRPr="00A226BF">
              <w:rPr>
                <w:rFonts w:ascii="Times New Roman" w:eastAsia="Times New Roman" w:hAnsi="Times New Roman" w:cs="Times New Roman"/>
                <w:sz w:val="20"/>
                <w:szCs w:val="20"/>
                <w:lang w:eastAsia="sk-SK"/>
              </w:rPr>
              <w:t>Finančné riaditeľstvo Slovenskej republiky</w:t>
            </w:r>
          </w:p>
        </w:tc>
      </w:tr>
      <w:tr w:rsidR="001B23B7" w:rsidRPr="00B043B4" w14:paraId="3A79A6C6" w14:textId="77777777" w:rsidTr="7689D60A">
        <w:tc>
          <w:tcPr>
            <w:tcW w:w="9180" w:type="dxa"/>
            <w:gridSpan w:val="11"/>
            <w:tcBorders>
              <w:top w:val="single" w:sz="4" w:space="0" w:color="auto"/>
              <w:left w:val="single" w:sz="4" w:space="0" w:color="auto"/>
              <w:bottom w:val="nil"/>
              <w:right w:val="single" w:sz="4" w:space="0" w:color="auto"/>
            </w:tcBorders>
            <w:shd w:val="clear" w:color="auto" w:fill="E2E2E2"/>
          </w:tcPr>
          <w:p w14:paraId="7D5B813B" w14:textId="77777777" w:rsidR="001B23B7" w:rsidRPr="00B043B4" w:rsidRDefault="001B23B7" w:rsidP="00163569">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1B23B7" w:rsidRPr="00B043B4" w14:paraId="69A7302F" w14:textId="77777777" w:rsidTr="7689D60A">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hemeFill="background1"/>
          </w:tcPr>
          <w:p w14:paraId="67FFDAF6" w14:textId="77777777" w:rsidR="001B23B7" w:rsidRPr="00B043B4" w:rsidRDefault="001B23B7" w:rsidP="00163569">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5D7FF1D2" w14:textId="77777777" w:rsidR="001B23B7" w:rsidRPr="00B043B4" w:rsidRDefault="001B23B7" w:rsidP="00163569">
            <w:pPr>
              <w:rPr>
                <w:rFonts w:ascii="Times New Roman" w:eastAsia="Times New Roman" w:hAnsi="Times New Roman" w:cs="Times New Roman"/>
                <w:i/>
                <w:sz w:val="20"/>
                <w:szCs w:val="20"/>
                <w:lang w:eastAsia="sk-SK"/>
              </w:rPr>
            </w:pPr>
          </w:p>
          <w:p w14:paraId="106CF90E" w14:textId="77777777" w:rsidR="001B23B7" w:rsidRDefault="001B23B7" w:rsidP="00163569">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3F9B59EA" w14:textId="77777777" w:rsidR="00A41ADA" w:rsidRDefault="00A41ADA" w:rsidP="00163569">
            <w:pPr>
              <w:jc w:val="both"/>
              <w:rPr>
                <w:rFonts w:ascii="Times New Roman" w:eastAsia="Times New Roman" w:hAnsi="Times New Roman" w:cs="Times New Roman"/>
                <w:i/>
                <w:sz w:val="20"/>
                <w:szCs w:val="20"/>
                <w:lang w:eastAsia="sk-SK"/>
              </w:rPr>
            </w:pPr>
          </w:p>
          <w:p w14:paraId="45D538F4" w14:textId="1595447A" w:rsidR="00A41ADA" w:rsidRDefault="00A41ADA" w:rsidP="00163569">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Alternatívne riešenie 0 </w:t>
            </w:r>
            <w:r w:rsidR="00B04253">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w:t>
            </w:r>
            <w:r w:rsidR="006A6F5E">
              <w:rPr>
                <w:rFonts w:ascii="Times New Roman" w:eastAsia="Times New Roman" w:hAnsi="Times New Roman" w:cs="Times New Roman"/>
                <w:sz w:val="20"/>
                <w:szCs w:val="20"/>
                <w:lang w:eastAsia="sk-SK"/>
              </w:rPr>
              <w:t xml:space="preserve">Nesplnenie povinnosti implementovať transponované predpisy znamená </w:t>
            </w:r>
            <w:r w:rsidR="00C53249">
              <w:rPr>
                <w:rFonts w:ascii="Times New Roman" w:eastAsia="Times New Roman" w:hAnsi="Times New Roman" w:cs="Times New Roman"/>
                <w:sz w:val="20"/>
                <w:szCs w:val="20"/>
                <w:lang w:eastAsia="sk-SK"/>
              </w:rPr>
              <w:t>nesúlad s</w:t>
            </w:r>
            <w:r w:rsidR="006A6F5E">
              <w:rPr>
                <w:rFonts w:ascii="Times New Roman" w:eastAsia="Times New Roman" w:hAnsi="Times New Roman" w:cs="Times New Roman"/>
                <w:sz w:val="20"/>
                <w:szCs w:val="20"/>
                <w:lang w:eastAsia="sk-SK"/>
              </w:rPr>
              <w:t xml:space="preserve">lovenskej a európskej legislatívy, </w:t>
            </w:r>
            <w:r w:rsidR="00D23EED">
              <w:rPr>
                <w:rFonts w:ascii="Times New Roman" w:eastAsia="Times New Roman" w:hAnsi="Times New Roman" w:cs="Times New Roman"/>
                <w:sz w:val="20"/>
                <w:szCs w:val="20"/>
                <w:lang w:eastAsia="sk-SK"/>
              </w:rPr>
              <w:t xml:space="preserve">za </w:t>
            </w:r>
            <w:r w:rsidR="006A6F5E">
              <w:rPr>
                <w:rFonts w:ascii="Times New Roman" w:eastAsia="Times New Roman" w:hAnsi="Times New Roman" w:cs="Times New Roman"/>
                <w:sz w:val="20"/>
                <w:szCs w:val="20"/>
                <w:lang w:eastAsia="sk-SK"/>
              </w:rPr>
              <w:t xml:space="preserve">ktorý </w:t>
            </w:r>
            <w:r w:rsidR="00E52350">
              <w:rPr>
                <w:rFonts w:ascii="Times New Roman" w:eastAsia="Times New Roman" w:hAnsi="Times New Roman" w:cs="Times New Roman"/>
                <w:sz w:val="20"/>
                <w:szCs w:val="20"/>
                <w:lang w:eastAsia="sk-SK"/>
              </w:rPr>
              <w:t>mô</w:t>
            </w:r>
            <w:r w:rsidR="00D23EED">
              <w:rPr>
                <w:rFonts w:ascii="Times New Roman" w:eastAsia="Times New Roman" w:hAnsi="Times New Roman" w:cs="Times New Roman"/>
                <w:sz w:val="20"/>
                <w:szCs w:val="20"/>
                <w:lang w:eastAsia="sk-SK"/>
              </w:rPr>
              <w:t>že Európska komisia Slovenskú republiku žalovať.</w:t>
            </w:r>
          </w:p>
          <w:p w14:paraId="1FF6C567" w14:textId="4B4CD029" w:rsidR="00B04253" w:rsidRDefault="00B04253" w:rsidP="00163569">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Alternatívne riešenie 1 – </w:t>
            </w:r>
            <w:r w:rsidR="00C13574">
              <w:rPr>
                <w:rFonts w:ascii="Times New Roman" w:eastAsia="Times New Roman" w:hAnsi="Times New Roman" w:cs="Times New Roman"/>
                <w:sz w:val="20"/>
                <w:szCs w:val="20"/>
                <w:lang w:eastAsia="sk-SK"/>
              </w:rPr>
              <w:t xml:space="preserve">Úplná </w:t>
            </w:r>
            <w:r w:rsidR="00C13574" w:rsidRPr="00C13574">
              <w:rPr>
                <w:rFonts w:ascii="Times New Roman" w:eastAsia="Times New Roman" w:hAnsi="Times New Roman" w:cs="Times New Roman"/>
                <w:sz w:val="20"/>
                <w:szCs w:val="20"/>
                <w:lang w:eastAsia="sk-SK"/>
              </w:rPr>
              <w:t>implement</w:t>
            </w:r>
            <w:r w:rsidR="00C13574">
              <w:rPr>
                <w:rFonts w:ascii="Times New Roman" w:eastAsia="Times New Roman" w:hAnsi="Times New Roman" w:cs="Times New Roman"/>
                <w:sz w:val="20"/>
                <w:szCs w:val="20"/>
                <w:lang w:eastAsia="sk-SK"/>
              </w:rPr>
              <w:t>ácia transponovaných predpisov a prechod všetkých kompetencií týkajúcich sa stacionárnych prevádzok z okresných úradov na ministerstvo. Príslušným orgánom pre lodné spoločnosti a regulované subjekty sa stane ministerstvo.</w:t>
            </w:r>
          </w:p>
          <w:p w14:paraId="30E9DD5E" w14:textId="77777777" w:rsidR="00B04253" w:rsidRDefault="00B04253" w:rsidP="00C13574">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Alternatívne riešenie 2 </w:t>
            </w:r>
            <w:r w:rsidR="00C53249">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w:t>
            </w:r>
            <w:r w:rsidR="00C13574">
              <w:rPr>
                <w:rFonts w:ascii="Times New Roman" w:eastAsia="Times New Roman" w:hAnsi="Times New Roman" w:cs="Times New Roman"/>
                <w:sz w:val="20"/>
                <w:szCs w:val="20"/>
                <w:lang w:eastAsia="sk-SK"/>
              </w:rPr>
              <w:t xml:space="preserve">Úplná </w:t>
            </w:r>
            <w:r w:rsidR="00C13574" w:rsidRPr="00C13574">
              <w:rPr>
                <w:rFonts w:ascii="Times New Roman" w:eastAsia="Times New Roman" w:hAnsi="Times New Roman" w:cs="Times New Roman"/>
                <w:sz w:val="20"/>
                <w:szCs w:val="20"/>
                <w:lang w:eastAsia="sk-SK"/>
              </w:rPr>
              <w:t>implement</w:t>
            </w:r>
            <w:r w:rsidR="00C13574">
              <w:rPr>
                <w:rFonts w:ascii="Times New Roman" w:eastAsia="Times New Roman" w:hAnsi="Times New Roman" w:cs="Times New Roman"/>
                <w:sz w:val="20"/>
                <w:szCs w:val="20"/>
                <w:lang w:eastAsia="sk-SK"/>
              </w:rPr>
              <w:t>ácia transponovaných predpisov a ponechanie kompetencií orgánov štátnej správy ako doteraz. Príslušným orgánom pre lodné spoločnosti a regulované subjekty sa stane ministerstvo.</w:t>
            </w:r>
          </w:p>
          <w:p w14:paraId="58FFD54F" w14:textId="0EAEB957" w:rsidR="00C13574" w:rsidRPr="00A41ADA" w:rsidRDefault="00C13574" w:rsidP="00C13574">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Alternatívne riešenie 3 – Úplná </w:t>
            </w:r>
            <w:r w:rsidRPr="00C13574">
              <w:rPr>
                <w:rFonts w:ascii="Times New Roman" w:eastAsia="Times New Roman" w:hAnsi="Times New Roman" w:cs="Times New Roman"/>
                <w:sz w:val="20"/>
                <w:szCs w:val="20"/>
                <w:lang w:eastAsia="sk-SK"/>
              </w:rPr>
              <w:t>implement</w:t>
            </w:r>
            <w:r>
              <w:rPr>
                <w:rFonts w:ascii="Times New Roman" w:eastAsia="Times New Roman" w:hAnsi="Times New Roman" w:cs="Times New Roman"/>
                <w:sz w:val="20"/>
                <w:szCs w:val="20"/>
                <w:lang w:eastAsia="sk-SK"/>
              </w:rPr>
              <w:t>ácia transponovaných predpisov a ponechanie kompetencií orgánov štátnej správy ako doteraz. Príslušným orgánom pre lodné spoločnosti sa stane ministerstvo a pre regulované subjekty príslušný okresný úrad (podľa adresy regulovaného subjektu).</w:t>
            </w:r>
          </w:p>
        </w:tc>
      </w:tr>
      <w:tr w:rsidR="001B23B7" w:rsidRPr="00B043B4" w14:paraId="18696182" w14:textId="77777777" w:rsidTr="7689D60A">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tcPr>
          <w:p w14:paraId="4DF057E9" w14:textId="77777777" w:rsidR="001B23B7" w:rsidRPr="00B043B4" w:rsidRDefault="001B23B7" w:rsidP="00163569">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1B23B7" w:rsidRPr="00B043B4" w14:paraId="743CDDE4" w14:textId="77777777" w:rsidTr="7689D60A">
        <w:tc>
          <w:tcPr>
            <w:tcW w:w="6203" w:type="dxa"/>
            <w:gridSpan w:val="7"/>
            <w:tcBorders>
              <w:top w:val="single" w:sz="4" w:space="0" w:color="FFFFFF" w:themeColor="background1"/>
              <w:left w:val="single" w:sz="4" w:space="0" w:color="auto"/>
              <w:bottom w:val="nil"/>
              <w:right w:val="nil"/>
            </w:tcBorders>
            <w:shd w:val="clear" w:color="auto" w:fill="FFFFFF" w:themeFill="background1"/>
          </w:tcPr>
          <w:p w14:paraId="1DCE863B" w14:textId="77777777" w:rsidR="001B23B7" w:rsidRPr="00B043B4" w:rsidRDefault="001B23B7" w:rsidP="00163569">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14:paraId="17003C49" w14:textId="77777777" w:rsidR="001B23B7" w:rsidRPr="00B043B4" w:rsidRDefault="001A4D57" w:rsidP="00163569">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A7788F">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14:paraId="7F156E7E" w14:textId="77777777" w:rsidR="001B23B7" w:rsidRPr="00B043B4" w:rsidRDefault="001A4D57"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D944D2">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Nie</w:t>
            </w:r>
          </w:p>
        </w:tc>
      </w:tr>
      <w:tr w:rsidR="001B23B7" w:rsidRPr="00B043B4" w14:paraId="40433727" w14:textId="77777777" w:rsidTr="7689D60A">
        <w:tc>
          <w:tcPr>
            <w:tcW w:w="9180" w:type="dxa"/>
            <w:gridSpan w:val="11"/>
            <w:tcBorders>
              <w:top w:val="nil"/>
              <w:left w:val="single" w:sz="4" w:space="0" w:color="auto"/>
              <w:bottom w:val="single" w:sz="4" w:space="0" w:color="auto"/>
              <w:right w:val="single" w:sz="4" w:space="0" w:color="auto"/>
            </w:tcBorders>
            <w:shd w:val="clear" w:color="auto" w:fill="FFFFFF" w:themeFill="background1"/>
          </w:tcPr>
          <w:p w14:paraId="5E19796C" w14:textId="77777777" w:rsidR="001B23B7" w:rsidRPr="00B043B4" w:rsidRDefault="001B23B7" w:rsidP="00163569">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lastRenderedPageBreak/>
              <w:t>Ak áno, uveďte ktoré oblasti budú nimi upravené, resp. ktorých vykonávacích predpisov sa zmena dotkne:</w:t>
            </w:r>
          </w:p>
          <w:p w14:paraId="12541F58" w14:textId="77777777" w:rsidR="001B23B7" w:rsidRPr="00B043B4" w:rsidRDefault="001B23B7" w:rsidP="00163569">
            <w:pPr>
              <w:rPr>
                <w:rFonts w:ascii="Times New Roman" w:eastAsia="Times New Roman" w:hAnsi="Times New Roman" w:cs="Times New Roman"/>
                <w:sz w:val="20"/>
                <w:szCs w:val="20"/>
                <w:lang w:eastAsia="sk-SK"/>
              </w:rPr>
            </w:pPr>
          </w:p>
        </w:tc>
      </w:tr>
      <w:tr w:rsidR="001B23B7" w:rsidRPr="00B043B4" w14:paraId="56542400" w14:textId="77777777" w:rsidTr="7689D60A">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tcPr>
          <w:p w14:paraId="6DA7B83E" w14:textId="77777777" w:rsidR="001B23B7" w:rsidRPr="00B043B4" w:rsidRDefault="001B23B7" w:rsidP="00163569">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1B23B7" w:rsidRPr="00B043B4" w14:paraId="555AC41E" w14:textId="77777777" w:rsidTr="7689D60A">
        <w:trPr>
          <w:trHeight w:val="157"/>
        </w:trPr>
        <w:tc>
          <w:tcPr>
            <w:tcW w:w="9180" w:type="dxa"/>
            <w:gridSpan w:val="11"/>
            <w:tcBorders>
              <w:top w:val="nil"/>
              <w:left w:val="single" w:sz="4" w:space="0" w:color="000000" w:themeColor="text1"/>
              <w:bottom w:val="nil"/>
              <w:right w:val="single" w:sz="4" w:space="0" w:color="auto"/>
            </w:tcBorders>
            <w:shd w:val="clear" w:color="auto" w:fill="FFFFFF" w:themeFill="background1"/>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A7788F" w14:paraId="18FA2B0F" w14:textId="77777777">
              <w:trPr>
                <w:trHeight w:val="90"/>
              </w:trPr>
              <w:tc>
                <w:tcPr>
                  <w:tcW w:w="8643" w:type="dxa"/>
                </w:tcPr>
                <w:p w14:paraId="74F5E90A" w14:textId="77777777" w:rsidR="00A7788F" w:rsidRPr="002F6ADB" w:rsidRDefault="00A7788F" w:rsidP="00A7788F">
                  <w:pPr>
                    <w:pStyle w:val="Default"/>
                    <w:rPr>
                      <w:color w:val="auto"/>
                      <w:sz w:val="20"/>
                      <w:szCs w:val="20"/>
                    </w:rPr>
                  </w:pPr>
                  <w:r w:rsidRPr="002F6ADB">
                    <w:rPr>
                      <w:i/>
                      <w:iCs/>
                      <w:color w:val="auto"/>
                      <w:sz w:val="20"/>
                      <w:szCs w:val="20"/>
                    </w:rPr>
                    <w:t xml:space="preserve">Uveďte, či v predkladanom návrhu právneho predpisu dochádza ku goldplatingu podľa tabuľky zhody. </w:t>
                  </w:r>
                </w:p>
              </w:tc>
            </w:tr>
            <w:tr w:rsidR="00A7788F" w14:paraId="6BDCEF70" w14:textId="77777777">
              <w:trPr>
                <w:trHeight w:val="296"/>
              </w:trPr>
              <w:tc>
                <w:tcPr>
                  <w:tcW w:w="8643" w:type="dxa"/>
                </w:tcPr>
                <w:p w14:paraId="50528CD4" w14:textId="77777777" w:rsidR="00A7788F" w:rsidRPr="002F6ADB" w:rsidRDefault="00A7788F" w:rsidP="00A7788F">
                  <w:pPr>
                    <w:pStyle w:val="Default"/>
                    <w:rPr>
                      <w:b/>
                      <w:iCs/>
                      <w:color w:val="auto"/>
                      <w:sz w:val="20"/>
                      <w:szCs w:val="20"/>
                    </w:rPr>
                  </w:pPr>
                  <w:r w:rsidRPr="002F6ADB">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00187182" w:rsidRPr="002F6ADB">
                        <w:rPr>
                          <w:rFonts w:ascii="MS Gothic" w:eastAsia="MS Gothic" w:hAnsi="MS Gothic" w:hint="eastAsia"/>
                          <w:b/>
                          <w:iCs/>
                          <w:color w:val="auto"/>
                          <w:sz w:val="20"/>
                          <w:szCs w:val="20"/>
                        </w:rPr>
                        <w:t>☐</w:t>
                      </w:r>
                    </w:sdtContent>
                  </w:sdt>
                  <w:r w:rsidRPr="002F6ADB">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EC79AE">
                        <w:rPr>
                          <w:rFonts w:ascii="MS Gothic" w:eastAsia="MS Gothic" w:hAnsi="MS Gothic" w:hint="eastAsia"/>
                          <w:b/>
                          <w:iCs/>
                          <w:color w:val="auto"/>
                          <w:sz w:val="20"/>
                          <w:szCs w:val="20"/>
                        </w:rPr>
                        <w:t>☒</w:t>
                      </w:r>
                    </w:sdtContent>
                  </w:sdt>
                  <w:r w:rsidRPr="002F6ADB">
                    <w:rPr>
                      <w:b/>
                      <w:iCs/>
                      <w:color w:val="auto"/>
                      <w:sz w:val="20"/>
                      <w:szCs w:val="20"/>
                    </w:rPr>
                    <w:t xml:space="preserve"> Nie</w:t>
                  </w:r>
                </w:p>
                <w:p w14:paraId="09F18B91" w14:textId="77777777" w:rsidR="00A7788F" w:rsidRPr="002F6ADB" w:rsidRDefault="00A7788F" w:rsidP="00A7788F">
                  <w:pPr>
                    <w:pStyle w:val="Default"/>
                    <w:rPr>
                      <w:i/>
                      <w:iCs/>
                      <w:color w:val="auto"/>
                      <w:sz w:val="20"/>
                      <w:szCs w:val="20"/>
                    </w:rPr>
                  </w:pPr>
                </w:p>
                <w:p w14:paraId="1283F865" w14:textId="77777777" w:rsidR="00A7788F" w:rsidRPr="002F6ADB" w:rsidRDefault="00A7788F" w:rsidP="00A7788F">
                  <w:pPr>
                    <w:pStyle w:val="Default"/>
                    <w:rPr>
                      <w:color w:val="auto"/>
                      <w:sz w:val="20"/>
                      <w:szCs w:val="20"/>
                    </w:rPr>
                  </w:pPr>
                  <w:r w:rsidRPr="002F6ADB">
                    <w:rPr>
                      <w:i/>
                      <w:iCs/>
                      <w:color w:val="auto"/>
                      <w:sz w:val="20"/>
                      <w:szCs w:val="20"/>
                    </w:rPr>
                    <w:t xml:space="preserve">Ak áno, uveďte, ktorých vplyvov podľa bodu 9 sa goldplating týka: </w:t>
                  </w:r>
                </w:p>
              </w:tc>
            </w:tr>
            <w:tr w:rsidR="00A7788F" w14:paraId="7DE353D9" w14:textId="77777777">
              <w:trPr>
                <w:trHeight w:val="296"/>
              </w:trPr>
              <w:tc>
                <w:tcPr>
                  <w:tcW w:w="8643" w:type="dxa"/>
                </w:tcPr>
                <w:p w14:paraId="15DA9719" w14:textId="77777777" w:rsidR="00A7788F" w:rsidRDefault="00A7788F" w:rsidP="00A7788F">
                  <w:pPr>
                    <w:pStyle w:val="Default"/>
                    <w:rPr>
                      <w:rFonts w:ascii="Segoe UI Symbol" w:hAnsi="Segoe UI Symbol" w:cs="Segoe UI Symbol"/>
                      <w:sz w:val="20"/>
                      <w:szCs w:val="20"/>
                    </w:rPr>
                  </w:pPr>
                </w:p>
              </w:tc>
            </w:tr>
          </w:tbl>
          <w:p w14:paraId="1514ADC3" w14:textId="77777777" w:rsidR="001B23B7" w:rsidRPr="00B043B4" w:rsidRDefault="001B23B7" w:rsidP="00163569">
            <w:pPr>
              <w:jc w:val="both"/>
              <w:rPr>
                <w:rFonts w:ascii="Times New Roman" w:eastAsia="Times New Roman" w:hAnsi="Times New Roman" w:cs="Times New Roman"/>
                <w:i/>
                <w:sz w:val="20"/>
                <w:szCs w:val="20"/>
                <w:lang w:eastAsia="sk-SK"/>
              </w:rPr>
            </w:pPr>
          </w:p>
        </w:tc>
      </w:tr>
      <w:tr w:rsidR="001B23B7" w:rsidRPr="00B043B4" w14:paraId="45CEA839" w14:textId="77777777" w:rsidTr="7689D60A">
        <w:trPr>
          <w:trHeight w:val="248"/>
        </w:trPr>
        <w:tc>
          <w:tcPr>
            <w:tcW w:w="9180" w:type="dxa"/>
            <w:gridSpan w:val="11"/>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1622882B" w14:textId="77777777" w:rsidR="001B23B7" w:rsidRPr="00B043B4" w:rsidRDefault="001B23B7" w:rsidP="005622C0">
            <w:pPr>
              <w:rPr>
                <w:rFonts w:ascii="Times New Roman" w:eastAsia="Times New Roman" w:hAnsi="Times New Roman" w:cs="Times New Roman"/>
                <w:sz w:val="20"/>
                <w:szCs w:val="20"/>
                <w:lang w:eastAsia="sk-SK"/>
              </w:rPr>
            </w:pPr>
          </w:p>
        </w:tc>
      </w:tr>
      <w:tr w:rsidR="001B23B7" w:rsidRPr="00B043B4" w14:paraId="556586EC" w14:textId="77777777" w:rsidTr="7689D60A">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tcPr>
          <w:p w14:paraId="24185AF1" w14:textId="77777777" w:rsidR="001B23B7" w:rsidRPr="00B043B4" w:rsidRDefault="001B23B7" w:rsidP="00163569">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1B23B7" w:rsidRPr="00B043B4" w14:paraId="17AE41C2" w14:textId="77777777" w:rsidTr="7689D60A">
        <w:tc>
          <w:tcPr>
            <w:tcW w:w="9180" w:type="dxa"/>
            <w:gridSpan w:val="11"/>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32F5EE7E" w14:textId="77777777" w:rsidR="001B23B7" w:rsidRPr="00B043B4" w:rsidRDefault="001B23B7" w:rsidP="00163569">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1FCB1AB0" w14:textId="77777777" w:rsidR="001B23B7" w:rsidRPr="00B043B4" w:rsidRDefault="001B23B7" w:rsidP="00163569">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kritériá, na základe ktorých bude preskúmanie vykonané.</w:t>
            </w:r>
          </w:p>
          <w:p w14:paraId="4DCB8D48" w14:textId="77777777" w:rsidR="001B23B7" w:rsidRDefault="001B23B7" w:rsidP="00163569">
            <w:pPr>
              <w:rPr>
                <w:rFonts w:ascii="Times New Roman" w:eastAsia="Times New Roman" w:hAnsi="Times New Roman" w:cs="Times New Roman"/>
                <w:i/>
                <w:sz w:val="20"/>
                <w:szCs w:val="20"/>
                <w:lang w:eastAsia="sk-SK"/>
              </w:rPr>
            </w:pPr>
          </w:p>
          <w:p w14:paraId="240C8BF7" w14:textId="519FDD76" w:rsidR="00B04253" w:rsidRDefault="00B04253" w:rsidP="00163569">
            <w:pPr>
              <w:rPr>
                <w:rFonts w:ascii="Times New Roman" w:eastAsia="Times New Roman" w:hAnsi="Times New Roman" w:cs="Times New Roman"/>
                <w:sz w:val="20"/>
                <w:szCs w:val="20"/>
                <w:lang w:eastAsia="sk-SK"/>
              </w:rPr>
            </w:pPr>
            <w:r w:rsidRPr="00B04253">
              <w:rPr>
                <w:rFonts w:ascii="Times New Roman" w:eastAsia="Times New Roman" w:hAnsi="Times New Roman" w:cs="Times New Roman"/>
                <w:sz w:val="20"/>
                <w:szCs w:val="20"/>
                <w:lang w:eastAsia="sk-SK"/>
              </w:rPr>
              <w:t>Ustanovenia smernice 2003/87/ES súvisiace s činnosťami námornej dopravy by sa mali preskúmavať vzhľadom na budúci medzinárodný vývoj a úsilie vynaložené na dosiahnutie cieľov Parížskej dohody vrátane druhého globálneho hodnotenia v roku 2028</w:t>
            </w:r>
            <w:r w:rsidR="00C13574">
              <w:rPr>
                <w:rFonts w:ascii="Times New Roman" w:eastAsia="Times New Roman" w:hAnsi="Times New Roman" w:cs="Times New Roman"/>
                <w:sz w:val="20"/>
                <w:szCs w:val="20"/>
                <w:lang w:eastAsia="sk-SK"/>
              </w:rPr>
              <w:t>, ktorého</w:t>
            </w:r>
            <w:r w:rsidRPr="00B04253">
              <w:rPr>
                <w:rFonts w:ascii="Times New Roman" w:eastAsia="Times New Roman" w:hAnsi="Times New Roman" w:cs="Times New Roman"/>
                <w:sz w:val="20"/>
                <w:szCs w:val="20"/>
                <w:lang w:eastAsia="sk-SK"/>
              </w:rPr>
              <w:t xml:space="preserve"> cieľom je poskytnúť informácie pre ďalšie </w:t>
            </w:r>
            <w:r>
              <w:rPr>
                <w:rFonts w:ascii="Times New Roman" w:eastAsia="Times New Roman" w:hAnsi="Times New Roman" w:cs="Times New Roman"/>
                <w:sz w:val="20"/>
                <w:szCs w:val="20"/>
                <w:lang w:eastAsia="sk-SK"/>
              </w:rPr>
              <w:t>vnútroštátne stanovené príspev</w:t>
            </w:r>
            <w:r w:rsidRPr="00B04253">
              <w:rPr>
                <w:rFonts w:ascii="Times New Roman" w:eastAsia="Times New Roman" w:hAnsi="Times New Roman" w:cs="Times New Roman"/>
                <w:sz w:val="20"/>
                <w:szCs w:val="20"/>
                <w:lang w:eastAsia="sk-SK"/>
              </w:rPr>
              <w:t>k</w:t>
            </w:r>
            <w:r>
              <w:rPr>
                <w:rFonts w:ascii="Times New Roman" w:eastAsia="Times New Roman" w:hAnsi="Times New Roman" w:cs="Times New Roman"/>
                <w:sz w:val="20"/>
                <w:szCs w:val="20"/>
                <w:lang w:eastAsia="sk-SK"/>
              </w:rPr>
              <w:t>y (</w:t>
            </w:r>
            <w:r w:rsidRPr="00B04253">
              <w:rPr>
                <w:rFonts w:ascii="Times New Roman" w:eastAsia="Times New Roman" w:hAnsi="Times New Roman" w:cs="Times New Roman"/>
                <w:sz w:val="20"/>
                <w:szCs w:val="20"/>
                <w:lang w:eastAsia="sk-SK"/>
              </w:rPr>
              <w:t>NDC</w:t>
            </w:r>
            <w:r>
              <w:rPr>
                <w:rFonts w:ascii="Times New Roman" w:eastAsia="Times New Roman" w:hAnsi="Times New Roman" w:cs="Times New Roman"/>
                <w:sz w:val="20"/>
                <w:szCs w:val="20"/>
                <w:lang w:eastAsia="sk-SK"/>
              </w:rPr>
              <w:t>)</w:t>
            </w:r>
            <w:r w:rsidRPr="00B04253">
              <w:rPr>
                <w:rFonts w:ascii="Times New Roman" w:eastAsia="Times New Roman" w:hAnsi="Times New Roman" w:cs="Times New Roman"/>
                <w:sz w:val="20"/>
                <w:szCs w:val="20"/>
                <w:lang w:eastAsia="sk-SK"/>
              </w:rPr>
              <w:t>.</w:t>
            </w:r>
            <w:r w:rsidR="00C13574">
              <w:rPr>
                <w:rFonts w:ascii="Times New Roman" w:eastAsia="Times New Roman" w:hAnsi="Times New Roman" w:cs="Times New Roman"/>
                <w:sz w:val="20"/>
                <w:szCs w:val="20"/>
                <w:lang w:eastAsia="sk-SK"/>
              </w:rPr>
              <w:t xml:space="preserve"> </w:t>
            </w:r>
            <w:r w:rsidRPr="00B04253">
              <w:rPr>
                <w:rFonts w:ascii="Times New Roman" w:eastAsia="Times New Roman" w:hAnsi="Times New Roman" w:cs="Times New Roman"/>
                <w:sz w:val="20"/>
                <w:szCs w:val="20"/>
                <w:lang w:eastAsia="sk-SK"/>
              </w:rPr>
              <w:t>Komisia by preto mala najneskôr do 31. decembra 2026 predložiť Európskemu parlamentu a Rade správu, v ktorej preskúma uskutočniteľnosť a hospodárske, environmentálne a sociálne vplyvy začlenenia emisií z lodí s hrubou priestornosťou menšou 5 000 ton vrátane príbrežných lodí do smernice 2003/87/ES.</w:t>
            </w:r>
          </w:p>
          <w:p w14:paraId="106235FD" w14:textId="77777777" w:rsidR="007C18A9" w:rsidRDefault="007C18A9" w:rsidP="00163569">
            <w:pPr>
              <w:rPr>
                <w:rFonts w:ascii="Times New Roman" w:eastAsia="Times New Roman" w:hAnsi="Times New Roman" w:cs="Times New Roman"/>
                <w:sz w:val="20"/>
                <w:szCs w:val="20"/>
                <w:lang w:eastAsia="sk-SK"/>
              </w:rPr>
            </w:pPr>
          </w:p>
          <w:p w14:paraId="22BDD852" w14:textId="77777777" w:rsidR="00B04253" w:rsidRDefault="00B04253" w:rsidP="00163569">
            <w:pPr>
              <w:rPr>
                <w:rFonts w:ascii="Times New Roman" w:eastAsia="Times New Roman" w:hAnsi="Times New Roman" w:cs="Times New Roman"/>
                <w:sz w:val="20"/>
                <w:szCs w:val="20"/>
                <w:lang w:eastAsia="sk-SK"/>
              </w:rPr>
            </w:pPr>
            <w:r w:rsidRPr="00B04253">
              <w:rPr>
                <w:rFonts w:ascii="Times New Roman" w:eastAsia="Times New Roman" w:hAnsi="Times New Roman" w:cs="Times New Roman"/>
                <w:sz w:val="20"/>
                <w:szCs w:val="20"/>
                <w:lang w:eastAsia="sk-SK"/>
              </w:rPr>
              <w:t>Komisia by mala monitorovať uplatňovanie režimu obchodovania s emisiami v odvetví budov, v odvetví cestnej dopravy a ďalších odvetviach vrátane stupňa cenovej konvergencie s existujúcim systémom EU ETS, pričom by sa malo v prípade potreby Európskemu parlamentu a Rade navrhnúť preskúmanie s cieľom zlepšiť účinnosť, správu a praktické uplatňovanie obchodovania s emisiami v týchto odvetviach vzhľadom na získané poznatky, ako aj zvýšenú cenovú konvergenciu. Od Komisie by sa malo vyžadovať, aby prvú správu o uvedený</w:t>
            </w:r>
            <w:r w:rsidR="007C18A9">
              <w:rPr>
                <w:rFonts w:ascii="Times New Roman" w:eastAsia="Times New Roman" w:hAnsi="Times New Roman" w:cs="Times New Roman"/>
                <w:sz w:val="20"/>
                <w:szCs w:val="20"/>
                <w:lang w:eastAsia="sk-SK"/>
              </w:rPr>
              <w:t>ch záležitostiach predložila do</w:t>
            </w:r>
            <w:r w:rsidRPr="00B04253">
              <w:rPr>
                <w:rFonts w:ascii="Times New Roman" w:eastAsia="Times New Roman" w:hAnsi="Times New Roman" w:cs="Times New Roman"/>
                <w:sz w:val="20"/>
                <w:szCs w:val="20"/>
                <w:lang w:eastAsia="sk-SK"/>
              </w:rPr>
              <w:t xml:space="preserve"> 1. januára 2028.</w:t>
            </w:r>
          </w:p>
          <w:p w14:paraId="6820781C" w14:textId="77777777" w:rsidR="007C18A9" w:rsidRDefault="007C18A9" w:rsidP="00163569">
            <w:pPr>
              <w:rPr>
                <w:rFonts w:ascii="Times New Roman" w:eastAsia="Times New Roman" w:hAnsi="Times New Roman" w:cs="Times New Roman"/>
                <w:sz w:val="20"/>
                <w:szCs w:val="20"/>
                <w:lang w:eastAsia="sk-SK"/>
              </w:rPr>
            </w:pPr>
          </w:p>
          <w:p w14:paraId="40ACBE76" w14:textId="77777777" w:rsidR="007C18A9" w:rsidRDefault="007C18A9" w:rsidP="00163569">
            <w:pPr>
              <w:rPr>
                <w:rFonts w:ascii="Times New Roman" w:eastAsia="Times New Roman" w:hAnsi="Times New Roman" w:cs="Times New Roman"/>
                <w:sz w:val="20"/>
                <w:szCs w:val="20"/>
                <w:lang w:eastAsia="sk-SK"/>
              </w:rPr>
            </w:pPr>
            <w:r w:rsidRPr="007C18A9">
              <w:rPr>
                <w:rFonts w:ascii="Times New Roman" w:eastAsia="Times New Roman" w:hAnsi="Times New Roman" w:cs="Times New Roman"/>
                <w:sz w:val="20"/>
                <w:szCs w:val="20"/>
                <w:lang w:eastAsia="sk-SK"/>
              </w:rPr>
              <w:t>Systém EU ETS by sa mal preskúmať, aby sa prispôsobil cieľom Únie v oblasti klímy do roku 2040. V dôsledku toho by Komisia mala do júla 2026 predložiť Európskemu parlamentu a Rade správu o viacerých aspektoch systému EU ETS a podľa potreby k nej pripojiť legislatívny návrh a posúdenie vplyvu.</w:t>
            </w:r>
          </w:p>
          <w:p w14:paraId="3E138B1C" w14:textId="77777777" w:rsidR="007C18A9" w:rsidRDefault="007C18A9" w:rsidP="00163569">
            <w:pPr>
              <w:rPr>
                <w:rFonts w:ascii="Times New Roman" w:eastAsia="Times New Roman" w:hAnsi="Times New Roman" w:cs="Times New Roman"/>
                <w:sz w:val="20"/>
                <w:szCs w:val="20"/>
                <w:lang w:eastAsia="sk-SK"/>
              </w:rPr>
            </w:pPr>
          </w:p>
          <w:p w14:paraId="0ECC8DA3" w14:textId="77777777" w:rsidR="007C18A9" w:rsidRDefault="007C18A9" w:rsidP="00163569">
            <w:pPr>
              <w:rPr>
                <w:rFonts w:ascii="Times New Roman" w:eastAsia="Times New Roman" w:hAnsi="Times New Roman" w:cs="Times New Roman"/>
                <w:sz w:val="20"/>
                <w:szCs w:val="20"/>
                <w:lang w:eastAsia="sk-SK"/>
              </w:rPr>
            </w:pPr>
            <w:r w:rsidRPr="007C18A9">
              <w:rPr>
                <w:rFonts w:ascii="Times New Roman" w:eastAsia="Times New Roman" w:hAnsi="Times New Roman" w:cs="Times New Roman"/>
                <w:sz w:val="20"/>
                <w:szCs w:val="20"/>
                <w:lang w:eastAsia="sk-SK"/>
              </w:rPr>
              <w:t>Do 1. januára 2028 musí Komisia poskytnúť Európskemu parlamentu a Rade správu o vykonávaní ustanovení</w:t>
            </w:r>
            <w:r>
              <w:rPr>
                <w:rFonts w:ascii="Times New Roman" w:eastAsia="Times New Roman" w:hAnsi="Times New Roman" w:cs="Times New Roman"/>
                <w:sz w:val="20"/>
                <w:szCs w:val="20"/>
                <w:lang w:eastAsia="sk-SK"/>
              </w:rPr>
              <w:t xml:space="preserve"> systému obchodovania s emisiami pre odvetvie budov, odvetvie cestnej dopravy a ďalších odvetví</w:t>
            </w:r>
            <w:r w:rsidRPr="007C18A9">
              <w:rPr>
                <w:rFonts w:ascii="Times New Roman" w:eastAsia="Times New Roman" w:hAnsi="Times New Roman" w:cs="Times New Roman"/>
                <w:sz w:val="20"/>
                <w:szCs w:val="20"/>
                <w:lang w:eastAsia="sk-SK"/>
              </w:rPr>
              <w:t>, pokiaľ ide o účinnosť, správu a praktické uplatňovanie, a to vrátane informácií o uplatňovaní pravidiel stanovených v rozhodnutí (EÚ) 2015/1814. V prípade potreby Komisia k uvedenej správe pripojí legislatív</w:t>
            </w:r>
            <w:r>
              <w:rPr>
                <w:rFonts w:ascii="Times New Roman" w:eastAsia="Times New Roman" w:hAnsi="Times New Roman" w:cs="Times New Roman"/>
                <w:sz w:val="20"/>
                <w:szCs w:val="20"/>
                <w:lang w:eastAsia="sk-SK"/>
              </w:rPr>
              <w:t>ny návrh na zmenu systému obchodovania s emisiami pre odvetvie budov, odvetvie cestnej dopravy a ďalších odvetví</w:t>
            </w:r>
            <w:r w:rsidRPr="007C18A9">
              <w:rPr>
                <w:rFonts w:ascii="Times New Roman" w:eastAsia="Times New Roman" w:hAnsi="Times New Roman" w:cs="Times New Roman"/>
                <w:sz w:val="20"/>
                <w:szCs w:val="20"/>
                <w:lang w:eastAsia="sk-SK"/>
              </w:rPr>
              <w:t>. Komisia do 31. októbra 2031 posúdi uskutočniteľnosť začlenenia odvetví, na ktoré sa vzťah</w:t>
            </w:r>
            <w:r>
              <w:rPr>
                <w:rFonts w:ascii="Times New Roman" w:eastAsia="Times New Roman" w:hAnsi="Times New Roman" w:cs="Times New Roman"/>
                <w:sz w:val="20"/>
                <w:szCs w:val="20"/>
                <w:lang w:eastAsia="sk-SK"/>
              </w:rPr>
              <w:t>uje s</w:t>
            </w:r>
            <w:r w:rsidRPr="007C18A9">
              <w:rPr>
                <w:rFonts w:ascii="Times New Roman" w:eastAsia="Times New Roman" w:hAnsi="Times New Roman" w:cs="Times New Roman"/>
                <w:sz w:val="20"/>
                <w:szCs w:val="20"/>
                <w:lang w:eastAsia="sk-SK"/>
              </w:rPr>
              <w:t>ystém obchodovania s emisiami pre odvetvie budov, odvetvie cestnej dopravy a ďalšie odvetvia, do systému EU ETS vzťahujúceho sa na odvetvia uved</w:t>
            </w:r>
            <w:r>
              <w:rPr>
                <w:rFonts w:ascii="Times New Roman" w:eastAsia="Times New Roman" w:hAnsi="Times New Roman" w:cs="Times New Roman"/>
                <w:sz w:val="20"/>
                <w:szCs w:val="20"/>
                <w:lang w:eastAsia="sk-SK"/>
              </w:rPr>
              <w:t>ené v prílohe č. 1 k zákonu č. 414/2012 Z. z</w:t>
            </w:r>
            <w:r w:rsidRPr="007C18A9">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w:t>
            </w:r>
          </w:p>
          <w:p w14:paraId="58625F3C" w14:textId="77777777" w:rsidR="007C18A9" w:rsidRDefault="007C18A9" w:rsidP="00163569">
            <w:pPr>
              <w:rPr>
                <w:rFonts w:ascii="Times New Roman" w:eastAsia="Times New Roman" w:hAnsi="Times New Roman" w:cs="Times New Roman"/>
                <w:sz w:val="20"/>
                <w:szCs w:val="20"/>
                <w:lang w:eastAsia="sk-SK"/>
              </w:rPr>
            </w:pPr>
          </w:p>
          <w:p w14:paraId="5CBDCE36" w14:textId="77777777" w:rsidR="007C18A9" w:rsidRDefault="007C18A9" w:rsidP="00163569">
            <w:pPr>
              <w:rPr>
                <w:rFonts w:ascii="Times New Roman" w:eastAsia="Times New Roman" w:hAnsi="Times New Roman" w:cs="Times New Roman"/>
                <w:sz w:val="20"/>
                <w:szCs w:val="20"/>
                <w:lang w:eastAsia="sk-SK"/>
              </w:rPr>
            </w:pPr>
            <w:r w:rsidRPr="007C18A9">
              <w:rPr>
                <w:rFonts w:ascii="Times New Roman" w:eastAsia="Times New Roman" w:hAnsi="Times New Roman" w:cs="Times New Roman"/>
                <w:sz w:val="20"/>
                <w:szCs w:val="20"/>
                <w:lang w:eastAsia="sk-SK"/>
              </w:rPr>
              <w:t>Do júla 2026 by Komisia mala takisto posúdiť uskutočniteľnosť začlenenia spaľovní komunálneho odpadu do systému EU ETS a predložiť na túto tému správu Európskemu parlamentu a Rade, a to aj vzhľadom na ich začlenenie od roku 2028, a poskytnúť posúdenie potenciálnej potreby umožniť členskému štátu rozhodnúť o nezapojení sa do systému do konca roka 2030</w:t>
            </w:r>
            <w:r w:rsidR="009E2D19">
              <w:rPr>
                <w:rFonts w:ascii="Times New Roman" w:eastAsia="Times New Roman" w:hAnsi="Times New Roman" w:cs="Times New Roman"/>
                <w:sz w:val="20"/>
                <w:szCs w:val="20"/>
                <w:lang w:eastAsia="sk-SK"/>
              </w:rPr>
              <w:t>.</w:t>
            </w:r>
          </w:p>
          <w:p w14:paraId="199A4910" w14:textId="77777777" w:rsidR="009E2D19" w:rsidRDefault="009E2D19" w:rsidP="00163569">
            <w:pPr>
              <w:rPr>
                <w:rFonts w:ascii="Times New Roman" w:eastAsia="Times New Roman" w:hAnsi="Times New Roman" w:cs="Times New Roman"/>
                <w:sz w:val="20"/>
                <w:szCs w:val="20"/>
                <w:lang w:eastAsia="sk-SK"/>
              </w:rPr>
            </w:pPr>
          </w:p>
          <w:p w14:paraId="50EC6367" w14:textId="67D7EB10" w:rsidR="009E2D19" w:rsidRPr="00B04253" w:rsidRDefault="009E2D19" w:rsidP="00163569">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Zákon č. 414/2012 Z. z. o obchodovaní s emisnými kvótami bude novelizovaný na základe budúcej revízie smernice o EÚ ETS, ktorá bude vychádzať z vyššie uvedených posúdení Európskej komisie.</w:t>
            </w:r>
          </w:p>
        </w:tc>
      </w:tr>
      <w:tr w:rsidR="002F6ADB" w:rsidRPr="002F6ADB" w14:paraId="7199A5AB" w14:textId="77777777" w:rsidTr="7689D60A">
        <w:tc>
          <w:tcPr>
            <w:tcW w:w="9180" w:type="dxa"/>
            <w:gridSpan w:val="11"/>
            <w:tcBorders>
              <w:top w:val="nil"/>
              <w:left w:val="nil"/>
              <w:bottom w:val="single" w:sz="4" w:space="0" w:color="auto"/>
              <w:right w:val="nil"/>
            </w:tcBorders>
            <w:shd w:val="clear" w:color="auto" w:fill="FFFFFF" w:themeFill="background1"/>
          </w:tcPr>
          <w:p w14:paraId="131D7311" w14:textId="77777777" w:rsidR="001B23B7" w:rsidRPr="002F6ADB" w:rsidRDefault="001B23B7" w:rsidP="00A7788F">
            <w:pPr>
              <w:jc w:val="both"/>
              <w:rPr>
                <w:rFonts w:ascii="Times New Roman" w:eastAsia="Times New Roman" w:hAnsi="Times New Roman" w:cs="Times New Roman"/>
                <w:b/>
                <w:sz w:val="20"/>
                <w:szCs w:val="20"/>
                <w:lang w:eastAsia="sk-SK"/>
              </w:rPr>
            </w:pPr>
          </w:p>
          <w:p w14:paraId="6BD40081" w14:textId="77777777" w:rsidR="001B23B7" w:rsidRPr="002F6ADB" w:rsidRDefault="001B23B7" w:rsidP="00A7788F">
            <w:pPr>
              <w:jc w:val="both"/>
              <w:rPr>
                <w:rFonts w:ascii="Times New Roman" w:eastAsia="Times New Roman" w:hAnsi="Times New Roman" w:cs="Times New Roman"/>
                <w:b/>
                <w:sz w:val="20"/>
                <w:szCs w:val="20"/>
                <w:lang w:eastAsia="sk-SK"/>
              </w:rPr>
            </w:pPr>
          </w:p>
          <w:p w14:paraId="3F2450F2" w14:textId="77777777" w:rsidR="001B23B7" w:rsidRPr="002F6ADB" w:rsidRDefault="001B23B7" w:rsidP="00A7788F">
            <w:pPr>
              <w:ind w:left="142" w:hanging="142"/>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6F4225F5" w14:textId="77777777" w:rsidR="00A340BB" w:rsidRPr="002F6ADB" w:rsidRDefault="001B23B7" w:rsidP="00A7788F">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vyplniť iba v prípade, ak sa záverečné posúdenie</w:t>
            </w:r>
            <w:r w:rsidR="00A340BB" w:rsidRPr="002F6ADB">
              <w:rPr>
                <w:rFonts w:ascii="Times New Roman" w:eastAsia="Times New Roman" w:hAnsi="Times New Roman" w:cs="Times New Roman"/>
                <w:sz w:val="20"/>
                <w:szCs w:val="20"/>
                <w:lang w:eastAsia="sk-SK"/>
              </w:rPr>
              <w:t xml:space="preserve"> vybraných vplyvov</w:t>
            </w:r>
            <w:r w:rsidRPr="002F6ADB">
              <w:rPr>
                <w:rFonts w:ascii="Times New Roman" w:eastAsia="Times New Roman" w:hAnsi="Times New Roman" w:cs="Times New Roman"/>
                <w:sz w:val="20"/>
                <w:szCs w:val="20"/>
                <w:lang w:eastAsia="sk-SK"/>
              </w:rPr>
              <w:t xml:space="preserve"> uskutočnilo v zmysle bodu 9.1. </w:t>
            </w:r>
            <w:r w:rsidR="00A340BB" w:rsidRPr="002F6ADB">
              <w:rPr>
                <w:rFonts w:ascii="Times New Roman" w:eastAsia="Times New Roman" w:hAnsi="Times New Roman" w:cs="Times New Roman"/>
                <w:sz w:val="20"/>
                <w:szCs w:val="20"/>
                <w:lang w:eastAsia="sk-SK"/>
              </w:rPr>
              <w:t>j</w:t>
            </w:r>
            <w:r w:rsidRPr="002F6ADB">
              <w:rPr>
                <w:rFonts w:ascii="Times New Roman" w:eastAsia="Times New Roman" w:hAnsi="Times New Roman" w:cs="Times New Roman"/>
                <w:sz w:val="20"/>
                <w:szCs w:val="20"/>
                <w:lang w:eastAsia="sk-SK"/>
              </w:rPr>
              <w:t>ednotnej metodiky</w:t>
            </w:r>
            <w:r w:rsidR="00A340BB" w:rsidRPr="002F6ADB">
              <w:rPr>
                <w:rFonts w:ascii="Times New Roman" w:eastAsia="Times New Roman" w:hAnsi="Times New Roman" w:cs="Times New Roman"/>
                <w:sz w:val="20"/>
                <w:szCs w:val="20"/>
                <w:lang w:eastAsia="sk-SK"/>
              </w:rPr>
              <w:t>.</w:t>
            </w:r>
          </w:p>
          <w:p w14:paraId="57B7243C" w14:textId="77777777" w:rsidR="00A7788F" w:rsidRPr="002F6ADB" w:rsidRDefault="00A7788F" w:rsidP="00A7788F">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27F5F1EF" w14:textId="77777777" w:rsidR="004C6831" w:rsidRPr="002F6ADB" w:rsidRDefault="004C6831" w:rsidP="00A7788F">
            <w:pPr>
              <w:jc w:val="both"/>
              <w:rPr>
                <w:rFonts w:ascii="Times New Roman" w:eastAsia="Times New Roman" w:hAnsi="Times New Roman" w:cs="Times New Roman"/>
                <w:sz w:val="20"/>
                <w:szCs w:val="20"/>
                <w:lang w:eastAsia="sk-SK"/>
              </w:rPr>
            </w:pPr>
          </w:p>
          <w:p w14:paraId="214F1307" w14:textId="77777777" w:rsidR="001B23B7" w:rsidRPr="002F6ADB" w:rsidRDefault="001B23B7" w:rsidP="00A7788F">
            <w:pPr>
              <w:jc w:val="both"/>
              <w:rPr>
                <w:rFonts w:ascii="Times New Roman" w:eastAsia="Times New Roman" w:hAnsi="Times New Roman" w:cs="Times New Roman"/>
                <w:b/>
                <w:sz w:val="20"/>
                <w:szCs w:val="20"/>
                <w:lang w:eastAsia="sk-SK"/>
              </w:rPr>
            </w:pPr>
          </w:p>
        </w:tc>
      </w:tr>
      <w:tr w:rsidR="001B23B7" w:rsidRPr="00B043B4" w14:paraId="6C8EEEC4" w14:textId="77777777" w:rsidTr="7689D60A">
        <w:trPr>
          <w:trHeight w:val="283"/>
        </w:trPr>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14:paraId="2E757ED1" w14:textId="77777777" w:rsidR="001B23B7" w:rsidRPr="00B043B4" w:rsidRDefault="001B23B7" w:rsidP="00163569">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1B23B7" w:rsidRPr="00B043B4" w14:paraId="40B7C916" w14:textId="77777777" w:rsidTr="7689D60A">
        <w:tc>
          <w:tcPr>
            <w:tcW w:w="3812" w:type="dxa"/>
            <w:tcBorders>
              <w:top w:val="single" w:sz="4" w:space="0" w:color="auto"/>
              <w:left w:val="single" w:sz="4" w:space="0" w:color="auto"/>
              <w:bottom w:val="nil"/>
              <w:right w:val="single" w:sz="4" w:space="0" w:color="auto"/>
            </w:tcBorders>
            <w:shd w:val="clear" w:color="auto" w:fill="E2E2E2"/>
          </w:tcPr>
          <w:p w14:paraId="426AC30C" w14:textId="77777777" w:rsidR="001B23B7" w:rsidRPr="00B043B4" w:rsidRDefault="001B23B7" w:rsidP="00163569">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bCs/>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14C9884A" w14:textId="7856681D" w:rsidR="001B23B7" w:rsidRPr="00B043B4" w:rsidRDefault="00B25C29" w:rsidP="0016356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127E4C10" w14:textId="77777777" w:rsidR="001B23B7" w:rsidRPr="00B043B4" w:rsidRDefault="001B23B7" w:rsidP="00163569">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bCs/>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1238B8BD" w14:textId="77777777" w:rsidR="001B23B7" w:rsidRPr="00B043B4" w:rsidRDefault="00203EE3" w:rsidP="0016356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2513E39C" w14:textId="77777777" w:rsidR="001B23B7" w:rsidRPr="00B043B4" w:rsidRDefault="001B23B7" w:rsidP="00163569">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bCs/>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070F8CF3" w14:textId="77777777" w:rsidR="001B23B7" w:rsidRPr="00B043B4" w:rsidRDefault="00EC79AE" w:rsidP="00163569">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7A9EFF5F" w14:textId="77777777" w:rsidR="001B23B7" w:rsidRPr="00B043B4" w:rsidRDefault="001B23B7" w:rsidP="00163569">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B23B7" w:rsidRPr="00B043B4" w14:paraId="7C599CE6" w14:textId="77777777" w:rsidTr="7689D60A">
        <w:tc>
          <w:tcPr>
            <w:tcW w:w="3812" w:type="dxa"/>
            <w:tcBorders>
              <w:top w:val="nil"/>
              <w:left w:val="single" w:sz="4" w:space="0" w:color="auto"/>
              <w:bottom w:val="nil"/>
              <w:right w:val="single" w:sz="4" w:space="0" w:color="auto"/>
            </w:tcBorders>
            <w:shd w:val="clear" w:color="auto" w:fill="E2E2E2"/>
          </w:tcPr>
          <w:p w14:paraId="65AA2848" w14:textId="77777777"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xml:space="preserve">    </w:t>
            </w:r>
            <w:r w:rsidR="001B23B7" w:rsidRPr="00A340BB">
              <w:rPr>
                <w:rFonts w:ascii="Times New Roman" w:eastAsia="Times New Roman" w:hAnsi="Times New Roman" w:cs="Times New Roman"/>
                <w:sz w:val="20"/>
                <w:szCs w:val="20"/>
                <w:lang w:eastAsia="sk-SK"/>
              </w:rPr>
              <w:t xml:space="preserve">z toho rozpočtovo zabezpečené vplyvy, </w:t>
            </w:r>
            <w:r w:rsidR="00A340BB" w:rsidRPr="00A340B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p>
          <w:p w14:paraId="4BD84373" w14:textId="77777777"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v prípade identifikovaného negatívneho </w:t>
            </w:r>
          </w:p>
          <w:p w14:paraId="42A05ED4" w14:textId="77777777" w:rsidR="003145AE" w:rsidRPr="00A340BB"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4A12D45D" w14:textId="28F05948" w:rsidR="22AD0DD2" w:rsidRDefault="22AD0DD2">
                <w:r w:rsidRPr="2EDE1B26">
                  <w:rPr>
                    <w:rFonts w:ascii="MS Gothic" w:eastAsia="MS Gothic" w:hAnsi="MS Gothic" w:cs="MS Gothic"/>
                  </w:rPr>
                  <w:t>☐</w:t>
                </w:r>
              </w:p>
            </w:tc>
          </w:sdtContent>
        </w:sdt>
        <w:tc>
          <w:tcPr>
            <w:tcW w:w="1312" w:type="dxa"/>
            <w:gridSpan w:val="2"/>
            <w:tcBorders>
              <w:top w:val="dotted" w:sz="4" w:space="0" w:color="auto"/>
              <w:left w:val="nil"/>
              <w:bottom w:val="dotted" w:sz="4" w:space="0" w:color="auto"/>
              <w:right w:val="nil"/>
            </w:tcBorders>
            <w:vAlign w:val="center"/>
          </w:tcPr>
          <w:p w14:paraId="73405F0B" w14:textId="77777777"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078B2561" w14:textId="03AF35A1" w:rsidR="001B23B7" w:rsidRPr="00B043B4" w:rsidRDefault="00B25C29"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025C1CD" w14:textId="77777777"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736A506" w14:textId="09DABB01" w:rsidR="367BE6F0" w:rsidRDefault="367BE6F0">
                <w:r w:rsidRPr="2EDE1B26">
                  <w:rPr>
                    <w:rFonts w:ascii="MS Gothic" w:eastAsia="MS Gothic" w:hAnsi="MS Gothic" w:cs="MS Gothic"/>
                  </w:rPr>
                  <w:t>☒</w:t>
                </w:r>
              </w:p>
            </w:tc>
          </w:sdtContent>
        </w:sdt>
        <w:tc>
          <w:tcPr>
            <w:tcW w:w="1297" w:type="dxa"/>
            <w:tcBorders>
              <w:top w:val="dotted" w:sz="4" w:space="0" w:color="auto"/>
              <w:left w:val="nil"/>
              <w:bottom w:val="dotted" w:sz="4" w:space="0" w:color="auto"/>
              <w:right w:val="single" w:sz="4" w:space="0" w:color="auto"/>
            </w:tcBorders>
            <w:vAlign w:val="center"/>
          </w:tcPr>
          <w:p w14:paraId="64E9E741" w14:textId="77777777" w:rsidR="001B23B7" w:rsidRPr="00B043B4" w:rsidRDefault="001B23B7" w:rsidP="00203EE3">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3145AE" w:rsidRPr="00B043B4" w14:paraId="21E94E51" w14:textId="77777777" w:rsidTr="7689D60A">
        <w:tc>
          <w:tcPr>
            <w:tcW w:w="3812" w:type="dxa"/>
            <w:tcBorders>
              <w:top w:val="nil"/>
              <w:left w:val="single" w:sz="4" w:space="0" w:color="auto"/>
              <w:bottom w:val="nil"/>
              <w:right w:val="single" w:sz="4" w:space="0" w:color="auto"/>
            </w:tcBorders>
            <w:shd w:val="clear" w:color="auto" w:fill="E2E2E2"/>
          </w:tcPr>
          <w:p w14:paraId="14E5202A" w14:textId="77777777" w:rsidR="003145AE" w:rsidRPr="003145AE" w:rsidRDefault="003145AE" w:rsidP="003145A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bCs/>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350FA16F"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33B0DF50"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bCs/>
              <w:sz w:val="20"/>
              <w:szCs w:val="20"/>
              <w:lang w:eastAsia="sk-SK"/>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2373DE8D" w14:textId="7AC58282" w:rsidR="003145AE" w:rsidRPr="00B043B4" w:rsidRDefault="005F54C0"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2F2D7C93"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bCs/>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7F10D376" w14:textId="0DD703AF" w:rsidR="003145AE" w:rsidRPr="00B043B4" w:rsidRDefault="00B25C29" w:rsidP="003145A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438D61AF" w14:textId="77777777" w:rsidR="003145AE" w:rsidRPr="00B043B4" w:rsidRDefault="003145AE" w:rsidP="003145AE">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14:paraId="36CD2B1F" w14:textId="77777777" w:rsidTr="7689D60A">
        <w:tc>
          <w:tcPr>
            <w:tcW w:w="3812" w:type="dxa"/>
            <w:tcBorders>
              <w:top w:val="nil"/>
              <w:left w:val="single" w:sz="4" w:space="0" w:color="auto"/>
              <w:bottom w:val="single" w:sz="4" w:space="0" w:color="auto"/>
              <w:right w:val="single" w:sz="4" w:space="0" w:color="auto"/>
            </w:tcBorders>
            <w:shd w:val="clear" w:color="auto" w:fill="E2E2E2"/>
          </w:tcPr>
          <w:p w14:paraId="0E6E47CE" w14:textId="77777777" w:rsid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14:paraId="37C55D2A" w14:textId="77777777" w:rsidR="003145AE" w:rsidRP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2993D7FF" w14:textId="77777777"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27D20CE8" w14:textId="77777777"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4045EDC2" w14:textId="42137D70" w:rsidR="003145AE" w:rsidRPr="00B043B4" w:rsidRDefault="00B25C29"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55BEFE45" w14:textId="77777777"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B2D9242" w14:textId="77777777" w:rsidR="003145AE" w:rsidRPr="00B043B4" w:rsidRDefault="003145AE" w:rsidP="003145AE">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E50A4C0" w14:textId="77777777" w:rsidR="003145AE" w:rsidRPr="00B043B4" w:rsidRDefault="003145AE" w:rsidP="003145AE">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A7788F" w:rsidRPr="00B043B4" w14:paraId="001D2F3D" w14:textId="77777777" w:rsidTr="7689D60A">
        <w:tc>
          <w:tcPr>
            <w:tcW w:w="3812" w:type="dxa"/>
            <w:tcBorders>
              <w:top w:val="single" w:sz="4" w:space="0" w:color="auto"/>
              <w:left w:val="single" w:sz="4" w:space="0" w:color="auto"/>
              <w:bottom w:val="single" w:sz="4" w:space="0" w:color="auto"/>
              <w:right w:val="single" w:sz="4" w:space="0" w:color="auto"/>
            </w:tcBorders>
            <w:shd w:val="clear" w:color="auto" w:fill="E2E2E2"/>
          </w:tcPr>
          <w:p w14:paraId="77FC2823" w14:textId="77777777" w:rsidR="00A7788F" w:rsidRPr="002F6ADB" w:rsidRDefault="00A7788F" w:rsidP="00163569">
            <w:pPr>
              <w:ind w:left="171"/>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F9CCBCA" w14:textId="77777777" w:rsidR="00A7788F" w:rsidRPr="002F6ADB" w:rsidRDefault="00187182" w:rsidP="00163569">
                <w:pPr>
                  <w:jc w:val="center"/>
                  <w:rPr>
                    <w:rFonts w:ascii="Times New Roman" w:eastAsia="Times New Roman" w:hAnsi="Times New Roman" w:cs="Times New Roman"/>
                    <w:sz w:val="20"/>
                    <w:szCs w:val="20"/>
                    <w:lang w:eastAsia="sk-SK"/>
                  </w:rPr>
                </w:pPr>
                <w:r w:rsidRPr="002F6ADB">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5D42CEA3" w14:textId="77777777" w:rsidR="00A7788F" w:rsidRPr="002F6ADB" w:rsidRDefault="00A7788F" w:rsidP="00163569">
            <w:pPr>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66FE1D47" w14:textId="77777777" w:rsidR="00A7788F" w:rsidRPr="002F6ADB" w:rsidRDefault="00A7788F" w:rsidP="00163569">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3DB6135F" w14:textId="77777777" w:rsidR="00A7788F" w:rsidRPr="002F6ADB" w:rsidRDefault="00A7788F" w:rsidP="00163569">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D11F08B" w14:textId="77777777" w:rsidR="00A7788F" w:rsidRPr="002F6ADB" w:rsidRDefault="00187182" w:rsidP="00163569">
                <w:pPr>
                  <w:ind w:left="-107" w:right="-108"/>
                  <w:jc w:val="center"/>
                  <w:rPr>
                    <w:rFonts w:ascii="Times New Roman" w:eastAsia="Times New Roman" w:hAnsi="Times New Roman" w:cs="Times New Roman"/>
                    <w:sz w:val="20"/>
                    <w:szCs w:val="20"/>
                    <w:lang w:eastAsia="sk-SK"/>
                  </w:rPr>
                </w:pPr>
                <w:r w:rsidRPr="002F6ADB">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445AD7C" w14:textId="77777777" w:rsidR="00A7788F" w:rsidRPr="002F6ADB" w:rsidRDefault="00A7788F" w:rsidP="00163569">
            <w:pPr>
              <w:ind w:left="34"/>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Nie</w:t>
            </w:r>
          </w:p>
        </w:tc>
      </w:tr>
      <w:tr w:rsidR="000C55F6" w:rsidRPr="00B043B4" w14:paraId="38E294C2" w14:textId="77777777" w:rsidTr="7689D60A">
        <w:tc>
          <w:tcPr>
            <w:tcW w:w="3812" w:type="dxa"/>
            <w:tcBorders>
              <w:top w:val="single" w:sz="4" w:space="0" w:color="auto"/>
              <w:left w:val="single" w:sz="4" w:space="0" w:color="auto"/>
              <w:bottom w:val="single" w:sz="4" w:space="0" w:color="auto"/>
              <w:right w:val="single" w:sz="4" w:space="0" w:color="auto"/>
            </w:tcBorders>
            <w:shd w:val="clear" w:color="auto" w:fill="E2E2E2"/>
          </w:tcPr>
          <w:p w14:paraId="73606F17" w14:textId="185BC89F" w:rsidR="000C55F6" w:rsidRPr="002F6ADB" w:rsidRDefault="000C55F6" w:rsidP="000C55F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bCs/>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5592BE70" w14:textId="142C2D71" w:rsidR="000C55F6" w:rsidRDefault="000C55F6" w:rsidP="000C55F6">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79A0BCE7" w14:textId="7DD80BEF" w:rsidR="000C55F6" w:rsidRPr="002F6ADB" w:rsidRDefault="000C55F6" w:rsidP="000C55F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bCs/>
              <w:sz w:val="20"/>
              <w:szCs w:val="20"/>
              <w:lang w:eastAsia="sk-SK"/>
            </w:rPr>
            <w:id w:val="1766731543"/>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267BF18A" w14:textId="644EBF64" w:rsidR="000C55F6" w:rsidRPr="002F6ADB" w:rsidRDefault="000C55F6" w:rsidP="000C55F6">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7BEE0C47" w14:textId="3C114B00" w:rsidR="000C55F6" w:rsidRPr="002F6ADB" w:rsidRDefault="000C55F6" w:rsidP="000C55F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bCs/>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659F521" w14:textId="7E771983" w:rsidR="000C55F6" w:rsidRDefault="000C55F6" w:rsidP="000C55F6">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41DDE35" w14:textId="3A1AA09D" w:rsidR="000C55F6" w:rsidRPr="002F6ADB" w:rsidRDefault="000C55F6" w:rsidP="000C55F6">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3145AE" w:rsidRPr="00B043B4" w14:paraId="2D565CBD" w14:textId="77777777" w:rsidTr="7689D60A">
        <w:tc>
          <w:tcPr>
            <w:tcW w:w="3812" w:type="dxa"/>
            <w:tcBorders>
              <w:top w:val="single" w:sz="4" w:space="0" w:color="auto"/>
              <w:left w:val="single" w:sz="4" w:space="0" w:color="auto"/>
              <w:bottom w:val="nil"/>
              <w:right w:val="single" w:sz="4" w:space="0" w:color="auto"/>
            </w:tcBorders>
            <w:shd w:val="clear" w:color="auto" w:fill="E2E2E2"/>
          </w:tcPr>
          <w:p w14:paraId="7AA9EBAE"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bCs/>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63C37F13" w14:textId="77777777" w:rsidR="003145AE" w:rsidRPr="00B043B4" w:rsidRDefault="00EC79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5DEEF6B5" w14:textId="77777777"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bCs/>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337B72CB"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21EFA4F3"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bCs/>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0197B188" w14:textId="77777777" w:rsidR="003145AE" w:rsidRPr="00B043B4" w:rsidRDefault="00EC79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33826B2D" w14:textId="77777777"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14:paraId="05B3597E" w14:textId="77777777" w:rsidTr="7689D60A">
        <w:tc>
          <w:tcPr>
            <w:tcW w:w="3812" w:type="dxa"/>
            <w:tcBorders>
              <w:top w:val="nil"/>
              <w:left w:val="single" w:sz="4" w:space="0" w:color="000000" w:themeColor="text1"/>
              <w:bottom w:val="nil"/>
              <w:right w:val="single" w:sz="4" w:space="0" w:color="000000" w:themeColor="text1"/>
            </w:tcBorders>
            <w:shd w:val="clear" w:color="auto" w:fill="E2E2E2"/>
          </w:tcPr>
          <w:p w14:paraId="65309743" w14:textId="77777777"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14:paraId="1427CA4F" w14:textId="77777777" w:rsidR="003145AE" w:rsidRPr="00B043B4" w:rsidRDefault="003145AE" w:rsidP="003145A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themeColor="text1"/>
                  <w:bottom w:val="dotted" w:sz="4" w:space="0" w:color="auto"/>
                  <w:right w:val="nil"/>
                </w:tcBorders>
                <w:vAlign w:val="center"/>
              </w:tcPr>
              <w:p w14:paraId="5588F624" w14:textId="77777777" w:rsidR="003145AE" w:rsidRPr="00B043B4" w:rsidRDefault="00EC79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2579AD3" w14:textId="77777777" w:rsidR="003145AE" w:rsidRPr="00B043B4" w:rsidRDefault="003145AE" w:rsidP="003145AE">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5DB38A9" w14:textId="77777777"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619AB72" w14:textId="77777777"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51D33584" w14:textId="77777777" w:rsidR="003145AE" w:rsidRPr="00B043B4" w:rsidRDefault="00EC79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2EB8E198" w14:textId="77777777" w:rsidR="003145AE" w:rsidRPr="00B043B4" w:rsidRDefault="003145AE" w:rsidP="003145AE">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3145AE" w:rsidRPr="00B043B4" w14:paraId="2077B3E9" w14:textId="77777777" w:rsidTr="7689D60A">
        <w:tc>
          <w:tcPr>
            <w:tcW w:w="3812" w:type="dxa"/>
            <w:tcBorders>
              <w:top w:val="nil"/>
              <w:left w:val="single" w:sz="4" w:space="0" w:color="auto"/>
              <w:bottom w:val="single" w:sz="4" w:space="0" w:color="auto"/>
              <w:right w:val="single" w:sz="4" w:space="0" w:color="auto"/>
            </w:tcBorders>
            <w:shd w:val="clear" w:color="auto" w:fill="E2E2E2"/>
          </w:tcPr>
          <w:p w14:paraId="4C7CDF02" w14:textId="77777777" w:rsidR="003145AE" w:rsidRDefault="003145AE" w:rsidP="003145A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14:paraId="6D843E51" w14:textId="77777777" w:rsidR="003145AE" w:rsidRPr="00B043B4" w:rsidRDefault="003145AE" w:rsidP="003145AE">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bCs/>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557AD87"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0FA8D083" w14:textId="77777777"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5A53FB78" w14:textId="77777777" w:rsidR="003145AE" w:rsidRPr="00B043B4" w:rsidRDefault="003145AE" w:rsidP="003145AE">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62E3082D" w14:textId="77777777" w:rsidR="003145AE" w:rsidRPr="00B043B4" w:rsidRDefault="003145AE" w:rsidP="003145A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bCs/>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3ABDA188" w14:textId="77777777" w:rsidR="003145AE" w:rsidRPr="00B043B4" w:rsidRDefault="00EC79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7EAA990" w14:textId="77777777"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3145AE" w:rsidRPr="00B043B4" w14:paraId="6C6CFDA0" w14:textId="77777777" w:rsidTr="7689D60A">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14:paraId="2B3DA6C5"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bCs/>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7B04029" w14:textId="2B30C785" w:rsidR="05E92638" w:rsidRDefault="05E92638">
                <w:r w:rsidRPr="7689D60A">
                  <w:rPr>
                    <w:rFonts w:ascii="MS Gothic" w:eastAsia="MS Gothic" w:hAnsi="MS Gothic" w:cs="MS Gothic"/>
                  </w:rPr>
                  <w:t>☐</w:t>
                </w:r>
              </w:p>
            </w:tc>
          </w:sdtContent>
        </w:sdt>
        <w:tc>
          <w:tcPr>
            <w:tcW w:w="1312" w:type="dxa"/>
            <w:gridSpan w:val="2"/>
            <w:tcBorders>
              <w:top w:val="single" w:sz="4" w:space="0" w:color="auto"/>
              <w:left w:val="nil"/>
              <w:bottom w:val="single" w:sz="4" w:space="0" w:color="auto"/>
              <w:right w:val="nil"/>
            </w:tcBorders>
          </w:tcPr>
          <w:p w14:paraId="13512ED0" w14:textId="77777777"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bCs/>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1E7F313" w14:textId="2E52B7FB" w:rsidR="02A1DADB" w:rsidRDefault="02A1DADB">
                <w:r w:rsidRPr="7689D60A">
                  <w:rPr>
                    <w:rFonts w:ascii="MS Gothic" w:eastAsia="MS Gothic" w:hAnsi="MS Gothic" w:cs="MS Gothic"/>
                  </w:rPr>
                  <w:t>☒</w:t>
                </w:r>
              </w:p>
            </w:tc>
          </w:sdtContent>
        </w:sdt>
        <w:tc>
          <w:tcPr>
            <w:tcW w:w="1133" w:type="dxa"/>
            <w:tcBorders>
              <w:top w:val="single" w:sz="4" w:space="0" w:color="auto"/>
              <w:left w:val="nil"/>
              <w:bottom w:val="single" w:sz="4" w:space="0" w:color="auto"/>
              <w:right w:val="nil"/>
            </w:tcBorders>
          </w:tcPr>
          <w:p w14:paraId="684CF7FE"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bCs/>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D3EC1F1" w14:textId="5409F35C" w:rsidR="6E085BFC" w:rsidRDefault="6E085BFC">
                <w:r w:rsidRPr="7689D60A">
                  <w:rPr>
                    <w:rFonts w:ascii="MS Gothic" w:eastAsia="MS Gothic" w:hAnsi="MS Gothic" w:cs="MS Gothic"/>
                  </w:rPr>
                  <w:t>☐</w:t>
                </w:r>
              </w:p>
            </w:tc>
          </w:sdtContent>
        </w:sdt>
        <w:tc>
          <w:tcPr>
            <w:tcW w:w="1297" w:type="dxa"/>
            <w:tcBorders>
              <w:top w:val="single" w:sz="4" w:space="0" w:color="auto"/>
              <w:left w:val="nil"/>
              <w:bottom w:val="single" w:sz="4" w:space="0" w:color="auto"/>
              <w:right w:val="single" w:sz="4" w:space="0" w:color="auto"/>
            </w:tcBorders>
          </w:tcPr>
          <w:p w14:paraId="0F312BE1" w14:textId="77777777"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1"/>
        <w:tblW w:w="9180" w:type="dxa"/>
        <w:tblLayout w:type="fixed"/>
        <w:tblLook w:val="04A0" w:firstRow="1" w:lastRow="0" w:firstColumn="1" w:lastColumn="0" w:noHBand="0" w:noVBand="1"/>
      </w:tblPr>
      <w:tblGrid>
        <w:gridCol w:w="3812"/>
        <w:gridCol w:w="541"/>
        <w:gridCol w:w="1312"/>
        <w:gridCol w:w="538"/>
        <w:gridCol w:w="1133"/>
        <w:gridCol w:w="547"/>
        <w:gridCol w:w="1297"/>
      </w:tblGrid>
      <w:tr w:rsidR="00533C8E" w:rsidRPr="00612E08" w14:paraId="389B81DB" w14:textId="77777777" w:rsidTr="005E4FF9">
        <w:tc>
          <w:tcPr>
            <w:tcW w:w="3812" w:type="dxa"/>
            <w:tcBorders>
              <w:top w:val="single" w:sz="4" w:space="0" w:color="auto"/>
              <w:left w:val="single" w:sz="4" w:space="0" w:color="auto"/>
              <w:bottom w:val="nil"/>
              <w:right w:val="single" w:sz="4" w:space="0" w:color="auto"/>
            </w:tcBorders>
            <w:shd w:val="clear" w:color="auto" w:fill="E2E2E2"/>
          </w:tcPr>
          <w:p w14:paraId="5F8FE004" w14:textId="77777777" w:rsidR="00533C8E" w:rsidRPr="00612E08" w:rsidRDefault="00533C8E" w:rsidP="005E4FF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349688829"/>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2D91D6E4" w14:textId="6DF5B265" w:rsidR="00533C8E" w:rsidRPr="00612E08" w:rsidRDefault="00533C8E" w:rsidP="005E4FF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tcPr>
          <w:p w14:paraId="4EEDAFB6" w14:textId="77777777" w:rsidR="00533C8E" w:rsidRPr="00612E08" w:rsidRDefault="00533C8E" w:rsidP="005E4FF9">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54670646"/>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tcPr>
              <w:p w14:paraId="0F7AAC84" w14:textId="77777777" w:rsidR="00533C8E" w:rsidRPr="00612E08" w:rsidRDefault="00533C8E" w:rsidP="005E4FF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038FDCC" w14:textId="77777777" w:rsidR="00533C8E" w:rsidRPr="00612E08" w:rsidRDefault="00533C8E" w:rsidP="005E4FF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73061085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556D5DA4" w14:textId="77777777" w:rsidR="00533C8E" w:rsidRPr="00612E08" w:rsidRDefault="00533C8E" w:rsidP="005E4FF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FAE3105" w14:textId="77777777" w:rsidR="00533C8E" w:rsidRPr="00612E08" w:rsidRDefault="00533C8E" w:rsidP="005E4FF9">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533C8E" w:rsidRPr="00612E08" w14:paraId="21A0BD6C" w14:textId="77777777" w:rsidTr="005E4FF9">
        <w:tc>
          <w:tcPr>
            <w:tcW w:w="3812" w:type="dxa"/>
            <w:tcBorders>
              <w:top w:val="nil"/>
              <w:left w:val="single" w:sz="4" w:space="0" w:color="auto"/>
              <w:bottom w:val="single" w:sz="4" w:space="0" w:color="auto"/>
              <w:right w:val="single" w:sz="4" w:space="0" w:color="auto"/>
            </w:tcBorders>
            <w:shd w:val="clear" w:color="auto" w:fill="E2E2E2"/>
          </w:tcPr>
          <w:p w14:paraId="40D17DC2" w14:textId="77777777" w:rsidR="00533C8E" w:rsidRPr="00612E08" w:rsidRDefault="00533C8E" w:rsidP="005E4FF9">
            <w:pPr>
              <w:rPr>
                <w:rFonts w:ascii="Times New Roman" w:eastAsia="Times New Roman" w:hAnsi="Times New Roman" w:cs="Times New Roman"/>
                <w:sz w:val="20"/>
                <w:szCs w:val="20"/>
                <w:lang w:eastAsia="sk-SK"/>
              </w:rPr>
            </w:pPr>
          </w:p>
          <w:p w14:paraId="3FD25517" w14:textId="77777777" w:rsidR="00533C8E" w:rsidRPr="00612E08" w:rsidRDefault="00533C8E" w:rsidP="005E4FF9">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0317367D" w14:textId="77777777" w:rsidR="00533C8E" w:rsidRPr="00612E08" w:rsidRDefault="00533C8E" w:rsidP="005E4FF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2C9218CD" w14:textId="77777777" w:rsidR="00533C8E" w:rsidRPr="00612E08" w:rsidRDefault="00533C8E" w:rsidP="005E4FF9">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tcBorders>
              <w:top w:val="single" w:sz="4" w:space="0" w:color="auto"/>
              <w:left w:val="nil"/>
              <w:bottom w:val="single" w:sz="4" w:space="0" w:color="auto"/>
              <w:right w:val="nil"/>
            </w:tcBorders>
            <w:vAlign w:val="center"/>
          </w:tcPr>
          <w:p w14:paraId="7BCE3D93" w14:textId="77777777" w:rsidR="00533C8E" w:rsidRPr="00612E08" w:rsidRDefault="00533C8E" w:rsidP="005E4FF9">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321D1DB9" w14:textId="77777777" w:rsidR="00533C8E" w:rsidRPr="00612E08" w:rsidRDefault="00533C8E" w:rsidP="005E4FF9">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220A1CA6" w14:textId="3F342863" w:rsidR="00533C8E" w:rsidRPr="00612E08" w:rsidRDefault="00533C8E" w:rsidP="005E4FF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8F9C8FE" w14:textId="77777777" w:rsidR="00533C8E" w:rsidRPr="00612E08" w:rsidRDefault="00533C8E" w:rsidP="005E4FF9">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3145AE" w:rsidRPr="00B043B4" w14:paraId="15F87CCE"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4A8BFAE1"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772455DD"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tcPr>
          <w:p w14:paraId="47FEEE1B" w14:textId="77777777"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tcPr>
              <w:p w14:paraId="1A014E2A" w14:textId="77777777" w:rsidR="003145AE" w:rsidRPr="00B043B4" w:rsidRDefault="00EC79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F205841"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56E69BE4"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7F75158" w14:textId="77777777"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14:paraId="27F13758"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78D8AA86" w14:textId="77777777" w:rsidR="000F2BE9" w:rsidRPr="00B043B4" w:rsidRDefault="000F2BE9" w:rsidP="00163569">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2B12BFA8" w14:textId="77777777" w:rsidR="000F2BE9" w:rsidRPr="00B043B4" w:rsidRDefault="000F2BE9" w:rsidP="00163569">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094F55F1" w14:textId="77777777" w:rsidR="000F2BE9" w:rsidRPr="00B043B4" w:rsidRDefault="000F2BE9" w:rsidP="00163569">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43A0C416" w14:textId="77777777" w:rsidR="000F2BE9" w:rsidRPr="00B043B4" w:rsidRDefault="000F2BE9" w:rsidP="00163569">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098F490D" w14:textId="77777777" w:rsidR="000F2BE9" w:rsidRPr="00B043B4" w:rsidRDefault="000F2BE9" w:rsidP="00163569">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58F22F05" w14:textId="77777777" w:rsidR="000F2BE9" w:rsidRPr="00B043B4" w:rsidRDefault="000F2BE9" w:rsidP="00163569">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5E02AE9A" w14:textId="77777777" w:rsidR="000F2BE9" w:rsidRPr="00B043B4" w:rsidRDefault="000F2BE9" w:rsidP="00163569">
            <w:pPr>
              <w:spacing w:after="0" w:line="240" w:lineRule="auto"/>
              <w:ind w:left="54"/>
              <w:rPr>
                <w:rFonts w:ascii="Times New Roman" w:eastAsia="Times New Roman" w:hAnsi="Times New Roman" w:cs="Times New Roman"/>
                <w:b/>
                <w:sz w:val="20"/>
                <w:szCs w:val="20"/>
                <w:lang w:eastAsia="sk-SK"/>
              </w:rPr>
            </w:pPr>
          </w:p>
        </w:tc>
      </w:tr>
      <w:tr w:rsidR="000F2BE9" w:rsidRPr="00B043B4" w14:paraId="3247ACE2" w14:textId="77777777" w:rsidTr="00B547F5">
        <w:tc>
          <w:tcPr>
            <w:tcW w:w="3812" w:type="dxa"/>
            <w:tcBorders>
              <w:top w:val="nil"/>
              <w:left w:val="single" w:sz="4" w:space="0" w:color="auto"/>
              <w:bottom w:val="nil"/>
              <w:right w:val="single" w:sz="4" w:space="0" w:color="auto"/>
            </w:tcBorders>
            <w:shd w:val="clear" w:color="auto" w:fill="E2E2E2"/>
          </w:tcPr>
          <w:p w14:paraId="6BE4E5EF" w14:textId="77777777" w:rsidR="000F2BE9" w:rsidRPr="00B043B4" w:rsidRDefault="000F2BE9" w:rsidP="00163569">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47560027"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4950BB99"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3939B7D8" w14:textId="77777777" w:rsidR="000F2BE9" w:rsidRPr="00B043B4" w:rsidRDefault="00EC79AE"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764EBC72"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45A05F98"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34801F90"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14:paraId="51EEEBDA" w14:textId="77777777" w:rsidTr="00B547F5">
        <w:tc>
          <w:tcPr>
            <w:tcW w:w="3812" w:type="dxa"/>
            <w:tcBorders>
              <w:top w:val="nil"/>
              <w:left w:val="single" w:sz="4" w:space="0" w:color="auto"/>
              <w:bottom w:val="nil"/>
              <w:right w:val="single" w:sz="4" w:space="0" w:color="auto"/>
            </w:tcBorders>
            <w:shd w:val="clear" w:color="auto" w:fill="E2E2E2"/>
          </w:tcPr>
          <w:p w14:paraId="02C01E37" w14:textId="77777777" w:rsidR="000F2BE9" w:rsidRPr="00B043B4" w:rsidRDefault="000F2BE9" w:rsidP="00163569">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1F53DBBB"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6F214DCE"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6BB2C381" w14:textId="77777777" w:rsidR="000F2BE9" w:rsidRPr="00B043B4" w:rsidRDefault="00EC79AE"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44032CD1"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48DB18A1"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184CB600"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14:paraId="126DC6CE"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55DAD978" w14:textId="77777777" w:rsidR="00A340BB" w:rsidRPr="00B043B4" w:rsidRDefault="00A340BB" w:rsidP="00163569">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47D5B12D"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6BFAEA5B" w14:textId="77777777"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13FD8B30" w14:textId="77777777" w:rsidR="00A340BB" w:rsidRPr="00B043B4" w:rsidRDefault="00EC79AE"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00D17A19" w14:textId="77777777"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7F45B365"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000313D" w14:textId="77777777"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187097EB" w14:textId="77777777"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14:paraId="1138A740" w14:textId="77777777" w:rsidTr="00163569">
        <w:tc>
          <w:tcPr>
            <w:tcW w:w="9176" w:type="dxa"/>
            <w:tcBorders>
              <w:top w:val="single" w:sz="4" w:space="0" w:color="auto"/>
              <w:left w:val="single" w:sz="4" w:space="0" w:color="auto"/>
              <w:bottom w:val="nil"/>
              <w:right w:val="single" w:sz="4" w:space="0" w:color="auto"/>
            </w:tcBorders>
            <w:shd w:val="clear" w:color="auto" w:fill="E2E2E2"/>
          </w:tcPr>
          <w:p w14:paraId="3280C5FF" w14:textId="77777777" w:rsidR="001B23B7" w:rsidRPr="00B043B4" w:rsidRDefault="001B23B7" w:rsidP="00163569">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14:paraId="44F2289C" w14:textId="77777777" w:rsidTr="00163569">
        <w:trPr>
          <w:trHeight w:val="713"/>
        </w:trPr>
        <w:tc>
          <w:tcPr>
            <w:tcW w:w="9176" w:type="dxa"/>
            <w:tcBorders>
              <w:top w:val="nil"/>
              <w:left w:val="single" w:sz="4" w:space="0" w:color="auto"/>
              <w:bottom w:val="single" w:sz="4" w:space="0" w:color="FFFFFF"/>
              <w:right w:val="single" w:sz="4" w:space="0" w:color="auto"/>
            </w:tcBorders>
            <w:shd w:val="clear" w:color="auto" w:fill="auto"/>
          </w:tcPr>
          <w:p w14:paraId="4574ED09" w14:textId="77777777" w:rsidR="001B23B7" w:rsidRDefault="001B23B7" w:rsidP="00163569">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14:paraId="31B6413F" w14:textId="77777777" w:rsidR="004C6831" w:rsidRDefault="004C6831" w:rsidP="00163569">
            <w:pPr>
              <w:jc w:val="both"/>
              <w:rPr>
                <w:rFonts w:ascii="Times New Roman" w:eastAsia="Times New Roman" w:hAnsi="Times New Roman" w:cs="Times New Roman"/>
                <w:i/>
                <w:sz w:val="20"/>
                <w:szCs w:val="20"/>
                <w:lang w:eastAsia="sk-SK"/>
              </w:rPr>
            </w:pPr>
          </w:p>
          <w:p w14:paraId="37F1D299" w14:textId="77777777" w:rsidR="004C6831" w:rsidRDefault="004C6831" w:rsidP="00163569">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532900B6" w14:textId="77777777" w:rsidR="004C6831" w:rsidRDefault="004C6831" w:rsidP="00163569">
            <w:pPr>
              <w:jc w:val="both"/>
              <w:rPr>
                <w:rFonts w:ascii="Times New Roman" w:eastAsia="Times New Roman" w:hAnsi="Times New Roman" w:cs="Times New Roman"/>
                <w:i/>
                <w:sz w:val="20"/>
                <w:szCs w:val="20"/>
                <w:lang w:eastAsia="sk-SK"/>
              </w:rPr>
            </w:pPr>
          </w:p>
          <w:p w14:paraId="670D2ABE" w14:textId="77777777" w:rsidR="004C6831" w:rsidRPr="00B043B4" w:rsidRDefault="004C6831" w:rsidP="00163569">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14:paraId="7F2DB90D" w14:textId="77777777" w:rsidR="001B23B7" w:rsidRDefault="001B23B7" w:rsidP="00163569">
            <w:pPr>
              <w:ind w:left="426"/>
              <w:contextualSpacing/>
              <w:rPr>
                <w:rFonts w:ascii="Times New Roman" w:eastAsia="Calibri" w:hAnsi="Times New Roman" w:cs="Times New Roman"/>
                <w:b/>
              </w:rPr>
            </w:pPr>
          </w:p>
          <w:p w14:paraId="68D42752" w14:textId="68BDC5B3" w:rsidR="00EC79AE" w:rsidRDefault="009E2D19" w:rsidP="009E2D19">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Materiál nepredpokladá vplyvy na</w:t>
            </w:r>
            <w:r w:rsidR="00153214">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w:t>
            </w:r>
          </w:p>
          <w:p w14:paraId="19619474" w14:textId="77777777" w:rsidR="00153214" w:rsidRDefault="00153214" w:rsidP="009E2D19">
            <w:pPr>
              <w:pStyle w:val="Odsekzoznamu"/>
              <w:numPr>
                <w:ilvl w:val="0"/>
                <w:numId w:val="2"/>
              </w:numPr>
              <w:jc w:val="both"/>
              <w:rPr>
                <w:rFonts w:ascii="Times New Roman" w:eastAsia="Times New Roman" w:hAnsi="Times New Roman" w:cs="Times New Roman"/>
                <w:sz w:val="20"/>
                <w:szCs w:val="20"/>
                <w:lang w:eastAsia="sk-SK"/>
              </w:rPr>
            </w:pPr>
            <w:r w:rsidRPr="00153214">
              <w:rPr>
                <w:rFonts w:ascii="Times New Roman" w:eastAsia="Times New Roman" w:hAnsi="Times New Roman" w:cs="Times New Roman"/>
                <w:sz w:val="20"/>
                <w:szCs w:val="20"/>
                <w:lang w:eastAsia="sk-SK"/>
              </w:rPr>
              <w:t>i</w:t>
            </w:r>
            <w:r w:rsidR="006F7001" w:rsidRPr="00153214">
              <w:rPr>
                <w:rFonts w:ascii="Times New Roman" w:eastAsia="Times New Roman" w:hAnsi="Times New Roman" w:cs="Times New Roman"/>
                <w:sz w:val="20"/>
                <w:szCs w:val="20"/>
                <w:lang w:eastAsia="sk-SK"/>
              </w:rPr>
              <w:t>nformatizáciu spoločnosti</w:t>
            </w:r>
            <w:r>
              <w:rPr>
                <w:rFonts w:ascii="Times New Roman" w:eastAsia="Times New Roman" w:hAnsi="Times New Roman" w:cs="Times New Roman"/>
                <w:sz w:val="20"/>
                <w:szCs w:val="20"/>
                <w:lang w:eastAsia="sk-SK"/>
              </w:rPr>
              <w:t xml:space="preserve"> – Elektronický systém podľa</w:t>
            </w:r>
            <w:r w:rsidR="00163569" w:rsidRPr="00153214">
              <w:rPr>
                <w:rFonts w:ascii="Times New Roman" w:eastAsia="Times New Roman" w:hAnsi="Times New Roman" w:cs="Times New Roman"/>
                <w:sz w:val="20"/>
                <w:szCs w:val="20"/>
                <w:lang w:eastAsia="sk-SK"/>
              </w:rPr>
              <w:t xml:space="preserve"> § 31 </w:t>
            </w:r>
            <w:r>
              <w:rPr>
                <w:rFonts w:ascii="Times New Roman" w:eastAsia="Times New Roman" w:hAnsi="Times New Roman" w:cs="Times New Roman"/>
                <w:sz w:val="20"/>
                <w:szCs w:val="20"/>
                <w:lang w:eastAsia="sk-SK"/>
              </w:rPr>
              <w:t>zákona č. 414/2012 Z. z. poskytuje ministerstvu</w:t>
            </w:r>
            <w:r w:rsidR="00163569" w:rsidRPr="00153214">
              <w:rPr>
                <w:rFonts w:ascii="Times New Roman" w:eastAsia="Times New Roman" w:hAnsi="Times New Roman" w:cs="Times New Roman"/>
                <w:sz w:val="20"/>
                <w:szCs w:val="20"/>
                <w:lang w:eastAsia="sk-SK"/>
              </w:rPr>
              <w:t xml:space="preserve"> Európska komisia bezodplatne. Predkladaný materiál nenavrhuje </w:t>
            </w:r>
            <w:r>
              <w:rPr>
                <w:rFonts w:ascii="Times New Roman" w:eastAsia="Times New Roman" w:hAnsi="Times New Roman" w:cs="Times New Roman"/>
                <w:sz w:val="20"/>
                <w:szCs w:val="20"/>
                <w:lang w:eastAsia="sk-SK"/>
              </w:rPr>
              <w:t>žiadny nový informačný systém.</w:t>
            </w:r>
          </w:p>
          <w:p w14:paraId="7713C654" w14:textId="77777777" w:rsidR="00153214" w:rsidRDefault="00153214" w:rsidP="009E2D19">
            <w:pPr>
              <w:pStyle w:val="Odsekzoznamu"/>
              <w:numPr>
                <w:ilvl w:val="0"/>
                <w:numId w:val="2"/>
              </w:num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w:t>
            </w:r>
            <w:r w:rsidR="006F7001" w:rsidRPr="00153214">
              <w:rPr>
                <w:rFonts w:ascii="Times New Roman" w:eastAsia="Times New Roman" w:hAnsi="Times New Roman" w:cs="Times New Roman"/>
                <w:sz w:val="20"/>
                <w:szCs w:val="20"/>
                <w:lang w:eastAsia="sk-SK"/>
              </w:rPr>
              <w:t>lužby verejnej správy pre občana</w:t>
            </w:r>
            <w:r w:rsidR="00163569" w:rsidRPr="00153214">
              <w:rPr>
                <w:rFonts w:ascii="Times New Roman" w:eastAsia="Times New Roman" w:hAnsi="Times New Roman" w:cs="Times New Roman"/>
                <w:sz w:val="20"/>
                <w:szCs w:val="20"/>
                <w:lang w:eastAsia="sk-SK"/>
              </w:rPr>
              <w:t xml:space="preserve"> – Kontakt občanov s orgánmi verejnej správy nie je predmetom predkladaného materiálu.</w:t>
            </w:r>
          </w:p>
          <w:p w14:paraId="60C9F4CD" w14:textId="77777777" w:rsidR="006F7001" w:rsidRDefault="006F7001" w:rsidP="009E2D19">
            <w:pPr>
              <w:pStyle w:val="Odsekzoznamu"/>
              <w:numPr>
                <w:ilvl w:val="0"/>
                <w:numId w:val="2"/>
              </w:numPr>
              <w:jc w:val="both"/>
              <w:rPr>
                <w:rFonts w:ascii="Times New Roman" w:eastAsia="Times New Roman" w:hAnsi="Times New Roman" w:cs="Times New Roman"/>
                <w:sz w:val="20"/>
                <w:szCs w:val="20"/>
                <w:lang w:eastAsia="sk-SK"/>
              </w:rPr>
            </w:pPr>
            <w:r w:rsidRPr="00153214">
              <w:rPr>
                <w:rFonts w:ascii="Times New Roman" w:eastAsia="Times New Roman" w:hAnsi="Times New Roman" w:cs="Times New Roman"/>
                <w:sz w:val="20"/>
                <w:szCs w:val="20"/>
                <w:lang w:eastAsia="sk-SK"/>
              </w:rPr>
              <w:t>manželstvo, rodičovstvo a</w:t>
            </w:r>
            <w:r w:rsidR="005F54C0" w:rsidRPr="00153214">
              <w:rPr>
                <w:rFonts w:ascii="Times New Roman" w:eastAsia="Times New Roman" w:hAnsi="Times New Roman" w:cs="Times New Roman"/>
                <w:sz w:val="20"/>
                <w:szCs w:val="20"/>
                <w:lang w:eastAsia="sk-SK"/>
              </w:rPr>
              <w:t> </w:t>
            </w:r>
            <w:r w:rsidRPr="00153214">
              <w:rPr>
                <w:rFonts w:ascii="Times New Roman" w:eastAsia="Times New Roman" w:hAnsi="Times New Roman" w:cs="Times New Roman"/>
                <w:sz w:val="20"/>
                <w:szCs w:val="20"/>
                <w:lang w:eastAsia="sk-SK"/>
              </w:rPr>
              <w:t>rodinu</w:t>
            </w:r>
            <w:r w:rsidR="005F54C0" w:rsidRPr="00153214">
              <w:rPr>
                <w:rFonts w:ascii="Times New Roman" w:eastAsia="Times New Roman" w:hAnsi="Times New Roman" w:cs="Times New Roman"/>
                <w:sz w:val="20"/>
                <w:szCs w:val="20"/>
                <w:lang w:eastAsia="sk-SK"/>
              </w:rPr>
              <w:t xml:space="preserve"> – Rodinné prostredie nie je predmetom predkladaného materiálu.</w:t>
            </w:r>
          </w:p>
          <w:p w14:paraId="5342CE53" w14:textId="562B9397" w:rsidR="008F142B" w:rsidRPr="00153214" w:rsidRDefault="008F142B" w:rsidP="008F142B">
            <w:pPr>
              <w:pStyle w:val="Odsekzoznamu"/>
              <w:jc w:val="both"/>
              <w:rPr>
                <w:rFonts w:ascii="Times New Roman" w:eastAsia="Times New Roman" w:hAnsi="Times New Roman" w:cs="Times New Roman"/>
                <w:sz w:val="20"/>
                <w:szCs w:val="20"/>
                <w:lang w:eastAsia="sk-SK"/>
              </w:rPr>
            </w:pPr>
          </w:p>
        </w:tc>
      </w:tr>
      <w:tr w:rsidR="001B23B7" w:rsidRPr="00B043B4" w14:paraId="17B1C2BC" w14:textId="77777777" w:rsidTr="00163569">
        <w:tc>
          <w:tcPr>
            <w:tcW w:w="9176" w:type="dxa"/>
            <w:tcBorders>
              <w:top w:val="single" w:sz="4" w:space="0" w:color="auto"/>
              <w:left w:val="single" w:sz="4" w:space="0" w:color="auto"/>
              <w:bottom w:val="single" w:sz="4" w:space="0" w:color="FFFFFF"/>
              <w:right w:val="single" w:sz="4" w:space="0" w:color="auto"/>
            </w:tcBorders>
            <w:shd w:val="clear" w:color="auto" w:fill="E2E2E2"/>
          </w:tcPr>
          <w:p w14:paraId="190CB613" w14:textId="77777777" w:rsidR="001B23B7" w:rsidRPr="00B043B4" w:rsidRDefault="001B23B7" w:rsidP="00163569">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1B23B7" w:rsidRPr="00B043B4" w14:paraId="7A4A04BF" w14:textId="77777777" w:rsidTr="00163569">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98852E2" w14:textId="77777777" w:rsidR="001B23B7" w:rsidRDefault="001B23B7" w:rsidP="00163569">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1DE05E80" w14:textId="77777777" w:rsidR="00EC79AE" w:rsidRDefault="00EC79AE" w:rsidP="00163569">
            <w:pPr>
              <w:rPr>
                <w:rFonts w:ascii="Times New Roman" w:eastAsia="Times New Roman" w:hAnsi="Times New Roman" w:cs="Times New Roman"/>
                <w:i/>
                <w:sz w:val="20"/>
                <w:szCs w:val="20"/>
                <w:lang w:eastAsia="sk-SK"/>
              </w:rPr>
            </w:pPr>
          </w:p>
          <w:p w14:paraId="43962965" w14:textId="77777777" w:rsidR="00EC79AE" w:rsidRPr="00660CCE" w:rsidRDefault="00EC79AE" w:rsidP="00EC79AE">
            <w:pPr>
              <w:rPr>
                <w:rFonts w:ascii="Times New Roman" w:eastAsia="Times New Roman" w:hAnsi="Times New Roman" w:cs="Times New Roman"/>
                <w:sz w:val="20"/>
                <w:szCs w:val="20"/>
                <w:lang w:eastAsia="sk-SK"/>
              </w:rPr>
            </w:pPr>
            <w:r w:rsidRPr="00660CCE">
              <w:rPr>
                <w:rFonts w:ascii="Times New Roman" w:eastAsia="Times New Roman" w:hAnsi="Times New Roman" w:cs="Times New Roman"/>
                <w:sz w:val="20"/>
                <w:szCs w:val="20"/>
                <w:lang w:eastAsia="sk-SK"/>
              </w:rPr>
              <w:t>Ministerstvo životného prostredia Slovenskej republiky</w:t>
            </w:r>
          </w:p>
          <w:p w14:paraId="72BED9CF" w14:textId="77777777" w:rsidR="00EC79AE" w:rsidRPr="00660CCE" w:rsidRDefault="00EC79AE" w:rsidP="00EC79AE">
            <w:pPr>
              <w:rPr>
                <w:rFonts w:ascii="Times New Roman" w:eastAsia="Times New Roman" w:hAnsi="Times New Roman" w:cs="Times New Roman"/>
                <w:sz w:val="20"/>
                <w:szCs w:val="20"/>
                <w:lang w:eastAsia="sk-SK"/>
              </w:rPr>
            </w:pPr>
            <w:r w:rsidRPr="00660CCE">
              <w:rPr>
                <w:rFonts w:ascii="Times New Roman" w:eastAsia="Times New Roman" w:hAnsi="Times New Roman" w:cs="Times New Roman"/>
                <w:sz w:val="20"/>
                <w:szCs w:val="20"/>
                <w:lang w:eastAsia="sk-SK"/>
              </w:rPr>
              <w:t>Sekcia zmeny klímy a ochrany ovzdušia</w:t>
            </w:r>
          </w:p>
          <w:p w14:paraId="1EB6DD67" w14:textId="77777777" w:rsidR="00EC79AE" w:rsidRPr="00660CCE" w:rsidRDefault="00EC79AE" w:rsidP="00EC79AE">
            <w:pPr>
              <w:rPr>
                <w:rFonts w:ascii="Times New Roman" w:eastAsia="Times New Roman" w:hAnsi="Times New Roman" w:cs="Times New Roman"/>
                <w:sz w:val="20"/>
                <w:szCs w:val="20"/>
                <w:lang w:eastAsia="sk-SK"/>
              </w:rPr>
            </w:pPr>
            <w:r w:rsidRPr="00660CCE">
              <w:rPr>
                <w:rFonts w:ascii="Times New Roman" w:eastAsia="Times New Roman" w:hAnsi="Times New Roman" w:cs="Times New Roman"/>
                <w:sz w:val="20"/>
                <w:szCs w:val="20"/>
                <w:lang w:eastAsia="sk-SK"/>
              </w:rPr>
              <w:t>Odbor politiky znižovania emisií skleníkových plynov</w:t>
            </w:r>
          </w:p>
          <w:p w14:paraId="68586DFD" w14:textId="77777777" w:rsidR="00EC79AE" w:rsidRPr="00660CCE" w:rsidRDefault="00EC79AE" w:rsidP="00EC79AE">
            <w:pPr>
              <w:rPr>
                <w:rFonts w:ascii="Times New Roman" w:eastAsia="Times New Roman" w:hAnsi="Times New Roman" w:cs="Times New Roman"/>
                <w:sz w:val="20"/>
                <w:szCs w:val="20"/>
                <w:lang w:eastAsia="sk-SK"/>
              </w:rPr>
            </w:pPr>
            <w:r w:rsidRPr="00660CCE">
              <w:rPr>
                <w:rFonts w:ascii="Times New Roman" w:eastAsia="Times New Roman" w:hAnsi="Times New Roman" w:cs="Times New Roman"/>
                <w:sz w:val="20"/>
                <w:szCs w:val="20"/>
                <w:lang w:eastAsia="sk-SK"/>
              </w:rPr>
              <w:lastRenderedPageBreak/>
              <w:t>Námestie Ľudovíta Štúra 1</w:t>
            </w:r>
          </w:p>
          <w:p w14:paraId="23807E3F" w14:textId="77777777" w:rsidR="00EC79AE" w:rsidRPr="00660CCE" w:rsidRDefault="00EC79AE" w:rsidP="00EC79AE">
            <w:pPr>
              <w:rPr>
                <w:rFonts w:ascii="Times New Roman" w:eastAsia="Times New Roman" w:hAnsi="Times New Roman" w:cs="Times New Roman"/>
                <w:sz w:val="20"/>
                <w:szCs w:val="20"/>
                <w:lang w:eastAsia="sk-SK"/>
              </w:rPr>
            </w:pPr>
            <w:r w:rsidRPr="00660CCE">
              <w:rPr>
                <w:rFonts w:ascii="Times New Roman" w:eastAsia="Times New Roman" w:hAnsi="Times New Roman" w:cs="Times New Roman"/>
                <w:sz w:val="20"/>
                <w:szCs w:val="20"/>
                <w:lang w:eastAsia="sk-SK"/>
              </w:rPr>
              <w:t>812 35 Bratislava</w:t>
            </w:r>
          </w:p>
          <w:p w14:paraId="1377E99E" w14:textId="77777777" w:rsidR="00EC79AE" w:rsidRPr="00EC79AE" w:rsidRDefault="00EC79AE" w:rsidP="00163569">
            <w:pPr>
              <w:rPr>
                <w:rFonts w:ascii="Times New Roman" w:eastAsia="Times New Roman" w:hAnsi="Times New Roman" w:cs="Times New Roman"/>
                <w:sz w:val="20"/>
                <w:szCs w:val="20"/>
                <w:lang w:eastAsia="sk-SK"/>
              </w:rPr>
            </w:pPr>
          </w:p>
        </w:tc>
      </w:tr>
      <w:tr w:rsidR="001B23B7" w:rsidRPr="00B043B4" w14:paraId="4C495577" w14:textId="77777777" w:rsidTr="00163569">
        <w:tc>
          <w:tcPr>
            <w:tcW w:w="9176" w:type="dxa"/>
            <w:tcBorders>
              <w:top w:val="single" w:sz="4" w:space="0" w:color="auto"/>
              <w:left w:val="single" w:sz="4" w:space="0" w:color="auto"/>
              <w:bottom w:val="single" w:sz="4" w:space="0" w:color="FFFFFF"/>
              <w:right w:val="single" w:sz="4" w:space="0" w:color="auto"/>
            </w:tcBorders>
            <w:shd w:val="clear" w:color="auto" w:fill="E2E2E2"/>
          </w:tcPr>
          <w:p w14:paraId="04A515FE" w14:textId="77777777" w:rsidR="001B23B7" w:rsidRPr="00B043B4" w:rsidRDefault="001B23B7" w:rsidP="00163569">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Zdroje</w:t>
            </w:r>
          </w:p>
        </w:tc>
      </w:tr>
      <w:tr w:rsidR="001B23B7" w:rsidRPr="00B043B4" w14:paraId="1F9D302D" w14:textId="77777777" w:rsidTr="00163569">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46085CE" w14:textId="77777777" w:rsidR="001B23B7" w:rsidRPr="00B043B4" w:rsidRDefault="001B23B7" w:rsidP="00163569">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eastAsia="Calibri" w:hAnsi="Times New Roman" w:cs="Times New Roman"/>
                <w:sz w:val="24"/>
                <w:szCs w:val="24"/>
              </w:rPr>
              <w:t xml:space="preserve"> </w:t>
            </w:r>
          </w:p>
          <w:p w14:paraId="0DC4E754" w14:textId="5CC7AF94" w:rsidR="00153214" w:rsidRDefault="006E2AB7" w:rsidP="006E2AB7">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Interné prepočty a odhady o</w:t>
            </w:r>
            <w:r w:rsidRPr="005A151D">
              <w:rPr>
                <w:rFonts w:ascii="Times New Roman" w:eastAsia="Times New Roman" w:hAnsi="Times New Roman" w:cs="Times New Roman"/>
                <w:sz w:val="20"/>
                <w:szCs w:val="20"/>
                <w:lang w:eastAsia="sk-SK"/>
              </w:rPr>
              <w:t>d</w:t>
            </w:r>
            <w:r>
              <w:rPr>
                <w:rFonts w:ascii="Times New Roman" w:eastAsia="Times New Roman" w:hAnsi="Times New Roman" w:cs="Times New Roman"/>
                <w:sz w:val="20"/>
                <w:szCs w:val="20"/>
                <w:lang w:eastAsia="sk-SK"/>
              </w:rPr>
              <w:t>b</w:t>
            </w:r>
            <w:r w:rsidRPr="005A151D">
              <w:rPr>
                <w:rFonts w:ascii="Times New Roman" w:eastAsia="Times New Roman" w:hAnsi="Times New Roman" w:cs="Times New Roman"/>
                <w:sz w:val="20"/>
                <w:szCs w:val="20"/>
                <w:lang w:eastAsia="sk-SK"/>
              </w:rPr>
              <w:t>oru politiky znižovania emisií skleníkových plynov (Sekci</w:t>
            </w:r>
            <w:r>
              <w:rPr>
                <w:rFonts w:ascii="Times New Roman" w:eastAsia="Times New Roman" w:hAnsi="Times New Roman" w:cs="Times New Roman"/>
                <w:sz w:val="20"/>
                <w:szCs w:val="20"/>
                <w:lang w:eastAsia="sk-SK"/>
              </w:rPr>
              <w:t>a zmeny klímy a ochrany ovzdušia</w:t>
            </w:r>
            <w:r w:rsidR="00A2600F">
              <w:rPr>
                <w:rFonts w:ascii="Times New Roman" w:eastAsia="Times New Roman" w:hAnsi="Times New Roman" w:cs="Times New Roman"/>
                <w:sz w:val="20"/>
                <w:szCs w:val="20"/>
                <w:lang w:eastAsia="sk-SK"/>
              </w:rPr>
              <w:t xml:space="preserve">) </w:t>
            </w:r>
            <w:r w:rsidRPr="005A151D">
              <w:rPr>
                <w:rFonts w:ascii="Times New Roman" w:eastAsia="Times New Roman" w:hAnsi="Times New Roman" w:cs="Times New Roman"/>
                <w:sz w:val="20"/>
                <w:szCs w:val="20"/>
                <w:lang w:eastAsia="sk-SK"/>
              </w:rPr>
              <w:t>získané z dostupných infor</w:t>
            </w:r>
            <w:r w:rsidR="00153214">
              <w:rPr>
                <w:rFonts w:ascii="Times New Roman" w:eastAsia="Times New Roman" w:hAnsi="Times New Roman" w:cs="Times New Roman"/>
                <w:sz w:val="20"/>
                <w:szCs w:val="20"/>
                <w:lang w:eastAsia="sk-SK"/>
              </w:rPr>
              <w:t>mácii a údajov Európskej komisie</w:t>
            </w:r>
            <w:r w:rsidRPr="005A151D">
              <w:rPr>
                <w:rFonts w:ascii="Times New Roman" w:eastAsia="Times New Roman" w:hAnsi="Times New Roman" w:cs="Times New Roman"/>
                <w:sz w:val="20"/>
                <w:szCs w:val="20"/>
                <w:lang w:eastAsia="sk-SK"/>
              </w:rPr>
              <w:t xml:space="preserve"> a z vývoja z predchádzajúcich rokov, čo sa týka aukčných podielov SR a cien emisných kvót na jednotnej aukčnej platforme EEX.</w:t>
            </w:r>
          </w:p>
          <w:p w14:paraId="2A3F4E0A" w14:textId="77777777" w:rsidR="00AE0775" w:rsidRDefault="00AE0775" w:rsidP="006E2AB7">
            <w:pPr>
              <w:jc w:val="both"/>
              <w:rPr>
                <w:rFonts w:ascii="Times New Roman" w:eastAsia="Times New Roman" w:hAnsi="Times New Roman" w:cs="Times New Roman"/>
                <w:sz w:val="20"/>
                <w:szCs w:val="20"/>
                <w:lang w:eastAsia="sk-SK"/>
              </w:rPr>
            </w:pPr>
          </w:p>
          <w:p w14:paraId="034DB492" w14:textId="60B16C8A" w:rsidR="00C13A88" w:rsidRDefault="008F142B" w:rsidP="006E2AB7">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Inštitút environmentálnej politiky – Analýza vplyvov balíka Fit for 55</w:t>
            </w:r>
            <w:r w:rsidR="00C13A88">
              <w:rPr>
                <w:rFonts w:ascii="Times New Roman" w:eastAsia="Times New Roman" w:hAnsi="Times New Roman" w:cs="Times New Roman"/>
                <w:sz w:val="20"/>
                <w:szCs w:val="20"/>
                <w:lang w:eastAsia="sk-SK"/>
              </w:rPr>
              <w:t xml:space="preserve"> (</w:t>
            </w:r>
            <w:hyperlink r:id="rId12" w:history="1">
              <w:r w:rsidR="00C13A88" w:rsidRPr="00DA7CDD">
                <w:rPr>
                  <w:rStyle w:val="Hypertextovprepojenie"/>
                  <w:rFonts w:ascii="Times New Roman" w:eastAsia="Times New Roman" w:hAnsi="Times New Roman" w:cs="Times New Roman"/>
                  <w:sz w:val="20"/>
                  <w:szCs w:val="20"/>
                  <w:lang w:eastAsia="sk-SK"/>
                </w:rPr>
                <w:t>https://minzp.sk/files/iep/iep_analyza_fit_for_55_.pdf</w:t>
              </w:r>
            </w:hyperlink>
            <w:r w:rsidR="00C13A88">
              <w:rPr>
                <w:rFonts w:ascii="Times New Roman" w:eastAsia="Times New Roman" w:hAnsi="Times New Roman" w:cs="Times New Roman"/>
                <w:sz w:val="20"/>
                <w:szCs w:val="20"/>
                <w:lang w:eastAsia="sk-SK"/>
              </w:rPr>
              <w:t>).</w:t>
            </w:r>
          </w:p>
          <w:p w14:paraId="119DCB05" w14:textId="77777777" w:rsidR="00AE0775" w:rsidRDefault="00AE0775" w:rsidP="006E2AB7">
            <w:pPr>
              <w:jc w:val="both"/>
              <w:rPr>
                <w:rFonts w:ascii="Times New Roman" w:eastAsia="Times New Roman" w:hAnsi="Times New Roman" w:cs="Times New Roman"/>
                <w:sz w:val="20"/>
                <w:szCs w:val="20"/>
                <w:lang w:eastAsia="sk-SK"/>
              </w:rPr>
            </w:pPr>
          </w:p>
          <w:p w14:paraId="4C09EF0E" w14:textId="4E484FE4" w:rsidR="008F142B" w:rsidRDefault="00C13A88" w:rsidP="006E2AB7">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Štatistický úrad SR – Priemerné ceny pohonných látok v SR, </w:t>
            </w:r>
            <w:r w:rsidR="00AC2884">
              <w:rPr>
                <w:rFonts w:ascii="Times New Roman" w:eastAsia="Times New Roman" w:hAnsi="Times New Roman" w:cs="Times New Roman"/>
                <w:sz w:val="20"/>
                <w:szCs w:val="20"/>
                <w:lang w:eastAsia="sk-SK"/>
              </w:rPr>
              <w:t xml:space="preserve">Jadrová a čistá </w:t>
            </w:r>
            <w:r w:rsidR="00A37F83">
              <w:rPr>
                <w:rFonts w:ascii="Times New Roman" w:eastAsia="Times New Roman" w:hAnsi="Times New Roman" w:cs="Times New Roman"/>
                <w:sz w:val="20"/>
                <w:szCs w:val="20"/>
                <w:lang w:eastAsia="sk-SK"/>
              </w:rPr>
              <w:t>i</w:t>
            </w:r>
            <w:r>
              <w:rPr>
                <w:rFonts w:ascii="Times New Roman" w:eastAsia="Times New Roman" w:hAnsi="Times New Roman" w:cs="Times New Roman"/>
                <w:sz w:val="20"/>
                <w:szCs w:val="20"/>
                <w:lang w:eastAsia="sk-SK"/>
              </w:rPr>
              <w:t>nflácia</w:t>
            </w:r>
            <w:r w:rsidR="00276607">
              <w:rPr>
                <w:rFonts w:ascii="Times New Roman" w:eastAsia="Times New Roman" w:hAnsi="Times New Roman" w:cs="Times New Roman"/>
                <w:sz w:val="20"/>
                <w:szCs w:val="20"/>
                <w:lang w:eastAsia="sk-SK"/>
              </w:rPr>
              <w:t>.</w:t>
            </w:r>
          </w:p>
          <w:p w14:paraId="472DBAE4" w14:textId="77777777" w:rsidR="00AE0775" w:rsidRDefault="00AE0775" w:rsidP="006E2AB7">
            <w:pPr>
              <w:jc w:val="both"/>
              <w:rPr>
                <w:rFonts w:ascii="Times New Roman" w:eastAsia="Times New Roman" w:hAnsi="Times New Roman" w:cs="Times New Roman"/>
                <w:sz w:val="20"/>
                <w:szCs w:val="20"/>
                <w:lang w:eastAsia="sk-SK"/>
              </w:rPr>
            </w:pPr>
          </w:p>
          <w:p w14:paraId="3F145B12" w14:textId="6DA574E7" w:rsidR="00276607" w:rsidRDefault="00AE0775" w:rsidP="006E2AB7">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Oznámenie</w:t>
            </w:r>
            <w:r w:rsidR="00276607" w:rsidRPr="00276607">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Komisie</w:t>
            </w:r>
            <w:r w:rsidR="00276607" w:rsidRPr="00276607">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Európskemu</w:t>
            </w:r>
            <w:r w:rsidR="00276607" w:rsidRPr="00276607">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parlamentu</w:t>
            </w:r>
            <w:r w:rsidR="00276607" w:rsidRPr="00276607">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Európskej</w:t>
            </w:r>
            <w:r w:rsidR="00276607" w:rsidRPr="00276607">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Rade</w:t>
            </w:r>
            <w:r w:rsidR="00276607" w:rsidRPr="00276607">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Rade</w:t>
            </w:r>
            <w:r w:rsidR="00276607" w:rsidRPr="00276607">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Európskemu</w:t>
            </w:r>
            <w:r w:rsidRPr="00276607">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hospodárskemu a</w:t>
            </w:r>
            <w:r w:rsidR="00276607" w:rsidRPr="00276607">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sociálnemu</w:t>
            </w:r>
            <w:r w:rsidR="00276607" w:rsidRPr="00276607">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výboru</w:t>
            </w:r>
            <w:r w:rsidR="00276607" w:rsidRPr="00276607">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a Výboru</w:t>
            </w:r>
            <w:r w:rsidR="00276607" w:rsidRPr="00276607">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regiónov -</w:t>
            </w:r>
            <w:r w:rsidR="00276607" w:rsidRPr="00276607">
              <w:rPr>
                <w:rFonts w:ascii="Times New Roman" w:eastAsia="Times New Roman" w:hAnsi="Times New Roman" w:cs="Times New Roman"/>
                <w:sz w:val="20"/>
                <w:szCs w:val="20"/>
                <w:lang w:eastAsia="sk-SK"/>
              </w:rPr>
              <w:t xml:space="preserve"> Boj s rastúcimi cenami energie: súbor nástrojov pre opatrenia a</w:t>
            </w:r>
            <w:r w:rsidR="00276607">
              <w:rPr>
                <w:rFonts w:ascii="Times New Roman" w:eastAsia="Times New Roman" w:hAnsi="Times New Roman" w:cs="Times New Roman"/>
                <w:sz w:val="20"/>
                <w:szCs w:val="20"/>
                <w:lang w:eastAsia="sk-SK"/>
              </w:rPr>
              <w:t> </w:t>
            </w:r>
            <w:r w:rsidR="00276607" w:rsidRPr="00276607">
              <w:rPr>
                <w:rFonts w:ascii="Times New Roman" w:eastAsia="Times New Roman" w:hAnsi="Times New Roman" w:cs="Times New Roman"/>
                <w:sz w:val="20"/>
                <w:szCs w:val="20"/>
                <w:lang w:eastAsia="sk-SK"/>
              </w:rPr>
              <w:t>podporu</w:t>
            </w:r>
            <w:r w:rsidR="00276607">
              <w:rPr>
                <w:rFonts w:ascii="Times New Roman" w:eastAsia="Times New Roman" w:hAnsi="Times New Roman" w:cs="Times New Roman"/>
                <w:sz w:val="20"/>
                <w:szCs w:val="20"/>
                <w:lang w:eastAsia="sk-SK"/>
              </w:rPr>
              <w:t>, (COM/2021/660 final</w:t>
            </w:r>
            <w:r>
              <w:rPr>
                <w:rFonts w:ascii="Times New Roman" w:eastAsia="Times New Roman" w:hAnsi="Times New Roman" w:cs="Times New Roman"/>
                <w:sz w:val="20"/>
                <w:szCs w:val="20"/>
                <w:lang w:eastAsia="sk-SK"/>
              </w:rPr>
              <w:t xml:space="preserve">, </w:t>
            </w:r>
            <w:hyperlink r:id="rId13" w:history="1">
              <w:r w:rsidRPr="00920FC6">
                <w:rPr>
                  <w:rStyle w:val="Hypertextovprepojenie"/>
                  <w:rFonts w:ascii="Times New Roman" w:eastAsia="Times New Roman" w:hAnsi="Times New Roman" w:cs="Times New Roman"/>
                  <w:sz w:val="20"/>
                  <w:szCs w:val="20"/>
                  <w:lang w:eastAsia="sk-SK"/>
                </w:rPr>
                <w:t>https://eur-lex.europa.eu/legal-content/SK/TXT/PDF/?uri=CELEX:52021DC0660</w:t>
              </w:r>
            </w:hyperlink>
            <w:r>
              <w:rPr>
                <w:rFonts w:ascii="Times New Roman" w:eastAsia="Times New Roman" w:hAnsi="Times New Roman" w:cs="Times New Roman"/>
                <w:sz w:val="20"/>
                <w:szCs w:val="20"/>
                <w:lang w:eastAsia="sk-SK"/>
              </w:rPr>
              <w:t>)</w:t>
            </w:r>
            <w:r w:rsidR="00276607">
              <w:rPr>
                <w:rFonts w:ascii="Times New Roman" w:eastAsia="Times New Roman" w:hAnsi="Times New Roman" w:cs="Times New Roman"/>
                <w:sz w:val="20"/>
                <w:szCs w:val="20"/>
                <w:lang w:eastAsia="sk-SK"/>
              </w:rPr>
              <w:t>.</w:t>
            </w:r>
          </w:p>
          <w:p w14:paraId="16A77F8C" w14:textId="77777777" w:rsidR="00AE0775" w:rsidRDefault="00AE0775" w:rsidP="006E2AB7">
            <w:pPr>
              <w:jc w:val="both"/>
              <w:rPr>
                <w:rFonts w:ascii="Times New Roman" w:eastAsia="Times New Roman" w:hAnsi="Times New Roman" w:cs="Times New Roman"/>
                <w:sz w:val="20"/>
                <w:szCs w:val="20"/>
                <w:lang w:eastAsia="sk-SK"/>
              </w:rPr>
            </w:pPr>
          </w:p>
          <w:p w14:paraId="16F67EE0" w14:textId="43A59124" w:rsidR="006E2AB7" w:rsidRPr="00330FC0" w:rsidRDefault="006E2AB7" w:rsidP="006E2AB7">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Využité boli aj údaje predkladané účastníkmi </w:t>
            </w:r>
            <w:r>
              <w:rPr>
                <w:rFonts w:ascii="Times New Roman" w:hAnsi="Times New Roman" w:cs="Times New Roman"/>
                <w:sz w:val="20"/>
                <w:szCs w:val="20"/>
              </w:rPr>
              <w:t xml:space="preserve">systému </w:t>
            </w:r>
            <w:r w:rsidR="00153214">
              <w:rPr>
                <w:rFonts w:ascii="Times New Roman" w:hAnsi="Times New Roman" w:cs="Times New Roman"/>
                <w:sz w:val="20"/>
                <w:szCs w:val="20"/>
              </w:rPr>
              <w:t>obchodovania s emisnými kvótami (správy o emisiách).</w:t>
            </w:r>
          </w:p>
          <w:p w14:paraId="13C249FD" w14:textId="6F281265" w:rsidR="001B23B7" w:rsidRPr="00B043B4" w:rsidRDefault="001B23B7" w:rsidP="00163569">
            <w:pPr>
              <w:rPr>
                <w:rFonts w:ascii="Times New Roman" w:eastAsia="Times New Roman" w:hAnsi="Times New Roman" w:cs="Times New Roman"/>
                <w:b/>
                <w:sz w:val="20"/>
                <w:szCs w:val="20"/>
                <w:lang w:eastAsia="sk-SK"/>
              </w:rPr>
            </w:pPr>
          </w:p>
        </w:tc>
      </w:tr>
      <w:tr w:rsidR="001B23B7" w:rsidRPr="00B043B4" w14:paraId="118EE4EC" w14:textId="77777777" w:rsidTr="00163569">
        <w:tc>
          <w:tcPr>
            <w:tcW w:w="9176" w:type="dxa"/>
            <w:tcBorders>
              <w:top w:val="single" w:sz="4" w:space="0" w:color="auto"/>
              <w:left w:val="single" w:sz="4" w:space="0" w:color="auto"/>
              <w:bottom w:val="single" w:sz="4" w:space="0" w:color="FFFFFF"/>
              <w:right w:val="single" w:sz="4" w:space="0" w:color="auto"/>
            </w:tcBorders>
            <w:shd w:val="clear" w:color="auto" w:fill="E2E2E2"/>
          </w:tcPr>
          <w:p w14:paraId="6C4DE9D7" w14:textId="2C4556E7" w:rsidR="001B23B7" w:rsidRPr="00B043B4" w:rsidRDefault="001B23B7" w:rsidP="00163569">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Stanovisko Komisie na posudzovanie vybra</w:t>
            </w:r>
            <w:r w:rsidR="003746E1">
              <w:rPr>
                <w:rFonts w:ascii="Times New Roman" w:eastAsia="Calibri" w:hAnsi="Times New Roman" w:cs="Times New Roman"/>
                <w:b/>
              </w:rPr>
              <w:t>ných vplyvov z PPK č. 046/2024</w:t>
            </w:r>
            <w:r w:rsidRPr="00B043B4">
              <w:rPr>
                <w:rFonts w:ascii="Calibri" w:eastAsia="Calibri" w:hAnsi="Calibri" w:cs="Times New Roman"/>
              </w:rPr>
              <w:t xml:space="preserve"> </w:t>
            </w:r>
          </w:p>
          <w:p w14:paraId="0410BF7E" w14:textId="77777777" w:rsidR="001B23B7" w:rsidRPr="00B043B4" w:rsidRDefault="001B23B7" w:rsidP="00163569">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14:paraId="56AC8441"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1F0E24A" w14:textId="77777777" w:rsidR="001B23B7" w:rsidRPr="00B043B4" w:rsidRDefault="001B23B7" w:rsidP="00163569">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14:paraId="217765E6" w14:textId="77777777" w:rsidTr="00163569">
              <w:trPr>
                <w:trHeight w:val="396"/>
              </w:trPr>
              <w:tc>
                <w:tcPr>
                  <w:tcW w:w="2552" w:type="dxa"/>
                </w:tcPr>
                <w:p w14:paraId="0125FF56" w14:textId="77777777" w:rsidR="001B23B7" w:rsidRPr="00B043B4" w:rsidRDefault="001A4D57" w:rsidP="00163569">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14:paraId="29C1408A" w14:textId="77777777" w:rsidR="001B23B7" w:rsidRPr="00B043B4" w:rsidRDefault="001A4D57" w:rsidP="00163569">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14:paraId="75D5ADBF" w14:textId="31DC9C42" w:rsidR="001B23B7" w:rsidRPr="00B043B4" w:rsidRDefault="001A4D57" w:rsidP="00163569">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3746E1">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14:paraId="7C8CDAD4" w14:textId="77777777" w:rsidR="001B23B7" w:rsidRPr="00B043B4" w:rsidRDefault="001B23B7" w:rsidP="00163569">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42B3F2A6" w14:textId="6F929AB4" w:rsidR="001B23B7" w:rsidRDefault="004C7590" w:rsidP="00163569">
            <w:pPr>
              <w:rPr>
                <w:rFonts w:ascii="Times New Roman" w:eastAsia="Times New Roman" w:hAnsi="Times New Roman" w:cs="Times New Roman"/>
                <w:sz w:val="20"/>
                <w:szCs w:val="20"/>
                <w:lang w:eastAsia="sk-SK"/>
              </w:rPr>
            </w:pPr>
            <w:r w:rsidRPr="004C7590">
              <w:rPr>
                <w:rFonts w:ascii="Times New Roman" w:eastAsia="Times New Roman" w:hAnsi="Times New Roman" w:cs="Times New Roman"/>
                <w:sz w:val="20"/>
                <w:szCs w:val="20"/>
                <w:lang w:eastAsia="sk-SK"/>
              </w:rPr>
              <w:t>Komisia uplatňuje k materiálu nasledovné pripomienky a odporúčania:</w:t>
            </w:r>
          </w:p>
          <w:p w14:paraId="6645E7FF" w14:textId="77777777" w:rsidR="004C7590" w:rsidRDefault="004C7590" w:rsidP="00163569">
            <w:pPr>
              <w:rPr>
                <w:rFonts w:ascii="Times New Roman" w:eastAsia="Times New Roman" w:hAnsi="Times New Roman" w:cs="Times New Roman"/>
                <w:sz w:val="20"/>
                <w:szCs w:val="20"/>
                <w:lang w:eastAsia="sk-SK"/>
              </w:rPr>
            </w:pPr>
          </w:p>
          <w:p w14:paraId="5A51F17B" w14:textId="77777777" w:rsidR="004C7590" w:rsidRPr="004C7590" w:rsidRDefault="004C7590" w:rsidP="004C7590">
            <w:pPr>
              <w:tabs>
                <w:tab w:val="left" w:pos="1110"/>
              </w:tabs>
              <w:ind w:right="-2"/>
              <w:jc w:val="both"/>
              <w:rPr>
                <w:rFonts w:ascii="Times New Roman" w:hAnsi="Times New Roman" w:cs="Times New Roman"/>
                <w:b/>
                <w:bCs/>
                <w:sz w:val="20"/>
                <w:szCs w:val="20"/>
              </w:rPr>
            </w:pPr>
            <w:r w:rsidRPr="004C7590">
              <w:rPr>
                <w:rFonts w:ascii="Times New Roman" w:hAnsi="Times New Roman" w:cs="Times New Roman"/>
                <w:b/>
                <w:bCs/>
                <w:sz w:val="20"/>
                <w:szCs w:val="20"/>
              </w:rPr>
              <w:t>K vplyvom na podnikateľské prostredie</w:t>
            </w:r>
          </w:p>
          <w:p w14:paraId="14A9DD2B" w14:textId="77777777" w:rsidR="004C7590" w:rsidRPr="004C7590" w:rsidRDefault="004C7590" w:rsidP="004C7590">
            <w:pPr>
              <w:tabs>
                <w:tab w:val="left" w:pos="1110"/>
              </w:tabs>
              <w:ind w:right="-2"/>
              <w:jc w:val="both"/>
              <w:rPr>
                <w:rFonts w:ascii="Times New Roman" w:hAnsi="Times New Roman" w:cs="Times New Roman"/>
                <w:bCs/>
                <w:sz w:val="20"/>
                <w:szCs w:val="20"/>
              </w:rPr>
            </w:pPr>
            <w:r w:rsidRPr="004C7590">
              <w:rPr>
                <w:rFonts w:ascii="Times New Roman" w:hAnsi="Times New Roman" w:cs="Times New Roman"/>
                <w:bCs/>
                <w:sz w:val="20"/>
                <w:szCs w:val="20"/>
              </w:rPr>
              <w:t>Komisia žiada predkladateľa o predloženie aktuálnej verzie Kalkulačky nákladov na podnikateľské prostredie.</w:t>
            </w:r>
          </w:p>
          <w:p w14:paraId="5572ADD3" w14:textId="29279138" w:rsidR="004C7590" w:rsidRDefault="004C7590" w:rsidP="004C7590">
            <w:pPr>
              <w:rPr>
                <w:rStyle w:val="Hypertextovprepojenie"/>
                <w:rFonts w:ascii="Times New Roman" w:hAnsi="Times New Roman" w:cs="Times New Roman"/>
                <w:bCs/>
                <w:sz w:val="20"/>
                <w:szCs w:val="20"/>
              </w:rPr>
            </w:pPr>
            <w:r w:rsidRPr="004C7590">
              <w:rPr>
                <w:rFonts w:ascii="Times New Roman" w:hAnsi="Times New Roman" w:cs="Times New Roman"/>
                <w:bCs/>
                <w:sz w:val="20"/>
                <w:szCs w:val="20"/>
                <w:u w:val="single"/>
              </w:rPr>
              <w:t>Odôvodnenie</w:t>
            </w:r>
            <w:r w:rsidRPr="004C7590">
              <w:rPr>
                <w:rFonts w:ascii="Times New Roman" w:hAnsi="Times New Roman" w:cs="Times New Roman"/>
                <w:bCs/>
                <w:sz w:val="20"/>
                <w:szCs w:val="20"/>
              </w:rPr>
              <w:t xml:space="preserve">: Kalkulačka nákladov podnikateľského prostredia bola aktualizovaná dňa 4.3.2024 z dôvodu aktualizácie priemernej mzdy za rok 2023, ktorý bola publikovaná Štatistickým úradom. Aktuálna verzia je dostupná na: </w:t>
            </w:r>
            <w:hyperlink r:id="rId14" w:history="1">
              <w:r w:rsidRPr="004C7590">
                <w:rPr>
                  <w:rStyle w:val="Hypertextovprepojenie"/>
                  <w:rFonts w:ascii="Times New Roman" w:hAnsi="Times New Roman" w:cs="Times New Roman"/>
                  <w:sz w:val="20"/>
                  <w:szCs w:val="20"/>
                </w:rPr>
                <w:t>https://www.mhsr.sk/podnikatelske-prostredie/jednotna-metodika/dokumenty?csrt=11496180646168558390</w:t>
              </w:r>
            </w:hyperlink>
          </w:p>
          <w:p w14:paraId="6DFAC7F7" w14:textId="643D7BAB" w:rsidR="004C7590" w:rsidRDefault="004C7590" w:rsidP="004C7590">
            <w:pPr>
              <w:rPr>
                <w:rFonts w:ascii="Times New Roman" w:hAnsi="Times New Roman" w:cs="Times New Roman"/>
                <w:bCs/>
                <w:sz w:val="20"/>
                <w:szCs w:val="20"/>
              </w:rPr>
            </w:pPr>
            <w:r w:rsidRPr="004C7590">
              <w:rPr>
                <w:rFonts w:ascii="Times New Roman" w:hAnsi="Times New Roman" w:cs="Times New Roman"/>
                <w:bCs/>
                <w:sz w:val="20"/>
                <w:szCs w:val="20"/>
                <w:u w:val="single"/>
              </w:rPr>
              <w:t xml:space="preserve">Vyhodnotenie: </w:t>
            </w:r>
            <w:r w:rsidRPr="004C7590">
              <w:rPr>
                <w:rFonts w:ascii="Times New Roman" w:hAnsi="Times New Roman" w:cs="Times New Roman"/>
                <w:bCs/>
                <w:sz w:val="20"/>
                <w:szCs w:val="20"/>
              </w:rPr>
              <w:t>Kalkulačka nákladov podnikateľského prostredia bola aktualizovaná</w:t>
            </w:r>
            <w:r>
              <w:rPr>
                <w:rFonts w:ascii="Times New Roman" w:hAnsi="Times New Roman" w:cs="Times New Roman"/>
                <w:bCs/>
                <w:sz w:val="20"/>
                <w:szCs w:val="20"/>
              </w:rPr>
              <w:t>.</w:t>
            </w:r>
          </w:p>
          <w:p w14:paraId="61D97ED9" w14:textId="77777777" w:rsidR="004A2488" w:rsidRDefault="004A2488" w:rsidP="004C7590">
            <w:pPr>
              <w:tabs>
                <w:tab w:val="left" w:pos="1110"/>
              </w:tabs>
              <w:ind w:right="-2"/>
              <w:jc w:val="both"/>
              <w:rPr>
                <w:rFonts w:ascii="Times New Roman" w:hAnsi="Times New Roman" w:cs="Times New Roman"/>
                <w:bCs/>
                <w:sz w:val="20"/>
                <w:szCs w:val="20"/>
              </w:rPr>
            </w:pPr>
          </w:p>
          <w:p w14:paraId="09257FF4" w14:textId="1F315DBB" w:rsidR="004C7590" w:rsidRPr="004C7590" w:rsidRDefault="004C7590" w:rsidP="004C7590">
            <w:pPr>
              <w:tabs>
                <w:tab w:val="left" w:pos="1110"/>
              </w:tabs>
              <w:ind w:right="-2"/>
              <w:jc w:val="both"/>
              <w:rPr>
                <w:rFonts w:ascii="Times New Roman" w:hAnsi="Times New Roman" w:cs="Times New Roman"/>
                <w:bCs/>
                <w:sz w:val="20"/>
                <w:szCs w:val="20"/>
              </w:rPr>
            </w:pPr>
            <w:r w:rsidRPr="004C7590">
              <w:rPr>
                <w:rFonts w:ascii="Times New Roman" w:hAnsi="Times New Roman" w:cs="Times New Roman"/>
                <w:bCs/>
                <w:sz w:val="20"/>
                <w:szCs w:val="20"/>
              </w:rPr>
              <w:t>Komisia žiada predkladateľa o dopracovanie Analýzy vplyvov na podnikateľské prostredie.</w:t>
            </w:r>
          </w:p>
          <w:p w14:paraId="4E904B73" w14:textId="77777777" w:rsidR="004C7590" w:rsidRPr="004C7590" w:rsidRDefault="004C7590" w:rsidP="004C7590">
            <w:pPr>
              <w:tabs>
                <w:tab w:val="left" w:pos="1110"/>
              </w:tabs>
              <w:ind w:right="-2"/>
              <w:jc w:val="both"/>
              <w:rPr>
                <w:rFonts w:ascii="Times New Roman" w:hAnsi="Times New Roman" w:cs="Times New Roman"/>
                <w:bCs/>
                <w:sz w:val="20"/>
                <w:szCs w:val="20"/>
              </w:rPr>
            </w:pPr>
            <w:r w:rsidRPr="004C7590">
              <w:rPr>
                <w:rFonts w:ascii="Times New Roman" w:hAnsi="Times New Roman" w:cs="Times New Roman"/>
                <w:bCs/>
                <w:sz w:val="20"/>
                <w:szCs w:val="20"/>
                <w:u w:val="single"/>
              </w:rPr>
              <w:t>Odôvodnenie:</w:t>
            </w:r>
            <w:r w:rsidRPr="004C7590">
              <w:rPr>
                <w:rFonts w:ascii="Times New Roman" w:hAnsi="Times New Roman" w:cs="Times New Roman"/>
                <w:bCs/>
                <w:sz w:val="20"/>
                <w:szCs w:val="20"/>
              </w:rPr>
              <w:t xml:space="preserve"> V časti 3.1.3 absentujú doplňujúce informácie osobitne ku každej regulácií z kalkulačky nákladov, ktoré sú potrebné pre overenie správnosti výpočtu vplyvov, ako napr. zdroje počtu subjektov, zdroj  a spôsob určenia nepriamych finančných nákladov a dôvod zvolených frekvencií plnenia povinností. Tieto informácie je potrebné doplniť. Zároveň je potrebné doplniť kvantifikáciu regulácií vyplývajúcich z nasledovných bodov:</w:t>
            </w:r>
          </w:p>
          <w:p w14:paraId="10AB4D94" w14:textId="77777777" w:rsidR="004C7590" w:rsidRPr="004C7590" w:rsidRDefault="004C7590" w:rsidP="004C7590">
            <w:pPr>
              <w:numPr>
                <w:ilvl w:val="0"/>
                <w:numId w:val="32"/>
              </w:numPr>
              <w:tabs>
                <w:tab w:val="left" w:pos="1110"/>
              </w:tabs>
              <w:suppressAutoHyphens/>
              <w:spacing w:line="100" w:lineRule="atLeast"/>
              <w:ind w:right="-2"/>
              <w:jc w:val="both"/>
              <w:rPr>
                <w:rFonts w:ascii="Times New Roman" w:hAnsi="Times New Roman" w:cs="Times New Roman"/>
                <w:bCs/>
                <w:sz w:val="20"/>
                <w:szCs w:val="20"/>
              </w:rPr>
            </w:pPr>
            <w:r w:rsidRPr="004C7590">
              <w:rPr>
                <w:rFonts w:ascii="Times New Roman" w:hAnsi="Times New Roman" w:cs="Times New Roman"/>
                <w:bCs/>
                <w:sz w:val="20"/>
                <w:szCs w:val="20"/>
              </w:rPr>
              <w:t>bod 19, 20 – nové ustanovenia pre regulované subjekty (vyžadovanie povolení a podanie žiadosti)</w:t>
            </w:r>
          </w:p>
          <w:p w14:paraId="16CBCF3B" w14:textId="77777777" w:rsidR="004C7590" w:rsidRPr="004C7590" w:rsidRDefault="004C7590" w:rsidP="004C7590">
            <w:pPr>
              <w:numPr>
                <w:ilvl w:val="0"/>
                <w:numId w:val="32"/>
              </w:numPr>
              <w:tabs>
                <w:tab w:val="left" w:pos="1110"/>
              </w:tabs>
              <w:suppressAutoHyphens/>
              <w:spacing w:line="100" w:lineRule="atLeast"/>
              <w:ind w:right="-2"/>
              <w:jc w:val="both"/>
              <w:rPr>
                <w:rFonts w:ascii="Times New Roman" w:hAnsi="Times New Roman" w:cs="Times New Roman"/>
                <w:bCs/>
                <w:sz w:val="20"/>
                <w:szCs w:val="20"/>
              </w:rPr>
            </w:pPr>
            <w:r w:rsidRPr="004C7590">
              <w:rPr>
                <w:rFonts w:ascii="Times New Roman" w:hAnsi="Times New Roman" w:cs="Times New Roman"/>
                <w:bCs/>
                <w:sz w:val="20"/>
                <w:szCs w:val="20"/>
              </w:rPr>
              <w:t>bod 21 - stanovenie povinnosti poskytnutia informácií vnútroštátnemu správcovi emisných kvót, predložiť žiadosť o zriadení účtu v registri (regulované subjekty)</w:t>
            </w:r>
          </w:p>
          <w:p w14:paraId="23D9C135" w14:textId="77777777" w:rsidR="004C7590" w:rsidRPr="004C7590" w:rsidRDefault="004C7590" w:rsidP="004C7590">
            <w:pPr>
              <w:numPr>
                <w:ilvl w:val="0"/>
                <w:numId w:val="32"/>
              </w:numPr>
              <w:tabs>
                <w:tab w:val="left" w:pos="1110"/>
              </w:tabs>
              <w:suppressAutoHyphens/>
              <w:spacing w:line="100" w:lineRule="atLeast"/>
              <w:ind w:right="-2"/>
              <w:jc w:val="both"/>
              <w:rPr>
                <w:rFonts w:ascii="Times New Roman" w:hAnsi="Times New Roman" w:cs="Times New Roman"/>
                <w:bCs/>
                <w:sz w:val="20"/>
                <w:szCs w:val="20"/>
              </w:rPr>
            </w:pPr>
            <w:r w:rsidRPr="004C7590">
              <w:rPr>
                <w:rFonts w:ascii="Times New Roman" w:hAnsi="Times New Roman" w:cs="Times New Roman"/>
                <w:bCs/>
                <w:sz w:val="20"/>
                <w:szCs w:val="20"/>
              </w:rPr>
              <w:t>bod 23 – povinnosť vykonať energetický audit alebo zaviesť certifikovaný systém energ. manažérstva, podanie žiadosti o bezodplatné pridelenie emisných kvót</w:t>
            </w:r>
          </w:p>
          <w:p w14:paraId="73D5DFA0" w14:textId="77777777" w:rsidR="004C7590" w:rsidRPr="004C7590" w:rsidRDefault="004C7590" w:rsidP="004C7590">
            <w:pPr>
              <w:numPr>
                <w:ilvl w:val="0"/>
                <w:numId w:val="32"/>
              </w:numPr>
              <w:tabs>
                <w:tab w:val="left" w:pos="1110"/>
              </w:tabs>
              <w:suppressAutoHyphens/>
              <w:spacing w:line="100" w:lineRule="atLeast"/>
              <w:ind w:right="-2"/>
              <w:jc w:val="both"/>
              <w:rPr>
                <w:rFonts w:ascii="Times New Roman" w:hAnsi="Times New Roman" w:cs="Times New Roman"/>
                <w:bCs/>
                <w:sz w:val="20"/>
                <w:szCs w:val="20"/>
              </w:rPr>
            </w:pPr>
            <w:r w:rsidRPr="004C7590">
              <w:rPr>
                <w:rFonts w:ascii="Times New Roman" w:hAnsi="Times New Roman" w:cs="Times New Roman"/>
                <w:bCs/>
                <w:sz w:val="20"/>
                <w:szCs w:val="20"/>
              </w:rPr>
              <w:t>bod 29 - zrušenie bezodplatného prideľovania kvót od 1.1.2026</w:t>
            </w:r>
          </w:p>
          <w:p w14:paraId="6EF0E100" w14:textId="77777777" w:rsidR="004C7590" w:rsidRPr="004C7590" w:rsidRDefault="004C7590" w:rsidP="004C7590">
            <w:pPr>
              <w:numPr>
                <w:ilvl w:val="0"/>
                <w:numId w:val="32"/>
              </w:numPr>
              <w:tabs>
                <w:tab w:val="left" w:pos="1110"/>
              </w:tabs>
              <w:suppressAutoHyphens/>
              <w:spacing w:line="100" w:lineRule="atLeast"/>
              <w:ind w:right="-2"/>
              <w:jc w:val="both"/>
              <w:rPr>
                <w:rFonts w:ascii="Times New Roman" w:hAnsi="Times New Roman" w:cs="Times New Roman"/>
                <w:bCs/>
                <w:sz w:val="20"/>
                <w:szCs w:val="20"/>
              </w:rPr>
            </w:pPr>
            <w:r w:rsidRPr="004C7590">
              <w:rPr>
                <w:rFonts w:ascii="Times New Roman" w:hAnsi="Times New Roman" w:cs="Times New Roman"/>
                <w:bCs/>
                <w:sz w:val="20"/>
                <w:szCs w:val="20"/>
              </w:rPr>
              <w:t>bod 42 – povinnosti regulovaných subjektov odovzdať do 31. mája kvóty za celkové množstvo overených emisií na základe palív uvoľnených do voľného daňového obehu</w:t>
            </w:r>
          </w:p>
          <w:p w14:paraId="29F4C226" w14:textId="77777777" w:rsidR="004C7590" w:rsidRPr="004C7590" w:rsidRDefault="004C7590" w:rsidP="004C7590">
            <w:pPr>
              <w:numPr>
                <w:ilvl w:val="0"/>
                <w:numId w:val="32"/>
              </w:numPr>
              <w:tabs>
                <w:tab w:val="left" w:pos="1110"/>
              </w:tabs>
              <w:suppressAutoHyphens/>
              <w:spacing w:line="100" w:lineRule="atLeast"/>
              <w:ind w:right="-2"/>
              <w:jc w:val="both"/>
              <w:rPr>
                <w:rFonts w:ascii="Times New Roman" w:hAnsi="Times New Roman" w:cs="Times New Roman"/>
                <w:bCs/>
                <w:sz w:val="20"/>
                <w:szCs w:val="20"/>
              </w:rPr>
            </w:pPr>
            <w:r w:rsidRPr="004C7590">
              <w:rPr>
                <w:rFonts w:ascii="Times New Roman" w:hAnsi="Times New Roman" w:cs="Times New Roman"/>
                <w:bCs/>
                <w:sz w:val="20"/>
                <w:szCs w:val="20"/>
              </w:rPr>
              <w:t>bod 46 - povinnosti pre regulované subjekty z dôvodu zavedenia nového systému obchodovania s emisnými kvótami pre odvetvie budov, cestnej dopravy a ďalšie odvetvia</w:t>
            </w:r>
          </w:p>
          <w:p w14:paraId="2DC8FD1A" w14:textId="77777777" w:rsidR="004C7590" w:rsidRPr="004C7590" w:rsidRDefault="004C7590" w:rsidP="004C7590">
            <w:pPr>
              <w:numPr>
                <w:ilvl w:val="0"/>
                <w:numId w:val="32"/>
              </w:numPr>
              <w:tabs>
                <w:tab w:val="left" w:pos="1110"/>
              </w:tabs>
              <w:suppressAutoHyphens/>
              <w:spacing w:line="100" w:lineRule="atLeast"/>
              <w:ind w:right="-2"/>
              <w:jc w:val="both"/>
              <w:rPr>
                <w:rFonts w:ascii="Times New Roman" w:hAnsi="Times New Roman" w:cs="Times New Roman"/>
                <w:bCs/>
                <w:sz w:val="20"/>
                <w:szCs w:val="20"/>
              </w:rPr>
            </w:pPr>
            <w:r w:rsidRPr="004C7590">
              <w:rPr>
                <w:rFonts w:ascii="Times New Roman" w:hAnsi="Times New Roman" w:cs="Times New Roman"/>
                <w:bCs/>
                <w:sz w:val="20"/>
                <w:szCs w:val="20"/>
              </w:rPr>
              <w:t>bod 47 povinnosť predloženia správy o emisiách a monitorovací plán - každoročne</w:t>
            </w:r>
          </w:p>
          <w:p w14:paraId="12A2AB5C" w14:textId="77777777" w:rsidR="004C7590" w:rsidRPr="004C7590" w:rsidRDefault="004C7590" w:rsidP="004C7590">
            <w:pPr>
              <w:numPr>
                <w:ilvl w:val="0"/>
                <w:numId w:val="32"/>
              </w:numPr>
              <w:tabs>
                <w:tab w:val="left" w:pos="1110"/>
              </w:tabs>
              <w:suppressAutoHyphens/>
              <w:spacing w:line="100" w:lineRule="atLeast"/>
              <w:ind w:right="-2"/>
              <w:jc w:val="both"/>
              <w:rPr>
                <w:rFonts w:ascii="Times New Roman" w:hAnsi="Times New Roman" w:cs="Times New Roman"/>
                <w:bCs/>
                <w:sz w:val="20"/>
                <w:szCs w:val="20"/>
              </w:rPr>
            </w:pPr>
            <w:r w:rsidRPr="004C7590">
              <w:rPr>
                <w:rFonts w:ascii="Times New Roman" w:hAnsi="Times New Roman" w:cs="Times New Roman"/>
                <w:bCs/>
                <w:sz w:val="20"/>
                <w:szCs w:val="20"/>
              </w:rPr>
              <w:t>bod 51 – overovanie správ o emisiách pre regulované subjekty, overovanie plánov klimatickej neutrality dotknutých prevádzok</w:t>
            </w:r>
          </w:p>
          <w:p w14:paraId="0594A4E5" w14:textId="77777777" w:rsidR="004C7590" w:rsidRPr="004C7590" w:rsidRDefault="004C7590" w:rsidP="004C7590">
            <w:pPr>
              <w:numPr>
                <w:ilvl w:val="0"/>
                <w:numId w:val="32"/>
              </w:numPr>
              <w:tabs>
                <w:tab w:val="left" w:pos="1110"/>
              </w:tabs>
              <w:suppressAutoHyphens/>
              <w:spacing w:line="100" w:lineRule="atLeast"/>
              <w:ind w:right="-2"/>
              <w:jc w:val="both"/>
              <w:rPr>
                <w:rFonts w:ascii="Times New Roman" w:hAnsi="Times New Roman" w:cs="Times New Roman"/>
                <w:bCs/>
                <w:sz w:val="20"/>
                <w:szCs w:val="20"/>
              </w:rPr>
            </w:pPr>
            <w:r w:rsidRPr="004C7590">
              <w:rPr>
                <w:rFonts w:ascii="Times New Roman" w:hAnsi="Times New Roman" w:cs="Times New Roman"/>
                <w:bCs/>
                <w:sz w:val="20"/>
                <w:szCs w:val="20"/>
              </w:rPr>
              <w:t>bod 59 - doplnenie lodných spoločností a regulovaných subjektov, v prípade ktorých ukladá pokuty ministerstvo</w:t>
            </w:r>
          </w:p>
          <w:p w14:paraId="328688B5" w14:textId="77777777" w:rsidR="004C7590" w:rsidRPr="004C7590" w:rsidRDefault="004C7590" w:rsidP="004C7590">
            <w:pPr>
              <w:numPr>
                <w:ilvl w:val="0"/>
                <w:numId w:val="32"/>
              </w:numPr>
              <w:tabs>
                <w:tab w:val="left" w:pos="1110"/>
              </w:tabs>
              <w:suppressAutoHyphens/>
              <w:spacing w:line="100" w:lineRule="atLeast"/>
              <w:ind w:right="-2"/>
              <w:jc w:val="both"/>
              <w:rPr>
                <w:rFonts w:ascii="Times New Roman" w:hAnsi="Times New Roman" w:cs="Times New Roman"/>
                <w:bCs/>
                <w:sz w:val="20"/>
                <w:szCs w:val="20"/>
              </w:rPr>
            </w:pPr>
            <w:r w:rsidRPr="004C7590">
              <w:rPr>
                <w:rFonts w:ascii="Times New Roman" w:hAnsi="Times New Roman" w:cs="Times New Roman"/>
                <w:bCs/>
                <w:sz w:val="20"/>
                <w:szCs w:val="20"/>
              </w:rPr>
              <w:t>bod 69 – pokuty za neodovzdanie kvót</w:t>
            </w:r>
          </w:p>
          <w:p w14:paraId="6E376556" w14:textId="57FD0263" w:rsidR="004C7590" w:rsidRDefault="004C7590" w:rsidP="004C7590">
            <w:pPr>
              <w:numPr>
                <w:ilvl w:val="0"/>
                <w:numId w:val="32"/>
              </w:numPr>
              <w:tabs>
                <w:tab w:val="left" w:pos="1110"/>
              </w:tabs>
              <w:suppressAutoHyphens/>
              <w:spacing w:line="100" w:lineRule="atLeast"/>
              <w:ind w:right="-2"/>
              <w:jc w:val="both"/>
              <w:rPr>
                <w:rFonts w:ascii="Times New Roman" w:hAnsi="Times New Roman" w:cs="Times New Roman"/>
                <w:bCs/>
                <w:sz w:val="20"/>
                <w:szCs w:val="20"/>
              </w:rPr>
            </w:pPr>
            <w:r w:rsidRPr="004C7590">
              <w:rPr>
                <w:rFonts w:ascii="Times New Roman" w:hAnsi="Times New Roman" w:cs="Times New Roman"/>
                <w:bCs/>
                <w:sz w:val="20"/>
                <w:szCs w:val="20"/>
              </w:rPr>
              <w:t>bod 80 – administratívne povinnosti vyplývajúce z prechodných ustanovení (monitorovanie, podávanie správ, nahlasovanie)</w:t>
            </w:r>
          </w:p>
          <w:p w14:paraId="29A5E743" w14:textId="1E6D73E8" w:rsidR="00A85AE3" w:rsidRDefault="004A2488" w:rsidP="004A2488">
            <w:pPr>
              <w:tabs>
                <w:tab w:val="left" w:pos="1110"/>
              </w:tabs>
              <w:suppressAutoHyphens/>
              <w:spacing w:line="100" w:lineRule="atLeast"/>
              <w:ind w:right="-2"/>
              <w:jc w:val="both"/>
              <w:rPr>
                <w:rFonts w:ascii="Times New Roman" w:hAnsi="Times New Roman" w:cs="Times New Roman"/>
                <w:bCs/>
                <w:sz w:val="20"/>
                <w:szCs w:val="20"/>
              </w:rPr>
            </w:pPr>
            <w:r w:rsidRPr="00A85AE3">
              <w:rPr>
                <w:rFonts w:ascii="Times New Roman" w:hAnsi="Times New Roman" w:cs="Times New Roman"/>
                <w:bCs/>
                <w:sz w:val="20"/>
                <w:szCs w:val="20"/>
                <w:u w:val="single"/>
              </w:rPr>
              <w:lastRenderedPageBreak/>
              <w:t>Vyhodnotenie:</w:t>
            </w:r>
            <w:r w:rsidR="00A85AE3">
              <w:rPr>
                <w:rFonts w:ascii="Times New Roman" w:hAnsi="Times New Roman" w:cs="Times New Roman"/>
                <w:bCs/>
                <w:sz w:val="20"/>
                <w:szCs w:val="20"/>
              </w:rPr>
              <w:t xml:space="preserve"> </w:t>
            </w:r>
            <w:r w:rsidR="00A85AE3" w:rsidRPr="004C7590">
              <w:rPr>
                <w:rFonts w:ascii="Times New Roman" w:hAnsi="Times New Roman" w:cs="Times New Roman"/>
                <w:bCs/>
                <w:sz w:val="20"/>
                <w:szCs w:val="20"/>
              </w:rPr>
              <w:t>Analýzy vplyvov na podnikateľské prostredie</w:t>
            </w:r>
            <w:r w:rsidR="00A85AE3">
              <w:rPr>
                <w:rFonts w:ascii="Times New Roman" w:hAnsi="Times New Roman" w:cs="Times New Roman"/>
                <w:bCs/>
                <w:sz w:val="20"/>
                <w:szCs w:val="20"/>
              </w:rPr>
              <w:t xml:space="preserve"> bola čiastočne aktualizovaná.</w:t>
            </w:r>
          </w:p>
          <w:p w14:paraId="1C1BC5A5" w14:textId="16902A49" w:rsidR="00A85AE3" w:rsidRDefault="00A85AE3" w:rsidP="004A2488">
            <w:pPr>
              <w:tabs>
                <w:tab w:val="left" w:pos="1110"/>
              </w:tabs>
              <w:suppressAutoHyphens/>
              <w:spacing w:line="100" w:lineRule="atLeast"/>
              <w:ind w:right="-2"/>
              <w:jc w:val="both"/>
              <w:rPr>
                <w:rFonts w:ascii="Times New Roman" w:hAnsi="Times New Roman" w:cs="Times New Roman"/>
                <w:bCs/>
                <w:sz w:val="20"/>
                <w:szCs w:val="20"/>
              </w:rPr>
            </w:pPr>
            <w:r>
              <w:rPr>
                <w:rFonts w:ascii="Times New Roman" w:hAnsi="Times New Roman" w:cs="Times New Roman"/>
                <w:bCs/>
                <w:sz w:val="20"/>
                <w:szCs w:val="20"/>
              </w:rPr>
              <w:t>Bod 23 - P</w:t>
            </w:r>
            <w:r w:rsidRPr="00A85AE3">
              <w:rPr>
                <w:rFonts w:ascii="Times New Roman" w:hAnsi="Times New Roman" w:cs="Times New Roman"/>
                <w:bCs/>
                <w:sz w:val="20"/>
                <w:szCs w:val="20"/>
              </w:rPr>
              <w:t>ovinnosť vykonať energetický audit alebo zav</w:t>
            </w:r>
            <w:r>
              <w:rPr>
                <w:rFonts w:ascii="Times New Roman" w:hAnsi="Times New Roman" w:cs="Times New Roman"/>
                <w:bCs/>
                <w:sz w:val="20"/>
                <w:szCs w:val="20"/>
              </w:rPr>
              <w:t>iesť certifikovaný systém energetického</w:t>
            </w:r>
            <w:r w:rsidRPr="00A85AE3">
              <w:rPr>
                <w:rFonts w:ascii="Times New Roman" w:hAnsi="Times New Roman" w:cs="Times New Roman"/>
                <w:bCs/>
                <w:sz w:val="20"/>
                <w:szCs w:val="20"/>
              </w:rPr>
              <w:t xml:space="preserve"> manažérstva </w:t>
            </w:r>
            <w:r>
              <w:rPr>
                <w:rFonts w:ascii="Times New Roman" w:hAnsi="Times New Roman" w:cs="Times New Roman"/>
                <w:bCs/>
                <w:sz w:val="20"/>
                <w:szCs w:val="20"/>
              </w:rPr>
              <w:t xml:space="preserve">vyplýva zo </w:t>
            </w:r>
            <w:r w:rsidRPr="00A85AE3">
              <w:rPr>
                <w:rFonts w:ascii="Times New Roman" w:hAnsi="Times New Roman" w:cs="Times New Roman"/>
                <w:bCs/>
                <w:sz w:val="20"/>
                <w:szCs w:val="20"/>
              </w:rPr>
              <w:t>zákona č. 321/2014 Z.</w:t>
            </w:r>
            <w:r>
              <w:rPr>
                <w:rFonts w:ascii="Times New Roman" w:hAnsi="Times New Roman" w:cs="Times New Roman"/>
                <w:bCs/>
                <w:sz w:val="20"/>
                <w:szCs w:val="20"/>
              </w:rPr>
              <w:t xml:space="preserve"> z. o energetickej efektívnosti, návrh zákona č. 414/2012 Z. z. neustanovuje novú povinnosť. P</w:t>
            </w:r>
            <w:r w:rsidRPr="00A85AE3">
              <w:rPr>
                <w:rFonts w:ascii="Times New Roman" w:hAnsi="Times New Roman" w:cs="Times New Roman"/>
                <w:bCs/>
                <w:sz w:val="20"/>
                <w:szCs w:val="20"/>
              </w:rPr>
              <w:t>odanie žiadosti o bezodplatné pridelenie emisných kvót</w:t>
            </w:r>
            <w:r>
              <w:rPr>
                <w:rFonts w:ascii="Times New Roman" w:hAnsi="Times New Roman" w:cs="Times New Roman"/>
                <w:bCs/>
                <w:sz w:val="20"/>
                <w:szCs w:val="20"/>
              </w:rPr>
              <w:t xml:space="preserve"> je uvedené v Kalkulačke</w:t>
            </w:r>
            <w:r w:rsidRPr="00A85AE3">
              <w:rPr>
                <w:rFonts w:ascii="Times New Roman" w:hAnsi="Times New Roman" w:cs="Times New Roman"/>
                <w:bCs/>
                <w:sz w:val="20"/>
                <w:szCs w:val="20"/>
              </w:rPr>
              <w:t xml:space="preserve"> nákladov na podnikateľské prostredie</w:t>
            </w:r>
            <w:r>
              <w:rPr>
                <w:rFonts w:ascii="Times New Roman" w:hAnsi="Times New Roman" w:cs="Times New Roman"/>
                <w:bCs/>
                <w:sz w:val="20"/>
                <w:szCs w:val="20"/>
              </w:rPr>
              <w:t>.</w:t>
            </w:r>
          </w:p>
          <w:p w14:paraId="33B2ED31" w14:textId="65CF7AAE" w:rsidR="00A85AE3" w:rsidRDefault="00A85AE3" w:rsidP="004A2488">
            <w:pPr>
              <w:tabs>
                <w:tab w:val="left" w:pos="1110"/>
              </w:tabs>
              <w:suppressAutoHyphens/>
              <w:spacing w:line="100" w:lineRule="atLeast"/>
              <w:ind w:right="-2"/>
              <w:jc w:val="both"/>
              <w:rPr>
                <w:rFonts w:ascii="Times New Roman" w:hAnsi="Times New Roman" w:cs="Times New Roman"/>
                <w:bCs/>
                <w:sz w:val="20"/>
                <w:szCs w:val="20"/>
              </w:rPr>
            </w:pPr>
            <w:r>
              <w:rPr>
                <w:rFonts w:ascii="Times New Roman" w:hAnsi="Times New Roman" w:cs="Times New Roman"/>
                <w:bCs/>
                <w:sz w:val="20"/>
                <w:szCs w:val="20"/>
              </w:rPr>
              <w:t xml:space="preserve">Bod 29 </w:t>
            </w:r>
            <w:r w:rsidR="00082E60">
              <w:rPr>
                <w:rFonts w:ascii="Times New Roman" w:hAnsi="Times New Roman" w:cs="Times New Roman"/>
                <w:bCs/>
                <w:sz w:val="20"/>
                <w:szCs w:val="20"/>
              </w:rPr>
              <w:t>–</w:t>
            </w:r>
            <w:r>
              <w:rPr>
                <w:rFonts w:ascii="Times New Roman" w:hAnsi="Times New Roman" w:cs="Times New Roman"/>
                <w:bCs/>
                <w:sz w:val="20"/>
                <w:szCs w:val="20"/>
              </w:rPr>
              <w:t xml:space="preserve"> </w:t>
            </w:r>
            <w:r w:rsidR="00082E60">
              <w:rPr>
                <w:rFonts w:ascii="Times New Roman" w:hAnsi="Times New Roman" w:cs="Times New Roman"/>
                <w:bCs/>
                <w:sz w:val="20"/>
                <w:szCs w:val="20"/>
              </w:rPr>
              <w:t>Vysvetlenie zrušenia</w:t>
            </w:r>
            <w:r w:rsidRPr="00A85AE3">
              <w:rPr>
                <w:rFonts w:ascii="Times New Roman" w:hAnsi="Times New Roman" w:cs="Times New Roman"/>
                <w:bCs/>
                <w:sz w:val="20"/>
                <w:szCs w:val="20"/>
              </w:rPr>
              <w:t xml:space="preserve"> bezodplatného prideľovania</w:t>
            </w:r>
            <w:r>
              <w:rPr>
                <w:rFonts w:ascii="Times New Roman" w:hAnsi="Times New Roman" w:cs="Times New Roman"/>
                <w:bCs/>
                <w:sz w:val="20"/>
                <w:szCs w:val="20"/>
              </w:rPr>
              <w:t xml:space="preserve"> emisných kvót pre leteckých pr</w:t>
            </w:r>
            <w:r w:rsidR="00082E60">
              <w:rPr>
                <w:rFonts w:ascii="Times New Roman" w:hAnsi="Times New Roman" w:cs="Times New Roman"/>
                <w:bCs/>
                <w:sz w:val="20"/>
                <w:szCs w:val="20"/>
              </w:rPr>
              <w:t xml:space="preserve">evádzkovateľov bolo doplnené do </w:t>
            </w:r>
            <w:r w:rsidR="00082E60" w:rsidRPr="004C7590">
              <w:rPr>
                <w:rFonts w:ascii="Times New Roman" w:hAnsi="Times New Roman" w:cs="Times New Roman"/>
                <w:bCs/>
                <w:sz w:val="20"/>
                <w:szCs w:val="20"/>
              </w:rPr>
              <w:t>Analýzy vplyvov na podnikateľské prostredie</w:t>
            </w:r>
            <w:r w:rsidR="00082E60">
              <w:rPr>
                <w:rFonts w:ascii="Times New Roman" w:hAnsi="Times New Roman" w:cs="Times New Roman"/>
                <w:bCs/>
                <w:sz w:val="20"/>
                <w:szCs w:val="20"/>
              </w:rPr>
              <w:t xml:space="preserve"> na str. 7.</w:t>
            </w:r>
          </w:p>
          <w:p w14:paraId="56E08AD5" w14:textId="239C9BF3" w:rsidR="00A85AE3" w:rsidRDefault="00A85AE3" w:rsidP="004A2488">
            <w:pPr>
              <w:tabs>
                <w:tab w:val="left" w:pos="1110"/>
              </w:tabs>
              <w:suppressAutoHyphens/>
              <w:spacing w:line="100" w:lineRule="atLeast"/>
              <w:ind w:right="-2"/>
              <w:jc w:val="both"/>
              <w:rPr>
                <w:rFonts w:ascii="Times New Roman" w:hAnsi="Times New Roman" w:cs="Times New Roman"/>
                <w:bCs/>
                <w:sz w:val="20"/>
                <w:szCs w:val="20"/>
              </w:rPr>
            </w:pPr>
            <w:r>
              <w:rPr>
                <w:rFonts w:ascii="Times New Roman" w:hAnsi="Times New Roman" w:cs="Times New Roman"/>
                <w:bCs/>
                <w:sz w:val="20"/>
                <w:szCs w:val="20"/>
              </w:rPr>
              <w:t>B</w:t>
            </w:r>
            <w:r w:rsidRPr="004C7590">
              <w:rPr>
                <w:rFonts w:ascii="Times New Roman" w:hAnsi="Times New Roman" w:cs="Times New Roman"/>
                <w:bCs/>
                <w:sz w:val="20"/>
                <w:szCs w:val="20"/>
              </w:rPr>
              <w:t xml:space="preserve">od 47 </w:t>
            </w:r>
            <w:r>
              <w:rPr>
                <w:rFonts w:ascii="Times New Roman" w:hAnsi="Times New Roman" w:cs="Times New Roman"/>
                <w:bCs/>
                <w:sz w:val="20"/>
                <w:szCs w:val="20"/>
              </w:rPr>
              <w:t>- Povinnosť predložiť</w:t>
            </w:r>
            <w:r w:rsidRPr="004C7590">
              <w:rPr>
                <w:rFonts w:ascii="Times New Roman" w:hAnsi="Times New Roman" w:cs="Times New Roman"/>
                <w:bCs/>
                <w:sz w:val="20"/>
                <w:szCs w:val="20"/>
              </w:rPr>
              <w:t xml:space="preserve"> správy o emisiách a monitorovací plán</w:t>
            </w:r>
            <w:r>
              <w:rPr>
                <w:rFonts w:ascii="Times New Roman" w:hAnsi="Times New Roman" w:cs="Times New Roman"/>
                <w:bCs/>
                <w:sz w:val="20"/>
                <w:szCs w:val="20"/>
              </w:rPr>
              <w:t xml:space="preserve"> je uvedená</w:t>
            </w:r>
            <w:r w:rsidRPr="00A85AE3">
              <w:rPr>
                <w:rFonts w:ascii="Times New Roman" w:hAnsi="Times New Roman" w:cs="Times New Roman"/>
                <w:bCs/>
                <w:sz w:val="20"/>
                <w:szCs w:val="20"/>
              </w:rPr>
              <w:t xml:space="preserve"> v Kalkulačke nákladov na podnikateľské prostredie.</w:t>
            </w:r>
          </w:p>
          <w:p w14:paraId="4A178435" w14:textId="75C0C8B2" w:rsidR="00A85AE3" w:rsidRPr="0023600A" w:rsidRDefault="00A85AE3" w:rsidP="004A2488">
            <w:pPr>
              <w:tabs>
                <w:tab w:val="left" w:pos="1110"/>
              </w:tabs>
              <w:suppressAutoHyphens/>
              <w:spacing w:line="100" w:lineRule="atLeast"/>
              <w:ind w:right="-2"/>
              <w:jc w:val="both"/>
              <w:rPr>
                <w:rFonts w:ascii="Times New Roman" w:hAnsi="Times New Roman" w:cs="Times New Roman"/>
                <w:bCs/>
                <w:sz w:val="20"/>
                <w:szCs w:val="20"/>
              </w:rPr>
            </w:pPr>
            <w:r>
              <w:rPr>
                <w:rFonts w:ascii="Times New Roman" w:hAnsi="Times New Roman" w:cs="Times New Roman"/>
                <w:bCs/>
                <w:sz w:val="20"/>
                <w:szCs w:val="20"/>
              </w:rPr>
              <w:t>Bod 69 - P</w:t>
            </w:r>
            <w:r w:rsidRPr="004C7590">
              <w:rPr>
                <w:rFonts w:ascii="Times New Roman" w:hAnsi="Times New Roman" w:cs="Times New Roman"/>
                <w:bCs/>
                <w:sz w:val="20"/>
                <w:szCs w:val="20"/>
              </w:rPr>
              <w:t>okuty za neodovzdanie kvót</w:t>
            </w:r>
            <w:r>
              <w:rPr>
                <w:rFonts w:ascii="Times New Roman" w:hAnsi="Times New Roman" w:cs="Times New Roman"/>
                <w:bCs/>
                <w:sz w:val="20"/>
                <w:szCs w:val="20"/>
              </w:rPr>
              <w:t xml:space="preserve"> nie je možné vyčísliť, pretože závisia od presného množstva overených emisií</w:t>
            </w:r>
            <w:r w:rsidR="005622C0">
              <w:rPr>
                <w:rFonts w:ascii="Times New Roman" w:hAnsi="Times New Roman" w:cs="Times New Roman"/>
                <w:bCs/>
                <w:sz w:val="20"/>
                <w:szCs w:val="20"/>
              </w:rPr>
              <w:t xml:space="preserve"> za daný kalendárny rok konkrétneho prevádzkovateľa.</w:t>
            </w:r>
          </w:p>
          <w:p w14:paraId="41584595" w14:textId="79FD1A6F" w:rsidR="004A2488" w:rsidRPr="0023600A" w:rsidRDefault="004A2488" w:rsidP="004A2488">
            <w:pPr>
              <w:tabs>
                <w:tab w:val="left" w:pos="1110"/>
              </w:tabs>
              <w:suppressAutoHyphens/>
              <w:spacing w:line="100" w:lineRule="atLeast"/>
              <w:ind w:right="-2"/>
              <w:jc w:val="both"/>
              <w:rPr>
                <w:rFonts w:ascii="Times New Roman" w:hAnsi="Times New Roman" w:cs="Times New Roman"/>
                <w:bCs/>
                <w:sz w:val="20"/>
                <w:szCs w:val="20"/>
              </w:rPr>
            </w:pPr>
          </w:p>
          <w:p w14:paraId="2B795CFA" w14:textId="77777777" w:rsidR="004A2488" w:rsidRPr="0023600A" w:rsidRDefault="004A2488" w:rsidP="004A2488">
            <w:pPr>
              <w:tabs>
                <w:tab w:val="left" w:pos="1110"/>
              </w:tabs>
              <w:ind w:right="-2"/>
              <w:jc w:val="both"/>
              <w:rPr>
                <w:rFonts w:ascii="Times New Roman" w:hAnsi="Times New Roman" w:cs="Times New Roman"/>
                <w:bCs/>
                <w:sz w:val="20"/>
                <w:szCs w:val="20"/>
                <w:u w:val="single"/>
              </w:rPr>
            </w:pPr>
            <w:r w:rsidRPr="0023600A">
              <w:rPr>
                <w:rFonts w:ascii="Times New Roman" w:hAnsi="Times New Roman" w:cs="Times New Roman"/>
                <w:bCs/>
                <w:sz w:val="20"/>
                <w:szCs w:val="20"/>
              </w:rPr>
              <w:t>Do  časti 3.4 Iné vplyvy na podnikateľské prostredie doplniť:</w:t>
            </w:r>
          </w:p>
          <w:p w14:paraId="69F0B95C" w14:textId="5A165FAC" w:rsidR="004A2488" w:rsidRDefault="004A2488" w:rsidP="004A2488">
            <w:pPr>
              <w:numPr>
                <w:ilvl w:val="0"/>
                <w:numId w:val="33"/>
              </w:numPr>
              <w:tabs>
                <w:tab w:val="left" w:pos="1110"/>
              </w:tabs>
              <w:suppressAutoHyphens/>
              <w:spacing w:line="100" w:lineRule="atLeast"/>
              <w:ind w:right="-2"/>
              <w:jc w:val="both"/>
              <w:rPr>
                <w:rFonts w:ascii="Times New Roman" w:hAnsi="Times New Roman" w:cs="Times New Roman"/>
                <w:bCs/>
                <w:sz w:val="20"/>
                <w:szCs w:val="20"/>
              </w:rPr>
            </w:pPr>
            <w:r w:rsidRPr="0023600A">
              <w:rPr>
                <w:rFonts w:ascii="Times New Roman" w:hAnsi="Times New Roman" w:cs="Times New Roman"/>
                <w:bCs/>
                <w:sz w:val="20"/>
                <w:szCs w:val="20"/>
              </w:rPr>
              <w:t>bod 37 – zníženie podpory z 35 na 15 % na financovanie schémy štátnej pomoci prevádzkam podľa § 26 ods. 3, v prípade ktorých sa predpokladá značné riziko úniku uhlíka v súvislosti s premietnutím nákladov kvót do cien elektrickej energie, 55% na schémy štátnej pomoci pre priemysel a energetiku.</w:t>
            </w:r>
          </w:p>
          <w:p w14:paraId="276123C6" w14:textId="49B81372" w:rsidR="0023600A" w:rsidRPr="00874176" w:rsidRDefault="00A85AE3" w:rsidP="0023600A">
            <w:pPr>
              <w:tabs>
                <w:tab w:val="left" w:pos="1110"/>
              </w:tabs>
              <w:suppressAutoHyphens/>
              <w:spacing w:line="100" w:lineRule="atLeast"/>
              <w:ind w:right="-2"/>
              <w:jc w:val="both"/>
              <w:rPr>
                <w:rFonts w:ascii="Times New Roman" w:hAnsi="Times New Roman" w:cs="Times New Roman"/>
                <w:bCs/>
                <w:sz w:val="20"/>
                <w:szCs w:val="20"/>
              </w:rPr>
            </w:pPr>
            <w:r w:rsidRPr="00874176">
              <w:rPr>
                <w:rFonts w:ascii="Times New Roman" w:hAnsi="Times New Roman" w:cs="Times New Roman"/>
                <w:bCs/>
                <w:sz w:val="20"/>
                <w:szCs w:val="20"/>
                <w:u w:val="single"/>
              </w:rPr>
              <w:t>Vyhodnotenie:</w:t>
            </w:r>
            <w:r w:rsidR="00874176">
              <w:rPr>
                <w:rFonts w:ascii="Times New Roman" w:hAnsi="Times New Roman" w:cs="Times New Roman"/>
                <w:bCs/>
                <w:sz w:val="20"/>
                <w:szCs w:val="20"/>
              </w:rPr>
              <w:t xml:space="preserve"> pripomienka je nerelevantná, vzhľadom na úpravu vlastného materiálu, kde v § 18 výšku </w:t>
            </w:r>
            <w:r w:rsidR="00874176" w:rsidRPr="00874176">
              <w:rPr>
                <w:rFonts w:ascii="Times New Roman" w:hAnsi="Times New Roman" w:cs="Times New Roman"/>
                <w:bCs/>
                <w:sz w:val="20"/>
                <w:szCs w:val="20"/>
              </w:rPr>
              <w:t xml:space="preserve">prostriedkov z výnosu, ktoré sa použijú na financovanie </w:t>
            </w:r>
            <w:r w:rsidR="00874176">
              <w:rPr>
                <w:rFonts w:ascii="Times New Roman" w:hAnsi="Times New Roman" w:cs="Times New Roman"/>
                <w:bCs/>
                <w:sz w:val="20"/>
                <w:szCs w:val="20"/>
              </w:rPr>
              <w:t xml:space="preserve">definovaných </w:t>
            </w:r>
            <w:r w:rsidR="00874176" w:rsidRPr="00874176">
              <w:rPr>
                <w:rFonts w:ascii="Times New Roman" w:hAnsi="Times New Roman" w:cs="Times New Roman"/>
                <w:bCs/>
                <w:sz w:val="20"/>
                <w:szCs w:val="20"/>
              </w:rPr>
              <w:t xml:space="preserve">účelov </w:t>
            </w:r>
            <w:r w:rsidR="00874176">
              <w:rPr>
                <w:rFonts w:ascii="Times New Roman" w:hAnsi="Times New Roman" w:cs="Times New Roman"/>
                <w:bCs/>
                <w:sz w:val="20"/>
                <w:szCs w:val="20"/>
              </w:rPr>
              <w:t>použitia</w:t>
            </w:r>
            <w:r w:rsidR="00CF312C">
              <w:rPr>
                <w:rFonts w:ascii="Times New Roman" w:hAnsi="Times New Roman" w:cs="Times New Roman"/>
                <w:bCs/>
                <w:sz w:val="20"/>
                <w:szCs w:val="20"/>
              </w:rPr>
              <w:t>,</w:t>
            </w:r>
            <w:r w:rsidR="00874176">
              <w:rPr>
                <w:rFonts w:ascii="Times New Roman" w:hAnsi="Times New Roman" w:cs="Times New Roman"/>
                <w:bCs/>
                <w:sz w:val="20"/>
                <w:szCs w:val="20"/>
              </w:rPr>
              <w:t xml:space="preserve"> určí </w:t>
            </w:r>
            <w:r w:rsidR="00874176" w:rsidRPr="00874176">
              <w:rPr>
                <w:rFonts w:ascii="Times New Roman" w:hAnsi="Times New Roman" w:cs="Times New Roman"/>
                <w:bCs/>
                <w:sz w:val="20"/>
                <w:szCs w:val="20"/>
              </w:rPr>
              <w:t>každoročne</w:t>
            </w:r>
            <w:r w:rsidR="00874176">
              <w:rPr>
                <w:rFonts w:ascii="Times New Roman" w:hAnsi="Times New Roman" w:cs="Times New Roman"/>
                <w:bCs/>
                <w:sz w:val="20"/>
                <w:szCs w:val="20"/>
              </w:rPr>
              <w:t xml:space="preserve"> m</w:t>
            </w:r>
            <w:r w:rsidR="00874176" w:rsidRPr="00874176">
              <w:rPr>
                <w:rFonts w:ascii="Times New Roman" w:hAnsi="Times New Roman" w:cs="Times New Roman"/>
                <w:bCs/>
                <w:sz w:val="20"/>
                <w:szCs w:val="20"/>
              </w:rPr>
              <w:t>inister životného prostredia Slovenskej r</w:t>
            </w:r>
            <w:r w:rsidR="00874176">
              <w:rPr>
                <w:rFonts w:ascii="Times New Roman" w:hAnsi="Times New Roman" w:cs="Times New Roman"/>
                <w:bCs/>
                <w:sz w:val="20"/>
                <w:szCs w:val="20"/>
              </w:rPr>
              <w:t>epubliky.</w:t>
            </w:r>
          </w:p>
          <w:p w14:paraId="74EEC7E4" w14:textId="77777777" w:rsidR="00A85AE3" w:rsidRDefault="00A85AE3" w:rsidP="0023600A">
            <w:pPr>
              <w:tabs>
                <w:tab w:val="left" w:pos="1110"/>
              </w:tabs>
              <w:suppressAutoHyphens/>
              <w:spacing w:line="100" w:lineRule="atLeast"/>
              <w:ind w:right="-2"/>
              <w:jc w:val="both"/>
              <w:rPr>
                <w:rFonts w:ascii="Times New Roman" w:hAnsi="Times New Roman" w:cs="Times New Roman"/>
                <w:bCs/>
                <w:sz w:val="20"/>
                <w:szCs w:val="20"/>
              </w:rPr>
            </w:pPr>
          </w:p>
          <w:p w14:paraId="12584464" w14:textId="77777777" w:rsidR="0023600A" w:rsidRPr="0023600A" w:rsidRDefault="0023600A" w:rsidP="0023600A">
            <w:pPr>
              <w:tabs>
                <w:tab w:val="left" w:pos="1110"/>
              </w:tabs>
              <w:suppressAutoHyphens/>
              <w:spacing w:line="100" w:lineRule="atLeast"/>
              <w:ind w:right="-2"/>
              <w:jc w:val="both"/>
              <w:rPr>
                <w:rFonts w:ascii="Times New Roman" w:hAnsi="Times New Roman" w:cs="Times New Roman"/>
                <w:bCs/>
                <w:sz w:val="20"/>
                <w:szCs w:val="20"/>
              </w:rPr>
            </w:pPr>
            <w:r w:rsidRPr="0023600A">
              <w:rPr>
                <w:rFonts w:ascii="Times New Roman" w:hAnsi="Times New Roman" w:cs="Times New Roman"/>
                <w:bCs/>
                <w:sz w:val="20"/>
                <w:szCs w:val="20"/>
              </w:rPr>
              <w:t>Do  časti 3.4 Iné vplyvy na podnikateľské prostredie doplniť skutočnosť že:</w:t>
            </w:r>
          </w:p>
          <w:p w14:paraId="48D08B60" w14:textId="0B17E028" w:rsidR="0023600A" w:rsidRDefault="0023600A" w:rsidP="0023600A">
            <w:pPr>
              <w:tabs>
                <w:tab w:val="left" w:pos="1110"/>
              </w:tabs>
              <w:suppressAutoHyphens/>
              <w:spacing w:line="100" w:lineRule="atLeast"/>
              <w:ind w:right="-2"/>
              <w:jc w:val="both"/>
              <w:rPr>
                <w:rFonts w:ascii="Times New Roman" w:hAnsi="Times New Roman" w:cs="Times New Roman"/>
                <w:bCs/>
                <w:sz w:val="20"/>
                <w:szCs w:val="20"/>
              </w:rPr>
            </w:pPr>
            <w:r w:rsidRPr="0023600A">
              <w:rPr>
                <w:rFonts w:ascii="Times New Roman" w:hAnsi="Times New Roman" w:cs="Times New Roman"/>
                <w:bCs/>
                <w:sz w:val="20"/>
                <w:szCs w:val="20"/>
              </w:rPr>
              <w:t>legislatívnym návrhom dôjde aj k zníženiu disponibilných finančných prostriedkov, a to z dôvodu zvýšenia nákladov v súvislosti s požiadavkami na nákup emisných kvót na palivá, ktoré dotknuté regulované osoby budú uvádzať do daňového voľného obehu. Je predpoklad, že výška tohto negatívneho dopadu bude pre regulované osoby vo výške niekoľko miliónov až desiatok miliónov eur, a to v závislosti od množstva palív uvádzaných do daňového voľného obehu regulovanou osobou. V závislosti od ceny emisných kvót je teda aj predpoklad, že novela zákona bude mať od roku 2027 negatívny vplyv na cenu palív.</w:t>
            </w:r>
          </w:p>
          <w:p w14:paraId="2DFF1C0C" w14:textId="5FE049CF" w:rsidR="0023600A" w:rsidRDefault="00A85AE3" w:rsidP="0023600A">
            <w:pPr>
              <w:tabs>
                <w:tab w:val="left" w:pos="1110"/>
              </w:tabs>
              <w:suppressAutoHyphens/>
              <w:spacing w:line="100" w:lineRule="atLeast"/>
              <w:ind w:right="-2"/>
              <w:jc w:val="both"/>
              <w:rPr>
                <w:rFonts w:ascii="Times New Roman" w:hAnsi="Times New Roman" w:cs="Times New Roman"/>
                <w:bCs/>
                <w:sz w:val="20"/>
                <w:szCs w:val="20"/>
                <w:u w:val="single"/>
              </w:rPr>
            </w:pPr>
            <w:r w:rsidRPr="00082E60">
              <w:rPr>
                <w:rFonts w:ascii="Times New Roman" w:hAnsi="Times New Roman" w:cs="Times New Roman"/>
                <w:bCs/>
                <w:sz w:val="20"/>
                <w:szCs w:val="20"/>
                <w:u w:val="single"/>
              </w:rPr>
              <w:t>Vyhodnotenie:</w:t>
            </w:r>
            <w:r w:rsidR="00082E60">
              <w:rPr>
                <w:rFonts w:ascii="Times New Roman" w:hAnsi="Times New Roman" w:cs="Times New Roman"/>
                <w:bCs/>
                <w:sz w:val="20"/>
                <w:szCs w:val="20"/>
                <w:u w:val="single"/>
              </w:rPr>
              <w:t xml:space="preserve"> </w:t>
            </w:r>
            <w:r w:rsidR="00082E60">
              <w:rPr>
                <w:rFonts w:ascii="Times New Roman" w:hAnsi="Times New Roman" w:cs="Times New Roman"/>
                <w:bCs/>
                <w:sz w:val="20"/>
                <w:szCs w:val="20"/>
              </w:rPr>
              <w:t>Pripomienka  bola akceptovaná.</w:t>
            </w:r>
          </w:p>
          <w:p w14:paraId="759C1DFC" w14:textId="77777777" w:rsidR="00A85AE3" w:rsidRDefault="00A85AE3" w:rsidP="0023600A">
            <w:pPr>
              <w:tabs>
                <w:tab w:val="left" w:pos="1110"/>
              </w:tabs>
              <w:suppressAutoHyphens/>
              <w:spacing w:line="100" w:lineRule="atLeast"/>
              <w:ind w:right="-2"/>
              <w:jc w:val="both"/>
              <w:rPr>
                <w:rFonts w:ascii="Times New Roman" w:hAnsi="Times New Roman" w:cs="Times New Roman"/>
                <w:bCs/>
                <w:sz w:val="20"/>
                <w:szCs w:val="20"/>
              </w:rPr>
            </w:pPr>
          </w:p>
          <w:p w14:paraId="6A2F14D5" w14:textId="77777777" w:rsidR="0023600A" w:rsidRPr="0023600A" w:rsidRDefault="0023600A" w:rsidP="0023600A">
            <w:pPr>
              <w:jc w:val="both"/>
              <w:rPr>
                <w:rFonts w:ascii="Times New Roman" w:hAnsi="Times New Roman" w:cs="Times New Roman"/>
                <w:b/>
                <w:bCs/>
                <w:sz w:val="20"/>
                <w:szCs w:val="20"/>
              </w:rPr>
            </w:pPr>
            <w:r w:rsidRPr="0023600A">
              <w:rPr>
                <w:rFonts w:ascii="Times New Roman" w:hAnsi="Times New Roman" w:cs="Times New Roman"/>
                <w:b/>
                <w:bCs/>
                <w:sz w:val="20"/>
                <w:szCs w:val="20"/>
              </w:rPr>
              <w:t>K vplyvom na rozpočet verejnej správy</w:t>
            </w:r>
          </w:p>
          <w:p w14:paraId="72EC9A23" w14:textId="77777777" w:rsidR="005622C0" w:rsidRPr="005622C0" w:rsidRDefault="005622C0" w:rsidP="005622C0">
            <w:pPr>
              <w:jc w:val="both"/>
              <w:rPr>
                <w:rFonts w:ascii="Times New Roman" w:hAnsi="Times New Roman" w:cs="Times New Roman"/>
                <w:bCs/>
                <w:sz w:val="20"/>
                <w:szCs w:val="20"/>
              </w:rPr>
            </w:pPr>
            <w:r w:rsidRPr="005622C0">
              <w:rPr>
                <w:rFonts w:ascii="Times New Roman" w:hAnsi="Times New Roman" w:cs="Times New Roman"/>
                <w:bCs/>
                <w:sz w:val="20"/>
                <w:szCs w:val="20"/>
              </w:rPr>
              <w:t xml:space="preserve">Podľa doložky vybraných vplyvov predmetný návrh zákona zakladá negatívne vplyvy na rozpočet verejnej správy, ktoré sú označené ako rozpočtovo zabezpečené. Uvedené konštatovanie sa nezhoduje s vypracovanou analýzou vplyvov na rozpočet verejnej správy, kde sú uvedené nekryté negatívne vplyvy na rozpočet verejnej správy v rokoch 2024 až 2026 v sume 226 790 142 eur ročne a v bode 2.1.1. sa uvádza, že zvýšené výdavky Environmentálneho fondu v súvislosti s navrhovanou výškou použiteľného výnosu z dražieb emisných kvót (100% výnosu) sú finančne nezabezpečené v rozpočte Environmentálneho fondu. Tento nesúlad Komisia žiada odstrániť. </w:t>
            </w:r>
          </w:p>
          <w:p w14:paraId="79E21D6F" w14:textId="77777777" w:rsidR="005622C0" w:rsidRPr="00CC0A21" w:rsidRDefault="005622C0" w:rsidP="005622C0">
            <w:pPr>
              <w:jc w:val="both"/>
              <w:rPr>
                <w:rFonts w:ascii="Arial" w:hAnsi="Arial" w:cs="Arial"/>
                <w:bCs/>
                <w:sz w:val="24"/>
              </w:rPr>
            </w:pPr>
          </w:p>
          <w:p w14:paraId="72901ABD" w14:textId="77777777" w:rsidR="005622C0" w:rsidRPr="005622C0" w:rsidRDefault="005622C0" w:rsidP="005622C0">
            <w:pPr>
              <w:jc w:val="both"/>
              <w:rPr>
                <w:rFonts w:ascii="Times New Roman" w:hAnsi="Times New Roman" w:cs="Times New Roman"/>
                <w:bCs/>
                <w:sz w:val="20"/>
                <w:szCs w:val="20"/>
              </w:rPr>
            </w:pPr>
            <w:r w:rsidRPr="005622C0">
              <w:rPr>
                <w:rFonts w:ascii="Times New Roman" w:hAnsi="Times New Roman" w:cs="Times New Roman"/>
                <w:bCs/>
                <w:sz w:val="20"/>
                <w:szCs w:val="20"/>
              </w:rPr>
              <w:t>V bode 9 doložky vybraných vplyvov Komisia žiada doplniť označenie vplyvu návrhu zákona na rozpočty obcí a vyšších územných celkov a tiež na limit verejných výdavkov.</w:t>
            </w:r>
          </w:p>
          <w:p w14:paraId="1D5EC8C3" w14:textId="77777777" w:rsidR="005622C0" w:rsidRPr="005622C0" w:rsidRDefault="005622C0" w:rsidP="005622C0">
            <w:pPr>
              <w:jc w:val="both"/>
              <w:rPr>
                <w:rFonts w:ascii="Times New Roman" w:hAnsi="Times New Roman" w:cs="Times New Roman"/>
                <w:bCs/>
                <w:sz w:val="20"/>
                <w:szCs w:val="20"/>
              </w:rPr>
            </w:pPr>
          </w:p>
          <w:p w14:paraId="58489D4E" w14:textId="297EB001" w:rsidR="005622C0" w:rsidRDefault="005622C0" w:rsidP="005622C0">
            <w:pPr>
              <w:jc w:val="both"/>
              <w:rPr>
                <w:rFonts w:ascii="Times New Roman" w:hAnsi="Times New Roman" w:cs="Times New Roman"/>
                <w:bCs/>
                <w:sz w:val="20"/>
                <w:szCs w:val="20"/>
              </w:rPr>
            </w:pPr>
            <w:r w:rsidRPr="005622C0">
              <w:rPr>
                <w:rFonts w:ascii="Times New Roman" w:hAnsi="Times New Roman" w:cs="Times New Roman"/>
                <w:bCs/>
                <w:sz w:val="20"/>
                <w:szCs w:val="20"/>
              </w:rPr>
              <w:t>Z hľadiska nekrytých vplyvov na rozpočet Environmentálneho fondu a tým aj na rozpočet verejnej správy Komisia upozorňuje na úpravu v § 18 Dražba kvót a využitie výnosov novely zákona č. 414/2012 Z. z., kde sa menia odseky 6 a 7. V navrhovanej novele zákona č. 414/2012 Z. z. sa ruší percentuálny podiel použiteľného ročného výnosu z dražieb kvót (v roku 2024 je 40 %, od roku 2025 má byť 50 %) a namiesto neho sa použiteľný ročný výnos z dražieb kvót má určiť ako priemer súm výnosov z dražieb kvót za tri po sebe nasledujúce kalendárne roky predchádzajúce rozpočtovému roku, v ktorom sa zostavuje rozpočet Environmentálneho fondu. V § 18 ods. 6 novely zákona č. 414/2012 Z. z. sa zároveň určuje, že výnosom je skutočne dosiahnutý výnos znížený o poplatky podľa osobitného predpisu. Komisia upozorňuje, že takáto formulácia § 18 ods. 6 podľa názoru Komisie znamená, že sa neprihliada na metodiku ESA 2010 pri emisiách. Zároveň Komisia žiada, aby bol z § 18 novely zákona č. 414/2012 Z. z. vypustený ods. 7.</w:t>
            </w:r>
          </w:p>
          <w:p w14:paraId="7C32CEDB" w14:textId="2D2BD6FA" w:rsidR="00D40729" w:rsidRDefault="00D40729" w:rsidP="005622C0">
            <w:pPr>
              <w:jc w:val="both"/>
              <w:rPr>
                <w:rFonts w:ascii="Times New Roman" w:hAnsi="Times New Roman" w:cs="Times New Roman"/>
                <w:bCs/>
                <w:sz w:val="20"/>
                <w:szCs w:val="20"/>
              </w:rPr>
            </w:pPr>
            <w:r w:rsidRPr="00D40729">
              <w:rPr>
                <w:rFonts w:ascii="Times New Roman" w:hAnsi="Times New Roman" w:cs="Times New Roman"/>
                <w:bCs/>
                <w:sz w:val="20"/>
                <w:szCs w:val="20"/>
                <w:u w:val="single"/>
              </w:rPr>
              <w:t>Vyhodnotenie:</w:t>
            </w:r>
            <w:r>
              <w:rPr>
                <w:rFonts w:ascii="Times New Roman" w:hAnsi="Times New Roman" w:cs="Times New Roman"/>
                <w:bCs/>
                <w:sz w:val="20"/>
                <w:szCs w:val="20"/>
              </w:rPr>
              <w:t xml:space="preserve"> odsek 7 bol vypustený.</w:t>
            </w:r>
          </w:p>
          <w:p w14:paraId="11C44621" w14:textId="77777777" w:rsidR="00D40729" w:rsidRPr="005622C0" w:rsidRDefault="00D40729" w:rsidP="005622C0">
            <w:pPr>
              <w:jc w:val="both"/>
              <w:rPr>
                <w:rFonts w:ascii="Times New Roman" w:hAnsi="Times New Roman" w:cs="Times New Roman"/>
                <w:bCs/>
                <w:sz w:val="20"/>
                <w:szCs w:val="20"/>
              </w:rPr>
            </w:pPr>
          </w:p>
          <w:p w14:paraId="74C7A993" w14:textId="77777777" w:rsidR="005622C0" w:rsidRPr="00CC0A21" w:rsidRDefault="005622C0" w:rsidP="005622C0">
            <w:pPr>
              <w:jc w:val="both"/>
              <w:rPr>
                <w:rFonts w:ascii="Arial" w:hAnsi="Arial" w:cs="Arial"/>
                <w:bCs/>
                <w:sz w:val="24"/>
              </w:rPr>
            </w:pPr>
          </w:p>
          <w:p w14:paraId="2AC1705A" w14:textId="77777777" w:rsidR="005622C0" w:rsidRPr="005622C0" w:rsidRDefault="005622C0" w:rsidP="005622C0">
            <w:pPr>
              <w:jc w:val="both"/>
              <w:rPr>
                <w:rFonts w:ascii="Times New Roman" w:hAnsi="Times New Roman" w:cs="Times New Roman"/>
                <w:bCs/>
                <w:sz w:val="20"/>
                <w:szCs w:val="20"/>
              </w:rPr>
            </w:pPr>
            <w:r w:rsidRPr="005622C0">
              <w:rPr>
                <w:rFonts w:ascii="Times New Roman" w:hAnsi="Times New Roman" w:cs="Times New Roman"/>
                <w:bCs/>
                <w:sz w:val="20"/>
                <w:szCs w:val="20"/>
              </w:rPr>
              <w:t xml:space="preserve">Z celkového predpokladaného negatívneho, rozpočtovo nezabezpečeného vplyvu na rozpočet verejnej správy od roku 2024 v sume 226 790 142 eur ročne predstavujú osobné výdavky sumu 830 142 eur, z toho mzdy v sume 615 024 eur, v súvislosti s navýšením počtu zamestnancov kapitoly MŽP SR  o 9 osôb a Environmentálneho fondu o 12 osôb. Za oblasť zamestnanosti Komisia žiada, aby všetky negatívne vplyvy na rozpočet verejnej správy boli zabezpečené v rámci limitov stanovených kapitole MŽP SR a Environmentálneho fondu v rozpočte verejnej správy na príslušný rozpočtový rok bez dodatočných požiadaviek na ich navyšovanie. Zároveň Komisia upozorňuje, že predkladaný materiál je v rozpore s bodom C.9. uznesenia vlády SR č. 712 z 12. decembra 2023 </w:t>
            </w:r>
            <w:r w:rsidRPr="005622C0">
              <w:rPr>
                <w:rFonts w:ascii="Times New Roman" w:hAnsi="Times New Roman" w:cs="Times New Roman"/>
                <w:bCs/>
                <w:sz w:val="20"/>
                <w:szCs w:val="20"/>
              </w:rPr>
              <w:lastRenderedPageBreak/>
              <w:t>nepredkladať do 31. decembra 2024 návrhy legislatívnych predpisov a iných materiálov, ktoré zakladajú nároky na zvýšenie počtu zamestnancov a zvýšenie výdavkov alebo úbytok príjmov schválených v štátnom rozpočte na rok 2024 s rozpočtovými dôsledkami na štátny rozpočet alebo na iné rozpočty tvoriace rozpočet verejnej správy.</w:t>
            </w:r>
          </w:p>
          <w:p w14:paraId="5A000196" w14:textId="77777777" w:rsidR="005622C0" w:rsidRPr="00CC0A21" w:rsidRDefault="005622C0" w:rsidP="005622C0">
            <w:pPr>
              <w:jc w:val="both"/>
              <w:rPr>
                <w:rFonts w:ascii="Arial" w:hAnsi="Arial" w:cs="Arial"/>
                <w:bCs/>
                <w:sz w:val="24"/>
              </w:rPr>
            </w:pPr>
          </w:p>
          <w:p w14:paraId="4D49CFFA" w14:textId="77777777" w:rsidR="005622C0" w:rsidRPr="005622C0" w:rsidRDefault="005622C0" w:rsidP="005622C0">
            <w:pPr>
              <w:jc w:val="both"/>
              <w:rPr>
                <w:rFonts w:ascii="Times New Roman" w:hAnsi="Times New Roman" w:cs="Times New Roman"/>
                <w:bCs/>
                <w:sz w:val="20"/>
                <w:szCs w:val="20"/>
              </w:rPr>
            </w:pPr>
            <w:r w:rsidRPr="005622C0">
              <w:rPr>
                <w:rFonts w:ascii="Times New Roman" w:hAnsi="Times New Roman" w:cs="Times New Roman"/>
                <w:bCs/>
                <w:sz w:val="20"/>
                <w:szCs w:val="20"/>
              </w:rPr>
              <w:t>V nadväznosti na uvedené Komisia zdôrazňuje, že aktuálne je v schválenom rozpočte verejnej správy na roky 2024 až 2026 narozpočtovaný vo výdavkoch Environmentálneho fondu použiteľný výnos, ktorý zodpovedá 40 %, resp. 50 % (od roku 2025) schváleným ESA príjmom z predaja kvót. Predkladaný návrh zákona by znamenal značný negatívny, rozpočtovo nezabezpečený vplyv na rozpočet verejnej správy v jednotlivých rokoch, s čím nie je možné súhlasiť. V nadväznosti na uvedené skutočnosti Komisia žiada návrh zákona prepracovať takým spôsobom, aby nezakladal negatívne, rozpočtovo nekryté vplyvy na rozpočet verejnej správy v jednotlivých rokoch a aby bol v súlade so schváleným rozpočtom Environmentálneho fondu a rozpočtom verejnej správy na roky 2024 až 2026. Uvedená pripomienka sa vzťahuje aj na zabezpečenie rozpočtového krytia všetkých navrhovaných úprav kompetencií a úloh dotknutých subjektov verejnej správy. Takýmto spôsobom sa zároveň dosiahne súlad doložky vybraných vplyvov s analýzou vplyvov na rozpočet verejnej správy, pokiaľ ide o vykazovanie vplyvov návrhu zákona na rozpočet verejnej správy.</w:t>
            </w:r>
          </w:p>
          <w:p w14:paraId="23BC86A9" w14:textId="77777777" w:rsidR="005622C0" w:rsidRPr="005622C0" w:rsidRDefault="005622C0" w:rsidP="005622C0">
            <w:pPr>
              <w:jc w:val="both"/>
              <w:rPr>
                <w:rFonts w:ascii="Times New Roman" w:hAnsi="Times New Roman" w:cs="Times New Roman"/>
                <w:bCs/>
                <w:sz w:val="20"/>
                <w:szCs w:val="20"/>
              </w:rPr>
            </w:pPr>
          </w:p>
          <w:p w14:paraId="1286B6E5" w14:textId="77777777" w:rsidR="005622C0" w:rsidRPr="005622C0" w:rsidRDefault="005622C0" w:rsidP="005622C0">
            <w:pPr>
              <w:jc w:val="both"/>
              <w:rPr>
                <w:rFonts w:ascii="Times New Roman" w:hAnsi="Times New Roman" w:cs="Times New Roman"/>
                <w:bCs/>
                <w:sz w:val="20"/>
                <w:szCs w:val="20"/>
              </w:rPr>
            </w:pPr>
            <w:r w:rsidRPr="005622C0">
              <w:rPr>
                <w:rFonts w:ascii="Times New Roman" w:hAnsi="Times New Roman" w:cs="Times New Roman"/>
                <w:bCs/>
                <w:sz w:val="20"/>
                <w:szCs w:val="20"/>
              </w:rPr>
              <w:t>Ďalšie pripomienky k analýze vplyvov na rozpočet verejnej správy:</w:t>
            </w:r>
          </w:p>
          <w:p w14:paraId="55233D31" w14:textId="77777777" w:rsidR="005622C0" w:rsidRPr="005622C0" w:rsidRDefault="005622C0" w:rsidP="005622C0">
            <w:pPr>
              <w:numPr>
                <w:ilvl w:val="0"/>
                <w:numId w:val="34"/>
              </w:numPr>
              <w:suppressAutoHyphens/>
              <w:spacing w:line="100" w:lineRule="atLeast"/>
              <w:jc w:val="both"/>
              <w:rPr>
                <w:rFonts w:ascii="Times New Roman" w:hAnsi="Times New Roman" w:cs="Times New Roman"/>
                <w:bCs/>
                <w:sz w:val="20"/>
                <w:szCs w:val="20"/>
              </w:rPr>
            </w:pPr>
            <w:r w:rsidRPr="005622C0">
              <w:rPr>
                <w:rFonts w:ascii="Times New Roman" w:hAnsi="Times New Roman" w:cs="Times New Roman"/>
                <w:bCs/>
                <w:sz w:val="20"/>
                <w:szCs w:val="20"/>
              </w:rPr>
              <w:t>V súlade s Jednotnou metodikou na posudzovanie vybraných vplyvov Komisia žiada všetky tabuľky vypracovať na roky 2024 až 2027.</w:t>
            </w:r>
          </w:p>
          <w:p w14:paraId="43EF5E03" w14:textId="77777777" w:rsidR="005622C0" w:rsidRPr="005622C0" w:rsidRDefault="005622C0" w:rsidP="005622C0">
            <w:pPr>
              <w:numPr>
                <w:ilvl w:val="0"/>
                <w:numId w:val="34"/>
              </w:numPr>
              <w:suppressAutoHyphens/>
              <w:spacing w:line="100" w:lineRule="atLeast"/>
              <w:jc w:val="both"/>
              <w:rPr>
                <w:rFonts w:ascii="Times New Roman" w:hAnsi="Times New Roman" w:cs="Times New Roman"/>
                <w:bCs/>
                <w:sz w:val="20"/>
                <w:szCs w:val="20"/>
              </w:rPr>
            </w:pPr>
            <w:r w:rsidRPr="005622C0">
              <w:rPr>
                <w:rFonts w:ascii="Times New Roman" w:hAnsi="Times New Roman" w:cs="Times New Roman"/>
                <w:bCs/>
                <w:sz w:val="20"/>
                <w:szCs w:val="20"/>
              </w:rPr>
              <w:t xml:space="preserve">V tabuľke č. 1/A Komisia žiada v časti „Vplyv na mzdové výdavky“ uviesť iba mzdové výdavky z tabuliek č. 4/A, t. j. výdavky za EKRK 610 a nie osobné výdavky. Zároveň v tabuľke č. 4/A za MŽP SR Komisia žiada v riadkoch „Priemerný mzdový výdavok (v eurách)“ a „Priemerný mzdový výdavok (v eurách) z toho vplyv na ŠR“ uviesť priemernú mesačnú mzdu (610) v súlade s údajom uvedeným v časti 2.2.4. </w:t>
            </w:r>
          </w:p>
          <w:p w14:paraId="50F6716E" w14:textId="77777777" w:rsidR="005622C0" w:rsidRPr="005622C0" w:rsidRDefault="005622C0" w:rsidP="005622C0">
            <w:pPr>
              <w:numPr>
                <w:ilvl w:val="0"/>
                <w:numId w:val="34"/>
              </w:numPr>
              <w:suppressAutoHyphens/>
              <w:spacing w:line="100" w:lineRule="atLeast"/>
              <w:jc w:val="both"/>
              <w:rPr>
                <w:rFonts w:ascii="Times New Roman" w:hAnsi="Times New Roman" w:cs="Times New Roman"/>
                <w:bCs/>
                <w:sz w:val="20"/>
                <w:szCs w:val="20"/>
              </w:rPr>
            </w:pPr>
            <w:r w:rsidRPr="005622C0">
              <w:rPr>
                <w:rFonts w:ascii="Times New Roman" w:hAnsi="Times New Roman" w:cs="Times New Roman"/>
                <w:bCs/>
                <w:sz w:val="20"/>
                <w:szCs w:val="20"/>
              </w:rPr>
              <w:t>V súlade s novelou zákona č. 580/2004 Z. z. o zdravotnom poistení, ktorá s účinnosťou od 01.01.2024 zvýšila percentuálnu sadzbu pre výpočet odvodu do zdravotných poisťovní za zamestnávateľa o 1 %, Komisia žiada vplyv na poistné v EKRK 620 vypočítať ako 35,95 %-ný podiel z výdavkov v EKRK 610. Adekvátne tomu Komisia žiada upraviť vplyvy uvádzané v tabuľkách č. 1, 4 a 5, upraviť text o celkových výdavkoch na zamestnancov v bode 2.1.1., ako aj upraviť výpočty uvedené v bode 2.2.4.</w:t>
            </w:r>
          </w:p>
          <w:p w14:paraId="196A68B9" w14:textId="77777777" w:rsidR="005622C0" w:rsidRPr="005622C0" w:rsidRDefault="005622C0" w:rsidP="005622C0">
            <w:pPr>
              <w:numPr>
                <w:ilvl w:val="0"/>
                <w:numId w:val="34"/>
              </w:numPr>
              <w:suppressAutoHyphens/>
              <w:spacing w:line="100" w:lineRule="atLeast"/>
              <w:jc w:val="both"/>
              <w:rPr>
                <w:rFonts w:ascii="Times New Roman" w:hAnsi="Times New Roman" w:cs="Times New Roman"/>
                <w:bCs/>
                <w:sz w:val="20"/>
                <w:szCs w:val="20"/>
              </w:rPr>
            </w:pPr>
            <w:r w:rsidRPr="005622C0">
              <w:rPr>
                <w:rFonts w:ascii="Times New Roman" w:hAnsi="Times New Roman" w:cs="Times New Roman"/>
                <w:bCs/>
                <w:sz w:val="20"/>
                <w:szCs w:val="20"/>
              </w:rPr>
              <w:t>Komisia upozorňuje, že tabuľka č. 1/B nie je vypracovaná korektne, keďže v nej uvádzané sumy nie sú v súlade so sumami uvedenými v tabuľke č. 1/A. Tabuľka č. 1/B tiež neobsahuje vplyvy návrhu zákona na jednotlivé subjekty verejnej správy, čo Komisia žiada doplniť. Rovnako Komisia žiada zosúladiť tabuľky č. 1/A a 1/B.</w:t>
            </w:r>
          </w:p>
          <w:p w14:paraId="224039EE" w14:textId="77777777" w:rsidR="005622C0" w:rsidRPr="005622C0" w:rsidRDefault="005622C0" w:rsidP="005622C0">
            <w:pPr>
              <w:numPr>
                <w:ilvl w:val="0"/>
                <w:numId w:val="34"/>
              </w:numPr>
              <w:suppressAutoHyphens/>
              <w:spacing w:line="100" w:lineRule="atLeast"/>
              <w:jc w:val="both"/>
              <w:rPr>
                <w:rFonts w:ascii="Times New Roman" w:hAnsi="Times New Roman" w:cs="Times New Roman"/>
                <w:bCs/>
                <w:sz w:val="20"/>
                <w:szCs w:val="20"/>
              </w:rPr>
            </w:pPr>
            <w:r w:rsidRPr="005622C0">
              <w:rPr>
                <w:rFonts w:ascii="Times New Roman" w:hAnsi="Times New Roman" w:cs="Times New Roman"/>
                <w:bCs/>
                <w:sz w:val="20"/>
                <w:szCs w:val="20"/>
              </w:rPr>
              <w:t>Komisia upozorňuje na nesúlad súm medzi tabuľkami č. 1/A a 4/A za Environmentálny fond, ktorý Komisia žiada odstrániť.</w:t>
            </w:r>
          </w:p>
          <w:p w14:paraId="14FB2632" w14:textId="77777777" w:rsidR="005622C0" w:rsidRPr="005622C0" w:rsidRDefault="005622C0" w:rsidP="005622C0">
            <w:pPr>
              <w:numPr>
                <w:ilvl w:val="0"/>
                <w:numId w:val="34"/>
              </w:numPr>
              <w:suppressAutoHyphens/>
              <w:spacing w:line="100" w:lineRule="atLeast"/>
              <w:jc w:val="both"/>
              <w:rPr>
                <w:rFonts w:ascii="Times New Roman" w:hAnsi="Times New Roman" w:cs="Times New Roman"/>
                <w:bCs/>
                <w:sz w:val="20"/>
                <w:szCs w:val="20"/>
              </w:rPr>
            </w:pPr>
            <w:r w:rsidRPr="005622C0">
              <w:rPr>
                <w:rFonts w:ascii="Times New Roman" w:hAnsi="Times New Roman" w:cs="Times New Roman"/>
                <w:bCs/>
                <w:sz w:val="20"/>
                <w:szCs w:val="20"/>
              </w:rPr>
              <w:t>Vzhľadom na to, že niektoré časti návrhu zákona nadobudnú účinnosť dňom vyhlásenia, nie je zrejmé, prečo sa v roku 2024 uvažuje s vplyvmi za celý rok. Dotknuté výpočty Komisia žiada upraviť.</w:t>
            </w:r>
          </w:p>
          <w:p w14:paraId="01F511A0" w14:textId="77777777" w:rsidR="005622C0" w:rsidRPr="005622C0" w:rsidRDefault="005622C0" w:rsidP="005622C0">
            <w:pPr>
              <w:numPr>
                <w:ilvl w:val="0"/>
                <w:numId w:val="34"/>
              </w:numPr>
              <w:suppressAutoHyphens/>
              <w:spacing w:line="100" w:lineRule="atLeast"/>
              <w:jc w:val="both"/>
              <w:rPr>
                <w:rFonts w:ascii="Times New Roman" w:hAnsi="Times New Roman" w:cs="Times New Roman"/>
                <w:bCs/>
                <w:sz w:val="20"/>
                <w:szCs w:val="20"/>
              </w:rPr>
            </w:pPr>
            <w:r w:rsidRPr="005622C0">
              <w:rPr>
                <w:rFonts w:ascii="Times New Roman" w:hAnsi="Times New Roman" w:cs="Times New Roman"/>
                <w:bCs/>
                <w:sz w:val="20"/>
                <w:szCs w:val="20"/>
              </w:rPr>
              <w:t xml:space="preserve">Podľa znenia § 18 ods. 7 zákona č. 414/2012 Z. z. platného od 01.01.2024 platí, že „Výška použiteľného ročného výnosu z dražieb kvót na účely podľa odseku 4 je 40 %.“ a od 01.01.2025 bude platiť, že „Výška použiteľného ročného výnosu z dražieb kvót na účely podľa odseku 4 je 50 %.“. Vzhľadom na uvedené Komisia žiada preformulovať nasledujúce vety uvádzané v časti 2.2.1. „V aktuálne platnom § 18 ods. 7 zákona č. 414/2012 Z. z. o obchodovaní s emisnými kvótami v znení neskorších predpisov (ďalej len „zákon“) sa uvádza, že výška a účel použiteľného výnosu z dražieb emisných kvót sa určí na základe dohody Ministerstva životného prostredia SR a Ministerstva financií SR každoročne do 30. septembra a výsledok dohody nemôže byť nižší ako 30 % ročného výnosu z dražieb kvót.“ a „Podľa aktuálne platného znenia § 18 ods. 7 až 70 % výnosov z dražieb kvót smerovalo do prebytku Environmentálneho fondu a len 30% do výdavkov Environmentálneho fondu.“. </w:t>
            </w:r>
          </w:p>
          <w:p w14:paraId="31B1E937" w14:textId="77777777" w:rsidR="005622C0" w:rsidRPr="005622C0" w:rsidRDefault="005622C0" w:rsidP="005622C0">
            <w:pPr>
              <w:numPr>
                <w:ilvl w:val="0"/>
                <w:numId w:val="34"/>
              </w:numPr>
              <w:suppressAutoHyphens/>
              <w:spacing w:line="100" w:lineRule="atLeast"/>
              <w:jc w:val="both"/>
              <w:rPr>
                <w:rFonts w:ascii="Times New Roman" w:hAnsi="Times New Roman" w:cs="Times New Roman"/>
                <w:bCs/>
                <w:sz w:val="20"/>
                <w:szCs w:val="20"/>
              </w:rPr>
            </w:pPr>
            <w:r w:rsidRPr="005622C0">
              <w:rPr>
                <w:rFonts w:ascii="Times New Roman" w:hAnsi="Times New Roman" w:cs="Times New Roman"/>
                <w:bCs/>
                <w:sz w:val="20"/>
                <w:szCs w:val="20"/>
              </w:rPr>
              <w:t xml:space="preserve">Vzhľadom na navrhované úpravy § 28 zákona č. 414/2012 Z. z., ktorými sa rozširuje okruh iných správnych deliktov vrátane ukladaných pokút, Komisia žiada vyčísliť vplyv návrhu zákona na príjmy dotknutých subjektov verejnej správy v jednotlivých rokoch. Pokiaľ takáto kvantifikácia nie je možná, prípadne predkladateľ v tejto súvislosti predpokladá zanedbateľné vplyvy na príjmy rozpočtu verejnej správy, Komisia žiada túto skutočnosť spolu so zdôvodnením uviesť do bodu 10 doložky vybraných vplyvov. </w:t>
            </w:r>
          </w:p>
          <w:p w14:paraId="7BF87F97" w14:textId="0B448D60" w:rsidR="005622C0" w:rsidRPr="00C9379B" w:rsidRDefault="005622C0" w:rsidP="005622C0">
            <w:pPr>
              <w:tabs>
                <w:tab w:val="left" w:pos="1110"/>
              </w:tabs>
              <w:suppressAutoHyphens/>
              <w:spacing w:line="100" w:lineRule="atLeast"/>
              <w:ind w:right="-2"/>
              <w:jc w:val="both"/>
              <w:rPr>
                <w:rFonts w:ascii="Times New Roman" w:hAnsi="Times New Roman" w:cs="Times New Roman"/>
                <w:bCs/>
                <w:sz w:val="20"/>
                <w:szCs w:val="20"/>
              </w:rPr>
            </w:pPr>
            <w:r w:rsidRPr="00C9379B">
              <w:rPr>
                <w:rFonts w:ascii="Times New Roman" w:hAnsi="Times New Roman" w:cs="Times New Roman"/>
                <w:bCs/>
                <w:sz w:val="20"/>
                <w:szCs w:val="20"/>
                <w:u w:val="single"/>
              </w:rPr>
              <w:t>Vyhodnotenie:</w:t>
            </w:r>
            <w:r w:rsidR="00C9379B">
              <w:rPr>
                <w:rFonts w:ascii="Times New Roman" w:hAnsi="Times New Roman" w:cs="Times New Roman"/>
                <w:bCs/>
                <w:sz w:val="20"/>
                <w:szCs w:val="20"/>
                <w:u w:val="single"/>
              </w:rPr>
              <w:t xml:space="preserve"> </w:t>
            </w:r>
            <w:r w:rsidR="00C9379B">
              <w:rPr>
                <w:rFonts w:ascii="Times New Roman" w:hAnsi="Times New Roman" w:cs="Times New Roman"/>
                <w:bCs/>
                <w:sz w:val="20"/>
                <w:szCs w:val="20"/>
              </w:rPr>
              <w:t>tabuľky 1/A a 4/A boli vzhľadom na dostupnosť údajov čiastočne upravené (zosúladené).</w:t>
            </w:r>
          </w:p>
          <w:p w14:paraId="6C5956AA" w14:textId="082FAF22" w:rsidR="0023600A" w:rsidRDefault="0023600A" w:rsidP="0023600A">
            <w:pPr>
              <w:tabs>
                <w:tab w:val="left" w:pos="1110"/>
              </w:tabs>
              <w:suppressAutoHyphens/>
              <w:spacing w:line="100" w:lineRule="atLeast"/>
              <w:ind w:right="-2"/>
              <w:jc w:val="both"/>
              <w:rPr>
                <w:rFonts w:ascii="Times New Roman" w:hAnsi="Times New Roman" w:cs="Times New Roman"/>
                <w:bCs/>
                <w:sz w:val="20"/>
                <w:szCs w:val="20"/>
              </w:rPr>
            </w:pPr>
          </w:p>
          <w:p w14:paraId="6C40E3BA" w14:textId="5BE5DC9F" w:rsidR="0023600A" w:rsidRPr="0023600A" w:rsidRDefault="0023600A" w:rsidP="0023600A">
            <w:pPr>
              <w:tabs>
                <w:tab w:val="left" w:pos="1110"/>
              </w:tabs>
              <w:suppressAutoHyphens/>
              <w:spacing w:line="100" w:lineRule="atLeast"/>
              <w:ind w:right="-2"/>
              <w:jc w:val="both"/>
              <w:rPr>
                <w:rFonts w:ascii="Times New Roman" w:hAnsi="Times New Roman" w:cs="Times New Roman"/>
                <w:bCs/>
                <w:sz w:val="20"/>
                <w:szCs w:val="20"/>
              </w:rPr>
            </w:pPr>
          </w:p>
          <w:p w14:paraId="68C7BDB0" w14:textId="77777777" w:rsidR="0023600A" w:rsidRPr="0023600A" w:rsidRDefault="0023600A" w:rsidP="0023600A">
            <w:pPr>
              <w:jc w:val="both"/>
              <w:rPr>
                <w:rFonts w:ascii="Times New Roman" w:hAnsi="Times New Roman" w:cs="Times New Roman"/>
                <w:b/>
                <w:bCs/>
                <w:sz w:val="20"/>
                <w:szCs w:val="20"/>
              </w:rPr>
            </w:pPr>
            <w:r w:rsidRPr="0023600A">
              <w:rPr>
                <w:rFonts w:ascii="Times New Roman" w:hAnsi="Times New Roman" w:cs="Times New Roman"/>
                <w:b/>
                <w:bCs/>
                <w:sz w:val="20"/>
                <w:szCs w:val="20"/>
              </w:rPr>
              <w:t>K sociálnym vplyvom</w:t>
            </w:r>
          </w:p>
          <w:p w14:paraId="51C4EE8A" w14:textId="77777777" w:rsidR="0023600A" w:rsidRPr="0023600A" w:rsidRDefault="0023600A" w:rsidP="0023600A">
            <w:pPr>
              <w:jc w:val="both"/>
              <w:rPr>
                <w:rFonts w:ascii="Times New Roman" w:hAnsi="Times New Roman" w:cs="Times New Roman"/>
                <w:bCs/>
                <w:sz w:val="20"/>
                <w:szCs w:val="20"/>
              </w:rPr>
            </w:pPr>
            <w:r w:rsidRPr="0023600A">
              <w:rPr>
                <w:rFonts w:ascii="Times New Roman" w:hAnsi="Times New Roman" w:cs="Times New Roman"/>
                <w:bCs/>
                <w:sz w:val="20"/>
                <w:szCs w:val="20"/>
              </w:rPr>
              <w:t>V časti 4.2 analýzy sociálnych vplyvov je potrebné konkretizovať, aký vplyv by návrh zákona mal na prístup k zdrojom, právam, tovarom a službám ovplyvnených skupín obyvateľov.</w:t>
            </w:r>
          </w:p>
          <w:p w14:paraId="0B0009AA" w14:textId="77777777" w:rsidR="0023600A" w:rsidRPr="0023600A" w:rsidRDefault="0023600A" w:rsidP="0023600A">
            <w:pPr>
              <w:jc w:val="both"/>
              <w:rPr>
                <w:rFonts w:ascii="Times New Roman" w:hAnsi="Times New Roman" w:cs="Times New Roman"/>
                <w:bCs/>
                <w:sz w:val="20"/>
                <w:szCs w:val="20"/>
              </w:rPr>
            </w:pPr>
            <w:r w:rsidRPr="0023600A">
              <w:rPr>
                <w:rFonts w:ascii="Times New Roman" w:hAnsi="Times New Roman" w:cs="Times New Roman"/>
                <w:bCs/>
                <w:sz w:val="20"/>
                <w:szCs w:val="20"/>
                <w:u w:val="single"/>
              </w:rPr>
              <w:t>Odôvodnenie:</w:t>
            </w:r>
            <w:r w:rsidRPr="0023600A">
              <w:rPr>
                <w:rFonts w:ascii="Times New Roman" w:hAnsi="Times New Roman" w:cs="Times New Roman"/>
                <w:bCs/>
                <w:sz w:val="20"/>
                <w:szCs w:val="20"/>
              </w:rPr>
              <w:t xml:space="preserve"> Z formulácií v riadkoch označených ako písm. a) a c) sekcie 4.2 analýzy nie je zrejmé, ako by návrh zákona ovplyvnil prístup ovplyvnených skupín obyvateľov k zdrojom, právam, tovarom a službám. Ak </w:t>
            </w:r>
            <w:r w:rsidRPr="0023600A">
              <w:rPr>
                <w:rFonts w:ascii="Times New Roman" w:hAnsi="Times New Roman" w:cs="Times New Roman"/>
                <w:bCs/>
                <w:sz w:val="20"/>
                <w:szCs w:val="20"/>
              </w:rPr>
              <w:lastRenderedPageBreak/>
              <w:t xml:space="preserve">predkladateľ identifikuje vplyv na prístup k zdrojom, právam, tovarom a službám, v zmysle Jednotnej metodiky na posudzovanie vybraných vplyvov popíše hodnotené opatrenie, špecifikuje ovplyvnené skupiny obyvateľstva a charakter zmeny. </w:t>
            </w:r>
          </w:p>
          <w:p w14:paraId="1B7F76F5" w14:textId="0A004A07" w:rsidR="0023600A" w:rsidRDefault="005622C0" w:rsidP="0023600A">
            <w:pPr>
              <w:jc w:val="both"/>
              <w:rPr>
                <w:rFonts w:ascii="Times New Roman" w:hAnsi="Times New Roman" w:cs="Times New Roman"/>
                <w:bCs/>
                <w:sz w:val="20"/>
                <w:szCs w:val="20"/>
                <w:u w:val="single"/>
              </w:rPr>
            </w:pPr>
            <w:r w:rsidRPr="00D22304">
              <w:rPr>
                <w:rFonts w:ascii="Times New Roman" w:hAnsi="Times New Roman" w:cs="Times New Roman"/>
                <w:bCs/>
                <w:sz w:val="20"/>
                <w:szCs w:val="20"/>
                <w:u w:val="single"/>
              </w:rPr>
              <w:t>Vyhodnotenie:</w:t>
            </w:r>
            <w:r w:rsidR="00D22304" w:rsidRPr="00D22304">
              <w:rPr>
                <w:rFonts w:ascii="Times New Roman" w:hAnsi="Times New Roman" w:cs="Times New Roman"/>
                <w:bCs/>
                <w:sz w:val="20"/>
                <w:szCs w:val="20"/>
                <w:u w:val="single"/>
              </w:rPr>
              <w:t xml:space="preserve"> </w:t>
            </w:r>
            <w:r w:rsidR="00D22304" w:rsidRPr="00D22304">
              <w:rPr>
                <w:rFonts w:ascii="Times New Roman" w:hAnsi="Times New Roman" w:cs="Times New Roman"/>
                <w:bCs/>
                <w:sz w:val="20"/>
                <w:szCs w:val="20"/>
              </w:rPr>
              <w:t>časť 4.2 analýzy sociálnych vplyvov bola doplnená v rámci aktuálne dostupných dát a definícií stanovených legislatívou.</w:t>
            </w:r>
            <w:r w:rsidR="00D22304">
              <w:rPr>
                <w:rFonts w:ascii="Times New Roman" w:hAnsi="Times New Roman" w:cs="Times New Roman"/>
                <w:bCs/>
                <w:sz w:val="20"/>
                <w:szCs w:val="20"/>
                <w:u w:val="single"/>
              </w:rPr>
              <w:t xml:space="preserve"> </w:t>
            </w:r>
          </w:p>
          <w:p w14:paraId="50EA04D5" w14:textId="77777777" w:rsidR="005622C0" w:rsidRPr="0023600A" w:rsidRDefault="005622C0" w:rsidP="0023600A">
            <w:pPr>
              <w:jc w:val="both"/>
              <w:rPr>
                <w:rFonts w:ascii="Times New Roman" w:hAnsi="Times New Roman" w:cs="Times New Roman"/>
                <w:bCs/>
                <w:sz w:val="20"/>
                <w:szCs w:val="20"/>
              </w:rPr>
            </w:pPr>
          </w:p>
          <w:p w14:paraId="04035153" w14:textId="77777777" w:rsidR="0023600A" w:rsidRPr="0023600A" w:rsidRDefault="0023600A" w:rsidP="0023600A">
            <w:pPr>
              <w:jc w:val="both"/>
              <w:rPr>
                <w:rFonts w:ascii="Times New Roman" w:hAnsi="Times New Roman" w:cs="Times New Roman"/>
                <w:bCs/>
                <w:sz w:val="20"/>
                <w:szCs w:val="20"/>
              </w:rPr>
            </w:pPr>
            <w:r w:rsidRPr="0023600A">
              <w:rPr>
                <w:rFonts w:ascii="Times New Roman" w:hAnsi="Times New Roman" w:cs="Times New Roman"/>
                <w:bCs/>
                <w:sz w:val="20"/>
                <w:szCs w:val="20"/>
              </w:rPr>
              <w:t>Druhú vetu v riadku označenom ako písm. b) sekcie 4.4 analýzy sociálnych vplyvov, ktorá sa začína slovami „Zamestnanosť v pozemnej doprave...“, Komisia odporúča presunúť na koniec riadka označeného písmenom d) sekcie 4.4 analýzy.</w:t>
            </w:r>
          </w:p>
          <w:p w14:paraId="0E539919" w14:textId="7F123239" w:rsidR="0023600A" w:rsidRDefault="0023600A" w:rsidP="0023600A">
            <w:pPr>
              <w:jc w:val="both"/>
              <w:rPr>
                <w:rFonts w:ascii="Times New Roman" w:hAnsi="Times New Roman" w:cs="Times New Roman"/>
                <w:bCs/>
                <w:sz w:val="20"/>
                <w:szCs w:val="20"/>
              </w:rPr>
            </w:pPr>
            <w:r w:rsidRPr="0023600A">
              <w:rPr>
                <w:rFonts w:ascii="Times New Roman" w:hAnsi="Times New Roman" w:cs="Times New Roman"/>
                <w:bCs/>
                <w:sz w:val="20"/>
                <w:szCs w:val="20"/>
                <w:u w:val="single"/>
              </w:rPr>
              <w:t>Odôvodnenie:</w:t>
            </w:r>
            <w:r w:rsidRPr="0023600A">
              <w:rPr>
                <w:rFonts w:ascii="Times New Roman" w:hAnsi="Times New Roman" w:cs="Times New Roman"/>
                <w:bCs/>
                <w:sz w:val="20"/>
                <w:szCs w:val="20"/>
              </w:rPr>
              <w:t xml:space="preserve"> Informácia o možnom znížení zamestnanosti v konkrétnom odvetví ekonomiky patrí do riadka označeného ako písm. d) sekcie 4.4 analýzy.</w:t>
            </w:r>
          </w:p>
          <w:p w14:paraId="781DA0D3" w14:textId="03371147" w:rsidR="005622C0" w:rsidRPr="0023600A" w:rsidRDefault="005622C0" w:rsidP="0023600A">
            <w:pPr>
              <w:jc w:val="both"/>
              <w:rPr>
                <w:rFonts w:ascii="Times New Roman" w:hAnsi="Times New Roman" w:cs="Times New Roman"/>
                <w:bCs/>
                <w:sz w:val="20"/>
                <w:szCs w:val="20"/>
              </w:rPr>
            </w:pPr>
            <w:r w:rsidRPr="005622C0">
              <w:rPr>
                <w:rFonts w:ascii="Times New Roman" w:hAnsi="Times New Roman" w:cs="Times New Roman"/>
                <w:bCs/>
                <w:sz w:val="20"/>
                <w:szCs w:val="20"/>
                <w:u w:val="single"/>
              </w:rPr>
              <w:t>Vyhodnotenie:</w:t>
            </w:r>
            <w:r>
              <w:rPr>
                <w:rFonts w:ascii="Times New Roman" w:hAnsi="Times New Roman" w:cs="Times New Roman"/>
                <w:bCs/>
                <w:sz w:val="20"/>
                <w:szCs w:val="20"/>
              </w:rPr>
              <w:t xml:space="preserve"> Pripomienka  bola akceptovaná.</w:t>
            </w:r>
          </w:p>
          <w:p w14:paraId="1C4DB3E7" w14:textId="1FD4BA80" w:rsidR="0023600A" w:rsidRPr="0023600A" w:rsidRDefault="0023600A" w:rsidP="0023600A">
            <w:pPr>
              <w:tabs>
                <w:tab w:val="left" w:pos="1110"/>
              </w:tabs>
              <w:suppressAutoHyphens/>
              <w:spacing w:line="100" w:lineRule="atLeast"/>
              <w:ind w:right="-2"/>
              <w:jc w:val="both"/>
              <w:rPr>
                <w:rFonts w:ascii="Times New Roman" w:hAnsi="Times New Roman" w:cs="Times New Roman"/>
                <w:bCs/>
                <w:sz w:val="20"/>
                <w:szCs w:val="20"/>
              </w:rPr>
            </w:pPr>
          </w:p>
          <w:p w14:paraId="4D006C0B" w14:textId="77777777" w:rsidR="0023600A" w:rsidRPr="0023600A" w:rsidRDefault="0023600A" w:rsidP="0023600A">
            <w:pPr>
              <w:jc w:val="both"/>
              <w:rPr>
                <w:rFonts w:ascii="Times New Roman" w:hAnsi="Times New Roman" w:cs="Times New Roman"/>
                <w:b/>
                <w:bCs/>
                <w:sz w:val="20"/>
                <w:szCs w:val="20"/>
                <w:u w:val="single"/>
              </w:rPr>
            </w:pPr>
            <w:r w:rsidRPr="0023600A">
              <w:rPr>
                <w:rFonts w:ascii="Times New Roman" w:hAnsi="Times New Roman" w:cs="Times New Roman"/>
                <w:b/>
                <w:bCs/>
                <w:sz w:val="20"/>
                <w:szCs w:val="20"/>
              </w:rPr>
              <w:t>Ku goldplatingu</w:t>
            </w:r>
          </w:p>
          <w:p w14:paraId="243DBF0F" w14:textId="77777777" w:rsidR="0023600A" w:rsidRPr="0023600A" w:rsidRDefault="0023600A" w:rsidP="0023600A">
            <w:pPr>
              <w:jc w:val="both"/>
              <w:rPr>
                <w:rFonts w:ascii="Times New Roman" w:hAnsi="Times New Roman" w:cs="Times New Roman"/>
                <w:bCs/>
                <w:sz w:val="20"/>
                <w:szCs w:val="20"/>
              </w:rPr>
            </w:pPr>
            <w:r w:rsidRPr="0023600A">
              <w:rPr>
                <w:rFonts w:ascii="Times New Roman" w:hAnsi="Times New Roman" w:cs="Times New Roman"/>
                <w:bCs/>
                <w:sz w:val="20"/>
                <w:szCs w:val="20"/>
              </w:rPr>
              <w:t>V čl. 1 ods. 21 písm. g) smernice (EÚ) 2023/959 sa ustanovuje, že členské štáty môžu, a dôrazne sa k tomu nabádajú, zrušiť kvóty z celkového množstva kvót, s ktorými majú obchodovať formou aukcie. V uvedenom prípade Komisia upozorňuje, že neprebratím tohto ustanovenia dochádza ku goldplatingu a to – „nevyužitie výnimky“. V zmysle uvedeného Komisia žiada náležite vyplniť stĺpce (9) a (10) tabuľky zhody, pod tabuľkou zhody uviesť „Vyjadrenie k opodstatnenosti goldplatingu a jeho odôvodnenie“ a uvedené reflektovať v  doložke vybraných vplyvov.</w:t>
            </w:r>
          </w:p>
          <w:p w14:paraId="1DF77302" w14:textId="37179801" w:rsidR="005622C0" w:rsidRDefault="005622C0" w:rsidP="005622C0">
            <w:pPr>
              <w:tabs>
                <w:tab w:val="left" w:pos="1110"/>
              </w:tabs>
              <w:suppressAutoHyphens/>
              <w:spacing w:line="100" w:lineRule="atLeast"/>
              <w:ind w:right="-2"/>
              <w:jc w:val="both"/>
              <w:rPr>
                <w:rFonts w:ascii="Times New Roman" w:hAnsi="Times New Roman" w:cs="Times New Roman"/>
                <w:bCs/>
                <w:sz w:val="20"/>
                <w:szCs w:val="20"/>
                <w:u w:val="single"/>
              </w:rPr>
            </w:pPr>
            <w:r w:rsidRPr="00D22304">
              <w:rPr>
                <w:rFonts w:ascii="Times New Roman" w:hAnsi="Times New Roman" w:cs="Times New Roman"/>
                <w:bCs/>
                <w:sz w:val="20"/>
                <w:szCs w:val="20"/>
                <w:u w:val="single"/>
              </w:rPr>
              <w:t>Vyhodnotenie:</w:t>
            </w:r>
            <w:r w:rsidR="00D22304">
              <w:rPr>
                <w:rFonts w:ascii="Times New Roman" w:hAnsi="Times New Roman" w:cs="Times New Roman"/>
                <w:bCs/>
                <w:sz w:val="20"/>
                <w:szCs w:val="20"/>
                <w:u w:val="single"/>
              </w:rPr>
              <w:t xml:space="preserve"> </w:t>
            </w:r>
            <w:r w:rsidR="00D22304" w:rsidRPr="00DD4FDF">
              <w:rPr>
                <w:rFonts w:ascii="Times New Roman" w:hAnsi="Times New Roman" w:cs="Times New Roman"/>
                <w:bCs/>
                <w:sz w:val="20"/>
                <w:szCs w:val="20"/>
              </w:rPr>
              <w:t>Slovenská republika sa rozhodla toto ustanovenie netransponovať. Zároveň máme zato, že sa nejedná o goldplating.</w:t>
            </w:r>
          </w:p>
          <w:p w14:paraId="6FD76CDA" w14:textId="77777777" w:rsidR="0023600A" w:rsidRPr="0023600A" w:rsidRDefault="0023600A" w:rsidP="0023600A">
            <w:pPr>
              <w:jc w:val="both"/>
              <w:rPr>
                <w:rFonts w:ascii="Times New Roman" w:hAnsi="Times New Roman" w:cs="Times New Roman"/>
                <w:bCs/>
                <w:sz w:val="20"/>
                <w:szCs w:val="20"/>
              </w:rPr>
            </w:pPr>
          </w:p>
          <w:p w14:paraId="25BE3566" w14:textId="1CB108C0" w:rsidR="004C7590" w:rsidRPr="0023600A" w:rsidRDefault="0023600A" w:rsidP="0023600A">
            <w:pPr>
              <w:jc w:val="both"/>
              <w:rPr>
                <w:rFonts w:ascii="Times New Roman" w:hAnsi="Times New Roman" w:cs="Times New Roman"/>
                <w:bCs/>
                <w:sz w:val="20"/>
                <w:szCs w:val="20"/>
              </w:rPr>
            </w:pPr>
            <w:r w:rsidRPr="0023600A">
              <w:rPr>
                <w:rFonts w:ascii="Times New Roman" w:hAnsi="Times New Roman" w:cs="Times New Roman"/>
                <w:bCs/>
                <w:sz w:val="20"/>
                <w:szCs w:val="20"/>
              </w:rPr>
              <w:t>V čl. 1 ods. 29 smernice (EÚ) 2023/959 ( čl. 30f bod 8. smernice 2003/87/ES v platnom znení) sa umožňuje povoliť zjednodušené opatrenia na monitorovanie, nahlasovanie a overovanie v prípade regulovaných subjektov, ktorých ročné emisie zodpovedajúce množstvu palív uvedených do daňového voľného obehu sú nižšie ako 1 000 ton ekvivalentu CO2, v súlade s vykonávacími aktmi uvedenými v článku 14 ods. 1. Nevyužitím tejto možnosti dochádza ku goldplatingu a to – nevyužitie výnimky. V zmysle uvedeného Komisia žiada náležite vyplniť stĺpce (9) a (10) tabuľky zhody, pod tabuľkou zhody uviesť „Vyjadrenie k opodstatnenosti goldplatingu a jeho odôvodnenie“ a uvedené reflektovať v  doložke vybraných vplyvov.</w:t>
            </w:r>
          </w:p>
          <w:p w14:paraId="38750BFF" w14:textId="43FC9FFD" w:rsidR="005622C0" w:rsidRDefault="005622C0" w:rsidP="00F8472A">
            <w:pPr>
              <w:tabs>
                <w:tab w:val="left" w:pos="1110"/>
              </w:tabs>
              <w:suppressAutoHyphens/>
              <w:spacing w:line="100" w:lineRule="atLeast"/>
              <w:ind w:right="-2"/>
              <w:jc w:val="both"/>
              <w:rPr>
                <w:rFonts w:ascii="Times New Roman" w:hAnsi="Times New Roman" w:cs="Times New Roman"/>
                <w:bCs/>
                <w:sz w:val="20"/>
                <w:szCs w:val="20"/>
                <w:u w:val="single"/>
              </w:rPr>
            </w:pPr>
            <w:r w:rsidRPr="00D22304">
              <w:rPr>
                <w:rFonts w:ascii="Times New Roman" w:hAnsi="Times New Roman" w:cs="Times New Roman"/>
                <w:bCs/>
                <w:sz w:val="20"/>
                <w:szCs w:val="20"/>
                <w:u w:val="single"/>
              </w:rPr>
              <w:t>Vyhodnotenie:</w:t>
            </w:r>
            <w:r w:rsidR="00CC012F">
              <w:rPr>
                <w:rFonts w:ascii="Times New Roman" w:hAnsi="Times New Roman" w:cs="Times New Roman"/>
                <w:bCs/>
                <w:sz w:val="20"/>
                <w:szCs w:val="20"/>
                <w:u w:val="single"/>
              </w:rPr>
              <w:t xml:space="preserve"> </w:t>
            </w:r>
            <w:r w:rsidR="00F8472A" w:rsidRPr="00F8472A">
              <w:rPr>
                <w:rFonts w:ascii="Times New Roman" w:hAnsi="Times New Roman" w:cs="Times New Roman"/>
                <w:bCs/>
                <w:sz w:val="20"/>
                <w:szCs w:val="20"/>
              </w:rPr>
              <w:t>Popis regulovaných subjektov s nízkymi emisiami a výnimky z povinností pre dané subjekty sú uvedené v čl. 75n</w:t>
            </w:r>
            <w:r w:rsidR="00F8472A" w:rsidRPr="00F8472A">
              <w:rPr>
                <w:rFonts w:ascii="Times New Roman" w:hAnsi="Times New Roman" w:cs="Times New Roman"/>
                <w:sz w:val="20"/>
                <w:szCs w:val="20"/>
              </w:rPr>
              <w:t xml:space="preserve">  vykonávacieho nariadenia (EU) </w:t>
            </w:r>
            <w:r w:rsidR="00F8472A" w:rsidRPr="00F8472A">
              <w:rPr>
                <w:rFonts w:ascii="Times New Roman" w:hAnsi="Times New Roman" w:cs="Times New Roman"/>
                <w:bCs/>
                <w:sz w:val="20"/>
                <w:szCs w:val="20"/>
              </w:rPr>
              <w:t>2023/2122 ktorým sa mení vykonávacie nariadenie (EÚ) 2018/2066, pokiaľ ide o aktualizáciu monitorovania a nahlasovania emisií skleníkových plynov podľa smernice Európskeho parlamentu a Rady 2003/87/ES. Vykonávacie nariadenie, vrátane popisu regulovaných subjektov s nízkymi emisiami a výnimky z povinností sa uplatňujú v členských štátoch EÚ automaticky, ich transpozícia nie je potrebná. Z tohto dôvodu máme zato, že sa nejedná o goldplating.</w:t>
            </w:r>
          </w:p>
          <w:p w14:paraId="0C70990F" w14:textId="77777777" w:rsidR="001B23B7" w:rsidRPr="00B043B4" w:rsidRDefault="001B23B7" w:rsidP="00163569">
            <w:pPr>
              <w:rPr>
                <w:rFonts w:ascii="Times New Roman" w:eastAsia="Times New Roman" w:hAnsi="Times New Roman" w:cs="Times New Roman"/>
                <w:b/>
                <w:sz w:val="20"/>
                <w:szCs w:val="20"/>
                <w:lang w:eastAsia="sk-SK"/>
              </w:rPr>
            </w:pPr>
          </w:p>
        </w:tc>
      </w:tr>
      <w:tr w:rsidR="001B23B7" w:rsidRPr="00B043B4" w14:paraId="32FDFA51" w14:textId="77777777" w:rsidTr="00163569">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335A871C" w14:textId="77777777" w:rsidR="001B23B7" w:rsidRPr="00B043B4" w:rsidRDefault="001B23B7" w:rsidP="00163569">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lastRenderedPageBreak/>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1B23B7" w:rsidRPr="00B043B4" w14:paraId="36636F0F" w14:textId="77777777" w:rsidTr="00163569">
        <w:tblPrEx>
          <w:tblBorders>
            <w:insideH w:val="single" w:sz="4" w:space="0" w:color="FFFFFF"/>
            <w:insideV w:val="single" w:sz="4" w:space="0" w:color="FFFFFF"/>
          </w:tblBorders>
        </w:tblPrEx>
        <w:tc>
          <w:tcPr>
            <w:tcW w:w="9176" w:type="dxa"/>
            <w:shd w:val="clear" w:color="auto" w:fill="FFFFFF"/>
          </w:tcPr>
          <w:p w14:paraId="5478B14B" w14:textId="77777777" w:rsidR="001B23B7" w:rsidRPr="00B043B4" w:rsidRDefault="001B23B7" w:rsidP="00163569">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14:paraId="41895D9E" w14:textId="77777777" w:rsidTr="00163569">
              <w:trPr>
                <w:trHeight w:val="396"/>
              </w:trPr>
              <w:tc>
                <w:tcPr>
                  <w:tcW w:w="2552" w:type="dxa"/>
                </w:tcPr>
                <w:p w14:paraId="3536691B" w14:textId="77777777" w:rsidR="001B23B7" w:rsidRPr="00B043B4" w:rsidRDefault="001A4D57" w:rsidP="00163569">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14:paraId="036B0901" w14:textId="77777777" w:rsidR="001B23B7" w:rsidRPr="00B043B4" w:rsidRDefault="001A4D57" w:rsidP="00163569">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14:paraId="3C4516D2" w14:textId="77777777" w:rsidR="001B23B7" w:rsidRPr="00B043B4" w:rsidRDefault="001A4D57" w:rsidP="00163569">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14:paraId="4DD93C62" w14:textId="77777777" w:rsidR="001B23B7" w:rsidRPr="00B043B4" w:rsidRDefault="001B23B7" w:rsidP="00163569">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21EE481B" w14:textId="77777777" w:rsidR="001B23B7" w:rsidRPr="00B043B4" w:rsidRDefault="001B23B7" w:rsidP="00163569">
            <w:pPr>
              <w:rPr>
                <w:rFonts w:ascii="Times New Roman" w:eastAsia="Times New Roman" w:hAnsi="Times New Roman" w:cs="Times New Roman"/>
                <w:b/>
                <w:sz w:val="20"/>
                <w:szCs w:val="20"/>
                <w:lang w:eastAsia="sk-SK"/>
              </w:rPr>
            </w:pPr>
          </w:p>
          <w:p w14:paraId="4D50F8BE" w14:textId="77777777" w:rsidR="001B23B7" w:rsidRPr="00B043B4" w:rsidRDefault="001B23B7" w:rsidP="00163569">
            <w:pPr>
              <w:rPr>
                <w:rFonts w:ascii="Times New Roman" w:eastAsia="Times New Roman" w:hAnsi="Times New Roman" w:cs="Times New Roman"/>
                <w:b/>
                <w:sz w:val="20"/>
                <w:szCs w:val="20"/>
                <w:lang w:eastAsia="sk-SK"/>
              </w:rPr>
            </w:pPr>
          </w:p>
        </w:tc>
      </w:tr>
    </w:tbl>
    <w:p w14:paraId="1FA86AB8" w14:textId="77777777" w:rsidR="00163569" w:rsidRDefault="00163569"/>
    <w:p w14:paraId="11F1893C" w14:textId="5C921B7E" w:rsidR="008617C7" w:rsidRPr="009A7179" w:rsidRDefault="008617C7" w:rsidP="00D347D7">
      <w:pPr>
        <w:spacing w:after="0" w:line="240" w:lineRule="auto"/>
        <w:jc w:val="center"/>
        <w:rPr>
          <w:rFonts w:ascii="Times New Roman" w:eastAsia="Calibri" w:hAnsi="Times New Roman" w:cs="Times New Roman"/>
          <w:color w:val="0070C0"/>
        </w:rPr>
      </w:pPr>
    </w:p>
    <w:sectPr w:rsidR="008617C7" w:rsidRPr="009A7179" w:rsidSect="00D347D7">
      <w:headerReference w:type="default" r:id="rId15"/>
      <w:footerReference w:type="default" r:id="rId16"/>
      <w:pgSz w:w="11906" w:h="16838"/>
      <w:pgMar w:top="1417" w:right="1417" w:bottom="1276"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2D28C2" w16cex:dateUtc="2023-12-20T17:54:00Z"/>
  <w16cex:commentExtensible w16cex:durableId="1B68772D" w16cex:dateUtc="2023-12-20T17:54:00Z"/>
  <w16cex:commentExtensible w16cex:durableId="6996C664" w16cex:dateUtc="2023-12-20T12:07:00Z"/>
  <w16cex:commentExtensible w16cex:durableId="1C364EBF" w16cex:dateUtc="2023-12-20T12:01:00Z"/>
  <w16cex:commentExtensible w16cex:durableId="6663BB9A" w16cex:dateUtc="2023-12-20T11:59:00Z"/>
  <w16cex:commentExtensible w16cex:durableId="294BC658" w16cex:dateUtc="2023-12-20T17:58:00Z"/>
  <w16cex:commentExtensible w16cex:durableId="6191E216" w16cex:dateUtc="2023-12-20T17:59:00Z"/>
  <w16cex:commentExtensible w16cex:durableId="676365DF" w16cex:dateUtc="2023-12-20T18:01:00Z"/>
  <w16cex:commentExtensible w16cex:durableId="528AE3B3" w16cex:dateUtc="2023-12-20T1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7791A" w16cid:durableId="30D79D9D"/>
  <w16cid:commentId w16cid:paraId="3CC59EA6" w16cid:durableId="562D28C2"/>
  <w16cid:commentId w16cid:paraId="16FE7985" w16cid:durableId="05975380"/>
  <w16cid:commentId w16cid:paraId="2D1503E9" w16cid:durableId="1B68772D"/>
  <w16cid:commentId w16cid:paraId="72BCE3D7" w16cid:durableId="2FB19D07"/>
  <w16cid:commentId w16cid:paraId="6525A06F" w16cid:durableId="6996C664"/>
  <w16cid:commentId w16cid:paraId="621C183D" w16cid:durableId="1EE04C93"/>
  <w16cid:commentId w16cid:paraId="3B152CD1" w16cid:durableId="1C364EBF"/>
  <w16cid:commentId w16cid:paraId="551FE159" w16cid:durableId="7DC2E2C3"/>
  <w16cid:commentId w16cid:paraId="2569F2E2" w16cid:durableId="6663BB9A"/>
  <w16cid:commentId w16cid:paraId="464C8999" w16cid:durableId="294BC658"/>
  <w16cid:commentId w16cid:paraId="3DD9BB97" w16cid:durableId="593062D6"/>
  <w16cid:commentId w16cid:paraId="59D5BC78" w16cid:durableId="2229E44D"/>
  <w16cid:commentId w16cid:paraId="5FF05AA7" w16cid:durableId="6191E216"/>
  <w16cid:commentId w16cid:paraId="1755353A" w16cid:durableId="676365DF"/>
  <w16cid:commentId w16cid:paraId="1FB25D2F" w16cid:durableId="528AE3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0430A" w14:textId="77777777" w:rsidR="001A4D57" w:rsidRDefault="001A4D57" w:rsidP="001B23B7">
      <w:pPr>
        <w:spacing w:after="0" w:line="240" w:lineRule="auto"/>
      </w:pPr>
      <w:r>
        <w:separator/>
      </w:r>
    </w:p>
  </w:endnote>
  <w:endnote w:type="continuationSeparator" w:id="0">
    <w:p w14:paraId="21BFD870" w14:textId="77777777" w:rsidR="001A4D57" w:rsidRDefault="001A4D57"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767561"/>
      <w:docPartObj>
        <w:docPartGallery w:val="Page Numbers (Bottom of Page)"/>
        <w:docPartUnique/>
      </w:docPartObj>
    </w:sdtPr>
    <w:sdtEndPr/>
    <w:sdtContent>
      <w:p w14:paraId="6C600AAE" w14:textId="312EA526" w:rsidR="00D347D7" w:rsidRDefault="00D347D7">
        <w:pPr>
          <w:pStyle w:val="Pta"/>
          <w:jc w:val="right"/>
        </w:pPr>
        <w:r>
          <w:fldChar w:fldCharType="begin"/>
        </w:r>
        <w:r>
          <w:instrText>PAGE   \* MERGEFORMAT</w:instrText>
        </w:r>
        <w:r>
          <w:fldChar w:fldCharType="separate"/>
        </w:r>
        <w:r w:rsidR="00315096">
          <w:rPr>
            <w:noProof/>
          </w:rPr>
          <w:t>3</w:t>
        </w:r>
        <w:r>
          <w:fldChar w:fldCharType="end"/>
        </w:r>
      </w:p>
    </w:sdtContent>
  </w:sdt>
  <w:p w14:paraId="53F482BD" w14:textId="5A7EBECF" w:rsidR="00AD0771" w:rsidRDefault="00AD0771" w:rsidP="00D347D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2C3C8" w14:textId="77777777" w:rsidR="001A4D57" w:rsidRDefault="001A4D57" w:rsidP="001B23B7">
      <w:pPr>
        <w:spacing w:after="0" w:line="240" w:lineRule="auto"/>
      </w:pPr>
      <w:r>
        <w:separator/>
      </w:r>
    </w:p>
  </w:footnote>
  <w:footnote w:type="continuationSeparator" w:id="0">
    <w:p w14:paraId="3376133E" w14:textId="77777777" w:rsidR="001A4D57" w:rsidRDefault="001A4D57"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C85F9" w14:textId="77777777" w:rsidR="00D347D7" w:rsidRPr="006045CB" w:rsidRDefault="00D347D7" w:rsidP="00D347D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1</w:t>
    </w:r>
  </w:p>
  <w:p w14:paraId="71C15C95" w14:textId="77777777" w:rsidR="00AD0771" w:rsidRDefault="00AD077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98A"/>
    <w:multiLevelType w:val="hybridMultilevel"/>
    <w:tmpl w:val="F60CB932"/>
    <w:lvl w:ilvl="0" w:tplc="F4CAA17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E95682"/>
    <w:multiLevelType w:val="hybridMultilevel"/>
    <w:tmpl w:val="3F32D05A"/>
    <w:lvl w:ilvl="0" w:tplc="0FC2CE88">
      <w:start w:val="1"/>
      <w:numFmt w:val="decimal"/>
      <w:lvlText w:val="%1."/>
      <w:lvlJc w:val="left"/>
      <w:pPr>
        <w:tabs>
          <w:tab w:val="num" w:pos="420"/>
        </w:tabs>
        <w:ind w:left="420" w:hanging="360"/>
      </w:pPr>
      <w:rPr>
        <w:rFonts w:cs="Times New Roman" w:hint="default"/>
      </w:rPr>
    </w:lvl>
    <w:lvl w:ilvl="1" w:tplc="FF0AC334">
      <w:start w:val="1"/>
      <w:numFmt w:val="bullet"/>
      <w:lvlText w:val="-"/>
      <w:lvlJc w:val="left"/>
      <w:pPr>
        <w:tabs>
          <w:tab w:val="num" w:pos="1140"/>
        </w:tabs>
        <w:ind w:left="1140" w:hanging="360"/>
      </w:pPr>
      <w:rPr>
        <w:rFonts w:ascii="Times New Roman" w:eastAsia="Times New Roman" w:hAnsi="Times New Roman" w:hint="default"/>
      </w:rPr>
    </w:lvl>
    <w:lvl w:ilvl="2" w:tplc="856AD45A">
      <w:start w:val="1"/>
      <w:numFmt w:val="lowerLetter"/>
      <w:lvlText w:val="%3)"/>
      <w:lvlJc w:val="left"/>
      <w:pPr>
        <w:tabs>
          <w:tab w:val="num" w:pos="2040"/>
        </w:tabs>
        <w:ind w:left="2040" w:hanging="360"/>
      </w:pPr>
      <w:rPr>
        <w:rFonts w:cs="Times New Roman" w:hint="default"/>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2"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0B43FCA"/>
    <w:multiLevelType w:val="hybridMultilevel"/>
    <w:tmpl w:val="12EC621A"/>
    <w:lvl w:ilvl="0" w:tplc="0F3817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00299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0E4B0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2F2AE6"/>
    <w:multiLevelType w:val="singleLevel"/>
    <w:tmpl w:val="02F81D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E831417"/>
    <w:multiLevelType w:val="hybridMultilevel"/>
    <w:tmpl w:val="BF36238C"/>
    <w:lvl w:ilvl="0" w:tplc="8C0E7B40">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646E1B1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EEC28DE"/>
    <w:multiLevelType w:val="multilevel"/>
    <w:tmpl w:val="F01C05CA"/>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252805"/>
    <w:multiLevelType w:val="hybridMultilevel"/>
    <w:tmpl w:val="74CC4C46"/>
    <w:lvl w:ilvl="0" w:tplc="1952A8A6">
      <w:start w:val="1"/>
      <w:numFmt w:val="upperRoman"/>
      <w:lvlText w:val="%1."/>
      <w:lvlJc w:val="left"/>
      <w:pPr>
        <w:ind w:left="1080" w:hanging="72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1" w15:restartNumberingAfterBreak="0">
    <w:nsid w:val="7E833130"/>
    <w:multiLevelType w:val="hybridMultilevel"/>
    <w:tmpl w:val="7AA2FD28"/>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2" w15:restartNumberingAfterBreak="0">
    <w:nsid w:val="7E85149F"/>
    <w:multiLevelType w:val="hybridMultilevel"/>
    <w:tmpl w:val="FA0668A4"/>
    <w:lvl w:ilvl="0" w:tplc="D658897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EDE5169"/>
    <w:multiLevelType w:val="hybridMultilevel"/>
    <w:tmpl w:val="D4A6794C"/>
    <w:lvl w:ilvl="0" w:tplc="0E622E34">
      <w:numFmt w:val="bullet"/>
      <w:lvlText w:val="-"/>
      <w:lvlJc w:val="left"/>
      <w:pPr>
        <w:ind w:left="720" w:hanging="360"/>
      </w:pPr>
      <w:rPr>
        <w:rFonts w:ascii="Arial Narrow" w:eastAsia="Calibri" w:hAnsi="Arial Narrow"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6"/>
  </w:num>
  <w:num w:numId="4">
    <w:abstractNumId w:val="11"/>
  </w:num>
  <w:num w:numId="5">
    <w:abstractNumId w:val="3"/>
  </w:num>
  <w:num w:numId="6">
    <w:abstractNumId w:val="4"/>
  </w:num>
  <w:num w:numId="7">
    <w:abstractNumId w:val="27"/>
  </w:num>
  <w:num w:numId="8">
    <w:abstractNumId w:val="2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2"/>
  </w:num>
  <w:num w:numId="12">
    <w:abstractNumId w:val="14"/>
  </w:num>
  <w:num w:numId="13">
    <w:abstractNumId w:val="10"/>
  </w:num>
  <w:num w:numId="14">
    <w:abstractNumId w:val="26"/>
  </w:num>
  <w:num w:numId="15">
    <w:abstractNumId w:val="18"/>
  </w:num>
  <w:num w:numId="16">
    <w:abstractNumId w:val="21"/>
  </w:num>
  <w:num w:numId="17">
    <w:abstractNumId w:val="13"/>
  </w:num>
  <w:num w:numId="18">
    <w:abstractNumId w:val="16"/>
  </w:num>
  <w:num w:numId="19">
    <w:abstractNumId w:val="15"/>
  </w:num>
  <w:num w:numId="20">
    <w:abstractNumId w:val="2"/>
  </w:num>
  <w:num w:numId="21">
    <w:abstractNumId w:val="24"/>
  </w:num>
  <w:num w:numId="22">
    <w:abstractNumId w:val="25"/>
  </w:num>
  <w:num w:numId="23">
    <w:abstractNumId w:val="29"/>
  </w:num>
  <w:num w:numId="24">
    <w:abstractNumId w:val="9"/>
  </w:num>
  <w:num w:numId="25">
    <w:abstractNumId w:val="22"/>
  </w:num>
  <w:num w:numId="26">
    <w:abstractNumId w:val="7"/>
  </w:num>
  <w:num w:numId="27">
    <w:abstractNumId w:val="8"/>
  </w:num>
  <w:num w:numId="28">
    <w:abstractNumId w:val="20"/>
  </w:num>
  <w:num w:numId="29">
    <w:abstractNumId w:val="1"/>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9"/>
  </w:num>
  <w:num w:numId="33">
    <w:abstractNumId w:val="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0762"/>
    <w:rsid w:val="000013C3"/>
    <w:rsid w:val="000059FC"/>
    <w:rsid w:val="00043706"/>
    <w:rsid w:val="00082E60"/>
    <w:rsid w:val="000955EF"/>
    <w:rsid w:val="00097069"/>
    <w:rsid w:val="000C55F6"/>
    <w:rsid w:val="000D348F"/>
    <w:rsid w:val="000D6EDE"/>
    <w:rsid w:val="000F2BE9"/>
    <w:rsid w:val="00105C6F"/>
    <w:rsid w:val="00105F28"/>
    <w:rsid w:val="00113AE4"/>
    <w:rsid w:val="00127355"/>
    <w:rsid w:val="001348E6"/>
    <w:rsid w:val="00153214"/>
    <w:rsid w:val="00163569"/>
    <w:rsid w:val="00187182"/>
    <w:rsid w:val="001A4D57"/>
    <w:rsid w:val="001B022C"/>
    <w:rsid w:val="001B23B7"/>
    <w:rsid w:val="001C6B09"/>
    <w:rsid w:val="001D68C5"/>
    <w:rsid w:val="001E3562"/>
    <w:rsid w:val="00203EE3"/>
    <w:rsid w:val="002243BB"/>
    <w:rsid w:val="0023360B"/>
    <w:rsid w:val="0023600A"/>
    <w:rsid w:val="00243652"/>
    <w:rsid w:val="00243AE3"/>
    <w:rsid w:val="00263275"/>
    <w:rsid w:val="00276607"/>
    <w:rsid w:val="002A014E"/>
    <w:rsid w:val="002B2CD9"/>
    <w:rsid w:val="002C1FEA"/>
    <w:rsid w:val="002C7430"/>
    <w:rsid w:val="002F560C"/>
    <w:rsid w:val="002F6ADB"/>
    <w:rsid w:val="003145AE"/>
    <w:rsid w:val="00315096"/>
    <w:rsid w:val="00316BFF"/>
    <w:rsid w:val="003275A2"/>
    <w:rsid w:val="003746E1"/>
    <w:rsid w:val="003A057B"/>
    <w:rsid w:val="003A381E"/>
    <w:rsid w:val="003B7466"/>
    <w:rsid w:val="003E3105"/>
    <w:rsid w:val="00405EE4"/>
    <w:rsid w:val="00411898"/>
    <w:rsid w:val="00435647"/>
    <w:rsid w:val="004635CA"/>
    <w:rsid w:val="00476883"/>
    <w:rsid w:val="004925BF"/>
    <w:rsid w:val="0049476D"/>
    <w:rsid w:val="004949A9"/>
    <w:rsid w:val="004A2488"/>
    <w:rsid w:val="004A4383"/>
    <w:rsid w:val="004B4314"/>
    <w:rsid w:val="004B63CE"/>
    <w:rsid w:val="004C6831"/>
    <w:rsid w:val="004C7590"/>
    <w:rsid w:val="004D0894"/>
    <w:rsid w:val="00503117"/>
    <w:rsid w:val="0052288B"/>
    <w:rsid w:val="00526E90"/>
    <w:rsid w:val="00533C8E"/>
    <w:rsid w:val="00545395"/>
    <w:rsid w:val="00547612"/>
    <w:rsid w:val="00560DD0"/>
    <w:rsid w:val="005622C0"/>
    <w:rsid w:val="00591EC6"/>
    <w:rsid w:val="00591ED3"/>
    <w:rsid w:val="005A209B"/>
    <w:rsid w:val="005E4FF9"/>
    <w:rsid w:val="005F54C0"/>
    <w:rsid w:val="005F57A5"/>
    <w:rsid w:val="00605E04"/>
    <w:rsid w:val="00624FD7"/>
    <w:rsid w:val="00655DDB"/>
    <w:rsid w:val="00665A3C"/>
    <w:rsid w:val="006665DD"/>
    <w:rsid w:val="006A6F5E"/>
    <w:rsid w:val="006C43CF"/>
    <w:rsid w:val="006E2AB7"/>
    <w:rsid w:val="006F678E"/>
    <w:rsid w:val="006F6B62"/>
    <w:rsid w:val="006F7001"/>
    <w:rsid w:val="00720322"/>
    <w:rsid w:val="0075197E"/>
    <w:rsid w:val="00761208"/>
    <w:rsid w:val="00772BB3"/>
    <w:rsid w:val="007756BE"/>
    <w:rsid w:val="007B40C1"/>
    <w:rsid w:val="007B47BE"/>
    <w:rsid w:val="007C18A9"/>
    <w:rsid w:val="007D315A"/>
    <w:rsid w:val="007D4C97"/>
    <w:rsid w:val="007E619F"/>
    <w:rsid w:val="007F7083"/>
    <w:rsid w:val="0081403D"/>
    <w:rsid w:val="00851EDC"/>
    <w:rsid w:val="008617C7"/>
    <w:rsid w:val="00865E81"/>
    <w:rsid w:val="00874176"/>
    <w:rsid w:val="008801B5"/>
    <w:rsid w:val="00881E07"/>
    <w:rsid w:val="008909CB"/>
    <w:rsid w:val="008B222D"/>
    <w:rsid w:val="008B3A65"/>
    <w:rsid w:val="008C79B7"/>
    <w:rsid w:val="008F0FF1"/>
    <w:rsid w:val="008F142B"/>
    <w:rsid w:val="00913C2E"/>
    <w:rsid w:val="00930558"/>
    <w:rsid w:val="009431E3"/>
    <w:rsid w:val="009475F5"/>
    <w:rsid w:val="009717F5"/>
    <w:rsid w:val="009A494A"/>
    <w:rsid w:val="009B6C3D"/>
    <w:rsid w:val="009C424C"/>
    <w:rsid w:val="009E046D"/>
    <w:rsid w:val="009E09F7"/>
    <w:rsid w:val="009E2D19"/>
    <w:rsid w:val="009F4832"/>
    <w:rsid w:val="00A13C1E"/>
    <w:rsid w:val="00A15A1D"/>
    <w:rsid w:val="00A226BF"/>
    <w:rsid w:val="00A2600F"/>
    <w:rsid w:val="00A340BB"/>
    <w:rsid w:val="00A37F83"/>
    <w:rsid w:val="00A41ADA"/>
    <w:rsid w:val="00A7788F"/>
    <w:rsid w:val="00A85AE3"/>
    <w:rsid w:val="00AB66A2"/>
    <w:rsid w:val="00AC2884"/>
    <w:rsid w:val="00AC30D6"/>
    <w:rsid w:val="00AC4DE0"/>
    <w:rsid w:val="00AD0771"/>
    <w:rsid w:val="00AE0775"/>
    <w:rsid w:val="00B04253"/>
    <w:rsid w:val="00B244CB"/>
    <w:rsid w:val="00B25C29"/>
    <w:rsid w:val="00B32A92"/>
    <w:rsid w:val="00B547F5"/>
    <w:rsid w:val="00B84F87"/>
    <w:rsid w:val="00B96EE1"/>
    <w:rsid w:val="00BA2BF4"/>
    <w:rsid w:val="00BB5E29"/>
    <w:rsid w:val="00BC75E8"/>
    <w:rsid w:val="00BF759C"/>
    <w:rsid w:val="00C05DEA"/>
    <w:rsid w:val="00C07AF9"/>
    <w:rsid w:val="00C13574"/>
    <w:rsid w:val="00C13A88"/>
    <w:rsid w:val="00C35240"/>
    <w:rsid w:val="00C53249"/>
    <w:rsid w:val="00C77440"/>
    <w:rsid w:val="00C9379B"/>
    <w:rsid w:val="00CB08AE"/>
    <w:rsid w:val="00CC012F"/>
    <w:rsid w:val="00CC7976"/>
    <w:rsid w:val="00CE6AAE"/>
    <w:rsid w:val="00CF1A25"/>
    <w:rsid w:val="00CF312C"/>
    <w:rsid w:val="00CF60F3"/>
    <w:rsid w:val="00D22304"/>
    <w:rsid w:val="00D2313B"/>
    <w:rsid w:val="00D23EED"/>
    <w:rsid w:val="00D32655"/>
    <w:rsid w:val="00D347D7"/>
    <w:rsid w:val="00D40729"/>
    <w:rsid w:val="00D46D6E"/>
    <w:rsid w:val="00D50127"/>
    <w:rsid w:val="00D50F1E"/>
    <w:rsid w:val="00D867E6"/>
    <w:rsid w:val="00D91E73"/>
    <w:rsid w:val="00D944D2"/>
    <w:rsid w:val="00DA202B"/>
    <w:rsid w:val="00DE2E8B"/>
    <w:rsid w:val="00DF357C"/>
    <w:rsid w:val="00E0651D"/>
    <w:rsid w:val="00E168BC"/>
    <w:rsid w:val="00E174C6"/>
    <w:rsid w:val="00E4466F"/>
    <w:rsid w:val="00E52350"/>
    <w:rsid w:val="00E73823"/>
    <w:rsid w:val="00E907CD"/>
    <w:rsid w:val="00E96F78"/>
    <w:rsid w:val="00EB6E3A"/>
    <w:rsid w:val="00EC0BDE"/>
    <w:rsid w:val="00EC79AE"/>
    <w:rsid w:val="00ED1AC0"/>
    <w:rsid w:val="00EE3EF9"/>
    <w:rsid w:val="00F04696"/>
    <w:rsid w:val="00F051D6"/>
    <w:rsid w:val="00F06FC3"/>
    <w:rsid w:val="00F4698E"/>
    <w:rsid w:val="00F52948"/>
    <w:rsid w:val="00F60A5B"/>
    <w:rsid w:val="00F65499"/>
    <w:rsid w:val="00F74919"/>
    <w:rsid w:val="00F77D2F"/>
    <w:rsid w:val="00F8472A"/>
    <w:rsid w:val="00F87681"/>
    <w:rsid w:val="00FA02DB"/>
    <w:rsid w:val="00FB7BC9"/>
    <w:rsid w:val="00FC78F2"/>
    <w:rsid w:val="01CB2752"/>
    <w:rsid w:val="02711B9C"/>
    <w:rsid w:val="02A1DADB"/>
    <w:rsid w:val="05E92638"/>
    <w:rsid w:val="098157FE"/>
    <w:rsid w:val="0A630524"/>
    <w:rsid w:val="0F5496D2"/>
    <w:rsid w:val="1361D9FC"/>
    <w:rsid w:val="162B1890"/>
    <w:rsid w:val="17F54D63"/>
    <w:rsid w:val="18491D58"/>
    <w:rsid w:val="18724F27"/>
    <w:rsid w:val="200D816C"/>
    <w:rsid w:val="2180E20E"/>
    <w:rsid w:val="22AD0DD2"/>
    <w:rsid w:val="26EB1555"/>
    <w:rsid w:val="295992C6"/>
    <w:rsid w:val="2C1CD79A"/>
    <w:rsid w:val="2EDE1B26"/>
    <w:rsid w:val="2F982258"/>
    <w:rsid w:val="32B2FA1A"/>
    <w:rsid w:val="35D4E8ED"/>
    <w:rsid w:val="367BE6F0"/>
    <w:rsid w:val="3AF2087E"/>
    <w:rsid w:val="3C5A444D"/>
    <w:rsid w:val="3CE5F6EA"/>
    <w:rsid w:val="4182B5FB"/>
    <w:rsid w:val="48B199B3"/>
    <w:rsid w:val="48E522FA"/>
    <w:rsid w:val="4A5840AA"/>
    <w:rsid w:val="4FB057C0"/>
    <w:rsid w:val="555A708F"/>
    <w:rsid w:val="57E25E3D"/>
    <w:rsid w:val="5A3C7F88"/>
    <w:rsid w:val="5CEEBC3C"/>
    <w:rsid w:val="5FD8EFE9"/>
    <w:rsid w:val="60BA3E7D"/>
    <w:rsid w:val="666E5B62"/>
    <w:rsid w:val="671057A4"/>
    <w:rsid w:val="6CACEC18"/>
    <w:rsid w:val="6E085BFC"/>
    <w:rsid w:val="6E48BC79"/>
    <w:rsid w:val="6FC7E9DA"/>
    <w:rsid w:val="71C4253A"/>
    <w:rsid w:val="732FAC7B"/>
    <w:rsid w:val="7689D60A"/>
    <w:rsid w:val="772E68F4"/>
    <w:rsid w:val="78CA3955"/>
    <w:rsid w:val="7DA754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108CB"/>
  <w15:docId w15:val="{19053FE0-1176-4968-99A6-DFC24CC2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A15A1D"/>
    <w:rPr>
      <w:sz w:val="16"/>
      <w:szCs w:val="16"/>
    </w:rPr>
  </w:style>
  <w:style w:type="paragraph" w:styleId="Textkomentra">
    <w:name w:val="annotation text"/>
    <w:basedOn w:val="Normlny"/>
    <w:link w:val="TextkomentraChar"/>
    <w:uiPriority w:val="99"/>
    <w:unhideWhenUsed/>
    <w:rsid w:val="00A15A1D"/>
    <w:pPr>
      <w:spacing w:line="240" w:lineRule="auto"/>
    </w:pPr>
    <w:rPr>
      <w:sz w:val="20"/>
      <w:szCs w:val="20"/>
    </w:rPr>
  </w:style>
  <w:style w:type="character" w:customStyle="1" w:styleId="TextkomentraChar">
    <w:name w:val="Text komentára Char"/>
    <w:basedOn w:val="Predvolenpsmoodseku"/>
    <w:link w:val="Textkomentra"/>
    <w:uiPriority w:val="99"/>
    <w:rsid w:val="00A15A1D"/>
    <w:rPr>
      <w:sz w:val="20"/>
      <w:szCs w:val="20"/>
    </w:rPr>
  </w:style>
  <w:style w:type="paragraph" w:styleId="Predmetkomentra">
    <w:name w:val="annotation subject"/>
    <w:basedOn w:val="Textkomentra"/>
    <w:next w:val="Textkomentra"/>
    <w:link w:val="PredmetkomentraChar"/>
    <w:uiPriority w:val="99"/>
    <w:semiHidden/>
    <w:unhideWhenUsed/>
    <w:rsid w:val="00A15A1D"/>
    <w:rPr>
      <w:b/>
      <w:bCs/>
    </w:rPr>
  </w:style>
  <w:style w:type="character" w:customStyle="1" w:styleId="PredmetkomentraChar">
    <w:name w:val="Predmet komentára Char"/>
    <w:basedOn w:val="TextkomentraChar"/>
    <w:link w:val="Predmetkomentra"/>
    <w:uiPriority w:val="99"/>
    <w:semiHidden/>
    <w:rsid w:val="00A15A1D"/>
    <w:rPr>
      <w:b/>
      <w:bCs/>
      <w:sz w:val="20"/>
      <w:szCs w:val="20"/>
    </w:rPr>
  </w:style>
  <w:style w:type="paragraph" w:styleId="Odsekzoznamu">
    <w:name w:val="List Paragraph"/>
    <w:basedOn w:val="Normlny"/>
    <w:uiPriority w:val="34"/>
    <w:qFormat/>
    <w:rsid w:val="00153214"/>
    <w:pPr>
      <w:ind w:left="720"/>
      <w:contextualSpacing/>
    </w:pPr>
  </w:style>
  <w:style w:type="character" w:styleId="Hypertextovprepojenie">
    <w:name w:val="Hyperlink"/>
    <w:basedOn w:val="Predvolenpsmoodseku"/>
    <w:uiPriority w:val="99"/>
    <w:unhideWhenUsed/>
    <w:rsid w:val="00C13A88"/>
    <w:rPr>
      <w:color w:val="0563C1" w:themeColor="hyperlink"/>
      <w:u w:val="single"/>
    </w:rPr>
  </w:style>
  <w:style w:type="table" w:customStyle="1" w:styleId="Mriekatabuky11">
    <w:name w:val="Mriežka tabuľky11"/>
    <w:basedOn w:val="Normlnatabuka"/>
    <w:next w:val="Mriekatabuky"/>
    <w:uiPriority w:val="59"/>
    <w:rsid w:val="00533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DA202B"/>
    <w:rPr>
      <w:rFonts w:cs="Times New Roman"/>
    </w:rPr>
  </w:style>
  <w:style w:type="paragraph" w:styleId="Normlnywebov">
    <w:name w:val="Normal (Web)"/>
    <w:basedOn w:val="Normlny"/>
    <w:uiPriority w:val="99"/>
    <w:unhideWhenUsed/>
    <w:rsid w:val="008617C7"/>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861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8617C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617C7"/>
    <w:rPr>
      <w:sz w:val="20"/>
      <w:szCs w:val="20"/>
    </w:rPr>
  </w:style>
  <w:style w:type="character" w:styleId="Odkaznapoznmkupodiarou">
    <w:name w:val="footnote reference"/>
    <w:aliases w:val="Footnote symbol,Footnote reference number"/>
    <w:semiHidden/>
    <w:unhideWhenUsed/>
    <w:rsid w:val="008617C7"/>
    <w:rPr>
      <w:vertAlign w:val="superscript"/>
    </w:rPr>
  </w:style>
  <w:style w:type="paragraph" w:customStyle="1" w:styleId="xmsonormal">
    <w:name w:val="x_msonormal"/>
    <w:basedOn w:val="Normlny"/>
    <w:rsid w:val="008B3A65"/>
    <w:pPr>
      <w:spacing w:after="0" w:line="240" w:lineRule="auto"/>
    </w:pPr>
    <w:rPr>
      <w:rFonts w:ascii="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738">
      <w:bodyDiv w:val="1"/>
      <w:marLeft w:val="0"/>
      <w:marRight w:val="0"/>
      <w:marTop w:val="0"/>
      <w:marBottom w:val="0"/>
      <w:divBdr>
        <w:top w:val="none" w:sz="0" w:space="0" w:color="auto"/>
        <w:left w:val="none" w:sz="0" w:space="0" w:color="auto"/>
        <w:bottom w:val="none" w:sz="0" w:space="0" w:color="auto"/>
        <w:right w:val="none" w:sz="0" w:space="0" w:color="auto"/>
      </w:divBdr>
    </w:div>
    <w:div w:id="1122580246">
      <w:bodyDiv w:val="1"/>
      <w:marLeft w:val="0"/>
      <w:marRight w:val="0"/>
      <w:marTop w:val="0"/>
      <w:marBottom w:val="0"/>
      <w:divBdr>
        <w:top w:val="none" w:sz="0" w:space="0" w:color="auto"/>
        <w:left w:val="none" w:sz="0" w:space="0" w:color="auto"/>
        <w:bottom w:val="none" w:sz="0" w:space="0" w:color="auto"/>
        <w:right w:val="none" w:sz="0" w:space="0" w:color="auto"/>
      </w:divBdr>
    </w:div>
    <w:div w:id="1576553934">
      <w:bodyDiv w:val="1"/>
      <w:marLeft w:val="0"/>
      <w:marRight w:val="0"/>
      <w:marTop w:val="0"/>
      <w:marBottom w:val="0"/>
      <w:divBdr>
        <w:top w:val="none" w:sz="0" w:space="0" w:color="auto"/>
        <w:left w:val="none" w:sz="0" w:space="0" w:color="auto"/>
        <w:bottom w:val="none" w:sz="0" w:space="0" w:color="auto"/>
        <w:right w:val="none" w:sz="0" w:space="0" w:color="auto"/>
      </w:divBdr>
    </w:div>
    <w:div w:id="1703702664">
      <w:bodyDiv w:val="1"/>
      <w:marLeft w:val="0"/>
      <w:marRight w:val="0"/>
      <w:marTop w:val="0"/>
      <w:marBottom w:val="0"/>
      <w:divBdr>
        <w:top w:val="none" w:sz="0" w:space="0" w:color="auto"/>
        <w:left w:val="none" w:sz="0" w:space="0" w:color="auto"/>
        <w:bottom w:val="none" w:sz="0" w:space="0" w:color="auto"/>
        <w:right w:val="none" w:sz="0" w:space="0" w:color="auto"/>
      </w:divBdr>
    </w:div>
    <w:div w:id="196746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SK/TXT/PDF/?uri=CELEX:52021DC066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inzp.sk/files/iep/iep_analyza_fit_for_55_.pdf" TargetMode="External"/><Relationship Id="rId17"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hsr.sk/podnikatelske-prostredie/jednotna-metodika/dokumenty?csrt=1149618064616855839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cument" ma:contentTypeID="0x01010090491C325F475246A7F054D8377FA663" ma:contentTypeVersion="4" ma:contentTypeDescription="Create a new document." ma:contentTypeScope="" ma:versionID="2ea1ef28e340a07c363a35ba1cab2c88">
  <xsd:schema xmlns:xsd="http://www.w3.org/2001/XMLSchema" xmlns:xs="http://www.w3.org/2001/XMLSchema" xmlns:p="http://schemas.microsoft.com/office/2006/metadata/properties" xmlns:ns2="e9cd1c1c-077c-491a-913f-56e66128da3e" targetNamespace="http://schemas.microsoft.com/office/2006/metadata/properties" ma:root="true" ma:fieldsID="41373fa616567074af015abe417ddd5f" ns2:_="">
    <xsd:import namespace="e9cd1c1c-077c-491a-913f-56e66128da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d1c1c-077c-491a-913f-56e66128d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C947EAC-2250-4E83-B6F2-E23BF1184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d1c1c-077c-491a-913f-56e66128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A747B-A68B-4367-BF1D-6D7A31D562E5}">
  <ds:schemaRefs>
    <ds:schemaRef ds:uri="http://schemas.microsoft.com/sharepoint/v3/contenttype/forms"/>
  </ds:schemaRefs>
</ds:datastoreItem>
</file>

<file path=customXml/itemProps4.xml><?xml version="1.0" encoding="utf-8"?>
<ds:datastoreItem xmlns:ds="http://schemas.openxmlformats.org/officeDocument/2006/customXml" ds:itemID="{717937CD-B024-4E02-A283-3E75803D510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E955372-C584-432E-AF9E-55C2B345C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4785</Words>
  <Characters>27275</Characters>
  <Application>Microsoft Office Word</Application>
  <DocSecurity>0</DocSecurity>
  <Lines>227</Lines>
  <Paragraphs>63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Chvostalová Miroslava</cp:lastModifiedBy>
  <cp:revision>2</cp:revision>
  <cp:lastPrinted>2023-12-15T08:51:00Z</cp:lastPrinted>
  <dcterms:created xsi:type="dcterms:W3CDTF">2024-09-03T11:49:00Z</dcterms:created>
  <dcterms:modified xsi:type="dcterms:W3CDTF">2024-09-03T11:49:00Z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y fmtid="{D5CDD505-2E9C-101B-9397-08002B2CF9AE}" pid="153" name="ContentTypeId">
    <vt:lpwstr>0x01010090491C325F475246A7F054D8377FA663</vt:lpwstr>
  </property>
</Properties>
</file>